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1D3557"/>
          <w:sz w:val="40"/>
        </w:rPr>
        <w:t>PROPUESTA DE VENTA Y LICENCIAMIENTO</w:t>
      </w:r>
    </w:p>
    <w:p>
      <w:pPr>
        <w:spacing w:after="480"/>
        <w:jc w:val="center"/>
      </w:pPr>
      <w:r>
        <w:rPr>
          <w:rFonts w:ascii="Arial" w:hAnsi="Arial"/>
          <w:i/>
          <w:color w:val="457B9D"/>
          <w:sz w:val="26"/>
        </w:rPr>
        <w:t>Plataforma Integral de Movilidad y Logística Corporativa (Tipo AllRide)</w:t>
      </w:r>
    </w:p>
    <w:p>
      <w:pPr>
        <w:pStyle w:val="Heading1"/>
      </w:pPr>
      <w:r>
        <w:t>1. Resumen Ejecutivo</w:t>
      </w:r>
    </w:p>
    <w:p>
      <w:pPr>
        <w:spacing w:after="280"/>
      </w:pPr>
      <w:r>
        <w:t>La presente propuesta establece los términos comerciales y técnicos para la venta y/o licenciamiento de la plataforma tecnológica completa ProMobile a favor de una empresa operadora de servicios de transporte y movilidad corporativa.</w:t>
        <w:br/>
        <w:br/>
        <w:t>Esta solución llave en mano permite al comprador operar autónomamente su propio ecosistema de movilidad tipo AllRide / Uber para Empresas, comercializar el servicio a clientes corporativos finales y gestionar flotas de transporte con control absoluto sobre la marca, datos y operación.</w:t>
      </w:r>
    </w:p>
    <w:p>
      <w:pPr>
        <w:pStyle w:val="Heading1"/>
      </w:pPr>
      <w:r>
        <w:t>2. Alcance del Ecosistema Tecnológico Incluido</w:t>
      </w:r>
    </w:p>
    <w:p>
      <w:pPr>
        <w:spacing w:after="160"/>
      </w:pPr>
      <w:r>
        <w:t>El comprador recibirá la entrega total del software estructurado en 4 capas clave:</w:t>
      </w:r>
    </w:p>
    <w:p>
      <w:pPr>
        <w:spacing w:after="120"/>
        <w:ind w:left="288"/>
      </w:pPr>
      <w:r>
        <w:rPr>
          <w:b/>
          <w:color w:val="1D3557"/>
        </w:rPr>
        <w:t xml:space="preserve">• Backend API REST &amp; Motor Realtime: </w:t>
      </w:r>
      <w:r>
        <w:t>Código fuente completo de APIs (Node.js/Python, Dockerized), scripts de base de datos Supabase/PostgreSQL (init_transport_schema.sql), archivo nginx.conf y colección oficial Postman (AllRide_Postman_Collection.json).</w:t>
      </w:r>
    </w:p>
    <w:p>
      <w:pPr>
        <w:spacing w:after="120"/>
        <w:ind w:left="288"/>
      </w:pPr>
      <w:r>
        <w:rPr>
          <w:b/>
          <w:color w:val="1D3557"/>
        </w:rPr>
        <w:t xml:space="preserve">• Panel Web de Administración (Dashboard): </w:t>
      </w:r>
      <w:r>
        <w:t>Panel de control web para monitoreo en tiempo real, gestión de rutas, geocercas, paradas, horarios, límites de capacidad y auditoría de puntualidad de transportistas externos.</w:t>
      </w:r>
    </w:p>
    <w:p>
      <w:pPr>
        <w:spacing w:after="120"/>
        <w:ind w:left="288"/>
      </w:pPr>
      <w:r>
        <w:rPr>
          <w:b/>
          <w:color w:val="1D3557"/>
        </w:rPr>
        <w:t xml:space="preserve">• App Móvil para Pasajeros / Empleados (iOS/Android): </w:t>
      </w:r>
      <w:r>
        <w:t>App nativa/híbrida para colaboradores con reservas automáticas (solicitarReserva), mapa GPS en vivo del vehículo, cálculo de ETA y generación de pase de abordar en código QR.</w:t>
      </w:r>
    </w:p>
    <w:p>
      <w:pPr>
        <w:spacing w:after="120"/>
        <w:ind w:left="288"/>
      </w:pPr>
      <w:r>
        <w:rPr>
          <w:b/>
          <w:color w:val="1D3557"/>
        </w:rPr>
        <w:t xml:space="preserve">• App Móvil para Conductores / Abordaje (iOS/Android): </w:t>
      </w:r>
      <w:r>
        <w:t>App para el operador del vehículo con navegación asistida por GPS, escáner QR/RFID para registro de pasajeros (abordarPasajero) y telemetría continua (processGeofencing).</w:t>
      </w:r>
    </w:p>
    <w:p>
      <w:pPr>
        <w:spacing w:after="200"/>
      </w:pPr>
    </w:p>
    <w:p>
      <w:pPr>
        <w:pStyle w:val="Heading1"/>
      </w:pPr>
      <w:r>
        <w:t>3. Esquemas Comerciales y Estructura de Precios (MXN)</w:t>
      </w:r>
    </w:p>
    <w:p>
      <w:pPr>
        <w:pStyle w:val="Heading2"/>
      </w:pPr>
      <w:r>
        <w:t>OPCIÓN A: Venta Definitiva de Código Fuente (Software Buyout)</w:t>
      </w:r>
    </w:p>
    <w:p>
      <w:r>
        <w:t>Ideal si el comprador desea ser dueño absoluto del código fuente, modificarlo libremente con sus propios desarrolladores y comercializarlo sin rentas ni regalías futuras.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D3557"/>
          </w:tcPr>
          <w:p>
            <w:r>
              <w:rPr>
                <w:b/>
                <w:color w:val="FFFFFF"/>
              </w:rPr>
              <w:t>Concepto</w:t>
            </w:r>
          </w:p>
        </w:tc>
        <w:tc>
          <w:tcPr>
            <w:tcW w:type="dxa" w:w="3120"/>
            <w:shd w:fill="1D3557"/>
          </w:tcPr>
          <w:p>
            <w:r>
              <w:rPr>
                <w:b/>
                <w:color w:val="FFFFFF"/>
              </w:rPr>
              <w:t>Descripción / Alcance</w:t>
            </w:r>
          </w:p>
        </w:tc>
        <w:tc>
          <w:tcPr>
            <w:tcW w:type="dxa" w:w="3120"/>
            <w:shd w:fill="1D3557"/>
          </w:tcPr>
          <w:p>
            <w:r>
              <w:rPr>
                <w:b/>
                <w:color w:val="FFFFFF"/>
              </w:rPr>
              <w:t>Inversión (MXN)</w:t>
            </w:r>
          </w:p>
        </w:tc>
      </w:tr>
      <w:tr>
        <w:tc>
          <w:tcPr>
            <w:tcW w:type="dxa" w:w="3120"/>
          </w:tcPr>
          <w:p>
            <w:r>
              <w:t>Venta de Código Fuente Completo</w:t>
            </w:r>
          </w:p>
        </w:tc>
        <w:tc>
          <w:tcPr>
            <w:tcW w:type="dxa" w:w="3120"/>
          </w:tcPr>
          <w:p>
            <w:r>
              <w:t>Transferencia total del código (Backend API, Panel Web, Apps Móviles, SQL, Docker). Cesión de derechos de uso e instalación ilimitada.</w:t>
            </w:r>
          </w:p>
        </w:tc>
        <w:tc>
          <w:tcPr>
            <w:tcW w:type="dxa" w:w="3120"/>
          </w:tcPr>
          <w:p>
            <w:r>
              <w:t>$850,000 MXN</w:t>
            </w:r>
          </w:p>
        </w:tc>
      </w:tr>
      <w:tr>
        <w:tc>
          <w:tcPr>
            <w:tcW w:type="dxa" w:w="3120"/>
          </w:tcPr>
          <w:p>
            <w:r>
              <w:t>Setup, Instalación y Migración</w:t>
            </w:r>
          </w:p>
        </w:tc>
        <w:tc>
          <w:tcPr>
            <w:tcW w:type="dxa" w:w="3120"/>
          </w:tcPr>
          <w:p>
            <w:r>
              <w:t>Despliegue inicial en servidores cloud del comprador (AWS / GCP / DigitalOcean) y configuración de base de datos.</w:t>
            </w:r>
          </w:p>
        </w:tc>
        <w:tc>
          <w:tcPr>
            <w:tcW w:type="dxa" w:w="3120"/>
          </w:tcPr>
          <w:p>
            <w:r>
              <w:t>$45,000 MXN</w:t>
            </w:r>
          </w:p>
        </w:tc>
      </w:tr>
      <w:tr>
        <w:tc>
          <w:tcPr>
            <w:tcW w:type="dxa" w:w="3120"/>
          </w:tcPr>
          <w:p>
            <w:r>
              <w:t>Transferencia de Conocimiento</w:t>
            </w:r>
          </w:p>
        </w:tc>
        <w:tc>
          <w:tcPr>
            <w:tcW w:type="dxa" w:w="3120"/>
          </w:tcPr>
          <w:p>
            <w:r>
              <w:t>20 horas de capacitación técnica al equipo de TI del comprador para administración del código.</w:t>
            </w:r>
          </w:p>
        </w:tc>
        <w:tc>
          <w:tcPr>
            <w:tcW w:type="dxa" w:w="3120"/>
          </w:tcPr>
          <w:p>
            <w:r>
              <w:t>INCLUIDO</w:t>
            </w:r>
          </w:p>
        </w:tc>
      </w:tr>
      <w:tr>
        <w:tc>
          <w:tcPr>
            <w:tcW w:type="dxa" w:w="3120"/>
            <w:shd w:fill="F1FAEE"/>
          </w:tcPr>
          <w:p>
            <w:r>
              <w:rPr>
                <w:b/>
                <w:color w:val="1D3557"/>
              </w:rPr>
              <w:t>TOTAL OPCIÓN A</w:t>
            </w:r>
          </w:p>
        </w:tc>
        <w:tc>
          <w:tcPr>
            <w:tcW w:type="dxa" w:w="3120"/>
            <w:shd w:fill="F1FAEE"/>
          </w:tcPr>
          <w:p>
            <w:r>
              <w:rPr>
                <w:b/>
                <w:color w:val="1D3557"/>
              </w:rPr>
              <w:t>Pago único de contado (Sin rentas futuras)</w:t>
            </w:r>
          </w:p>
        </w:tc>
        <w:tc>
          <w:tcPr>
            <w:tcW w:type="dxa" w:w="3120"/>
            <w:shd w:fill="F1FAEE"/>
          </w:tcPr>
          <w:p>
            <w:r>
              <w:rPr>
                <w:b/>
                <w:color w:val="1D3557"/>
              </w:rPr>
              <w:t>$895,000 MXN</w:t>
            </w:r>
          </w:p>
        </w:tc>
      </w:tr>
    </w:tbl>
    <w:p>
      <w:pPr>
        <w:spacing w:after="280"/>
      </w:pPr>
    </w:p>
    <w:p>
      <w:pPr>
        <w:pStyle w:val="Heading2"/>
      </w:pPr>
      <w:r>
        <w:t>OPCIÓN B: Licencia Perpetua Enterprise (Servidor Propio sin Código Fuente)</w:t>
      </w:r>
    </w:p>
    <w:p>
      <w:r>
        <w:t>Ideal si el comprador desea alojar el sistema en sus propios servidores con su propia marca, pero sin adquirir los derechos de propiedad del código fuente.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57B9D"/>
          </w:tcPr>
          <w:p>
            <w:r>
              <w:rPr>
                <w:b/>
                <w:color w:val="FFFFFF"/>
              </w:rPr>
              <w:t>Concepto</w:t>
            </w:r>
          </w:p>
        </w:tc>
        <w:tc>
          <w:tcPr>
            <w:tcW w:type="dxa" w:w="3120"/>
            <w:shd w:fill="457B9D"/>
          </w:tcPr>
          <w:p>
            <w:r>
              <w:rPr>
                <w:b/>
                <w:color w:val="FFFFFF"/>
              </w:rPr>
              <w:t>Descripción / Alcance</w:t>
            </w:r>
          </w:p>
        </w:tc>
        <w:tc>
          <w:tcPr>
            <w:tcW w:type="dxa" w:w="3120"/>
            <w:shd w:fill="457B9D"/>
          </w:tcPr>
          <w:p>
            <w:r>
              <w:rPr>
                <w:b/>
                <w:color w:val="FFFFFF"/>
              </w:rPr>
              <w:t>Inversión (MXN)</w:t>
            </w:r>
          </w:p>
        </w:tc>
      </w:tr>
      <w:tr>
        <w:tc>
          <w:tcPr>
            <w:tcW w:type="dxa" w:w="3120"/>
          </w:tcPr>
          <w:p>
            <w:r>
              <w:t>Licencia Perpetua Enterprise</w:t>
            </w:r>
          </w:p>
        </w:tc>
        <w:tc>
          <w:tcPr>
            <w:tcW w:type="dxa" w:w="3120"/>
          </w:tcPr>
          <w:p>
            <w:r>
              <w:t>Licencia ilimitada de uso operativo para la empresa compradora en sus propios servidores.</w:t>
            </w:r>
          </w:p>
        </w:tc>
        <w:tc>
          <w:tcPr>
            <w:tcW w:type="dxa" w:w="3120"/>
          </w:tcPr>
          <w:p>
            <w:r>
              <w:t>$380,000 MXN</w:t>
            </w:r>
          </w:p>
        </w:tc>
      </w:tr>
      <w:tr>
        <w:tc>
          <w:tcPr>
            <w:tcW w:type="dxa" w:w="3120"/>
          </w:tcPr>
          <w:p>
            <w:r>
              <w:t>Setup y Personalización Marca</w:t>
            </w:r>
          </w:p>
        </w:tc>
        <w:tc>
          <w:tcPr>
            <w:tcW w:type="dxa" w:w="3120"/>
          </w:tcPr>
          <w:p>
            <w:r>
              <w:t>Compilación de apps móviles con logo/colores del comprador e instalación en servidor.</w:t>
            </w:r>
          </w:p>
        </w:tc>
        <w:tc>
          <w:tcPr>
            <w:tcW w:type="dxa" w:w="3120"/>
          </w:tcPr>
          <w:p>
            <w:r>
              <w:t>$35,000 MXN</w:t>
            </w:r>
          </w:p>
        </w:tc>
      </w:tr>
      <w:tr>
        <w:tc>
          <w:tcPr>
            <w:tcW w:type="dxa" w:w="3120"/>
          </w:tcPr>
          <w:p>
            <w:r>
              <w:t>Mantenimiento y Soporte (Opcional)</w:t>
            </w:r>
          </w:p>
        </w:tc>
        <w:tc>
          <w:tcPr>
            <w:tcW w:type="dxa" w:w="3120"/>
          </w:tcPr>
          <w:p>
            <w:r>
              <w:t>Parches de seguridad, soporte técnico Nivel 3 y actualizaciones menores.</w:t>
            </w:r>
          </w:p>
        </w:tc>
        <w:tc>
          <w:tcPr>
            <w:tcW w:type="dxa" w:w="3120"/>
          </w:tcPr>
          <w:p>
            <w:r>
              <w:t>$25,000 MXN / mes</w:t>
            </w:r>
          </w:p>
        </w:tc>
      </w:tr>
      <w:tr>
        <w:tc>
          <w:tcPr>
            <w:tcW w:type="dxa" w:w="3120"/>
            <w:shd w:fill="F1FAEE"/>
          </w:tcPr>
          <w:p>
            <w:r>
              <w:rPr>
                <w:b/>
              </w:rPr>
              <w:t>TOTAL INICIAL OPCIÓN B</w:t>
            </w:r>
          </w:p>
        </w:tc>
        <w:tc>
          <w:tcPr>
            <w:tcW w:type="dxa" w:w="3120"/>
            <w:shd w:fill="F1FAEE"/>
          </w:tcPr>
          <w:p>
            <w:r>
              <w:rPr>
                <w:b/>
              </w:rPr>
              <w:t>Pago único de contado inicial</w:t>
            </w:r>
          </w:p>
        </w:tc>
        <w:tc>
          <w:tcPr>
            <w:tcW w:type="dxa" w:w="3120"/>
            <w:shd w:fill="F1FAEE"/>
          </w:tcPr>
          <w:p>
            <w:r>
              <w:rPr>
                <w:b/>
              </w:rPr>
              <w:t>$415,000 MXN</w:t>
            </w:r>
          </w:p>
        </w:tc>
      </w:tr>
    </w:tbl>
    <w:p>
      <w:pPr>
        <w:spacing w:after="280"/>
      </w:pPr>
    </w:p>
    <w:p>
      <w:pPr>
        <w:pStyle w:val="Heading2"/>
      </w:pPr>
      <w:r>
        <w:t>OPCIÓN C: Licencia Marca Blanca SaaS (Renta Mensual Ilimitada)</w:t>
      </w:r>
    </w:p>
    <w:p>
      <w:r>
        <w:t>Ideal si el comprador prefiere un esquema de renta mensual sin desembolso inicial alto, operando la plataforma con su propia marca.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A9D8F"/>
          </w:tcPr>
          <w:p>
            <w:r>
              <w:rPr>
                <w:b/>
                <w:color w:val="FFFFFF"/>
              </w:rPr>
              <w:t>Concepto</w:t>
            </w:r>
          </w:p>
        </w:tc>
        <w:tc>
          <w:tcPr>
            <w:tcW w:type="dxa" w:w="3120"/>
            <w:shd w:fill="2A9D8F"/>
          </w:tcPr>
          <w:p>
            <w:r>
              <w:rPr>
                <w:b/>
                <w:color w:val="FFFFFF"/>
              </w:rPr>
              <w:t>Descripción / Alcance</w:t>
            </w:r>
          </w:p>
        </w:tc>
        <w:tc>
          <w:tcPr>
            <w:tcW w:type="dxa" w:w="3120"/>
            <w:shd w:fill="2A9D8F"/>
          </w:tcPr>
          <w:p>
            <w:r>
              <w:rPr>
                <w:b/>
                <w:color w:val="FFFFFF"/>
              </w:rPr>
              <w:t>Inversión (MXN)</w:t>
            </w:r>
          </w:p>
        </w:tc>
      </w:tr>
      <w:tr>
        <w:tc>
          <w:tcPr>
            <w:tcW w:type="dxa" w:w="3120"/>
          </w:tcPr>
          <w:p>
            <w:r>
              <w:t>Setup Inicial &amp; Marca Blanca</w:t>
            </w:r>
          </w:p>
        </w:tc>
        <w:tc>
          <w:tcPr>
            <w:tcW w:type="dxa" w:w="3120"/>
          </w:tcPr>
          <w:p>
            <w:r>
              <w:t>Personalización visual, dominio corporativo y publicación de Apps en App Store / Google Play.</w:t>
            </w:r>
          </w:p>
        </w:tc>
        <w:tc>
          <w:tcPr>
            <w:tcW w:type="dxa" w:w="3120"/>
          </w:tcPr>
          <w:p>
            <w:r>
              <w:t>$65,000 MXN</w:t>
            </w:r>
          </w:p>
        </w:tc>
      </w:tr>
      <w:tr>
        <w:tc>
          <w:tcPr>
            <w:tcW w:type="dxa" w:w="3120"/>
          </w:tcPr>
          <w:p>
            <w:r>
              <w:t>Renta Mensual Ilimitada (SaaS)</w:t>
            </w:r>
          </w:p>
        </w:tc>
        <w:tc>
          <w:tcPr>
            <w:tcW w:type="dxa" w:w="3120"/>
          </w:tcPr>
          <w:p>
            <w:r>
              <w:t>Uso ilimitado para atender a todos los clientes corporativos del comprador (Incluye Hosting/Soporte).</w:t>
            </w:r>
          </w:p>
        </w:tc>
        <w:tc>
          <w:tcPr>
            <w:tcW w:type="dxa" w:w="3120"/>
          </w:tcPr>
          <w:p>
            <w:r>
              <w:t>$45,000 MXN / mes</w:t>
            </w:r>
          </w:p>
        </w:tc>
      </w:tr>
      <w:tr>
        <w:tc>
          <w:tcPr>
            <w:tcW w:type="dxa" w:w="3120"/>
            <w:shd w:fill="E8F5E9"/>
          </w:tcPr>
          <w:p>
            <w:r>
              <w:rPr>
                <w:b/>
              </w:rPr>
              <w:t>TOTAL MES 1 (Setup + Renta)</w:t>
            </w:r>
          </w:p>
        </w:tc>
        <w:tc>
          <w:tcPr>
            <w:tcW w:type="dxa" w:w="3120"/>
            <w:shd w:fill="E8F5E9"/>
          </w:tcPr>
          <w:p>
            <w:r>
              <w:rPr>
                <w:b/>
              </w:rPr>
              <w:t>Inversión para iniciar operación en el Mes 1</w:t>
            </w:r>
          </w:p>
        </w:tc>
        <w:tc>
          <w:tcPr>
            <w:tcW w:type="dxa" w:w="3120"/>
            <w:shd w:fill="E8F5E9"/>
          </w:tcPr>
          <w:p>
            <w:r>
              <w:rPr>
                <w:b/>
              </w:rPr>
              <w:t>$110,000 MXN</w:t>
            </w:r>
          </w:p>
        </w:tc>
      </w:tr>
    </w:tbl>
    <w:p>
      <w:pPr>
        <w:spacing w:after="320"/>
      </w:pPr>
    </w:p>
    <w:p>
      <w:pPr>
        <w:pStyle w:val="Heading1"/>
      </w:pPr>
      <w:r>
        <w:t>4. Proyección del Negocio y Retorno de Inversión (ROI)</w:t>
      </w:r>
    </w:p>
    <w:p>
      <w:pPr>
        <w:spacing w:after="320"/>
      </w:pPr>
      <w:r>
        <w:t>Para fundamentar la viabilidad comercial, se proyecta el modelo de negocio con el cual el comprador revenderá el servicio a sus clientes corporativos:</w:t>
        <w:br/>
        <w:br/>
        <w:t>• Caso de Ejemplo: 5 Clientes Corporativos Medianos (400 empleados c/u = 2,000 usuarios activos en total).</w:t>
        <w:br/>
        <w:t>• Tarifa promedio cobrada por el comprador al cliente final: $50 MXN / usuario / mes.</w:t>
        <w:br/>
        <w:t>• Ingreso Mensual Recurrente del Comprador: 2,000 usuarios × $50 MXN = $100,000 MXN / mes ($1,200,000 MXN al año).</w:t>
        <w:br/>
        <w:br/>
        <w:t>Conclusión de ROI: Si el comprador adquiere la Opción A ($895,000 MXN), recuperará el 100% de su inversión en menos de 9 meses de operación, generando utilidades netas a partir del mes 10.</w:t>
      </w:r>
    </w:p>
    <w:p>
      <w:pPr>
        <w:pStyle w:val="Heading1"/>
      </w:pPr>
      <w:r>
        <w:t>5. Cronograma de Entrega (4 Semanas)</w:t>
      </w:r>
    </w:p>
    <w:p>
      <w:pPr>
        <w:spacing w:after="120"/>
        <w:ind w:left="288"/>
      </w:pPr>
      <w:r>
        <w:rPr>
          <w:b/>
          <w:color w:val="1D3557"/>
        </w:rPr>
        <w:t xml:space="preserve">• Semana 1: </w:t>
      </w:r>
      <w:r>
        <w:t>Firma de contrato de compraventa / licenciamiento (con NDA) y pago del 50% de anticipo.</w:t>
      </w:r>
    </w:p>
    <w:p>
      <w:pPr>
        <w:spacing w:after="120"/>
        <w:ind w:left="288"/>
      </w:pPr>
      <w:r>
        <w:rPr>
          <w:b/>
          <w:color w:val="1D3557"/>
        </w:rPr>
        <w:t xml:space="preserve">• Semana 2: </w:t>
      </w:r>
      <w:r>
        <w:t>Preparación de servidor cloud, despliegue de base de datos Supabase/PostgreSQL y backend Dockerizado.</w:t>
      </w:r>
    </w:p>
    <w:p>
      <w:pPr>
        <w:spacing w:after="120"/>
        <w:ind w:left="288"/>
      </w:pPr>
      <w:r>
        <w:rPr>
          <w:b/>
          <w:color w:val="1D3557"/>
        </w:rPr>
        <w:t xml:space="preserve">• Semana 3: </w:t>
      </w:r>
      <w:r>
        <w:t>Personalización gráfica de Apps Móviles y Panel Web (Branding del comprador) + Compilación APK/IPA.</w:t>
      </w:r>
    </w:p>
    <w:p>
      <w:pPr>
        <w:spacing w:after="120"/>
        <w:ind w:left="288"/>
      </w:pPr>
      <w:r>
        <w:rPr>
          <w:b/>
          <w:color w:val="1D3557"/>
        </w:rPr>
        <w:t xml:space="preserve">• Semana 4: </w:t>
      </w:r>
      <w:r>
        <w:t>Pruebas de integración, entrega de repositorios / accesos, capacitación técnica de 20h y finiquito del 50%.</w:t>
      </w:r>
    </w:p>
    <w:p>
      <w:pPr>
        <w:spacing w:after="320"/>
      </w:pPr>
    </w:p>
    <w:p>
      <w:pPr>
        <w:pStyle w:val="Heading1"/>
      </w:pPr>
      <w:r>
        <w:t>6. Términos y Condiciones Comerciales</w:t>
      </w:r>
    </w:p>
    <w:p>
      <w:pPr>
        <w:spacing w:after="400"/>
      </w:pPr>
      <w:r>
        <w:t>1. Vigencia de la Propuesta: 30 días naturales a partir de la fecha de emisión.</w:t>
        <w:br/>
        <w:t>2. Forma de Pago: 50% de anticipo a la firma del contrato y 50% contra entrega de la plataforma funcional.</w:t>
        <w:br/>
        <w:t>3. Garantía: 90 días de garantía técnica directa sobre el código y despliegue inicial.</w:t>
        <w:br/>
        <w:t>4. Precios expresados en Pesos Mexicanos (MXN). No incluyen IVA.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B2D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D35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A9D8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