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18B" w:rsidRPr="00977233" w:rsidRDefault="00977233">
      <w:pPr>
        <w:rPr>
          <w:b/>
          <w:sz w:val="28"/>
          <w:szCs w:val="28"/>
          <w:lang w:val="is-IS"/>
        </w:rPr>
      </w:pPr>
      <w:bookmarkStart w:id="0" w:name="_GoBack"/>
      <w:bookmarkEnd w:id="0"/>
      <w:r w:rsidRPr="00977233">
        <w:rPr>
          <w:b/>
          <w:sz w:val="28"/>
          <w:szCs w:val="28"/>
          <w:lang w:val="is-IS"/>
        </w:rPr>
        <w:t>Nokkrar kennitölur</w:t>
      </w:r>
      <w:r w:rsidR="004A52DE">
        <w:rPr>
          <w:b/>
          <w:sz w:val="28"/>
          <w:szCs w:val="28"/>
          <w:lang w:val="is-IS"/>
        </w:rPr>
        <w:t xml:space="preserve"> til greiningar á ársreikningum</w:t>
      </w:r>
    </w:p>
    <w:p w:rsidR="006C318B" w:rsidRPr="008E225B" w:rsidRDefault="006C318B">
      <w:pPr>
        <w:rPr>
          <w:sz w:val="16"/>
          <w:szCs w:val="16"/>
          <w:lang w:val="is-IS"/>
        </w:rPr>
      </w:pP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2"/>
        <w:gridCol w:w="3991"/>
        <w:gridCol w:w="7087"/>
      </w:tblGrid>
      <w:tr w:rsidR="00035B62" w:rsidRPr="008A526E" w:rsidTr="00035B62">
        <w:tc>
          <w:tcPr>
            <w:tcW w:w="3772" w:type="dxa"/>
            <w:shd w:val="clear" w:color="auto" w:fill="D9D9D9"/>
          </w:tcPr>
          <w:p w:rsidR="00035B62" w:rsidRPr="00D1023E" w:rsidRDefault="00035B62" w:rsidP="008A526E">
            <w:pPr>
              <w:spacing w:before="60" w:after="60"/>
              <w:rPr>
                <w:b/>
                <w:sz w:val="22"/>
                <w:u w:val="single"/>
                <w:lang w:val="is-IS"/>
              </w:rPr>
            </w:pPr>
            <w:r w:rsidRPr="00D1023E">
              <w:rPr>
                <w:b/>
                <w:sz w:val="22"/>
                <w:lang w:val="is-IS"/>
              </w:rPr>
              <w:t>Heiti á íslensku (ensku)</w:t>
            </w:r>
          </w:p>
        </w:tc>
        <w:tc>
          <w:tcPr>
            <w:tcW w:w="3991" w:type="dxa"/>
            <w:shd w:val="clear" w:color="auto" w:fill="D9D9D9"/>
          </w:tcPr>
          <w:p w:rsidR="00035B62" w:rsidRPr="00D1023E" w:rsidRDefault="00035B62" w:rsidP="008A526E">
            <w:pPr>
              <w:spacing w:before="60" w:after="60"/>
              <w:rPr>
                <w:b/>
                <w:sz w:val="22"/>
                <w:lang w:val="is-IS"/>
              </w:rPr>
            </w:pPr>
            <w:r w:rsidRPr="00D1023E">
              <w:rPr>
                <w:b/>
                <w:sz w:val="22"/>
                <w:lang w:val="is-IS"/>
              </w:rPr>
              <w:t>Formúla</w:t>
            </w:r>
          </w:p>
        </w:tc>
        <w:tc>
          <w:tcPr>
            <w:tcW w:w="7087" w:type="dxa"/>
            <w:shd w:val="clear" w:color="auto" w:fill="D9D9D9"/>
          </w:tcPr>
          <w:p w:rsidR="00035B62" w:rsidRPr="00D1023E" w:rsidRDefault="00035B62" w:rsidP="008A526E">
            <w:pPr>
              <w:spacing w:before="60" w:after="60"/>
              <w:rPr>
                <w:b/>
                <w:sz w:val="22"/>
                <w:lang w:val="is-IS"/>
              </w:rPr>
            </w:pPr>
            <w:r w:rsidRPr="00D1023E">
              <w:rPr>
                <w:b/>
                <w:sz w:val="22"/>
                <w:lang w:val="is-IS"/>
              </w:rPr>
              <w:t>Notkun</w:t>
            </w:r>
          </w:p>
        </w:tc>
      </w:tr>
      <w:tr w:rsidR="0022365B" w:rsidRPr="008A526E" w:rsidTr="008A526E">
        <w:tc>
          <w:tcPr>
            <w:tcW w:w="3772" w:type="dxa"/>
          </w:tcPr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Veltuhraði birgða</w:t>
            </w:r>
          </w:p>
          <w:p w:rsidR="0022365B" w:rsidRPr="008A526E" w:rsidRDefault="0022365B" w:rsidP="008A526E">
            <w:pPr>
              <w:jc w:val="right"/>
              <w:rPr>
                <w:sz w:val="20"/>
                <w:szCs w:val="20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(inventory turnover ratio) </w:t>
            </w:r>
          </w:p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22365B" w:rsidRPr="008A526E" w:rsidRDefault="0022365B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>Kostnaðarverð seldra vara</w:t>
            </w:r>
          </w:p>
          <w:p w:rsidR="0022365B" w:rsidRPr="008A526E" w:rsidRDefault="0022365B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Meðalstaða birgða</w:t>
            </w:r>
          </w:p>
        </w:tc>
        <w:tc>
          <w:tcPr>
            <w:tcW w:w="7087" w:type="dxa"/>
          </w:tcPr>
          <w:p w:rsidR="0022365B" w:rsidRPr="00553E4D" w:rsidRDefault="00553E4D" w:rsidP="00553E4D">
            <w:pPr>
              <w:rPr>
                <w:sz w:val="20"/>
                <w:szCs w:val="22"/>
                <w:lang w:val="is-IS"/>
              </w:rPr>
            </w:pPr>
            <w:r w:rsidRPr="00553E4D">
              <w:rPr>
                <w:sz w:val="20"/>
                <w:szCs w:val="22"/>
                <w:lang w:val="is-IS"/>
              </w:rPr>
              <w:t>Veltuhraðinn er mælikvarði á hagkvæmni birgðastýringar</w:t>
            </w:r>
            <w:r>
              <w:rPr>
                <w:sz w:val="20"/>
                <w:szCs w:val="22"/>
                <w:lang w:val="is-IS"/>
              </w:rPr>
              <w:t>. Þ</w:t>
            </w:r>
            <w:r w:rsidRPr="00553E4D">
              <w:rPr>
                <w:sz w:val="20"/>
                <w:szCs w:val="22"/>
                <w:lang w:val="is-IS"/>
              </w:rPr>
              <w:t>ví hærra sem hlutfallið er þeim mun oftar veltir félagið birgðunum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22365B" w:rsidRPr="008A526E" w:rsidTr="008A526E">
        <w:tc>
          <w:tcPr>
            <w:tcW w:w="3772" w:type="dxa"/>
          </w:tcPr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Biðtími birgða</w:t>
            </w:r>
          </w:p>
        </w:tc>
        <w:tc>
          <w:tcPr>
            <w:tcW w:w="3991" w:type="dxa"/>
          </w:tcPr>
          <w:p w:rsidR="0022365B" w:rsidRPr="008A526E" w:rsidRDefault="0022365B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         365           .</w:t>
            </w:r>
          </w:p>
          <w:p w:rsidR="0022365B" w:rsidRPr="008A526E" w:rsidRDefault="0022365B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Veltuhraði birgða</w:t>
            </w:r>
          </w:p>
          <w:p w:rsidR="0022365B" w:rsidRPr="008A526E" w:rsidRDefault="0022365B" w:rsidP="008A526E">
            <w:pPr>
              <w:jc w:val="center"/>
              <w:rPr>
                <w:sz w:val="20"/>
                <w:szCs w:val="20"/>
                <w:lang w:val="is-IS"/>
              </w:rPr>
            </w:pPr>
          </w:p>
        </w:tc>
        <w:tc>
          <w:tcPr>
            <w:tcW w:w="7087" w:type="dxa"/>
          </w:tcPr>
          <w:p w:rsidR="0022365B" w:rsidRPr="00553E4D" w:rsidRDefault="00553E4D" w:rsidP="00553E4D">
            <w:pPr>
              <w:rPr>
                <w:sz w:val="20"/>
                <w:szCs w:val="22"/>
                <w:lang w:val="is-IS"/>
              </w:rPr>
            </w:pPr>
            <w:r w:rsidRPr="00553E4D">
              <w:rPr>
                <w:sz w:val="20"/>
                <w:szCs w:val="22"/>
                <w:lang w:val="is-IS"/>
              </w:rPr>
              <w:t>Biðtíminn segir til um hve langan tíma tekur að selja birgðirnar, þ.e. breyta þeim í tekjur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553E4D">
              <w:rPr>
                <w:sz w:val="20"/>
                <w:szCs w:val="22"/>
                <w:lang w:val="is-IS"/>
              </w:rPr>
              <w:t>Stuttur biðtími birgða getur verið merki um greiðsluerfiðleika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22365B" w:rsidRPr="008A526E" w:rsidTr="008A526E">
        <w:tc>
          <w:tcPr>
            <w:tcW w:w="3772" w:type="dxa"/>
          </w:tcPr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Veltuhraði viðskiptakrafna</w:t>
            </w:r>
          </w:p>
          <w:p w:rsidR="0022365B" w:rsidRPr="00553E4D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(accounts receivable turnover) </w:t>
            </w:r>
          </w:p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22365B" w:rsidRPr="008A526E" w:rsidRDefault="0022365B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                  Sala</w:t>
            </w:r>
            <w:r w:rsidR="00987968" w:rsidRPr="008A526E">
              <w:rPr>
                <w:sz w:val="20"/>
                <w:szCs w:val="20"/>
                <w:u w:val="single"/>
                <w:lang w:val="is-IS"/>
              </w:rPr>
              <w:t xml:space="preserve"> * 1,255</w:t>
            </w: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                  .</w:t>
            </w:r>
          </w:p>
          <w:p w:rsidR="0022365B" w:rsidRPr="008A526E" w:rsidRDefault="0022365B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Meðalstaða viðskiptakrafna</w:t>
            </w:r>
          </w:p>
        </w:tc>
        <w:tc>
          <w:tcPr>
            <w:tcW w:w="7087" w:type="dxa"/>
          </w:tcPr>
          <w:p w:rsidR="0022365B" w:rsidRPr="00553E4D" w:rsidRDefault="00553E4D" w:rsidP="00553E4D">
            <w:pPr>
              <w:rPr>
                <w:sz w:val="20"/>
                <w:szCs w:val="22"/>
                <w:lang w:val="is-IS"/>
              </w:rPr>
            </w:pPr>
            <w:r w:rsidRPr="00553E4D">
              <w:rPr>
                <w:sz w:val="20"/>
                <w:szCs w:val="22"/>
                <w:lang w:val="is-IS"/>
              </w:rPr>
              <w:t>Veltuhraðinn er mælikvarði á innheimtu félags (kröfustýringu)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553E4D">
              <w:rPr>
                <w:sz w:val="20"/>
                <w:szCs w:val="22"/>
                <w:lang w:val="is-IS"/>
              </w:rPr>
              <w:t>Því hærra sem hlutfallið er þeim mun skilvirkari innheimta</w:t>
            </w:r>
            <w:r>
              <w:rPr>
                <w:sz w:val="20"/>
                <w:szCs w:val="22"/>
                <w:lang w:val="is-IS"/>
              </w:rPr>
              <w:t>.</w:t>
            </w:r>
            <w:r>
              <w:rPr>
                <w:sz w:val="20"/>
                <w:szCs w:val="22"/>
                <w:lang w:val="is-IS"/>
              </w:rPr>
              <w:br/>
            </w:r>
            <w:r w:rsidRPr="00553E4D">
              <w:rPr>
                <w:sz w:val="20"/>
                <w:szCs w:val="22"/>
                <w:lang w:val="is-IS"/>
              </w:rPr>
              <w:t>Bæta þarf vsk</w:t>
            </w:r>
            <w:r>
              <w:rPr>
                <w:sz w:val="20"/>
                <w:szCs w:val="22"/>
                <w:lang w:val="is-IS"/>
              </w:rPr>
              <w:t>.</w:t>
            </w:r>
            <w:r w:rsidRPr="00553E4D">
              <w:rPr>
                <w:sz w:val="20"/>
                <w:szCs w:val="22"/>
                <w:lang w:val="is-IS"/>
              </w:rPr>
              <w:t xml:space="preserve"> við söluna (þ.e. x 1,255) því kröfurnar eru með vsk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22365B" w:rsidRPr="008A526E" w:rsidTr="008A526E">
        <w:tc>
          <w:tcPr>
            <w:tcW w:w="3772" w:type="dxa"/>
          </w:tcPr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Innheimtutími krafna</w:t>
            </w:r>
          </w:p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(average collection period)</w:t>
            </w:r>
          </w:p>
        </w:tc>
        <w:tc>
          <w:tcPr>
            <w:tcW w:w="3991" w:type="dxa"/>
          </w:tcPr>
          <w:p w:rsidR="0022365B" w:rsidRPr="008A526E" w:rsidRDefault="0022365B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                365                  .</w:t>
            </w:r>
          </w:p>
          <w:p w:rsidR="0022365B" w:rsidRPr="008A526E" w:rsidRDefault="0022365B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Veltuhraði viðskiptakrafna</w:t>
            </w:r>
          </w:p>
          <w:p w:rsidR="0022365B" w:rsidRPr="008A526E" w:rsidRDefault="0022365B" w:rsidP="008A526E">
            <w:pPr>
              <w:jc w:val="center"/>
              <w:rPr>
                <w:sz w:val="20"/>
                <w:szCs w:val="20"/>
                <w:lang w:val="is-IS"/>
              </w:rPr>
            </w:pPr>
          </w:p>
        </w:tc>
        <w:tc>
          <w:tcPr>
            <w:tcW w:w="7087" w:type="dxa"/>
          </w:tcPr>
          <w:p w:rsidR="0022365B" w:rsidRPr="00553E4D" w:rsidRDefault="00553E4D" w:rsidP="00553E4D">
            <w:pPr>
              <w:rPr>
                <w:sz w:val="20"/>
                <w:szCs w:val="22"/>
                <w:lang w:val="is-IS"/>
              </w:rPr>
            </w:pPr>
            <w:r w:rsidRPr="00553E4D">
              <w:rPr>
                <w:sz w:val="20"/>
                <w:szCs w:val="22"/>
                <w:lang w:val="is-IS"/>
              </w:rPr>
              <w:t>Innheimtutíminn segir til um hve langan tíma tekur að breyta viðskiptakröfum í handbært fé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553E4D">
              <w:rPr>
                <w:sz w:val="20"/>
                <w:szCs w:val="22"/>
                <w:lang w:val="is-IS"/>
              </w:rPr>
              <w:t>Stuttur innheimtutími krafna er talinn merki um hagkvæmni í rekstri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62771B" w:rsidRPr="008A526E" w:rsidTr="008A526E">
        <w:tc>
          <w:tcPr>
            <w:tcW w:w="3772" w:type="dxa"/>
          </w:tcPr>
          <w:p w:rsidR="0062771B" w:rsidRPr="008A526E" w:rsidRDefault="0062771B" w:rsidP="006E663B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Brúttóágóðahlutfall %</w:t>
            </w:r>
          </w:p>
          <w:p w:rsidR="0062771B" w:rsidRPr="008A526E" w:rsidRDefault="0062771B" w:rsidP="006E663B">
            <w:pPr>
              <w:jc w:val="right"/>
              <w:rPr>
                <w:sz w:val="20"/>
                <w:szCs w:val="20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(gross profit margin) </w:t>
            </w:r>
          </w:p>
          <w:p w:rsidR="0062771B" w:rsidRPr="008A526E" w:rsidRDefault="0062771B" w:rsidP="006E663B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62771B" w:rsidRPr="008A526E" w:rsidRDefault="0062771B" w:rsidP="006E663B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>Brúttó ágóði</w:t>
            </w:r>
          </w:p>
          <w:p w:rsidR="0062771B" w:rsidRPr="008A526E" w:rsidRDefault="0062771B" w:rsidP="006E663B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Sala</w:t>
            </w:r>
          </w:p>
        </w:tc>
        <w:tc>
          <w:tcPr>
            <w:tcW w:w="7087" w:type="dxa"/>
          </w:tcPr>
          <w:p w:rsidR="00FD148F" w:rsidRPr="00FD148F" w:rsidRDefault="00FD148F" w:rsidP="00FD148F">
            <w:pPr>
              <w:rPr>
                <w:sz w:val="20"/>
                <w:szCs w:val="22"/>
                <w:lang w:val="is-IS"/>
              </w:rPr>
            </w:pPr>
            <w:r w:rsidRPr="00FD148F">
              <w:rPr>
                <w:sz w:val="20"/>
                <w:szCs w:val="22"/>
                <w:lang w:val="is-IS"/>
              </w:rPr>
              <w:t>Hér er eingöngu horft til árangurs af vörusölunni sjálfri</w:t>
            </w:r>
            <w:r w:rsidR="008E225B">
              <w:rPr>
                <w:sz w:val="20"/>
                <w:szCs w:val="22"/>
                <w:lang w:val="is-IS"/>
              </w:rPr>
              <w:t>.</w:t>
            </w:r>
          </w:p>
          <w:p w:rsidR="0062771B" w:rsidRPr="00FD148F" w:rsidRDefault="00FD148F" w:rsidP="00FD148F">
            <w:pPr>
              <w:rPr>
                <w:sz w:val="20"/>
                <w:szCs w:val="22"/>
                <w:lang w:val="is-IS"/>
              </w:rPr>
            </w:pPr>
            <w:r w:rsidRPr="00FD148F">
              <w:rPr>
                <w:sz w:val="20"/>
                <w:szCs w:val="22"/>
                <w:lang w:val="is-IS"/>
              </w:rPr>
              <w:t>Sem sagt rekstrartekjurnar (salan) mínus kostnaðarverð seldra vara sýndar sem hlutfall af sölu</w:t>
            </w:r>
            <w:r w:rsidR="008E225B">
              <w:rPr>
                <w:sz w:val="20"/>
                <w:szCs w:val="22"/>
                <w:lang w:val="is-IS"/>
              </w:rPr>
              <w:t>. Þrengra sjónarhorn en næsta hlutfall sýnir.</w:t>
            </w:r>
          </w:p>
        </w:tc>
      </w:tr>
      <w:tr w:rsidR="0062771B" w:rsidRPr="008A526E" w:rsidTr="008A526E">
        <w:tc>
          <w:tcPr>
            <w:tcW w:w="3772" w:type="dxa"/>
          </w:tcPr>
          <w:p w:rsidR="0062771B" w:rsidRDefault="0062771B" w:rsidP="006E663B">
            <w:pPr>
              <w:jc w:val="right"/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Rekstrarhagnaðarhlutfall %</w:t>
            </w:r>
          </w:p>
          <w:p w:rsidR="0062771B" w:rsidRPr="008A526E" w:rsidRDefault="0062771B" w:rsidP="006E663B">
            <w:pPr>
              <w:jc w:val="right"/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(operating profit margin)</w:t>
            </w:r>
          </w:p>
        </w:tc>
        <w:tc>
          <w:tcPr>
            <w:tcW w:w="3991" w:type="dxa"/>
          </w:tcPr>
          <w:p w:rsidR="0062771B" w:rsidRPr="008A526E" w:rsidRDefault="00484B86" w:rsidP="0062771B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>
              <w:rPr>
                <w:sz w:val="20"/>
                <w:szCs w:val="20"/>
                <w:u w:val="single"/>
                <w:lang w:val="is-IS"/>
              </w:rPr>
              <w:t>Rekstrarhagnaður (þ.e. EBIT)</w:t>
            </w:r>
          </w:p>
          <w:p w:rsidR="0062771B" w:rsidRPr="008A526E" w:rsidRDefault="0062771B" w:rsidP="0062771B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Sala</w:t>
            </w:r>
          </w:p>
        </w:tc>
        <w:tc>
          <w:tcPr>
            <w:tcW w:w="7087" w:type="dxa"/>
          </w:tcPr>
          <w:p w:rsidR="0062771B" w:rsidRPr="002C3A7F" w:rsidRDefault="002C3A7F" w:rsidP="002C3A7F">
            <w:pPr>
              <w:rPr>
                <w:sz w:val="20"/>
                <w:szCs w:val="22"/>
                <w:lang w:val="is-IS"/>
              </w:rPr>
            </w:pPr>
            <w:r>
              <w:rPr>
                <w:sz w:val="20"/>
                <w:szCs w:val="22"/>
                <w:lang w:val="is-IS"/>
              </w:rPr>
              <w:t>Sýnir hvað stór hluti sölunnar skilar sér sem rekstrarhagnaður, þ.e. áður en fjármagnsliðir og skattar eru greiddir.</w:t>
            </w:r>
          </w:p>
        </w:tc>
      </w:tr>
      <w:tr w:rsidR="0062771B" w:rsidRPr="008A526E" w:rsidTr="008A526E">
        <w:tc>
          <w:tcPr>
            <w:tcW w:w="3772" w:type="dxa"/>
          </w:tcPr>
          <w:p w:rsidR="0062771B" w:rsidRPr="008A526E" w:rsidRDefault="0062771B" w:rsidP="006E663B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Rekst</w:t>
            </w:r>
            <w:r>
              <w:rPr>
                <w:sz w:val="20"/>
                <w:szCs w:val="20"/>
                <w:lang w:val="is-IS"/>
              </w:rPr>
              <w:t>rarhagnaður fyrir afskriftir (</w:t>
            </w:r>
            <w:r w:rsidRPr="008A526E">
              <w:rPr>
                <w:sz w:val="20"/>
                <w:szCs w:val="20"/>
                <w:lang w:val="is-IS"/>
              </w:rPr>
              <w:t>EBITDA</w:t>
            </w:r>
            <w:r>
              <w:rPr>
                <w:sz w:val="20"/>
                <w:szCs w:val="20"/>
                <w:lang w:val="is-IS"/>
              </w:rPr>
              <w:t>)</w:t>
            </w:r>
          </w:p>
          <w:p w:rsidR="0062771B" w:rsidRPr="008A526E" w:rsidRDefault="0062771B" w:rsidP="006E663B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62771B" w:rsidRPr="00464524" w:rsidRDefault="0062771B" w:rsidP="006E663B">
            <w:pPr>
              <w:jc w:val="center"/>
              <w:rPr>
                <w:sz w:val="20"/>
                <w:szCs w:val="20"/>
                <w:lang w:val="da-DK"/>
              </w:rPr>
            </w:pPr>
            <w:r w:rsidRPr="00464524">
              <w:rPr>
                <w:sz w:val="20"/>
                <w:szCs w:val="20"/>
                <w:lang w:val="da-DK"/>
              </w:rPr>
              <w:t>Rekstrarhagnaður (þ.e. EBIT)  +  Afskriftir</w:t>
            </w:r>
          </w:p>
        </w:tc>
        <w:tc>
          <w:tcPr>
            <w:tcW w:w="7087" w:type="dxa"/>
          </w:tcPr>
          <w:p w:rsidR="0062771B" w:rsidRPr="008E225B" w:rsidRDefault="008E225B" w:rsidP="008E225B">
            <w:pPr>
              <w:rPr>
                <w:u w:val="single"/>
              </w:rPr>
            </w:pPr>
            <w:r>
              <w:rPr>
                <w:sz w:val="20"/>
                <w:szCs w:val="20"/>
                <w:lang w:val="is-IS"/>
              </w:rPr>
              <w:t>Skammstöfun á</w:t>
            </w:r>
            <w:r w:rsidRPr="008A526E">
              <w:rPr>
                <w:sz w:val="20"/>
                <w:szCs w:val="20"/>
                <w:lang w:val="is-IS"/>
              </w:rPr>
              <w:t>Earnings before interests, taxes, depreciation and amortization</w:t>
            </w:r>
            <w:r>
              <w:rPr>
                <w:sz w:val="20"/>
                <w:szCs w:val="20"/>
                <w:lang w:val="is-IS"/>
              </w:rPr>
              <w:t>.</w:t>
            </w:r>
          </w:p>
        </w:tc>
      </w:tr>
      <w:tr w:rsidR="0062771B" w:rsidRPr="008A526E" w:rsidTr="008A526E">
        <w:tc>
          <w:tcPr>
            <w:tcW w:w="3772" w:type="dxa"/>
          </w:tcPr>
          <w:p w:rsidR="0062771B" w:rsidRPr="008A526E" w:rsidRDefault="0062771B" w:rsidP="006E663B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Framlegðarhlutfall rekstrar %</w:t>
            </w:r>
          </w:p>
          <w:p w:rsidR="0062771B" w:rsidRPr="000263BF" w:rsidRDefault="0062771B" w:rsidP="000263BF">
            <w:pPr>
              <w:jc w:val="right"/>
              <w:rPr>
                <w:sz w:val="20"/>
                <w:szCs w:val="20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(contribution ratio) </w:t>
            </w:r>
          </w:p>
        </w:tc>
        <w:tc>
          <w:tcPr>
            <w:tcW w:w="3991" w:type="dxa"/>
          </w:tcPr>
          <w:p w:rsidR="0062771B" w:rsidRPr="008A526E" w:rsidRDefault="0062771B" w:rsidP="006E663B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   EBITDA   .</w:t>
            </w:r>
          </w:p>
          <w:p w:rsidR="0062771B" w:rsidRPr="008A526E" w:rsidRDefault="0062771B" w:rsidP="006E663B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Sala</w:t>
            </w:r>
          </w:p>
        </w:tc>
        <w:tc>
          <w:tcPr>
            <w:tcW w:w="7087" w:type="dxa"/>
          </w:tcPr>
          <w:p w:rsidR="00FD148F" w:rsidRPr="00FD148F" w:rsidRDefault="00FD148F" w:rsidP="00FD148F">
            <w:pPr>
              <w:rPr>
                <w:sz w:val="20"/>
                <w:szCs w:val="22"/>
                <w:lang w:val="is-IS"/>
              </w:rPr>
            </w:pPr>
            <w:r w:rsidRPr="00FD148F">
              <w:rPr>
                <w:sz w:val="20"/>
                <w:szCs w:val="22"/>
                <w:lang w:val="is-IS"/>
              </w:rPr>
              <w:t>Þessi kennitala e</w:t>
            </w:r>
            <w:r>
              <w:rPr>
                <w:sz w:val="20"/>
                <w:szCs w:val="22"/>
                <w:lang w:val="is-IS"/>
              </w:rPr>
              <w:t>r einnig kölluð EBITDA-framlegð. S</w:t>
            </w:r>
            <w:r w:rsidRPr="00FD148F">
              <w:rPr>
                <w:sz w:val="20"/>
                <w:szCs w:val="22"/>
                <w:lang w:val="is-IS"/>
              </w:rPr>
              <w:t>ýnir hversu miklu reksturinn skilar til að standa undir fjármagnskostnaði, sköttum og arði (hagnaði) til eigenda</w:t>
            </w:r>
            <w:r>
              <w:rPr>
                <w:sz w:val="20"/>
                <w:szCs w:val="22"/>
                <w:lang w:val="is-IS"/>
              </w:rPr>
              <w:t>.</w:t>
            </w:r>
          </w:p>
          <w:p w:rsidR="0062771B" w:rsidRPr="00FD148F" w:rsidRDefault="00FD148F" w:rsidP="00FD148F">
            <w:pPr>
              <w:rPr>
                <w:sz w:val="20"/>
                <w:szCs w:val="22"/>
                <w:lang w:val="is-IS"/>
              </w:rPr>
            </w:pPr>
            <w:r w:rsidRPr="00FD148F">
              <w:rPr>
                <w:sz w:val="20"/>
                <w:szCs w:val="22"/>
                <w:lang w:val="is-IS"/>
              </w:rPr>
              <w:t>Rekstrarhagkvæmnin endurspeglast í hlutfallinu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6B57A1" w:rsidRPr="008A526E" w:rsidTr="008A526E">
        <w:tc>
          <w:tcPr>
            <w:tcW w:w="3772" w:type="dxa"/>
          </w:tcPr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Veltufjárhlutfall</w:t>
            </w:r>
          </w:p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(current ratio)</w:t>
            </w:r>
          </w:p>
          <w:p w:rsidR="006B57A1" w:rsidRPr="00FD148F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 </w:t>
            </w:r>
          </w:p>
        </w:tc>
        <w:tc>
          <w:tcPr>
            <w:tcW w:w="3991" w:type="dxa"/>
          </w:tcPr>
          <w:p w:rsidR="006B57A1" w:rsidRPr="008A526E" w:rsidRDefault="006B57A1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 Veltufjármunir   .</w:t>
            </w:r>
          </w:p>
          <w:p w:rsidR="006B57A1" w:rsidRPr="008A526E" w:rsidRDefault="006B57A1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Skammtímaskuldir</w:t>
            </w:r>
          </w:p>
        </w:tc>
        <w:tc>
          <w:tcPr>
            <w:tcW w:w="7087" w:type="dxa"/>
          </w:tcPr>
          <w:p w:rsidR="000263BF" w:rsidRPr="000263BF" w:rsidRDefault="000263BF" w:rsidP="000263BF">
            <w:pPr>
              <w:rPr>
                <w:sz w:val="20"/>
                <w:szCs w:val="22"/>
                <w:lang w:val="is-IS"/>
              </w:rPr>
            </w:pPr>
            <w:r w:rsidRPr="000263BF">
              <w:rPr>
                <w:sz w:val="20"/>
                <w:szCs w:val="22"/>
                <w:lang w:val="is-IS"/>
              </w:rPr>
              <w:t>Sýnir hæfi fyrirtækis til að inna af hendi nauðsynlegar greiðslur næstu tólf mánuði</w:t>
            </w:r>
            <w:r>
              <w:rPr>
                <w:sz w:val="20"/>
                <w:szCs w:val="22"/>
                <w:lang w:val="is-IS"/>
              </w:rPr>
              <w:t>.</w:t>
            </w:r>
          </w:p>
          <w:p w:rsidR="000263BF" w:rsidRPr="000263BF" w:rsidRDefault="000263BF" w:rsidP="000263BF">
            <w:pPr>
              <w:rPr>
                <w:sz w:val="20"/>
                <w:szCs w:val="22"/>
                <w:lang w:val="is-IS"/>
              </w:rPr>
            </w:pPr>
            <w:r w:rsidRPr="000263BF">
              <w:rPr>
                <w:sz w:val="20"/>
                <w:szCs w:val="22"/>
                <w:lang w:val="is-IS"/>
              </w:rPr>
              <w:t>Þarf helst að vera &gt;1 (eða 1:1) og því hærra þeim mun betra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0263BF">
              <w:rPr>
                <w:sz w:val="20"/>
                <w:szCs w:val="22"/>
                <w:lang w:val="is-IS"/>
              </w:rPr>
              <w:t>Hátt hlutfall gæti þó vitnað um erfiðleika í birgðastýringu eða innheimtu viðskiptakrafna</w:t>
            </w:r>
            <w:r>
              <w:rPr>
                <w:sz w:val="20"/>
                <w:szCs w:val="22"/>
                <w:lang w:val="is-IS"/>
              </w:rPr>
              <w:t>.</w:t>
            </w:r>
          </w:p>
          <w:p w:rsidR="006B57A1" w:rsidRPr="000263BF" w:rsidRDefault="000263BF" w:rsidP="000263BF">
            <w:pPr>
              <w:rPr>
                <w:sz w:val="20"/>
                <w:szCs w:val="22"/>
                <w:lang w:val="is-IS"/>
              </w:rPr>
            </w:pPr>
            <w:r w:rsidRPr="000263BF">
              <w:rPr>
                <w:sz w:val="20"/>
                <w:szCs w:val="22"/>
                <w:lang w:val="is-IS"/>
              </w:rPr>
              <w:t>Munið að  Hreint veltufé = Veltufjármunir – Skammtímaskuldir</w:t>
            </w:r>
          </w:p>
        </w:tc>
      </w:tr>
      <w:tr w:rsidR="006B57A1" w:rsidRPr="008A526E" w:rsidTr="008A526E">
        <w:tc>
          <w:tcPr>
            <w:tcW w:w="3772" w:type="dxa"/>
          </w:tcPr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Lausafjárhlutfall</w:t>
            </w:r>
          </w:p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(quick ratio, acid test ratio)</w:t>
            </w:r>
          </w:p>
          <w:p w:rsidR="006B57A1" w:rsidRPr="008A526E" w:rsidRDefault="006B57A1" w:rsidP="008A526E">
            <w:pPr>
              <w:jc w:val="right"/>
              <w:rPr>
                <w:sz w:val="20"/>
                <w:szCs w:val="20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 </w:t>
            </w:r>
          </w:p>
        </w:tc>
        <w:tc>
          <w:tcPr>
            <w:tcW w:w="3991" w:type="dxa"/>
          </w:tcPr>
          <w:p w:rsidR="006B57A1" w:rsidRPr="008A526E" w:rsidRDefault="006B57A1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>Veltufjármunir – Birgðir</w:t>
            </w:r>
          </w:p>
          <w:p w:rsidR="006B57A1" w:rsidRPr="008A526E" w:rsidRDefault="006B57A1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Skammtímaskuldir</w:t>
            </w:r>
          </w:p>
        </w:tc>
        <w:tc>
          <w:tcPr>
            <w:tcW w:w="7087" w:type="dxa"/>
          </w:tcPr>
          <w:p w:rsidR="006B57A1" w:rsidRPr="000263BF" w:rsidRDefault="000263BF" w:rsidP="000263BF">
            <w:pPr>
              <w:rPr>
                <w:sz w:val="20"/>
                <w:szCs w:val="22"/>
                <w:lang w:val="is-IS"/>
              </w:rPr>
            </w:pPr>
            <w:r w:rsidRPr="000263BF">
              <w:rPr>
                <w:sz w:val="20"/>
                <w:szCs w:val="22"/>
                <w:lang w:val="is-IS"/>
              </w:rPr>
              <w:t>Sýnir hæfi fyrirtækis til að inna af hendi nauðsynlegar greiðslur næstu 12 mánuði með kvikum veltufjármunum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0263BF">
              <w:rPr>
                <w:sz w:val="20"/>
                <w:szCs w:val="22"/>
                <w:lang w:val="is-IS"/>
              </w:rPr>
              <w:t>Birgðirnar á eftir að selja og þær því ekki peninga</w:t>
            </w:r>
            <w:r>
              <w:rPr>
                <w:sz w:val="20"/>
                <w:szCs w:val="22"/>
                <w:lang w:val="is-IS"/>
              </w:rPr>
              <w:t>-</w:t>
            </w:r>
            <w:r w:rsidRPr="000263BF">
              <w:rPr>
                <w:sz w:val="20"/>
                <w:szCs w:val="22"/>
                <w:lang w:val="is-IS"/>
              </w:rPr>
              <w:t>verðsliður á sama hátt og aðrir veltufjármunir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0263BF">
              <w:rPr>
                <w:sz w:val="20"/>
                <w:szCs w:val="22"/>
                <w:lang w:val="is-IS"/>
              </w:rPr>
              <w:t>Þetta er harðari mælikvarði á skammtímagreiðsluhæfi fyrirtækisins heldur en veltufjárhlutfallið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6B57A1" w:rsidRPr="008A526E" w:rsidTr="008A526E">
        <w:tc>
          <w:tcPr>
            <w:tcW w:w="3772" w:type="dxa"/>
          </w:tcPr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Eiginfjárhlutfall eða Tapsþol % </w:t>
            </w:r>
          </w:p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(owner’s equity ratio) </w:t>
            </w:r>
          </w:p>
        </w:tc>
        <w:tc>
          <w:tcPr>
            <w:tcW w:w="3991" w:type="dxa"/>
          </w:tcPr>
          <w:p w:rsidR="006B57A1" w:rsidRPr="008A526E" w:rsidRDefault="006B57A1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    Eigið fé      .</w:t>
            </w:r>
          </w:p>
          <w:p w:rsidR="006B57A1" w:rsidRPr="008A526E" w:rsidRDefault="006B57A1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Heildarfjármagn</w:t>
            </w:r>
          </w:p>
          <w:p w:rsidR="006B57A1" w:rsidRPr="008A526E" w:rsidRDefault="006B57A1" w:rsidP="008A526E">
            <w:pPr>
              <w:jc w:val="center"/>
              <w:rPr>
                <w:sz w:val="20"/>
                <w:szCs w:val="20"/>
                <w:lang w:val="is-IS"/>
              </w:rPr>
            </w:pPr>
          </w:p>
        </w:tc>
        <w:tc>
          <w:tcPr>
            <w:tcW w:w="7087" w:type="dxa"/>
          </w:tcPr>
          <w:p w:rsidR="006B57A1" w:rsidRPr="000263BF" w:rsidRDefault="000263BF" w:rsidP="000263BF">
            <w:pPr>
              <w:rPr>
                <w:sz w:val="20"/>
                <w:szCs w:val="22"/>
                <w:lang w:val="is-IS"/>
              </w:rPr>
            </w:pPr>
            <w:r w:rsidRPr="000263BF">
              <w:rPr>
                <w:sz w:val="20"/>
                <w:szCs w:val="22"/>
                <w:lang w:val="is-IS"/>
              </w:rPr>
              <w:t>Sýnir fjárhagslegan styrk félags</w:t>
            </w:r>
            <w:r>
              <w:rPr>
                <w:sz w:val="20"/>
                <w:szCs w:val="22"/>
                <w:lang w:val="is-IS"/>
              </w:rPr>
              <w:t xml:space="preserve"> </w:t>
            </w:r>
            <w:r w:rsidRPr="000263BF">
              <w:rPr>
                <w:sz w:val="20"/>
                <w:szCs w:val="22"/>
                <w:lang w:val="is-IS"/>
              </w:rPr>
              <w:t>til að mæta mótbyr án þess að skerða skuldbind</w:t>
            </w:r>
            <w:r>
              <w:rPr>
                <w:sz w:val="20"/>
                <w:szCs w:val="22"/>
                <w:lang w:val="is-IS"/>
              </w:rPr>
              <w:t xml:space="preserve">ingar sínar við aðra en hluthafa. </w:t>
            </w:r>
            <w:r w:rsidRPr="000263BF">
              <w:rPr>
                <w:sz w:val="20"/>
                <w:szCs w:val="22"/>
                <w:lang w:val="is-IS"/>
              </w:rPr>
              <w:t>Nefnarinn er annað hvort skuldir + eigið fé eða heildarfjármunir</w:t>
            </w:r>
            <w:r>
              <w:rPr>
                <w:sz w:val="20"/>
                <w:szCs w:val="22"/>
                <w:lang w:val="is-IS"/>
              </w:rPr>
              <w:t xml:space="preserve">. </w:t>
            </w:r>
          </w:p>
        </w:tc>
      </w:tr>
      <w:tr w:rsidR="006B57A1" w:rsidRPr="008A526E" w:rsidTr="008A526E">
        <w:tc>
          <w:tcPr>
            <w:tcW w:w="3772" w:type="dxa"/>
            <w:tcBorders>
              <w:bottom w:val="single" w:sz="4" w:space="0" w:color="auto"/>
            </w:tcBorders>
          </w:tcPr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Skuldahlutfall %</w:t>
            </w:r>
          </w:p>
          <w:p w:rsidR="006B57A1" w:rsidRPr="000263BF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(debt ratio) </w:t>
            </w:r>
          </w:p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  <w:tcBorders>
              <w:bottom w:val="single" w:sz="4" w:space="0" w:color="auto"/>
            </w:tcBorders>
          </w:tcPr>
          <w:p w:rsidR="006B57A1" w:rsidRPr="008A526E" w:rsidRDefault="006B57A1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>Heildarskuldir</w:t>
            </w:r>
          </w:p>
          <w:p w:rsidR="006B57A1" w:rsidRPr="008A526E" w:rsidRDefault="006B57A1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Heildareignir</w:t>
            </w: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:rsidR="006B57A1" w:rsidRPr="000263BF" w:rsidRDefault="000263BF" w:rsidP="000263BF">
            <w:pPr>
              <w:rPr>
                <w:sz w:val="20"/>
                <w:szCs w:val="22"/>
                <w:lang w:val="is-IS"/>
              </w:rPr>
            </w:pPr>
            <w:r w:rsidRPr="000263BF">
              <w:rPr>
                <w:sz w:val="20"/>
                <w:szCs w:val="22"/>
                <w:lang w:val="is-IS"/>
              </w:rPr>
              <w:t>Segir til um hve stór hluti af heildareignum er fjármagnaður af lánardrottnum félagsins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0263BF">
              <w:rPr>
                <w:sz w:val="20"/>
                <w:szCs w:val="22"/>
                <w:lang w:val="is-IS"/>
              </w:rPr>
              <w:t>Getur gefið vísbendingu um hæfi félags til að standa af sér áföll án þess að þau bitni á lánardrottnum</w:t>
            </w:r>
            <w:r>
              <w:rPr>
                <w:sz w:val="20"/>
                <w:szCs w:val="22"/>
                <w:lang w:val="is-IS"/>
              </w:rPr>
              <w:t>. Á</w:t>
            </w:r>
            <w:r w:rsidRPr="000263BF">
              <w:rPr>
                <w:sz w:val="20"/>
                <w:szCs w:val="22"/>
                <w:lang w:val="is-IS"/>
              </w:rPr>
              <w:t>hætta</w:t>
            </w:r>
            <w:r>
              <w:rPr>
                <w:sz w:val="20"/>
                <w:szCs w:val="22"/>
                <w:lang w:val="is-IS"/>
              </w:rPr>
              <w:t>n</w:t>
            </w:r>
            <w:r w:rsidRPr="000263BF">
              <w:rPr>
                <w:sz w:val="20"/>
                <w:szCs w:val="22"/>
                <w:lang w:val="is-IS"/>
              </w:rPr>
              <w:t xml:space="preserve"> eykst eftir því sem hlutfallið er hærra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6B57A1" w:rsidRPr="008A526E" w:rsidTr="008A526E">
        <w:tc>
          <w:tcPr>
            <w:tcW w:w="7763" w:type="dxa"/>
            <w:gridSpan w:val="2"/>
          </w:tcPr>
          <w:p w:rsidR="006B57A1" w:rsidRPr="008A526E" w:rsidRDefault="006B57A1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Eiginfjárhlutfall + Skuldahlutfall = 1</w:t>
            </w:r>
          </w:p>
          <w:p w:rsidR="006B57A1" w:rsidRPr="008A526E" w:rsidRDefault="006B57A1" w:rsidP="008A526E">
            <w:pPr>
              <w:jc w:val="center"/>
              <w:rPr>
                <w:sz w:val="20"/>
                <w:szCs w:val="20"/>
                <w:lang w:val="is-IS"/>
              </w:rPr>
            </w:pPr>
          </w:p>
        </w:tc>
        <w:tc>
          <w:tcPr>
            <w:tcW w:w="7087" w:type="dxa"/>
          </w:tcPr>
          <w:p w:rsidR="006B57A1" w:rsidRPr="008E225B" w:rsidRDefault="008E225B" w:rsidP="008E225B">
            <w:pPr>
              <w:rPr>
                <w:sz w:val="20"/>
                <w:szCs w:val="22"/>
                <w:lang w:val="is-IS"/>
              </w:rPr>
            </w:pPr>
            <w:r w:rsidRPr="008E225B">
              <w:rPr>
                <w:sz w:val="20"/>
                <w:szCs w:val="22"/>
                <w:lang w:val="is-IS"/>
              </w:rPr>
              <w:t xml:space="preserve">Skýrir sig </w:t>
            </w:r>
            <w:r w:rsidR="002C3A7F">
              <w:rPr>
                <w:sz w:val="20"/>
                <w:szCs w:val="22"/>
                <w:lang w:val="is-IS"/>
              </w:rPr>
              <w:t xml:space="preserve">eiginlega </w:t>
            </w:r>
            <w:r w:rsidRPr="008E225B">
              <w:rPr>
                <w:sz w:val="20"/>
                <w:szCs w:val="22"/>
                <w:lang w:val="is-IS"/>
              </w:rPr>
              <w:t>sjálft</w:t>
            </w:r>
            <w:r w:rsidR="002C3A7F">
              <w:rPr>
                <w:sz w:val="20"/>
                <w:szCs w:val="22"/>
                <w:lang w:val="is-IS"/>
              </w:rPr>
              <w:t>.</w:t>
            </w:r>
          </w:p>
        </w:tc>
      </w:tr>
      <w:tr w:rsidR="00484B86" w:rsidRPr="008A526E" w:rsidTr="008A526E">
        <w:tc>
          <w:tcPr>
            <w:tcW w:w="3772" w:type="dxa"/>
          </w:tcPr>
          <w:p w:rsidR="00484B86" w:rsidRPr="008A526E" w:rsidRDefault="00484B86" w:rsidP="006E663B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lastRenderedPageBreak/>
              <w:t>Langtímaskuldahlutfall %</w:t>
            </w:r>
          </w:p>
          <w:p w:rsidR="00484B86" w:rsidRPr="008A526E" w:rsidRDefault="00484B86" w:rsidP="006E663B">
            <w:pPr>
              <w:jc w:val="right"/>
              <w:rPr>
                <w:sz w:val="20"/>
                <w:szCs w:val="20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(long-term debt ratio – gearing ratio) </w:t>
            </w:r>
          </w:p>
          <w:p w:rsidR="00484B86" w:rsidRPr="008A526E" w:rsidRDefault="00484B86" w:rsidP="006E663B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484B86" w:rsidRPr="008A526E" w:rsidRDefault="00484B86" w:rsidP="006E663B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 Langtímaskuldir   .</w:t>
            </w:r>
          </w:p>
          <w:p w:rsidR="00484B86" w:rsidRPr="008A526E" w:rsidRDefault="00484B86" w:rsidP="006E663B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Langtímafjármagn</w:t>
            </w:r>
          </w:p>
        </w:tc>
        <w:tc>
          <w:tcPr>
            <w:tcW w:w="7087" w:type="dxa"/>
          </w:tcPr>
          <w:p w:rsidR="000263BF" w:rsidRPr="000263BF" w:rsidRDefault="000263BF" w:rsidP="000263BF">
            <w:pPr>
              <w:rPr>
                <w:sz w:val="20"/>
                <w:szCs w:val="22"/>
                <w:lang w:val="is-IS"/>
              </w:rPr>
            </w:pPr>
            <w:r w:rsidRPr="000263BF">
              <w:rPr>
                <w:sz w:val="20"/>
                <w:szCs w:val="22"/>
                <w:lang w:val="is-IS"/>
              </w:rPr>
              <w:t>Segir til um fjárhagslega áhættu af skuldsetningu félags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0263BF">
              <w:rPr>
                <w:sz w:val="20"/>
                <w:szCs w:val="22"/>
                <w:lang w:val="is-IS"/>
              </w:rPr>
              <w:t>Því hærra sem þetta hlutfall er þeim mun meiri má telja áhættuna</w:t>
            </w:r>
            <w:r>
              <w:rPr>
                <w:sz w:val="20"/>
                <w:szCs w:val="22"/>
                <w:lang w:val="is-IS"/>
              </w:rPr>
              <w:t>.</w:t>
            </w:r>
          </w:p>
          <w:p w:rsidR="00484B86" w:rsidRPr="000263BF" w:rsidRDefault="00484B86" w:rsidP="000263BF">
            <w:pPr>
              <w:rPr>
                <w:sz w:val="20"/>
                <w:szCs w:val="22"/>
                <w:lang w:val="is-IS"/>
              </w:rPr>
            </w:pPr>
          </w:p>
        </w:tc>
      </w:tr>
      <w:tr w:rsidR="006B57A1" w:rsidRPr="008A526E" w:rsidTr="008A526E">
        <w:tc>
          <w:tcPr>
            <w:tcW w:w="3772" w:type="dxa"/>
          </w:tcPr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Arðsemi eigin fjár %</w:t>
            </w:r>
          </w:p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(return on equity - ROE)</w:t>
            </w:r>
          </w:p>
          <w:p w:rsidR="006B57A1" w:rsidRPr="000263BF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 </w:t>
            </w:r>
          </w:p>
        </w:tc>
        <w:tc>
          <w:tcPr>
            <w:tcW w:w="3991" w:type="dxa"/>
          </w:tcPr>
          <w:p w:rsidR="006B57A1" w:rsidRPr="008A526E" w:rsidRDefault="006B57A1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>Hagnaður</w:t>
            </w:r>
          </w:p>
          <w:p w:rsidR="006B57A1" w:rsidRPr="008A526E" w:rsidRDefault="006B57A1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Eigið fé</w:t>
            </w:r>
          </w:p>
        </w:tc>
        <w:tc>
          <w:tcPr>
            <w:tcW w:w="7087" w:type="dxa"/>
          </w:tcPr>
          <w:p w:rsidR="00FD148F" w:rsidRPr="00FD148F" w:rsidRDefault="00FD148F" w:rsidP="00FD148F">
            <w:pPr>
              <w:rPr>
                <w:sz w:val="20"/>
                <w:szCs w:val="22"/>
                <w:lang w:val="is-IS"/>
              </w:rPr>
            </w:pPr>
            <w:r>
              <w:rPr>
                <w:sz w:val="20"/>
                <w:szCs w:val="22"/>
                <w:lang w:val="is-IS"/>
              </w:rPr>
              <w:t>Segir til um hvernig</w:t>
            </w:r>
            <w:r w:rsidRPr="00FD148F">
              <w:rPr>
                <w:sz w:val="20"/>
                <w:szCs w:val="22"/>
                <w:lang w:val="is-IS"/>
              </w:rPr>
              <w:t xml:space="preserve"> tekst að ávaxta fjármag</w:t>
            </w:r>
            <w:r>
              <w:rPr>
                <w:sz w:val="20"/>
                <w:szCs w:val="22"/>
                <w:lang w:val="is-IS"/>
              </w:rPr>
              <w:t>nið sem eigendur hafa bundið í félaginu.</w:t>
            </w:r>
          </w:p>
          <w:p w:rsidR="006B57A1" w:rsidRPr="00FD148F" w:rsidRDefault="00FD148F" w:rsidP="00FD148F">
            <w:pPr>
              <w:rPr>
                <w:sz w:val="20"/>
                <w:szCs w:val="22"/>
                <w:lang w:val="is-IS"/>
              </w:rPr>
            </w:pPr>
            <w:r w:rsidRPr="00FD148F">
              <w:rPr>
                <w:sz w:val="20"/>
                <w:szCs w:val="22"/>
                <w:lang w:val="is-IS"/>
              </w:rPr>
              <w:t>Í teljara er eðlilegast að hafa hagnað án óreglulegra liða</w:t>
            </w:r>
            <w:r>
              <w:rPr>
                <w:sz w:val="20"/>
                <w:szCs w:val="22"/>
                <w:lang w:val="is-IS"/>
              </w:rPr>
              <w:t>. Í nefnara er algengt að hafa eigið fé í ársbyrjun. B</w:t>
            </w:r>
            <w:r w:rsidRPr="00FD148F">
              <w:rPr>
                <w:sz w:val="20"/>
                <w:szCs w:val="22"/>
                <w:lang w:val="is-IS"/>
              </w:rPr>
              <w:t xml:space="preserve">etra er </w:t>
            </w:r>
            <w:r>
              <w:rPr>
                <w:sz w:val="20"/>
                <w:szCs w:val="22"/>
                <w:lang w:val="is-IS"/>
              </w:rPr>
              <w:t xml:space="preserve">að nota </w:t>
            </w:r>
            <w:r w:rsidRPr="00FD148F">
              <w:rPr>
                <w:sz w:val="20"/>
                <w:szCs w:val="22"/>
                <w:lang w:val="is-IS"/>
              </w:rPr>
              <w:t>meðaltal af eigin fé í ársbyrjun og árslok (án hagnaðar</w:t>
            </w:r>
            <w:r>
              <w:rPr>
                <w:sz w:val="20"/>
                <w:szCs w:val="22"/>
                <w:lang w:val="is-IS"/>
              </w:rPr>
              <w:t xml:space="preserve"> ársins</w:t>
            </w:r>
            <w:r w:rsidRPr="00FD148F">
              <w:rPr>
                <w:sz w:val="20"/>
                <w:szCs w:val="22"/>
                <w:lang w:val="is-IS"/>
              </w:rPr>
              <w:t>)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FD148F">
              <w:rPr>
                <w:sz w:val="20"/>
                <w:szCs w:val="22"/>
                <w:lang w:val="is-IS"/>
              </w:rPr>
              <w:t>Varast ber að trúa þessari kennitölu í blindni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6B57A1" w:rsidRPr="008A526E" w:rsidTr="008A526E">
        <w:tc>
          <w:tcPr>
            <w:tcW w:w="3772" w:type="dxa"/>
          </w:tcPr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Arðsemi heildareigna %</w:t>
            </w:r>
          </w:p>
          <w:p w:rsidR="006B57A1" w:rsidRPr="008A526E" w:rsidRDefault="006B57A1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(return on assets - ROTA)</w:t>
            </w:r>
          </w:p>
          <w:p w:rsidR="006B57A1" w:rsidRPr="008A526E" w:rsidRDefault="006B57A1" w:rsidP="008A526E">
            <w:pPr>
              <w:jc w:val="right"/>
              <w:rPr>
                <w:sz w:val="20"/>
                <w:szCs w:val="20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 </w:t>
            </w:r>
          </w:p>
        </w:tc>
        <w:tc>
          <w:tcPr>
            <w:tcW w:w="3991" w:type="dxa"/>
          </w:tcPr>
          <w:p w:rsidR="006B57A1" w:rsidRPr="008A526E" w:rsidRDefault="006B57A1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Hagnaður   .</w:t>
            </w:r>
          </w:p>
          <w:p w:rsidR="006B57A1" w:rsidRPr="008A526E" w:rsidRDefault="006B57A1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Heildareignir</w:t>
            </w:r>
          </w:p>
        </w:tc>
        <w:tc>
          <w:tcPr>
            <w:tcW w:w="7087" w:type="dxa"/>
          </w:tcPr>
          <w:p w:rsidR="006B57A1" w:rsidRPr="00FD148F" w:rsidRDefault="00FD148F" w:rsidP="00FD148F">
            <w:pPr>
              <w:rPr>
                <w:sz w:val="20"/>
                <w:szCs w:val="22"/>
                <w:lang w:val="is-IS"/>
              </w:rPr>
            </w:pPr>
            <w:r w:rsidRPr="00FD148F">
              <w:rPr>
                <w:sz w:val="20"/>
                <w:szCs w:val="22"/>
                <w:lang w:val="is-IS"/>
              </w:rPr>
              <w:t>Segir til um hvernig tekst</w:t>
            </w:r>
            <w:r>
              <w:rPr>
                <w:sz w:val="20"/>
                <w:szCs w:val="22"/>
                <w:lang w:val="is-IS"/>
              </w:rPr>
              <w:t xml:space="preserve"> að ávaxta þá fjármuni sem í félaginu</w:t>
            </w:r>
            <w:r w:rsidRPr="00FD148F">
              <w:rPr>
                <w:sz w:val="20"/>
                <w:szCs w:val="22"/>
                <w:lang w:val="is-IS"/>
              </w:rPr>
              <w:t xml:space="preserve"> eru bundnir, án tillits til fjármögnunar þeirra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FD148F">
              <w:rPr>
                <w:sz w:val="20"/>
                <w:szCs w:val="22"/>
                <w:lang w:val="is-IS"/>
              </w:rPr>
              <w:t>N</w:t>
            </w:r>
            <w:r>
              <w:rPr>
                <w:sz w:val="20"/>
                <w:szCs w:val="22"/>
                <w:lang w:val="is-IS"/>
              </w:rPr>
              <w:t xml:space="preserve">efnarinn er ýmist heildareignir </w:t>
            </w:r>
            <w:r w:rsidRPr="00FD148F">
              <w:rPr>
                <w:sz w:val="20"/>
                <w:szCs w:val="22"/>
                <w:lang w:val="is-IS"/>
              </w:rPr>
              <w:t>í ársbyrjun</w:t>
            </w:r>
            <w:r>
              <w:rPr>
                <w:sz w:val="20"/>
                <w:szCs w:val="22"/>
                <w:lang w:val="is-IS"/>
              </w:rPr>
              <w:t xml:space="preserve"> </w:t>
            </w:r>
            <w:r w:rsidRPr="00FD148F">
              <w:rPr>
                <w:sz w:val="20"/>
                <w:szCs w:val="22"/>
                <w:lang w:val="is-IS"/>
              </w:rPr>
              <w:t>eða meðaltal af heildareignum í ársbyrjun og árslok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484B86" w:rsidRPr="008A526E" w:rsidTr="00484B86">
        <w:tc>
          <w:tcPr>
            <w:tcW w:w="14850" w:type="dxa"/>
            <w:gridSpan w:val="3"/>
            <w:shd w:val="clear" w:color="auto" w:fill="D9D9D9" w:themeFill="background1" w:themeFillShade="D9"/>
          </w:tcPr>
          <w:p w:rsidR="00484B86" w:rsidRPr="00D1023E" w:rsidRDefault="00484B86" w:rsidP="00484B86">
            <w:pPr>
              <w:rPr>
                <w:b/>
                <w:lang w:val="da-DK"/>
              </w:rPr>
            </w:pPr>
            <w:r w:rsidRPr="00D1023E">
              <w:rPr>
                <w:b/>
                <w:sz w:val="22"/>
                <w:lang w:val="da-DK"/>
              </w:rPr>
              <w:t>Nokkrar kennitölur og formúlur til viðbótar</w:t>
            </w:r>
          </w:p>
        </w:tc>
      </w:tr>
      <w:tr w:rsidR="002C3A7F" w:rsidRPr="008A526E" w:rsidTr="008A526E">
        <w:tc>
          <w:tcPr>
            <w:tcW w:w="3772" w:type="dxa"/>
          </w:tcPr>
          <w:p w:rsidR="002C3A7F" w:rsidRPr="008A526E" w:rsidRDefault="002C3A7F" w:rsidP="006E663B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Vaxtaþekja</w:t>
            </w:r>
          </w:p>
          <w:p w:rsidR="002C3A7F" w:rsidRPr="000263BF" w:rsidRDefault="002C3A7F" w:rsidP="006E663B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(interest coverage ratio) </w:t>
            </w:r>
          </w:p>
        </w:tc>
        <w:tc>
          <w:tcPr>
            <w:tcW w:w="3991" w:type="dxa"/>
          </w:tcPr>
          <w:p w:rsidR="002C3A7F" w:rsidRPr="008A526E" w:rsidRDefault="002C3A7F" w:rsidP="006E663B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>Rekstrarhagnaður (EBIT)</w:t>
            </w:r>
          </w:p>
          <w:p w:rsidR="002C3A7F" w:rsidRPr="008A526E" w:rsidRDefault="002C3A7F" w:rsidP="006E663B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Vaxtagjöld</w:t>
            </w:r>
          </w:p>
          <w:p w:rsidR="002C3A7F" w:rsidRPr="008A526E" w:rsidRDefault="002C3A7F" w:rsidP="006E663B">
            <w:pPr>
              <w:jc w:val="center"/>
              <w:rPr>
                <w:sz w:val="20"/>
                <w:szCs w:val="20"/>
                <w:lang w:val="is-IS"/>
              </w:rPr>
            </w:pPr>
          </w:p>
        </w:tc>
        <w:tc>
          <w:tcPr>
            <w:tcW w:w="7087" w:type="dxa"/>
          </w:tcPr>
          <w:p w:rsidR="002C3A7F" w:rsidRPr="000263BF" w:rsidRDefault="002C3A7F" w:rsidP="006E663B">
            <w:pPr>
              <w:rPr>
                <w:sz w:val="20"/>
                <w:szCs w:val="22"/>
                <w:lang w:val="is-IS"/>
              </w:rPr>
            </w:pPr>
            <w:r w:rsidRPr="000263BF">
              <w:rPr>
                <w:sz w:val="20"/>
                <w:szCs w:val="22"/>
                <w:lang w:val="is-IS"/>
              </w:rPr>
              <w:t>Kennitalan mælir getu félags til að standa við vaxtagreiðslur af lánum</w:t>
            </w:r>
            <w:r>
              <w:rPr>
                <w:sz w:val="20"/>
                <w:szCs w:val="22"/>
                <w:lang w:val="is-IS"/>
              </w:rPr>
              <w:t>. E</w:t>
            </w:r>
            <w:r w:rsidRPr="000263BF">
              <w:rPr>
                <w:sz w:val="20"/>
                <w:szCs w:val="22"/>
                <w:lang w:val="is-IS"/>
              </w:rPr>
              <w:t>ðlilegast að nota rekstrarhagnað án fjármagnsliða</w:t>
            </w:r>
            <w:r>
              <w:rPr>
                <w:sz w:val="20"/>
                <w:szCs w:val="22"/>
                <w:lang w:val="is-IS"/>
              </w:rPr>
              <w:t>.</w:t>
            </w:r>
          </w:p>
          <w:p w:rsidR="002C3A7F" w:rsidRPr="000263BF" w:rsidRDefault="002C3A7F" w:rsidP="006E663B">
            <w:pPr>
              <w:rPr>
                <w:sz w:val="20"/>
                <w:szCs w:val="22"/>
                <w:lang w:val="is-IS"/>
              </w:rPr>
            </w:pPr>
            <w:r w:rsidRPr="000263BF">
              <w:rPr>
                <w:sz w:val="20"/>
                <w:szCs w:val="22"/>
                <w:lang w:val="is-IS"/>
              </w:rPr>
              <w:t>Því lægri sem vaxtaþekjan er þeim mun meiri byrði eru skuldirnar á rekstri félagsins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8942A4" w:rsidRPr="008A526E" w:rsidTr="008A526E">
        <w:tc>
          <w:tcPr>
            <w:tcW w:w="3772" w:type="dxa"/>
          </w:tcPr>
          <w:p w:rsidR="008942A4" w:rsidRPr="008A526E" w:rsidRDefault="008942A4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Markaðsvirði</w:t>
            </w:r>
          </w:p>
          <w:p w:rsidR="008942A4" w:rsidRPr="008A526E" w:rsidRDefault="008942A4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(market value)</w:t>
            </w:r>
          </w:p>
        </w:tc>
        <w:tc>
          <w:tcPr>
            <w:tcW w:w="3991" w:type="dxa"/>
          </w:tcPr>
          <w:p w:rsidR="008942A4" w:rsidRPr="008A526E" w:rsidRDefault="008942A4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Hlutafé  *   Gengi</w:t>
            </w:r>
          </w:p>
        </w:tc>
        <w:tc>
          <w:tcPr>
            <w:tcW w:w="7087" w:type="dxa"/>
          </w:tcPr>
          <w:p w:rsidR="002C3A7F" w:rsidRPr="002C3A7F" w:rsidRDefault="002C3A7F" w:rsidP="002C3A7F">
            <w:pPr>
              <w:rPr>
                <w:sz w:val="20"/>
                <w:szCs w:val="22"/>
                <w:lang w:val="is-IS"/>
              </w:rPr>
            </w:pPr>
            <w:r w:rsidRPr="002C3A7F">
              <w:rPr>
                <w:sz w:val="20"/>
                <w:szCs w:val="22"/>
                <w:lang w:val="is-IS"/>
              </w:rPr>
              <w:t>Segir til um hvað markaðurinn væri reiðubúinn að gefa fyrir allt hlutafé í félaginu</w:t>
            </w:r>
            <w:r>
              <w:rPr>
                <w:sz w:val="20"/>
                <w:szCs w:val="22"/>
                <w:lang w:val="is-IS"/>
              </w:rPr>
              <w:t>.</w:t>
            </w:r>
          </w:p>
          <w:p w:rsidR="008942A4" w:rsidRPr="002C3A7F" w:rsidRDefault="002C3A7F" w:rsidP="002C3A7F">
            <w:pPr>
              <w:rPr>
                <w:sz w:val="20"/>
                <w:szCs w:val="22"/>
                <w:lang w:val="is-IS"/>
              </w:rPr>
            </w:pPr>
            <w:r w:rsidRPr="002C3A7F">
              <w:rPr>
                <w:sz w:val="20"/>
                <w:szCs w:val="22"/>
                <w:lang w:val="is-IS"/>
              </w:rPr>
              <w:t>Óraunhæft - því sjaldnast eru allir hlutirnir til sölu í einu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8942A4" w:rsidRPr="008A526E" w:rsidTr="008A526E">
        <w:tc>
          <w:tcPr>
            <w:tcW w:w="3772" w:type="dxa"/>
          </w:tcPr>
          <w:p w:rsidR="008942A4" w:rsidRPr="008A526E" w:rsidRDefault="008942A4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Heildarvirði</w:t>
            </w:r>
          </w:p>
          <w:p w:rsidR="008942A4" w:rsidRPr="008A526E" w:rsidRDefault="00484B86" w:rsidP="008A526E">
            <w:pPr>
              <w:jc w:val="right"/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(enterprise</w:t>
            </w:r>
            <w:r w:rsidR="008942A4" w:rsidRPr="008A526E">
              <w:rPr>
                <w:sz w:val="20"/>
                <w:szCs w:val="20"/>
                <w:lang w:val="is-IS"/>
              </w:rPr>
              <w:t xml:space="preserve"> value)</w:t>
            </w:r>
          </w:p>
          <w:p w:rsidR="00455CA4" w:rsidRPr="008A526E" w:rsidRDefault="00455CA4" w:rsidP="008A526E">
            <w:pPr>
              <w:jc w:val="right"/>
              <w:rPr>
                <w:sz w:val="16"/>
                <w:szCs w:val="16"/>
                <w:lang w:val="is-IS"/>
              </w:rPr>
            </w:pPr>
          </w:p>
        </w:tc>
        <w:tc>
          <w:tcPr>
            <w:tcW w:w="3991" w:type="dxa"/>
          </w:tcPr>
          <w:p w:rsidR="008942A4" w:rsidRPr="008A526E" w:rsidRDefault="008942A4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Markaðsvirði  +  Langtímaskuldir</w:t>
            </w:r>
          </w:p>
        </w:tc>
        <w:tc>
          <w:tcPr>
            <w:tcW w:w="7087" w:type="dxa"/>
          </w:tcPr>
          <w:p w:rsidR="008942A4" w:rsidRPr="002C3A7F" w:rsidRDefault="002C3A7F" w:rsidP="002C3A7F">
            <w:pPr>
              <w:rPr>
                <w:sz w:val="20"/>
                <w:szCs w:val="22"/>
                <w:lang w:val="is-IS"/>
              </w:rPr>
            </w:pPr>
            <w:r w:rsidRPr="002C3A7F">
              <w:rPr>
                <w:sz w:val="20"/>
                <w:szCs w:val="22"/>
                <w:lang w:val="is-IS"/>
              </w:rPr>
              <w:t>Bæta þarf skuldunum við markaðsverðið, því sá sem kaupir allt félagið verður að yfirtaka skuldir þess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22365B" w:rsidRPr="008A526E" w:rsidTr="008A526E">
        <w:tc>
          <w:tcPr>
            <w:tcW w:w="3772" w:type="dxa"/>
          </w:tcPr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V/H-hlutfall</w:t>
            </w:r>
          </w:p>
          <w:p w:rsidR="0022365B" w:rsidRPr="008A526E" w:rsidRDefault="0022365B" w:rsidP="008A526E">
            <w:pPr>
              <w:jc w:val="right"/>
              <w:rPr>
                <w:sz w:val="20"/>
                <w:szCs w:val="20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(price-earnings ratio) </w:t>
            </w:r>
          </w:p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22365B" w:rsidRPr="008A526E" w:rsidRDefault="008942A4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</w:t>
            </w:r>
            <w:r w:rsidR="0022365B" w:rsidRPr="008A526E">
              <w:rPr>
                <w:sz w:val="20"/>
                <w:szCs w:val="20"/>
                <w:u w:val="single"/>
                <w:lang w:val="is-IS"/>
              </w:rPr>
              <w:t>Markaðsvirði</w:t>
            </w:r>
            <w:r w:rsidRPr="008A526E">
              <w:rPr>
                <w:sz w:val="20"/>
                <w:szCs w:val="20"/>
                <w:u w:val="single"/>
                <w:lang w:val="is-IS"/>
              </w:rPr>
              <w:t xml:space="preserve"> </w:t>
            </w:r>
            <w:r w:rsidR="0022365B" w:rsidRPr="008A526E">
              <w:rPr>
                <w:sz w:val="20"/>
                <w:szCs w:val="20"/>
                <w:u w:val="single"/>
                <w:lang w:val="is-IS"/>
              </w:rPr>
              <w:t xml:space="preserve"> </w:t>
            </w:r>
          </w:p>
          <w:p w:rsidR="0022365B" w:rsidRPr="008A526E" w:rsidRDefault="0022365B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Hagnaður</w:t>
            </w:r>
          </w:p>
        </w:tc>
        <w:tc>
          <w:tcPr>
            <w:tcW w:w="7087" w:type="dxa"/>
          </w:tcPr>
          <w:p w:rsidR="0022365B" w:rsidRPr="002C3A7F" w:rsidRDefault="002C3A7F" w:rsidP="002C3A7F">
            <w:pPr>
              <w:rPr>
                <w:sz w:val="20"/>
                <w:szCs w:val="22"/>
                <w:lang w:val="is-IS"/>
              </w:rPr>
            </w:pPr>
            <w:r w:rsidRPr="002C3A7F">
              <w:rPr>
                <w:sz w:val="20"/>
                <w:szCs w:val="22"/>
                <w:lang w:val="is-IS"/>
              </w:rPr>
              <w:t>Einn algengasti mælikvarðinn á verð</w:t>
            </w:r>
            <w:r>
              <w:rPr>
                <w:sz w:val="20"/>
                <w:szCs w:val="22"/>
                <w:lang w:val="is-IS"/>
              </w:rPr>
              <w:t xml:space="preserve"> hlutabréfa, en ekki gallalaus! </w:t>
            </w:r>
            <w:r w:rsidRPr="002C3A7F">
              <w:rPr>
                <w:sz w:val="20"/>
                <w:szCs w:val="22"/>
                <w:lang w:val="is-IS"/>
              </w:rPr>
              <w:t>Segir til um hvað það verð sem fjárfestar eru tilbúnir að greiða fyrir hlutabréf félagsins jafngildir margra ára hagnaði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2C3A7F">
              <w:rPr>
                <w:sz w:val="20"/>
                <w:szCs w:val="22"/>
                <w:lang w:val="is-IS"/>
              </w:rPr>
              <w:t xml:space="preserve">Sambærilegt við hugtakið </w:t>
            </w:r>
            <w:r>
              <w:rPr>
                <w:sz w:val="20"/>
                <w:szCs w:val="22"/>
                <w:lang w:val="is-IS"/>
              </w:rPr>
              <w:t>„</w:t>
            </w:r>
            <w:r w:rsidRPr="002C3A7F">
              <w:rPr>
                <w:sz w:val="20"/>
                <w:szCs w:val="22"/>
                <w:lang w:val="is-IS"/>
              </w:rPr>
              <w:t>Endurgreiðslutími fjárfestingar</w:t>
            </w:r>
            <w:r>
              <w:rPr>
                <w:sz w:val="20"/>
                <w:szCs w:val="22"/>
                <w:lang w:val="is-IS"/>
              </w:rPr>
              <w:t>“.</w:t>
            </w:r>
          </w:p>
        </w:tc>
      </w:tr>
      <w:tr w:rsidR="0022365B" w:rsidRPr="008A526E" w:rsidTr="008A526E">
        <w:tc>
          <w:tcPr>
            <w:tcW w:w="3772" w:type="dxa"/>
          </w:tcPr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V/I-hlutfall</w:t>
            </w:r>
          </w:p>
          <w:p w:rsidR="0022365B" w:rsidRPr="002C3A7F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(price to book ratio) </w:t>
            </w:r>
          </w:p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22365B" w:rsidRPr="008A526E" w:rsidRDefault="0022365B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Markaðsvirði </w:t>
            </w:r>
            <w:r w:rsidRPr="008A526E">
              <w:rPr>
                <w:sz w:val="20"/>
                <w:szCs w:val="20"/>
                <w:lang w:val="is-IS"/>
              </w:rPr>
              <w:t xml:space="preserve">     </w:t>
            </w: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(eða Gengi)   .</w:t>
            </w:r>
            <w:r w:rsidRPr="008A526E">
              <w:rPr>
                <w:sz w:val="20"/>
                <w:szCs w:val="20"/>
                <w:u w:val="single"/>
                <w:lang w:val="is-IS"/>
              </w:rPr>
              <w:softHyphen/>
            </w:r>
          </w:p>
          <w:p w:rsidR="0032217D" w:rsidRPr="008A526E" w:rsidRDefault="0022365B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      Eigið fé          (eða Innra virði)</w:t>
            </w:r>
          </w:p>
          <w:p w:rsidR="0032217D" w:rsidRPr="008A526E" w:rsidRDefault="0032217D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(Innra virði = EF / Hlutafé)</w:t>
            </w:r>
          </w:p>
          <w:p w:rsidR="00D404C1" w:rsidRPr="008A526E" w:rsidRDefault="00D404C1" w:rsidP="008A526E">
            <w:pPr>
              <w:jc w:val="center"/>
              <w:rPr>
                <w:sz w:val="20"/>
                <w:szCs w:val="20"/>
                <w:lang w:val="is-IS"/>
              </w:rPr>
            </w:pPr>
          </w:p>
        </w:tc>
        <w:tc>
          <w:tcPr>
            <w:tcW w:w="7087" w:type="dxa"/>
          </w:tcPr>
          <w:p w:rsidR="0022365B" w:rsidRPr="002C3A7F" w:rsidRDefault="002C3A7F" w:rsidP="002C3A7F">
            <w:pPr>
              <w:rPr>
                <w:sz w:val="20"/>
                <w:szCs w:val="22"/>
                <w:lang w:val="is-IS"/>
              </w:rPr>
            </w:pPr>
            <w:r w:rsidRPr="002C3A7F">
              <w:rPr>
                <w:sz w:val="20"/>
                <w:szCs w:val="22"/>
                <w:lang w:val="is-IS"/>
              </w:rPr>
              <w:t>Kennitalan ber saman markaðsvirði hlutabréfa félagsins og bókfært virði eigin fjár samkvæmt efnahagsreikningi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2C3A7F">
              <w:rPr>
                <w:sz w:val="20"/>
                <w:szCs w:val="22"/>
                <w:lang w:val="is-IS"/>
              </w:rPr>
              <w:t>Ef hlutfallið er hátt eru fjárfestar til í a</w:t>
            </w:r>
            <w:r>
              <w:rPr>
                <w:sz w:val="20"/>
                <w:szCs w:val="22"/>
                <w:lang w:val="is-IS"/>
              </w:rPr>
              <w:t xml:space="preserve">ð greiða hátt verð fyrir bréfin. </w:t>
            </w:r>
            <w:r w:rsidRPr="002C3A7F">
              <w:rPr>
                <w:sz w:val="20"/>
                <w:szCs w:val="22"/>
                <w:lang w:val="is-IS"/>
              </w:rPr>
              <w:t>Þeir telja þá eignir félagsins vanmetnar, þ.e. einhver huglæg verðmæti sem ekki eru færð til bókar eða verðmætar eignir sem hafa verið afskrifaðar að mestu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2C3A7F">
              <w:rPr>
                <w:sz w:val="20"/>
                <w:szCs w:val="22"/>
                <w:lang w:val="is-IS"/>
              </w:rPr>
              <w:t>Ef hlutfallið er &lt; 1 telja fjárfestar félagið ofmetið í bókhaldi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22365B" w:rsidRPr="008A526E" w:rsidTr="008A526E">
        <w:tc>
          <w:tcPr>
            <w:tcW w:w="3772" w:type="dxa"/>
          </w:tcPr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Hagnaður á hlut</w:t>
            </w:r>
          </w:p>
          <w:p w:rsidR="0022365B" w:rsidRPr="008A526E" w:rsidRDefault="0022365B" w:rsidP="008A526E">
            <w:pPr>
              <w:jc w:val="right"/>
              <w:rPr>
                <w:sz w:val="20"/>
                <w:szCs w:val="20"/>
              </w:rPr>
            </w:pPr>
            <w:r w:rsidRPr="008A526E">
              <w:rPr>
                <w:sz w:val="20"/>
                <w:szCs w:val="20"/>
                <w:lang w:val="is-IS"/>
              </w:rPr>
              <w:t xml:space="preserve">(earnings per share - EPS) </w:t>
            </w:r>
          </w:p>
          <w:p w:rsidR="0022365B" w:rsidRPr="008A526E" w:rsidRDefault="0022365B" w:rsidP="008A526E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22365B" w:rsidRPr="008A526E" w:rsidRDefault="0022365B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 xml:space="preserve">                 Hagnaður                 .</w:t>
            </w:r>
          </w:p>
          <w:p w:rsidR="0022365B" w:rsidRPr="008A526E" w:rsidRDefault="0022365B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Útistandandi hlutir að meðaltali</w:t>
            </w:r>
          </w:p>
        </w:tc>
        <w:tc>
          <w:tcPr>
            <w:tcW w:w="7087" w:type="dxa"/>
          </w:tcPr>
          <w:p w:rsidR="0022365B" w:rsidRPr="002C3A7F" w:rsidRDefault="002C3A7F" w:rsidP="002C3A7F">
            <w:pPr>
              <w:rPr>
                <w:sz w:val="20"/>
                <w:szCs w:val="22"/>
                <w:lang w:val="is-IS"/>
              </w:rPr>
            </w:pPr>
            <w:r w:rsidRPr="002C3A7F">
              <w:rPr>
                <w:sz w:val="20"/>
                <w:szCs w:val="22"/>
                <w:lang w:val="is-IS"/>
              </w:rPr>
              <w:t>Nefnarinn er í raun sama og nafnverð útistandandi hluta</w:t>
            </w:r>
            <w:r>
              <w:rPr>
                <w:sz w:val="20"/>
                <w:szCs w:val="22"/>
                <w:lang w:val="is-IS"/>
              </w:rPr>
              <w:t xml:space="preserve">. </w:t>
            </w:r>
            <w:r w:rsidRPr="002C3A7F">
              <w:rPr>
                <w:sz w:val="20"/>
                <w:szCs w:val="22"/>
                <w:lang w:val="is-IS"/>
              </w:rPr>
              <w:t>Kennitalan gefur til kynna hver hagnaður er miðað við hverja krónu nafnverðs og er þannig settur í samband við innborgað hlutafé í viðkomandi félagi. Yfirverð hlutafjár er hér undanskilið.</w:t>
            </w:r>
          </w:p>
        </w:tc>
      </w:tr>
      <w:tr w:rsidR="00B46908" w:rsidRPr="008A526E" w:rsidTr="008A526E">
        <w:tc>
          <w:tcPr>
            <w:tcW w:w="3772" w:type="dxa"/>
          </w:tcPr>
          <w:p w:rsidR="00B46908" w:rsidRPr="008A526E" w:rsidRDefault="00B46908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Raunvextir</w:t>
            </w:r>
            <w:r w:rsidR="002C3A7F">
              <w:rPr>
                <w:sz w:val="20"/>
                <w:szCs w:val="20"/>
                <w:lang w:val="is-IS"/>
              </w:rPr>
              <w:t xml:space="preserve"> %</w:t>
            </w:r>
          </w:p>
          <w:p w:rsidR="00B46908" w:rsidRPr="008A526E" w:rsidRDefault="00B46908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(þ.e.  1 + raunvextir)</w:t>
            </w:r>
          </w:p>
        </w:tc>
        <w:tc>
          <w:tcPr>
            <w:tcW w:w="3991" w:type="dxa"/>
          </w:tcPr>
          <w:p w:rsidR="00B46908" w:rsidRPr="008A526E" w:rsidRDefault="00B46908" w:rsidP="008A526E">
            <w:pPr>
              <w:jc w:val="center"/>
              <w:rPr>
                <w:sz w:val="20"/>
                <w:szCs w:val="20"/>
                <w:u w:val="single"/>
                <w:lang w:val="is-IS"/>
              </w:rPr>
            </w:pPr>
            <w:r w:rsidRPr="008A526E">
              <w:rPr>
                <w:sz w:val="20"/>
                <w:szCs w:val="20"/>
                <w:u w:val="single"/>
                <w:lang w:val="is-IS"/>
              </w:rPr>
              <w:t>1 + nafnvextir</w:t>
            </w:r>
            <w:r w:rsidR="002C3A7F">
              <w:rPr>
                <w:sz w:val="20"/>
                <w:szCs w:val="20"/>
                <w:u w:val="single"/>
                <w:lang w:val="is-IS"/>
              </w:rPr>
              <w:t xml:space="preserve"> í %</w:t>
            </w:r>
          </w:p>
          <w:p w:rsidR="00B46908" w:rsidRPr="008A526E" w:rsidRDefault="00B46908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1 + verðbólga</w:t>
            </w:r>
            <w:r w:rsidR="002C3A7F">
              <w:rPr>
                <w:sz w:val="20"/>
                <w:szCs w:val="20"/>
                <w:lang w:val="is-IS"/>
              </w:rPr>
              <w:t xml:space="preserve"> í %</w:t>
            </w:r>
          </w:p>
          <w:p w:rsidR="00B46908" w:rsidRPr="008A526E" w:rsidRDefault="00B46908" w:rsidP="008A526E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7087" w:type="dxa"/>
          </w:tcPr>
          <w:p w:rsidR="009546AF" w:rsidRPr="009546AF" w:rsidRDefault="009546AF" w:rsidP="009546AF">
            <w:pPr>
              <w:rPr>
                <w:sz w:val="20"/>
                <w:szCs w:val="22"/>
                <w:lang w:val="is-IS"/>
              </w:rPr>
            </w:pPr>
            <w:r w:rsidRPr="009546AF">
              <w:rPr>
                <w:sz w:val="20"/>
                <w:szCs w:val="22"/>
                <w:lang w:val="is-IS"/>
              </w:rPr>
              <w:t>Einfölduð nálgun við þetta er:    Nafnvextir - Verðbólga</w:t>
            </w:r>
          </w:p>
          <w:p w:rsidR="009546AF" w:rsidRDefault="009546AF" w:rsidP="009546AF">
            <w:pPr>
              <w:rPr>
                <w:sz w:val="20"/>
                <w:szCs w:val="22"/>
                <w:lang w:val="is-IS"/>
              </w:rPr>
            </w:pPr>
            <w:r w:rsidRPr="009546AF">
              <w:rPr>
                <w:sz w:val="20"/>
                <w:szCs w:val="22"/>
                <w:lang w:val="is-IS"/>
              </w:rPr>
              <w:t>Áhrif lántökukostnaðar þarf yfirleitt að meta m.t.t. skattáhrifa vegna þess að ríkið „niðurgreiðir“ þennan kostnað, þ.e. vaxtagjöld eru</w:t>
            </w:r>
            <w:r>
              <w:rPr>
                <w:sz w:val="20"/>
                <w:szCs w:val="22"/>
                <w:lang w:val="is-IS"/>
              </w:rPr>
              <w:t xml:space="preserve"> frádráttarbær frá skattstofni.</w:t>
            </w:r>
          </w:p>
          <w:p w:rsidR="00B46908" w:rsidRPr="009546AF" w:rsidRDefault="009546AF" w:rsidP="009546AF">
            <w:pPr>
              <w:rPr>
                <w:sz w:val="20"/>
                <w:szCs w:val="22"/>
                <w:lang w:val="is-IS"/>
              </w:rPr>
            </w:pPr>
            <w:r w:rsidRPr="009546AF">
              <w:rPr>
                <w:sz w:val="20"/>
                <w:szCs w:val="22"/>
                <w:lang w:val="is-IS"/>
              </w:rPr>
              <w:t>Sem sagt: vextirnir mínus skattspörun</w:t>
            </w:r>
            <w:r>
              <w:rPr>
                <w:sz w:val="20"/>
                <w:szCs w:val="22"/>
                <w:lang w:val="is-IS"/>
              </w:rPr>
              <w:t>.</w:t>
            </w:r>
          </w:p>
        </w:tc>
      </w:tr>
      <w:tr w:rsidR="00687767" w:rsidRPr="008A526E" w:rsidTr="008A526E">
        <w:tc>
          <w:tcPr>
            <w:tcW w:w="3772" w:type="dxa"/>
          </w:tcPr>
          <w:p w:rsidR="00687767" w:rsidRPr="008A526E" w:rsidRDefault="002C3A7F" w:rsidP="008A526E">
            <w:pPr>
              <w:jc w:val="right"/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Ávöxtun (framtíðar</w:t>
            </w:r>
            <w:r w:rsidR="00687767" w:rsidRPr="008A526E">
              <w:rPr>
                <w:sz w:val="20"/>
                <w:szCs w:val="20"/>
                <w:lang w:val="is-IS"/>
              </w:rPr>
              <w:t>virði</w:t>
            </w:r>
            <w:r>
              <w:rPr>
                <w:sz w:val="20"/>
                <w:szCs w:val="20"/>
                <w:lang w:val="is-IS"/>
              </w:rPr>
              <w:t xml:space="preserve"> fundið)</w:t>
            </w:r>
          </w:p>
          <w:p w:rsidR="00687767" w:rsidRPr="008A526E" w:rsidRDefault="00687767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(future value)</w:t>
            </w:r>
          </w:p>
          <w:p w:rsidR="00B12350" w:rsidRPr="008A526E" w:rsidRDefault="00B12350" w:rsidP="008A526E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687767" w:rsidRPr="008A526E" w:rsidRDefault="00687767" w:rsidP="008A526E">
            <w:pPr>
              <w:jc w:val="center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Greiðsla núna  *  (1 + k)</w:t>
            </w:r>
            <w:r w:rsidRPr="008A526E">
              <w:rPr>
                <w:sz w:val="20"/>
                <w:szCs w:val="20"/>
                <w:vertAlign w:val="superscript"/>
                <w:lang w:val="is-IS"/>
              </w:rPr>
              <w:t>t</w:t>
            </w:r>
          </w:p>
        </w:tc>
        <w:tc>
          <w:tcPr>
            <w:tcW w:w="7087" w:type="dxa"/>
          </w:tcPr>
          <w:p w:rsidR="00687767" w:rsidRDefault="009546AF" w:rsidP="009546AF">
            <w:pPr>
              <w:rPr>
                <w:sz w:val="20"/>
                <w:szCs w:val="22"/>
                <w:lang w:val="is-IS"/>
              </w:rPr>
            </w:pPr>
            <w:r>
              <w:rPr>
                <w:sz w:val="20"/>
                <w:szCs w:val="22"/>
                <w:lang w:val="is-IS"/>
              </w:rPr>
              <w:t>k = vextirtnir á tímabilinu,  t = fjöldi tímabila</w:t>
            </w:r>
          </w:p>
          <w:p w:rsidR="009546AF" w:rsidRPr="009546AF" w:rsidRDefault="009546AF" w:rsidP="009546AF">
            <w:pPr>
              <w:rPr>
                <w:sz w:val="20"/>
                <w:szCs w:val="22"/>
                <w:lang w:val="is-IS"/>
              </w:rPr>
            </w:pPr>
            <w:r>
              <w:rPr>
                <w:sz w:val="20"/>
                <w:szCs w:val="22"/>
                <w:lang w:val="is-IS"/>
              </w:rPr>
              <w:t>Ef ársvextir eru t.d. 12% og vaxtareiknað er á mánaðarfresti þá er k = 0,12/12 = 0,01</w:t>
            </w:r>
          </w:p>
        </w:tc>
      </w:tr>
      <w:tr w:rsidR="00687767" w:rsidRPr="008A526E" w:rsidTr="008A526E">
        <w:tc>
          <w:tcPr>
            <w:tcW w:w="3772" w:type="dxa"/>
          </w:tcPr>
          <w:p w:rsidR="00687767" w:rsidRPr="008A526E" w:rsidRDefault="002C3A7F" w:rsidP="008A526E">
            <w:pPr>
              <w:jc w:val="right"/>
              <w:rPr>
                <w:sz w:val="20"/>
                <w:szCs w:val="20"/>
                <w:lang w:val="is-IS"/>
              </w:rPr>
            </w:pPr>
            <w:r>
              <w:rPr>
                <w:sz w:val="20"/>
                <w:szCs w:val="20"/>
                <w:lang w:val="is-IS"/>
              </w:rPr>
              <w:t>Afvöxtun  (</w:t>
            </w:r>
            <w:r w:rsidR="00687767" w:rsidRPr="008A526E">
              <w:rPr>
                <w:sz w:val="20"/>
                <w:szCs w:val="20"/>
                <w:lang w:val="is-IS"/>
              </w:rPr>
              <w:t>núvirði</w:t>
            </w:r>
            <w:r>
              <w:rPr>
                <w:sz w:val="20"/>
                <w:szCs w:val="20"/>
                <w:lang w:val="is-IS"/>
              </w:rPr>
              <w:t xml:space="preserve"> fundið)</w:t>
            </w:r>
          </w:p>
          <w:p w:rsidR="00687767" w:rsidRPr="008A526E" w:rsidRDefault="00687767" w:rsidP="008A526E">
            <w:pPr>
              <w:jc w:val="right"/>
              <w:rPr>
                <w:sz w:val="20"/>
                <w:szCs w:val="20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(present value)</w:t>
            </w:r>
          </w:p>
          <w:p w:rsidR="00B12350" w:rsidRPr="008A526E" w:rsidRDefault="00B12350" w:rsidP="008A526E">
            <w:pPr>
              <w:jc w:val="right"/>
              <w:rPr>
                <w:sz w:val="20"/>
                <w:szCs w:val="20"/>
                <w:lang w:val="is-IS"/>
              </w:rPr>
            </w:pPr>
          </w:p>
        </w:tc>
        <w:tc>
          <w:tcPr>
            <w:tcW w:w="3991" w:type="dxa"/>
          </w:tcPr>
          <w:p w:rsidR="00687767" w:rsidRPr="008A526E" w:rsidRDefault="00687767" w:rsidP="008A526E">
            <w:pPr>
              <w:jc w:val="center"/>
              <w:rPr>
                <w:sz w:val="20"/>
                <w:szCs w:val="20"/>
                <w:vertAlign w:val="superscript"/>
                <w:lang w:val="is-IS"/>
              </w:rPr>
            </w:pPr>
            <w:r w:rsidRPr="008A526E">
              <w:rPr>
                <w:sz w:val="20"/>
                <w:szCs w:val="20"/>
                <w:lang w:val="is-IS"/>
              </w:rPr>
              <w:t>Greiðsla í framtíð  *  1/(1 + k)</w:t>
            </w:r>
            <w:r w:rsidRPr="008A526E">
              <w:rPr>
                <w:sz w:val="20"/>
                <w:szCs w:val="20"/>
                <w:vertAlign w:val="superscript"/>
                <w:lang w:val="is-IS"/>
              </w:rPr>
              <w:t>t</w:t>
            </w:r>
          </w:p>
        </w:tc>
        <w:tc>
          <w:tcPr>
            <w:tcW w:w="7087" w:type="dxa"/>
          </w:tcPr>
          <w:p w:rsidR="00687767" w:rsidRPr="009546AF" w:rsidRDefault="009546AF" w:rsidP="009546AF">
            <w:pPr>
              <w:rPr>
                <w:sz w:val="20"/>
                <w:szCs w:val="22"/>
                <w:lang w:val="is-IS"/>
              </w:rPr>
            </w:pPr>
            <w:r>
              <w:rPr>
                <w:sz w:val="20"/>
                <w:szCs w:val="22"/>
                <w:lang w:val="is-IS"/>
              </w:rPr>
              <w:t>Sama.</w:t>
            </w:r>
          </w:p>
        </w:tc>
      </w:tr>
    </w:tbl>
    <w:p w:rsidR="006C318B" w:rsidRPr="006C318B" w:rsidRDefault="006C318B" w:rsidP="00C97803">
      <w:pPr>
        <w:rPr>
          <w:lang w:val="is-IS"/>
        </w:rPr>
      </w:pPr>
    </w:p>
    <w:sectPr w:rsidR="006C318B" w:rsidRPr="006C318B" w:rsidSect="008E225B">
      <w:headerReference w:type="default" r:id="rId7"/>
      <w:footerReference w:type="default" r:id="rId8"/>
      <w:pgSz w:w="16840" w:h="11907" w:orient="landscape" w:code="9"/>
      <w:pgMar w:top="794" w:right="1418" w:bottom="102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8FB" w:rsidRDefault="00A648FB">
      <w:r>
        <w:separator/>
      </w:r>
    </w:p>
  </w:endnote>
  <w:endnote w:type="continuationSeparator" w:id="0">
    <w:p w:rsidR="00A648FB" w:rsidRDefault="00A64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6A98" w:rsidRPr="00FE6A98" w:rsidRDefault="00FE6A98">
    <w:pPr>
      <w:pStyle w:val="Footer"/>
      <w:rPr>
        <w:lang w:val="is-IS"/>
      </w:rPr>
    </w:pPr>
    <w:r>
      <w:rPr>
        <w:lang w:val="is-IS"/>
      </w:rPr>
      <w:tab/>
    </w:r>
    <w:r w:rsidR="004A52DE">
      <w:rPr>
        <w:lang w:val="is-IS"/>
      </w:rPr>
      <w:t xml:space="preserve">                                                                          </w:t>
    </w:r>
    <w:r w:rsidR="0022365B">
      <w:rPr>
        <w:lang w:val="is-IS"/>
      </w:rPr>
      <w:tab/>
    </w:r>
    <w:r w:rsidR="0022365B">
      <w:rPr>
        <w:lang w:val="is-IS"/>
      </w:rPr>
      <w:tab/>
    </w:r>
    <w:r w:rsidR="0022365B">
      <w:rPr>
        <w:lang w:val="is-IS"/>
      </w:rPr>
      <w:tab/>
    </w:r>
    <w:r w:rsidR="0022365B">
      <w:rPr>
        <w:lang w:val="is-IS"/>
      </w:rPr>
      <w:tab/>
    </w:r>
    <w:r w:rsidR="0022365B">
      <w:rPr>
        <w:lang w:val="is-IS"/>
      </w:rPr>
      <w:tab/>
    </w:r>
    <w:r w:rsidR="0022365B">
      <w:rPr>
        <w:lang w:val="is-IS"/>
      </w:rPr>
      <w:tab/>
      <w:t xml:space="preserve">        </w:t>
    </w:r>
    <w:r>
      <w:rPr>
        <w:lang w:val="is-IS"/>
      </w:rPr>
      <w:t xml:space="preserve">Síða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3FE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8FB" w:rsidRDefault="00A648FB">
      <w:r>
        <w:separator/>
      </w:r>
    </w:p>
  </w:footnote>
  <w:footnote w:type="continuationSeparator" w:id="0">
    <w:p w:rsidR="00A648FB" w:rsidRDefault="00A648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2DE" w:rsidRPr="004A52DE" w:rsidRDefault="00035B62">
    <w:pPr>
      <w:pStyle w:val="Header"/>
      <w:rPr>
        <w:lang w:val="is-IS"/>
      </w:rPr>
    </w:pPr>
    <w:r>
      <w:rPr>
        <w:lang w:val="is-IS"/>
      </w:rPr>
      <w:t>Prófnefnd viðurkenndra bókara</w:t>
    </w:r>
    <w:r w:rsidR="004A52DE">
      <w:rPr>
        <w:lang w:val="is-IS"/>
      </w:rPr>
      <w:tab/>
      <w:t xml:space="preserve">                                                          </w:t>
    </w:r>
    <w:r w:rsidR="0022365B">
      <w:rPr>
        <w:lang w:val="is-IS"/>
      </w:rPr>
      <w:tab/>
    </w:r>
    <w:r w:rsidR="0022365B">
      <w:rPr>
        <w:lang w:val="is-IS"/>
      </w:rPr>
      <w:tab/>
    </w:r>
    <w:r w:rsidR="0022365B">
      <w:rPr>
        <w:lang w:val="is-IS"/>
      </w:rPr>
      <w:tab/>
    </w:r>
    <w:r w:rsidR="0022365B">
      <w:rPr>
        <w:lang w:val="is-IS"/>
      </w:rPr>
      <w:tab/>
      <w:t xml:space="preserve">         </w:t>
    </w:r>
    <w:r w:rsidR="00987968">
      <w:rPr>
        <w:lang w:val="is-IS"/>
      </w:rPr>
      <w:tab/>
      <w:t xml:space="preserve">          </w:t>
    </w:r>
    <w:r>
      <w:rPr>
        <w:lang w:val="is-IS"/>
      </w:rPr>
      <w:tab/>
    </w:r>
    <w:r>
      <w:rPr>
        <w:lang w:val="is-IS"/>
      </w:rPr>
      <w:tab/>
    </w:r>
    <w:r w:rsidR="002C3A7F">
      <w:rPr>
        <w:lang w:val="is-IS"/>
      </w:rPr>
      <w:t xml:space="preserve">      </w:t>
    </w:r>
    <w:r>
      <w:rPr>
        <w:lang w:val="is-IS"/>
      </w:rPr>
      <w:t>©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18B"/>
    <w:rsid w:val="00000E8A"/>
    <w:rsid w:val="000263BF"/>
    <w:rsid w:val="00035B62"/>
    <w:rsid w:val="00065820"/>
    <w:rsid w:val="000A3A08"/>
    <w:rsid w:val="000A6F3C"/>
    <w:rsid w:val="001D0B9A"/>
    <w:rsid w:val="0022365B"/>
    <w:rsid w:val="00227F30"/>
    <w:rsid w:val="00255335"/>
    <w:rsid w:val="002A18BE"/>
    <w:rsid w:val="002C3A7F"/>
    <w:rsid w:val="002C6B11"/>
    <w:rsid w:val="002E35B1"/>
    <w:rsid w:val="0032217D"/>
    <w:rsid w:val="00357AE0"/>
    <w:rsid w:val="00365401"/>
    <w:rsid w:val="0039127E"/>
    <w:rsid w:val="004209D8"/>
    <w:rsid w:val="00455CA4"/>
    <w:rsid w:val="00464524"/>
    <w:rsid w:val="00481382"/>
    <w:rsid w:val="0048411F"/>
    <w:rsid w:val="00484B86"/>
    <w:rsid w:val="004865C5"/>
    <w:rsid w:val="004A52DE"/>
    <w:rsid w:val="004A5448"/>
    <w:rsid w:val="004D049C"/>
    <w:rsid w:val="004F4AAF"/>
    <w:rsid w:val="004F78B6"/>
    <w:rsid w:val="00520348"/>
    <w:rsid w:val="00526EC7"/>
    <w:rsid w:val="005426DF"/>
    <w:rsid w:val="00553E4D"/>
    <w:rsid w:val="00587F79"/>
    <w:rsid w:val="005A2060"/>
    <w:rsid w:val="005C75B3"/>
    <w:rsid w:val="005D7209"/>
    <w:rsid w:val="0062771B"/>
    <w:rsid w:val="00653C3A"/>
    <w:rsid w:val="0066215A"/>
    <w:rsid w:val="00687767"/>
    <w:rsid w:val="006B57A1"/>
    <w:rsid w:val="006C318B"/>
    <w:rsid w:val="00792927"/>
    <w:rsid w:val="008942A4"/>
    <w:rsid w:val="008A526E"/>
    <w:rsid w:val="008A6375"/>
    <w:rsid w:val="008D7119"/>
    <w:rsid w:val="008E225B"/>
    <w:rsid w:val="009153A3"/>
    <w:rsid w:val="009546AF"/>
    <w:rsid w:val="00977233"/>
    <w:rsid w:val="00987968"/>
    <w:rsid w:val="009B51AC"/>
    <w:rsid w:val="00A11352"/>
    <w:rsid w:val="00A648FB"/>
    <w:rsid w:val="00AD5B17"/>
    <w:rsid w:val="00AE5B5E"/>
    <w:rsid w:val="00B00EDD"/>
    <w:rsid w:val="00B12350"/>
    <w:rsid w:val="00B1751A"/>
    <w:rsid w:val="00B21808"/>
    <w:rsid w:val="00B23522"/>
    <w:rsid w:val="00B36910"/>
    <w:rsid w:val="00B46908"/>
    <w:rsid w:val="00C574EA"/>
    <w:rsid w:val="00C97803"/>
    <w:rsid w:val="00CD471B"/>
    <w:rsid w:val="00CF29A9"/>
    <w:rsid w:val="00D0568A"/>
    <w:rsid w:val="00D1023E"/>
    <w:rsid w:val="00D21DE9"/>
    <w:rsid w:val="00D341C0"/>
    <w:rsid w:val="00D404C1"/>
    <w:rsid w:val="00DC25C1"/>
    <w:rsid w:val="00DC465D"/>
    <w:rsid w:val="00DF75F5"/>
    <w:rsid w:val="00E74046"/>
    <w:rsid w:val="00E83FEB"/>
    <w:rsid w:val="00EB2153"/>
    <w:rsid w:val="00ED1309"/>
    <w:rsid w:val="00F13145"/>
    <w:rsid w:val="00F72332"/>
    <w:rsid w:val="00FD148F"/>
    <w:rsid w:val="00FE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E6A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6A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6A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s-IS" w:eastAsia="is-I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C31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E6A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E6A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E6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964</Words>
  <Characters>6024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Veltufjárhlutfall</vt:lpstr>
    </vt:vector>
  </TitlesOfParts>
  <Company>HBR</Company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Veltufjárhlutfall</dc:title>
  <dc:creator>Bjarni Frímann Karlsson</dc:creator>
  <cp:lastModifiedBy>Guðný Steina Pétursdóttir</cp:lastModifiedBy>
  <cp:revision>2</cp:revision>
  <cp:lastPrinted>2005-08-16T10:28:00Z</cp:lastPrinted>
  <dcterms:created xsi:type="dcterms:W3CDTF">2013-08-22T09:31:00Z</dcterms:created>
  <dcterms:modified xsi:type="dcterms:W3CDTF">2013-08-22T09:31:00Z</dcterms:modified>
</cp:coreProperties>
</file>