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99F" w:rsidRPr="006B799F" w:rsidRDefault="006B799F" w:rsidP="006B799F">
      <w:pPr>
        <w:spacing w:before="100" w:beforeAutospacing="1" w:after="100" w:afterAutospacing="1" w:line="240" w:lineRule="auto"/>
        <w:outlineLvl w:val="0"/>
        <w:rPr>
          <w:rFonts w:ascii="Arial" w:eastAsia="Times New Roman" w:hAnsi="Arial" w:cs="Arial"/>
          <w:b/>
          <w:bCs/>
          <w:spacing w:val="-15"/>
          <w:kern w:val="36"/>
          <w:sz w:val="30"/>
          <w:szCs w:val="30"/>
        </w:rPr>
      </w:pPr>
      <w:bookmarkStart w:id="0" w:name="MiniTOCBookMark1"/>
      <w:bookmarkEnd w:id="0"/>
      <w:r w:rsidRPr="006B799F">
        <w:rPr>
          <w:rFonts w:ascii="Arial" w:eastAsia="Times New Roman" w:hAnsi="Arial" w:cs="Arial"/>
          <w:b/>
          <w:bCs/>
          <w:spacing w:val="-15"/>
          <w:kern w:val="36"/>
          <w:sz w:val="30"/>
          <w:szCs w:val="30"/>
        </w:rPr>
        <w:t>General Income Statement - Verification Requirements</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 w:name="MiniTOCBookMark2"/>
      <w:bookmarkEnd w:id="1"/>
      <w:r w:rsidRPr="006B799F">
        <w:rPr>
          <w:rFonts w:ascii="Verdana" w:eastAsia="Times New Roman" w:hAnsi="Verdana" w:cs="Times New Roman"/>
          <w:b/>
          <w:bCs/>
          <w:sz w:val="21"/>
          <w:szCs w:val="21"/>
        </w:rPr>
        <w:t>Policy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Verification of qualifying income sources, amounts, taxable status, seasoning and probable continuance are required critical components in the determination of credit worthiness.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To assess the likelihood of continuity and stability, the greatest weight is given to historical experience that can be verified to the satisfaction of Underwriting.</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All sources of income included in the loan qualification must be stable, with a reasonable expectation that at least the same level of income will continue to be received for a minimum of three (3) years. Income may not be used for qualification when there is any knowledge or documentation indicating that it will terminate within the next three (3) years.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Notes</w:t>
      </w:r>
      <w:r w:rsidRPr="006B799F">
        <w:rPr>
          <w:rFonts w:ascii="Verdana" w:eastAsia="Times New Roman" w:hAnsi="Verdana" w:cs="Times New Roman"/>
          <w:sz w:val="18"/>
          <w:szCs w:val="18"/>
        </w:rPr>
        <w:t>:</w:t>
      </w:r>
    </w:p>
    <w:p w:rsidR="006B799F" w:rsidRPr="006B799F" w:rsidRDefault="006B799F" w:rsidP="006B799F">
      <w:pPr>
        <w:numPr>
          <w:ilvl w:val="0"/>
          <w:numId w:val="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Obtain tax returns from self-employed borrowers regardless of whether the income is being used to qualify. This determines if there is a business loss that may have an impact on the stable monthly income used for qualifying. </w:t>
      </w:r>
    </w:p>
    <w:p w:rsidR="006B799F" w:rsidRPr="006B799F" w:rsidRDefault="006B799F" w:rsidP="006B799F">
      <w:pPr>
        <w:numPr>
          <w:ilvl w:val="0"/>
          <w:numId w:val="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Specific product or program income verification requirements may differ. Please refer to product guidelines in the </w:t>
      </w:r>
      <w:r w:rsidR="009B3752">
        <w:rPr>
          <w:rFonts w:ascii="Verdana" w:eastAsia="Times New Roman" w:hAnsi="Verdana" w:cs="Times New Roman"/>
          <w:sz w:val="18"/>
          <w:szCs w:val="18"/>
        </w:rPr>
        <w:t>Lending Book</w:t>
      </w:r>
      <w:r w:rsidRPr="006B799F">
        <w:rPr>
          <w:rFonts w:ascii="Verdana" w:eastAsia="Times New Roman" w:hAnsi="Verdana" w:cs="Times New Roman"/>
          <w:sz w:val="18"/>
          <w:szCs w:val="18"/>
        </w:rPr>
        <w:t xml:space="preserve"> for clarification. </w:t>
      </w:r>
    </w:p>
    <w:p w:rsidR="006B799F" w:rsidRPr="006B799F" w:rsidRDefault="006B799F" w:rsidP="006B799F">
      <w:pPr>
        <w:spacing w:before="100" w:beforeAutospacing="1" w:after="100" w:afterAutospacing="1" w:line="240" w:lineRule="auto"/>
        <w:outlineLvl w:val="2"/>
        <w:rPr>
          <w:rFonts w:ascii="Verdana" w:eastAsia="Times New Roman" w:hAnsi="Verdana" w:cs="Times New Roman"/>
          <w:b/>
          <w:bCs/>
          <w:sz w:val="18"/>
          <w:szCs w:val="18"/>
        </w:rPr>
      </w:pPr>
      <w:bookmarkStart w:id="2" w:name="MiniTOCBookMark3"/>
      <w:bookmarkEnd w:id="2"/>
      <w:r w:rsidRPr="006B799F">
        <w:rPr>
          <w:rFonts w:ascii="Verdana" w:eastAsia="Times New Roman" w:hAnsi="Verdana" w:cs="Times New Roman"/>
          <w:b/>
          <w:bCs/>
          <w:sz w:val="18"/>
          <w:szCs w:val="18"/>
        </w:rPr>
        <w:t>Variable Income</w:t>
      </w:r>
    </w:p>
    <w:p w:rsidR="006B799F" w:rsidRPr="006B799F" w:rsidRDefault="006B799F" w:rsidP="006B799F">
      <w:pPr>
        <w:spacing w:before="100" w:beforeAutospacing="1" w:after="100" w:afterAutospacing="1" w:line="240" w:lineRule="auto"/>
        <w:rPr>
          <w:rFonts w:ascii="Verdana" w:eastAsia="Times New Roman" w:hAnsi="Verdana" w:cs="Times New Roman"/>
          <w:b/>
          <w:bCs/>
          <w:sz w:val="18"/>
          <w:szCs w:val="18"/>
        </w:rPr>
      </w:pPr>
      <w:r w:rsidRPr="006B799F">
        <w:rPr>
          <w:rFonts w:ascii="Verdana" w:eastAsia="Times New Roman" w:hAnsi="Verdana" w:cs="Times New Roman"/>
          <w:b/>
          <w:bCs/>
          <w:sz w:val="18"/>
          <w:szCs w:val="18"/>
        </w:rPr>
        <w:t xml:space="preserve">Notes: </w:t>
      </w:r>
      <w:r w:rsidR="009B3752">
        <w:rPr>
          <w:rFonts w:ascii="Verdana" w:eastAsia="Times New Roman" w:hAnsi="Verdana" w:cs="Times New Roman"/>
          <w:b/>
          <w:bCs/>
          <w:sz w:val="18"/>
          <w:szCs w:val="18"/>
        </w:rPr>
        <w:t>Lending Direct</w:t>
      </w:r>
      <w:r w:rsidRPr="006B799F">
        <w:rPr>
          <w:rFonts w:ascii="Verdana" w:eastAsia="Times New Roman" w:hAnsi="Verdana" w:cs="Times New Roman"/>
          <w:b/>
          <w:bCs/>
          <w:sz w:val="18"/>
          <w:szCs w:val="18"/>
        </w:rPr>
        <w:t xml:space="preserve"> - Mortgage Only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Some sources of income are considered to be variable.  Analyze these types of income sources with additional care as they are subject to external influences that may be beyond the borrower's control.</w:t>
      </w:r>
    </w:p>
    <w:p w:rsidR="006B799F" w:rsidRPr="006B799F" w:rsidRDefault="006B799F" w:rsidP="006B799F">
      <w:pPr>
        <w:numPr>
          <w:ilvl w:val="0"/>
          <w:numId w:val="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used in qualifying income, variable sources must be reported separately when possible. This is especially important with commissions and bonuses. </w:t>
      </w:r>
    </w:p>
    <w:p w:rsidR="006B799F" w:rsidRPr="006B799F" w:rsidRDefault="006B799F" w:rsidP="006B799F">
      <w:pPr>
        <w:numPr>
          <w:ilvl w:val="0"/>
          <w:numId w:val="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Underwriting has the authority to determine whether a VOE is required to calculate variable sources of income. </w:t>
      </w:r>
    </w:p>
    <w:p w:rsidR="006B799F" w:rsidRPr="006B799F" w:rsidRDefault="006B799F" w:rsidP="006B799F">
      <w:pPr>
        <w:numPr>
          <w:ilvl w:val="0"/>
          <w:numId w:val="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Sufficient pay stubs or statements must be obtained to validate the monthly or annual income calculation. Typically two consecutive pay stubs are required </w:t>
      </w:r>
      <w:r w:rsidRPr="006B799F">
        <w:rPr>
          <w:rFonts w:ascii="Verdana" w:eastAsia="Times New Roman" w:hAnsi="Verdana" w:cs="Times New Roman"/>
          <w:sz w:val="18"/>
        </w:rPr>
        <w:t>although one pay stub may be allowed, subject to AUS requirements, if dated no earlier than 30 days from application date and a minimum of 30 days year-to-date earnings is documented.</w:t>
      </w:r>
      <w:r w:rsidRPr="006B799F">
        <w:rPr>
          <w:rFonts w:ascii="Verdana" w:eastAsia="Times New Roman" w:hAnsi="Verdana" w:cs="Times New Roman"/>
          <w:sz w:val="18"/>
          <w:szCs w:val="18"/>
        </w:rPr>
        <w:t xml:space="preserve"> </w:t>
      </w:r>
    </w:p>
    <w:p w:rsidR="006B799F" w:rsidRPr="006B799F" w:rsidRDefault="006B799F" w:rsidP="006B799F">
      <w:pPr>
        <w:numPr>
          <w:ilvl w:val="0"/>
          <w:numId w:val="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Use an average of the past two years' income for sources that are variable, but verified to be consistent and stable. </w:t>
      </w:r>
    </w:p>
    <w:p w:rsidR="006B799F" w:rsidRPr="006B799F" w:rsidRDefault="006B799F" w:rsidP="006B799F">
      <w:pPr>
        <w:numPr>
          <w:ilvl w:val="0"/>
          <w:numId w:val="2"/>
        </w:numPr>
        <w:spacing w:before="100" w:beforeAutospacing="1" w:after="100" w:afterAutospacing="1" w:line="240" w:lineRule="auto"/>
        <w:ind w:left="1440"/>
        <w:rPr>
          <w:rFonts w:ascii="Verdana" w:eastAsia="Times New Roman" w:hAnsi="Verdana" w:cs="Times New Roman"/>
          <w:sz w:val="18"/>
          <w:szCs w:val="18"/>
        </w:rPr>
      </w:pPr>
    </w:p>
    <w:p w:rsidR="006B799F" w:rsidRPr="006B799F" w:rsidRDefault="006B799F" w:rsidP="006B799F">
      <w:pPr>
        <w:numPr>
          <w:ilvl w:val="1"/>
          <w:numId w:val="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Underwriting feels justified in utilizing a probable amount other than the average, either higher or lower, document those considerations and include in the file any supporting documentation provided. </w:t>
      </w:r>
    </w:p>
    <w:p w:rsidR="006B799F" w:rsidRPr="006B799F" w:rsidRDefault="006B799F" w:rsidP="006B799F">
      <w:pPr>
        <w:numPr>
          <w:ilvl w:val="0"/>
          <w:numId w:val="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Tax returns may be required. </w:t>
      </w:r>
    </w:p>
    <w:p w:rsidR="006B799F" w:rsidRPr="006B799F" w:rsidRDefault="006B799F" w:rsidP="006B799F">
      <w:pPr>
        <w:numPr>
          <w:ilvl w:val="0"/>
          <w:numId w:val="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Significant increases in income should be adequately explained. </w:t>
      </w:r>
    </w:p>
    <w:p w:rsidR="006B799F" w:rsidRPr="006B799F" w:rsidRDefault="006B799F" w:rsidP="006B799F">
      <w:pPr>
        <w:numPr>
          <w:ilvl w:val="0"/>
          <w:numId w:val="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Declining income sources must be carefully analyzed should not be averaged, and an explanation for the decline should be obtained. Use the most recent lower income for qualification purposes or the income source may be determined to be ineligible for qualification purposes. </w:t>
      </w:r>
    </w:p>
    <w:p w:rsidR="006B799F" w:rsidRPr="006B799F" w:rsidRDefault="006B799F" w:rsidP="006B799F">
      <w:pPr>
        <w:numPr>
          <w:ilvl w:val="0"/>
          <w:numId w:val="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knowledge exists of negative market conditions that would suggest the income source is not sustainable, do not use it to qualify the borrower.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 w:name="MiniTOCBookMark4"/>
      <w:bookmarkEnd w:id="3"/>
      <w:r w:rsidRPr="006B799F">
        <w:rPr>
          <w:rFonts w:ascii="Verdana" w:eastAsia="Times New Roman" w:hAnsi="Verdana" w:cs="Times New Roman"/>
          <w:b/>
          <w:bCs/>
          <w:sz w:val="21"/>
          <w:szCs w:val="21"/>
        </w:rPr>
        <w:t>Income Verification Requirements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Verification is required for each applicant on all applications. Acceptable verification is written proof of the income stated by the applicant. Please refer to product guidelines in the </w:t>
      </w:r>
      <w:r w:rsidR="009B3752">
        <w:rPr>
          <w:rFonts w:ascii="Verdana" w:eastAsia="Times New Roman" w:hAnsi="Verdana" w:cs="Times New Roman"/>
          <w:sz w:val="18"/>
          <w:szCs w:val="18"/>
        </w:rPr>
        <w:t>Lending Book</w:t>
      </w:r>
      <w:r w:rsidRPr="006B799F">
        <w:rPr>
          <w:rFonts w:ascii="Verdana" w:eastAsia="Times New Roman" w:hAnsi="Verdana" w:cs="Times New Roman"/>
          <w:sz w:val="18"/>
          <w:szCs w:val="18"/>
        </w:rPr>
        <w:t>.</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lastRenderedPageBreak/>
        <w:t>Use of the term "qualify" in this policy indicates that the debt-to-income (DTI) requirement is satisfied. Income that cannot be verified is removed from the credit processing system and therefore excluded from the applicant’s qualifying income.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Notes</w:t>
      </w:r>
      <w:r w:rsidRPr="006B799F">
        <w:rPr>
          <w:rFonts w:ascii="Verdana" w:eastAsia="Times New Roman" w:hAnsi="Verdana" w:cs="Times New Roman"/>
          <w:sz w:val="18"/>
          <w:szCs w:val="18"/>
        </w:rPr>
        <w:t>:</w:t>
      </w:r>
    </w:p>
    <w:p w:rsidR="006B799F" w:rsidRPr="006B799F" w:rsidRDefault="006B799F" w:rsidP="006B799F">
      <w:pPr>
        <w:numPr>
          <w:ilvl w:val="0"/>
          <w:numId w:val="4"/>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Individual applicants providing a joint tax return for verification of unearned income (i.e., rental, interest and dividend) must provide evidence of asset ownership to use the income in qualification. </w:t>
      </w:r>
    </w:p>
    <w:p w:rsidR="006B799F" w:rsidRPr="006B799F" w:rsidRDefault="009B3752" w:rsidP="006B799F">
      <w:pPr>
        <w:numPr>
          <w:ilvl w:val="0"/>
          <w:numId w:val="4"/>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 Only</w:t>
      </w:r>
      <w:r w:rsidR="006B799F" w:rsidRPr="006B799F">
        <w:rPr>
          <w:rFonts w:ascii="Verdana" w:eastAsia="Times New Roman" w:hAnsi="Verdana" w:cs="Times New Roman"/>
          <w:sz w:val="18"/>
          <w:szCs w:val="18"/>
        </w:rPr>
        <w:t xml:space="preserve">: Documentation requirements may vary according to Automated Underwriting System (AUS) findings. AUS requirements supersede credit policy.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 w:name="MiniTOCBookMark5"/>
      <w:bookmarkEnd w:id="4"/>
      <w:r w:rsidRPr="006B799F">
        <w:rPr>
          <w:rFonts w:ascii="Verdana" w:eastAsia="Times New Roman" w:hAnsi="Verdana" w:cs="Times New Roman"/>
          <w:b/>
          <w:bCs/>
          <w:sz w:val="21"/>
          <w:szCs w:val="21"/>
        </w:rPr>
        <w:t>Acceptable Income Sources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Consider income from the sources outlined below in reviewing applications for qualification. Generally, the income must be stable with a reasonable expectation that it will recur for the lesser of the loan term or three years. In addition, declining income sources must not be averaged. Instead, the most recent, lower, income amount must be used for qualification purposes, including a documented explanation for the decrease.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w:t>
      </w:r>
      <w:r w:rsidRPr="006B799F">
        <w:rPr>
          <w:rFonts w:ascii="Verdana" w:eastAsia="Times New Roman" w:hAnsi="Verdana" w:cs="Times New Roman"/>
          <w:sz w:val="18"/>
          <w:szCs w:val="18"/>
        </w:rPr>
        <w:t xml:space="preserve">: When knowledge exists of negative market conditions that would suggest the income source is not </w:t>
      </w:r>
      <w:proofErr w:type="gramStart"/>
      <w:r w:rsidRPr="006B799F">
        <w:rPr>
          <w:rFonts w:ascii="Verdana" w:eastAsia="Times New Roman" w:hAnsi="Verdana" w:cs="Times New Roman"/>
          <w:sz w:val="18"/>
          <w:szCs w:val="18"/>
        </w:rPr>
        <w:t>sustainable,</w:t>
      </w:r>
      <w:proofErr w:type="gramEnd"/>
      <w:r w:rsidRPr="006B799F">
        <w:rPr>
          <w:rFonts w:ascii="Verdana" w:eastAsia="Times New Roman" w:hAnsi="Verdana" w:cs="Times New Roman"/>
          <w:sz w:val="18"/>
          <w:szCs w:val="18"/>
        </w:rPr>
        <w:t xml:space="preserve"> do not use it to qualify the borrower.</w:t>
      </w:r>
    </w:p>
    <w:p w:rsidR="006B799F" w:rsidRPr="006B799F" w:rsidRDefault="006B799F" w:rsidP="006B799F">
      <w:pPr>
        <w:spacing w:before="100" w:beforeAutospacing="1" w:after="100" w:afterAutospacing="1" w:line="240" w:lineRule="auto"/>
        <w:outlineLvl w:val="2"/>
        <w:rPr>
          <w:rFonts w:ascii="Verdana" w:eastAsia="Times New Roman" w:hAnsi="Verdana" w:cs="Times New Roman"/>
          <w:b/>
          <w:bCs/>
          <w:sz w:val="18"/>
          <w:szCs w:val="18"/>
        </w:rPr>
      </w:pPr>
      <w:bookmarkStart w:id="5" w:name="MiniTOCBookMark6"/>
      <w:bookmarkEnd w:id="5"/>
      <w:r w:rsidRPr="006B799F">
        <w:rPr>
          <w:rFonts w:ascii="Verdana" w:eastAsia="Times New Roman" w:hAnsi="Verdana" w:cs="Times New Roman"/>
          <w:b/>
          <w:bCs/>
          <w:sz w:val="18"/>
          <w:szCs w:val="18"/>
        </w:rPr>
        <w:t>Grossing-Up Income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Income is grossed-up when either or both of the following conditions exist:</w:t>
      </w:r>
    </w:p>
    <w:p w:rsidR="006B799F" w:rsidRPr="006B799F" w:rsidRDefault="006B799F" w:rsidP="006B799F">
      <w:pPr>
        <w:numPr>
          <w:ilvl w:val="0"/>
          <w:numId w:val="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customer provides a net amount for their wage income. </w:t>
      </w:r>
    </w:p>
    <w:p w:rsidR="006B799F" w:rsidRPr="006B799F" w:rsidRDefault="006B799F" w:rsidP="006B799F">
      <w:pPr>
        <w:numPr>
          <w:ilvl w:val="0"/>
          <w:numId w:val="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customer provides an income figure from a non-taxable source identified in the net column below. </w:t>
      </w:r>
    </w:p>
    <w:p w:rsidR="006B799F" w:rsidRPr="006B799F" w:rsidRDefault="009B3752" w:rsidP="006B799F">
      <w:pPr>
        <w:spacing w:before="100" w:beforeAutospacing="1" w:after="100" w:afterAutospacing="1" w:line="240" w:lineRule="auto"/>
        <w:ind w:left="600"/>
        <w:outlineLvl w:val="3"/>
        <w:rPr>
          <w:rFonts w:ascii="Verdana" w:eastAsia="Times New Roman" w:hAnsi="Verdana" w:cs="Times New Roman"/>
          <w:b/>
          <w:bCs/>
          <w:sz w:val="18"/>
          <w:szCs w:val="18"/>
        </w:rPr>
      </w:pPr>
      <w:bookmarkStart w:id="6" w:name="MiniTOCBookMark7"/>
      <w:bookmarkEnd w:id="6"/>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6B799F" w:rsidP="006B799F">
      <w:pPr>
        <w:spacing w:before="100" w:beforeAutospacing="1" w:after="100" w:afterAutospacing="1" w:line="240" w:lineRule="auto"/>
        <w:ind w:left="600"/>
        <w:rPr>
          <w:rFonts w:ascii="Verdana" w:eastAsia="Times New Roman" w:hAnsi="Verdana" w:cs="Times New Roman"/>
          <w:sz w:val="18"/>
          <w:szCs w:val="18"/>
        </w:rPr>
      </w:pPr>
      <w:r w:rsidRPr="006B799F">
        <w:rPr>
          <w:rFonts w:ascii="Verdana" w:eastAsia="Times New Roman" w:hAnsi="Verdana" w:cs="Times New Roman"/>
          <w:sz w:val="18"/>
          <w:szCs w:val="18"/>
        </w:rPr>
        <w:t>Gross up newly received sources of income only when the income source has been determined, via verifiable documentation, to be non taxable in all instances. See Other Income to make that determination.</w:t>
      </w:r>
    </w:p>
    <w:p w:rsidR="006B799F" w:rsidRPr="006B799F" w:rsidRDefault="0084256B" w:rsidP="006B799F">
      <w:pPr>
        <w:spacing w:before="100" w:beforeAutospacing="1" w:after="100" w:afterAutospacing="1" w:line="240" w:lineRule="auto"/>
        <w:ind w:left="600"/>
        <w:outlineLvl w:val="3"/>
        <w:rPr>
          <w:rFonts w:ascii="Verdana" w:eastAsia="Times New Roman" w:hAnsi="Verdana" w:cs="Times New Roman"/>
          <w:b/>
          <w:bCs/>
          <w:sz w:val="18"/>
          <w:szCs w:val="18"/>
        </w:rPr>
      </w:pPr>
      <w:bookmarkStart w:id="7" w:name="MiniTOCBookMark8"/>
      <w:bookmarkEnd w:id="7"/>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Home Equity  </w:t>
      </w:r>
    </w:p>
    <w:p w:rsidR="006B799F" w:rsidRPr="006B799F" w:rsidRDefault="006B799F" w:rsidP="006B799F">
      <w:pPr>
        <w:spacing w:before="100" w:beforeAutospacing="1" w:after="100" w:afterAutospacing="1" w:line="240" w:lineRule="auto"/>
        <w:ind w:left="600"/>
        <w:rPr>
          <w:rFonts w:ascii="Verdana" w:eastAsia="Times New Roman" w:hAnsi="Verdana" w:cs="Times New Roman"/>
          <w:sz w:val="18"/>
          <w:szCs w:val="18"/>
        </w:rPr>
      </w:pPr>
      <w:r w:rsidRPr="006B799F">
        <w:rPr>
          <w:rFonts w:ascii="Verdana" w:eastAsia="Times New Roman" w:hAnsi="Verdana" w:cs="Times New Roman"/>
          <w:sz w:val="18"/>
          <w:szCs w:val="18"/>
        </w:rPr>
        <w:t>Refer to the table below to determine when a source of income can be grossed-up. Use the factor 1.25 to gross-up acceptable sources.</w:t>
      </w:r>
    </w:p>
    <w:p w:rsidR="006B799F" w:rsidRPr="006B799F" w:rsidRDefault="006B799F" w:rsidP="006B799F">
      <w:pPr>
        <w:spacing w:before="100" w:beforeAutospacing="1" w:after="100" w:afterAutospacing="1" w:line="240" w:lineRule="auto"/>
        <w:ind w:left="600"/>
        <w:rPr>
          <w:rFonts w:ascii="Verdana" w:eastAsia="Times New Roman" w:hAnsi="Verdana" w:cs="Times New Roman"/>
          <w:sz w:val="18"/>
          <w:szCs w:val="18"/>
        </w:rPr>
      </w:pPr>
      <w:r w:rsidRPr="006B799F">
        <w:rPr>
          <w:rFonts w:ascii="Verdana" w:eastAsia="Times New Roman" w:hAnsi="Verdana" w:cs="Times New Roman"/>
          <w:sz w:val="18"/>
          <w:szCs w:val="18"/>
        </w:rPr>
        <w:t>To gross-up income, a copy of the most recent tax return is required to evidence the non-taxable status.</w:t>
      </w:r>
    </w:p>
    <w:tbl>
      <w:tblPr>
        <w:tblW w:w="0" w:type="auto"/>
        <w:tblCellSpacing w:w="0" w:type="dxa"/>
        <w:tblInd w:w="60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450"/>
        <w:gridCol w:w="888"/>
        <w:gridCol w:w="669"/>
      </w:tblGrid>
      <w:tr w:rsidR="006B799F" w:rsidRPr="006B799F" w:rsidTr="006B799F">
        <w:trPr>
          <w:trHeight w:val="48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b/>
                <w:bCs/>
                <w:sz w:val="18"/>
                <w:szCs w:val="18"/>
              </w:rPr>
            </w:pPr>
            <w:r w:rsidRPr="006B799F">
              <w:rPr>
                <w:rFonts w:ascii="Verdana" w:eastAsia="Times New Roman" w:hAnsi="Verdana" w:cs="Times New Roman"/>
                <w:b/>
                <w:bCs/>
                <w:sz w:val="18"/>
                <w:szCs w:val="18"/>
              </w:rPr>
              <w:t>INCOME SOURCE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vAlign w:val="cente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b/>
                <w:bCs/>
                <w:sz w:val="18"/>
                <w:szCs w:val="18"/>
              </w:rPr>
            </w:pPr>
            <w:r w:rsidRPr="006B799F">
              <w:rPr>
                <w:rFonts w:ascii="Verdana" w:eastAsia="Times New Roman" w:hAnsi="Verdana" w:cs="Times New Roman"/>
                <w:b/>
                <w:bCs/>
                <w:sz w:val="18"/>
                <w:szCs w:val="18"/>
              </w:rPr>
              <w:t>Gross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vAlign w:val="cente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b/>
                <w:bCs/>
                <w:sz w:val="18"/>
                <w:szCs w:val="18"/>
              </w:rPr>
            </w:pPr>
            <w:r w:rsidRPr="006B799F">
              <w:rPr>
                <w:rFonts w:ascii="Verdana" w:eastAsia="Times New Roman" w:hAnsi="Verdana" w:cs="Times New Roman"/>
                <w:b/>
                <w:bCs/>
                <w:sz w:val="18"/>
                <w:szCs w:val="18"/>
              </w:rPr>
              <w:t>Net</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401K Distributions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Aid to Dependent Children/Foster Care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Alimony</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Annuity</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Black Lung Benefits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Bonus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Car Allowance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Child Support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Civil Service Retirement/Civil Service Annuity</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Commission/Incentive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lastRenderedPageBreak/>
              <w:t>Disability</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7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Farm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7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Housing Allowance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Interest and Dividends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Military Allotment (Housing and Food)</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Mortgage Interest Differential</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Non-Taxable Interest</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Note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Overtime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Part-Time/Second Job</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Railroad Pension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Rental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Retirement - Pension/IRA</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Royalty/Lease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Salaried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Seasonal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Self-Employed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Social Security Retirement/SSA Benefits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1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Supplemental Security Income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Survivor Benefits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Tips and Gratuities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Trust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Unemployment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Union Members</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VA Benefits/VA Disability</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Welfare/Public Assistance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r w:rsidR="006B799F" w:rsidRPr="006B799F" w:rsidTr="006B799F">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Workers Compensation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6B799F" w:rsidRPr="006B799F" w:rsidRDefault="006B799F" w:rsidP="006B799F">
            <w:pPr>
              <w:spacing w:before="100" w:beforeAutospacing="1" w:after="100" w:afterAutospacing="1" w:line="240" w:lineRule="auto"/>
              <w:jc w:val="center"/>
              <w:rPr>
                <w:rFonts w:ascii="Verdana" w:eastAsia="Times New Roman" w:hAnsi="Verdana" w:cs="Times New Roman"/>
                <w:sz w:val="18"/>
                <w:szCs w:val="18"/>
              </w:rPr>
            </w:pPr>
            <w:r w:rsidRPr="006B799F">
              <w:rPr>
                <w:rFonts w:ascii="Verdana" w:eastAsia="Times New Roman" w:hAnsi="Verdana" w:cs="Times New Roman"/>
                <w:sz w:val="18"/>
                <w:szCs w:val="18"/>
              </w:rPr>
              <w:t>X</w:t>
            </w:r>
          </w:p>
        </w:tc>
      </w:tr>
    </w:tbl>
    <w:p w:rsidR="006B799F" w:rsidRPr="006B799F" w:rsidRDefault="006B799F" w:rsidP="006B799F">
      <w:pPr>
        <w:spacing w:before="100" w:beforeAutospacing="1" w:after="210" w:line="240" w:lineRule="auto"/>
        <w:rPr>
          <w:rFonts w:ascii="Verdana" w:eastAsia="Times New Roman" w:hAnsi="Verdana" w:cs="Times New Roman"/>
          <w:sz w:val="17"/>
          <w:szCs w:val="17"/>
        </w:rPr>
      </w:pPr>
      <w:r w:rsidRPr="006B799F">
        <w:rPr>
          <w:rFonts w:ascii="Verdana" w:eastAsia="Times New Roman" w:hAnsi="Verdana" w:cs="Times New Roman"/>
          <w:sz w:val="17"/>
          <w:szCs w:val="17"/>
        </w:rPr>
        <w:t>* A copy of the most recent tax return is not required to gross-up income.</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 w:name="MiniTOCBookMark9"/>
      <w:bookmarkEnd w:id="8"/>
      <w:r w:rsidRPr="006B799F">
        <w:rPr>
          <w:rFonts w:ascii="Verdana" w:eastAsia="Times New Roman" w:hAnsi="Verdana" w:cs="Times New Roman"/>
          <w:b/>
          <w:bCs/>
          <w:sz w:val="21"/>
          <w:szCs w:val="21"/>
        </w:rPr>
        <w:t>Multiple Income Sources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To verify multiple acceptable income sources, apply the most conservative credit policy documentation requirements.</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 w:name="MiniTOCBookMark10"/>
      <w:bookmarkEnd w:id="9"/>
      <w:r w:rsidRPr="006B799F">
        <w:rPr>
          <w:rFonts w:ascii="Verdana" w:eastAsia="Times New Roman" w:hAnsi="Verdana" w:cs="Times New Roman"/>
          <w:b/>
          <w:bCs/>
          <w:sz w:val="21"/>
          <w:szCs w:val="21"/>
        </w:rPr>
        <w:t>Income That Cannot Be Considered</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Income must be reasonable and consistent with the customer's application. When calculating an applicant's income, certain types of income cannot be considered, including use as a compensating factor. These include:</w:t>
      </w:r>
    </w:p>
    <w:p w:rsidR="006B799F" w:rsidRPr="006B799F" w:rsidRDefault="006B799F" w:rsidP="006B799F">
      <w:pPr>
        <w:numPr>
          <w:ilvl w:val="0"/>
          <w:numId w:val="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Non-verifiable income </w:t>
      </w:r>
    </w:p>
    <w:p w:rsidR="006B799F" w:rsidRPr="006B799F" w:rsidRDefault="006B799F" w:rsidP="006B799F">
      <w:pPr>
        <w:numPr>
          <w:ilvl w:val="0"/>
          <w:numId w:val="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Income of a temporary or unknown origin </w:t>
      </w:r>
    </w:p>
    <w:p w:rsidR="006B799F" w:rsidRPr="006B799F" w:rsidRDefault="006B799F" w:rsidP="006B799F">
      <w:pPr>
        <w:numPr>
          <w:ilvl w:val="0"/>
          <w:numId w:val="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Any income for a non-contractual party (for example, rental income without a lease agreement or evidenced on schedule E of the 1040) </w:t>
      </w:r>
    </w:p>
    <w:p w:rsidR="006B799F" w:rsidRPr="009B3752" w:rsidRDefault="006B799F" w:rsidP="006B799F">
      <w:pPr>
        <w:numPr>
          <w:ilvl w:val="0"/>
          <w:numId w:val="6"/>
        </w:numPr>
        <w:spacing w:before="100" w:beforeAutospacing="1" w:after="100" w:afterAutospacing="1" w:line="240" w:lineRule="auto"/>
        <w:rPr>
          <w:rFonts w:ascii="Verdana" w:eastAsia="Times New Roman" w:hAnsi="Verdana" w:cs="Times New Roman"/>
          <w:sz w:val="18"/>
          <w:szCs w:val="18"/>
        </w:rPr>
      </w:pPr>
      <w:r w:rsidRPr="009B3752">
        <w:rPr>
          <w:rFonts w:ascii="Verdana" w:eastAsia="Times New Roman" w:hAnsi="Verdana" w:cs="Times New Roman"/>
          <w:sz w:val="18"/>
          <w:szCs w:val="18"/>
        </w:rPr>
        <w:t xml:space="preserve">Income that is earned by a person who is not on the application. Income used to decision an application must be earned by the applicant(s) only. (For example, Underwriting may not use income earned by a spouse who is not on the application. To use income earned by both, spouses must be joint applicants. Income derived from illegal activities </w:t>
      </w:r>
    </w:p>
    <w:p w:rsidR="006B799F" w:rsidRPr="006B799F" w:rsidRDefault="006B799F" w:rsidP="006B799F">
      <w:pPr>
        <w:numPr>
          <w:ilvl w:val="0"/>
          <w:numId w:val="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Income received as a gift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0" w:name="MiniTOCBookMark11"/>
      <w:bookmarkStart w:id="11" w:name="Non-Taxable_Income"/>
      <w:bookmarkEnd w:id="10"/>
      <w:bookmarkEnd w:id="11"/>
      <w:r w:rsidRPr="006B799F">
        <w:rPr>
          <w:rFonts w:ascii="Verdana" w:eastAsia="Times New Roman" w:hAnsi="Verdana" w:cs="Times New Roman"/>
          <w:b/>
          <w:bCs/>
          <w:sz w:val="21"/>
          <w:szCs w:val="21"/>
        </w:rPr>
        <w:lastRenderedPageBreak/>
        <w:t>Non-Taxable Income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To gross-up income, the file must contain a complete copy of the most recently filed federal tax return evidencing the non-taxable status of the income, unless the income is from a source defined as non-taxable in all instances.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Use the factor 1.25 to gross-up acceptable sources.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w:t>
      </w:r>
      <w:r w:rsidRPr="006B799F">
        <w:rPr>
          <w:rFonts w:ascii="Verdana" w:eastAsia="Times New Roman" w:hAnsi="Verdana" w:cs="Times New Roman"/>
          <w:sz w:val="18"/>
          <w:szCs w:val="18"/>
        </w:rPr>
        <w:t>: Non-taxable interest income is usually reflected on the front page of the personal tax return.</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2" w:name="MiniTOCBookMark12"/>
      <w:bookmarkEnd w:id="12"/>
      <w:r w:rsidRPr="006B799F">
        <w:rPr>
          <w:rFonts w:ascii="Verdana" w:eastAsia="Times New Roman" w:hAnsi="Verdana" w:cs="Times New Roman"/>
          <w:b/>
          <w:bCs/>
          <w:sz w:val="21"/>
          <w:szCs w:val="21"/>
        </w:rPr>
        <w:t>Tax Return Requirements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 minimum of two years signed personal tax returns from the borrower(s), including all schedules, is required, under the following circumstances:</w:t>
      </w:r>
    </w:p>
    <w:p w:rsidR="006B799F" w:rsidRPr="006B799F" w:rsidRDefault="006B799F" w:rsidP="006B799F">
      <w:pPr>
        <w:numPr>
          <w:ilvl w:val="0"/>
          <w:numId w:val="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the tax returns are needed to verify historic qualifying income amounts for certain salaried borrowers, investment income, and additional income sources. </w:t>
      </w:r>
    </w:p>
    <w:p w:rsidR="006B799F" w:rsidRPr="006B799F" w:rsidRDefault="006B799F" w:rsidP="006B799F">
      <w:pPr>
        <w:numPr>
          <w:ilvl w:val="0"/>
          <w:numId w:val="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Self-employed borrowers (generally any borrower who owns 25% or more of a business) </w:t>
      </w:r>
    </w:p>
    <w:p w:rsidR="006B799F" w:rsidRPr="006B799F" w:rsidRDefault="006B799F" w:rsidP="006B799F">
      <w:pPr>
        <w:numPr>
          <w:ilvl w:val="0"/>
          <w:numId w:val="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For commissioned borrowers (regardless of the percent of total annual income the commission represents) </w:t>
      </w:r>
    </w:p>
    <w:p w:rsidR="006B799F" w:rsidRPr="006B799F" w:rsidRDefault="006B799F" w:rsidP="006B799F">
      <w:pPr>
        <w:numPr>
          <w:ilvl w:val="0"/>
          <w:numId w:val="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employed by a family owned business, (but not self-employed), or employed by an interested party to the property sale, </w:t>
      </w:r>
      <w:r w:rsidR="009B3752">
        <w:rPr>
          <w:rFonts w:ascii="Verdana" w:eastAsia="Times New Roman" w:hAnsi="Verdana" w:cs="Times New Roman"/>
          <w:sz w:val="18"/>
          <w:szCs w:val="18"/>
        </w:rPr>
        <w:t>purchase</w:t>
      </w:r>
      <w:r w:rsidRPr="006B799F">
        <w:rPr>
          <w:rFonts w:ascii="Verdana" w:eastAsia="Times New Roman" w:hAnsi="Verdana" w:cs="Times New Roman"/>
          <w:sz w:val="18"/>
          <w:szCs w:val="18"/>
        </w:rPr>
        <w:t xml:space="preserve">, or financing transaction, regardless of the automated underwriting system messaging.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Notes</w:t>
      </w:r>
      <w:r w:rsidRPr="006B799F">
        <w:rPr>
          <w:rFonts w:ascii="Verdana" w:eastAsia="Times New Roman" w:hAnsi="Verdana" w:cs="Times New Roman"/>
          <w:sz w:val="18"/>
          <w:szCs w:val="18"/>
        </w:rPr>
        <w:t>:</w:t>
      </w:r>
    </w:p>
    <w:p w:rsidR="006B799F" w:rsidRPr="006B799F" w:rsidRDefault="006B799F" w:rsidP="006B799F">
      <w:pPr>
        <w:numPr>
          <w:ilvl w:val="0"/>
          <w:numId w:val="8"/>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These borrowers are not eligible for reduced income documentation (full documentation only). </w:t>
      </w:r>
    </w:p>
    <w:p w:rsidR="006B799F" w:rsidRPr="006B799F" w:rsidRDefault="006B799F" w:rsidP="006B799F">
      <w:pPr>
        <w:numPr>
          <w:ilvl w:val="0"/>
          <w:numId w:val="8"/>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the borrower's original signature does not appear on the copy of the return, the borrower must sign the return prior to closing.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An executed 4506-T (IRS Tax Transcripts) may be used as an alternative to signed tax returns. See the </w:t>
      </w:r>
      <w:r w:rsidR="00841695">
        <w:rPr>
          <w:rFonts w:ascii="Verdana" w:eastAsia="Times New Roman" w:hAnsi="Verdana" w:cs="Times New Roman"/>
          <w:color w:val="006699"/>
          <w:sz w:val="18"/>
          <w:szCs w:val="18"/>
        </w:rPr>
        <w:t>Internal</w:t>
      </w:r>
      <w:r w:rsidRPr="006B799F">
        <w:rPr>
          <w:rFonts w:ascii="Verdana" w:eastAsia="Times New Roman" w:hAnsi="Verdana" w:cs="Times New Roman"/>
          <w:color w:val="006699"/>
          <w:sz w:val="18"/>
          <w:szCs w:val="18"/>
        </w:rPr>
        <w:t xml:space="preserve"> Revenue Service (IRS) Form 4506-T</w:t>
      </w:r>
      <w:r w:rsidRPr="006B799F">
        <w:rPr>
          <w:rFonts w:ascii="Verdana" w:eastAsia="Times New Roman" w:hAnsi="Verdana" w:cs="Times New Roman"/>
          <w:sz w:val="18"/>
          <w:szCs w:val="18"/>
        </w:rPr>
        <w:t xml:space="preserve"> and </w:t>
      </w:r>
      <w:hyperlink r:id="rId6" w:anchor="Use_of_Executed" w:history="1">
        <w:r w:rsidRPr="006B799F">
          <w:rPr>
            <w:rFonts w:ascii="Verdana" w:eastAsia="Times New Roman" w:hAnsi="Verdana" w:cs="Times New Roman"/>
            <w:color w:val="006699"/>
            <w:sz w:val="18"/>
            <w:szCs w:val="18"/>
          </w:rPr>
          <w:t>Use of Executed 4506-T (IRS Tax Transcripts) in Lieu of Tax Returns</w:t>
        </w:r>
      </w:hyperlink>
      <w:r w:rsidRPr="006B799F">
        <w:rPr>
          <w:rFonts w:ascii="Verdana" w:eastAsia="Times New Roman" w:hAnsi="Verdana" w:cs="Times New Roman"/>
          <w:sz w:val="18"/>
          <w:szCs w:val="18"/>
        </w:rPr>
        <w:t xml:space="preserve"> sections below for more information.</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3" w:name="MiniTOCBookMark13"/>
      <w:bookmarkEnd w:id="13"/>
      <w:r w:rsidRPr="006B799F">
        <w:rPr>
          <w:rFonts w:ascii="Verdana" w:eastAsia="Times New Roman" w:hAnsi="Verdana" w:cs="Times New Roman"/>
          <w:b/>
          <w:bCs/>
          <w:sz w:val="21"/>
          <w:szCs w:val="21"/>
        </w:rPr>
        <w:t>IRS Tax Extensions</w:t>
      </w:r>
    </w:p>
    <w:p w:rsidR="006B799F" w:rsidRPr="006B799F" w:rsidRDefault="009B3752" w:rsidP="006B799F">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Underwriting Institute</w:t>
      </w:r>
      <w:r w:rsidR="006B799F" w:rsidRPr="006B799F">
        <w:rPr>
          <w:rFonts w:ascii="Verdana" w:eastAsia="Times New Roman" w:hAnsi="Verdana" w:cs="Times New Roman"/>
          <w:sz w:val="18"/>
          <w:szCs w:val="18"/>
        </w:rPr>
        <w:t xml:space="preserve"> allows the use of IRS Tax Extensions based on the following requirements:</w:t>
      </w:r>
    </w:p>
    <w:p w:rsidR="006B799F" w:rsidRPr="006B799F" w:rsidRDefault="006B799F" w:rsidP="006B799F">
      <w:pPr>
        <w:numPr>
          <w:ilvl w:val="0"/>
          <w:numId w:val="9"/>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For applications dated prior to October 15</w:t>
      </w:r>
      <w:r w:rsidRPr="006B799F">
        <w:rPr>
          <w:rFonts w:ascii="Verdana" w:eastAsia="Times New Roman" w:hAnsi="Verdana" w:cs="Times New Roman"/>
          <w:sz w:val="14"/>
          <w:vertAlign w:val="superscript"/>
        </w:rPr>
        <w:t>th</w:t>
      </w:r>
      <w:r w:rsidRPr="006B799F">
        <w:rPr>
          <w:rFonts w:ascii="Verdana" w:eastAsia="Times New Roman" w:hAnsi="Verdana" w:cs="Times New Roman"/>
          <w:sz w:val="18"/>
          <w:szCs w:val="18"/>
        </w:rPr>
        <w:t xml:space="preserve">: </w:t>
      </w:r>
    </w:p>
    <w:p w:rsidR="006B799F" w:rsidRPr="006B799F" w:rsidRDefault="006B799F" w:rsidP="006B799F">
      <w:pPr>
        <w:numPr>
          <w:ilvl w:val="0"/>
          <w:numId w:val="9"/>
        </w:numPr>
        <w:spacing w:before="100" w:beforeAutospacing="1" w:after="100" w:afterAutospacing="1" w:line="240" w:lineRule="auto"/>
        <w:ind w:left="1440"/>
        <w:rPr>
          <w:rFonts w:ascii="Verdana" w:eastAsia="Times New Roman" w:hAnsi="Verdana" w:cs="Times New Roman"/>
          <w:sz w:val="18"/>
          <w:szCs w:val="18"/>
        </w:rPr>
      </w:pPr>
    </w:p>
    <w:p w:rsidR="006B799F" w:rsidRPr="006B799F" w:rsidRDefault="006B799F" w:rsidP="006B799F">
      <w:pPr>
        <w:numPr>
          <w:ilvl w:val="1"/>
          <w:numId w:val="10"/>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When tax returns are required and the tax filing deadline has passed without the borrower filing, obtain evidence that the borrower has filed for an extension. </w:t>
      </w:r>
    </w:p>
    <w:p w:rsidR="006B799F" w:rsidRPr="006B799F" w:rsidRDefault="006B799F" w:rsidP="006B799F">
      <w:pPr>
        <w:numPr>
          <w:ilvl w:val="0"/>
          <w:numId w:val="10"/>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For applications dated on or after October 15</w:t>
      </w:r>
      <w:r w:rsidRPr="006B799F">
        <w:rPr>
          <w:rFonts w:ascii="Verdana" w:eastAsia="Times New Roman" w:hAnsi="Verdana" w:cs="Times New Roman"/>
          <w:sz w:val="14"/>
          <w:vertAlign w:val="superscript"/>
        </w:rPr>
        <w:t>th</w:t>
      </w:r>
      <w:r w:rsidRPr="006B799F">
        <w:rPr>
          <w:rFonts w:ascii="Verdana" w:eastAsia="Times New Roman" w:hAnsi="Verdana" w:cs="Times New Roman"/>
          <w:sz w:val="18"/>
          <w:szCs w:val="18"/>
        </w:rPr>
        <w:t xml:space="preserve">: </w:t>
      </w:r>
    </w:p>
    <w:p w:rsidR="006B799F" w:rsidRPr="006B799F" w:rsidRDefault="006B799F" w:rsidP="006B799F">
      <w:pPr>
        <w:numPr>
          <w:ilvl w:val="0"/>
          <w:numId w:val="10"/>
        </w:numPr>
        <w:spacing w:before="100" w:beforeAutospacing="1" w:after="100" w:afterAutospacing="1" w:line="240" w:lineRule="auto"/>
        <w:ind w:left="1440"/>
        <w:rPr>
          <w:rFonts w:ascii="Verdana" w:eastAsia="Times New Roman" w:hAnsi="Verdana" w:cs="Times New Roman"/>
          <w:sz w:val="18"/>
          <w:szCs w:val="18"/>
        </w:rPr>
      </w:pPr>
    </w:p>
    <w:p w:rsidR="006B799F" w:rsidRPr="006B799F" w:rsidRDefault="006B799F" w:rsidP="006B799F">
      <w:pPr>
        <w:numPr>
          <w:ilvl w:val="1"/>
          <w:numId w:val="1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use of a Tax Extension is not permitted. The current year's IRS-filed Tax Return must be obtained.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4" w:name="MiniTOCBookMark14"/>
      <w:bookmarkStart w:id="15" w:name="IRS"/>
      <w:bookmarkEnd w:id="14"/>
      <w:bookmarkEnd w:id="15"/>
      <w:r w:rsidRPr="006B799F">
        <w:rPr>
          <w:rFonts w:ascii="Verdana" w:eastAsia="Times New Roman" w:hAnsi="Verdana" w:cs="Times New Roman"/>
          <w:b/>
          <w:bCs/>
          <w:sz w:val="21"/>
          <w:szCs w:val="21"/>
        </w:rPr>
        <w:t>Internal Revenue Service (IRS Tax Transcripts) form 4506-T</w:t>
      </w:r>
    </w:p>
    <w:p w:rsidR="006B799F" w:rsidRPr="006B799F" w:rsidRDefault="009B3752" w:rsidP="006B799F">
      <w:pPr>
        <w:spacing w:before="100" w:beforeAutospacing="1" w:after="100" w:afterAutospacing="1" w:line="240" w:lineRule="auto"/>
        <w:outlineLvl w:val="2"/>
        <w:rPr>
          <w:rFonts w:ascii="Verdana" w:eastAsia="Times New Roman" w:hAnsi="Verdana" w:cs="Times New Roman"/>
          <w:b/>
          <w:bCs/>
          <w:sz w:val="18"/>
          <w:szCs w:val="18"/>
        </w:rPr>
      </w:pPr>
      <w:bookmarkStart w:id="16" w:name="MiniTOCBookMark15"/>
      <w:bookmarkEnd w:id="16"/>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Obtain a completed and signed 4506-T on every application and ensure it is in the loan when submitted to Underwriting.</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In addition, execute the 4506-T and retain 2 years of IRS transcripts in the loan file when:</w:t>
      </w:r>
    </w:p>
    <w:p w:rsidR="006B799F" w:rsidRPr="006B799F" w:rsidRDefault="006B799F" w:rsidP="006B799F">
      <w:pPr>
        <w:numPr>
          <w:ilvl w:val="0"/>
          <w:numId w:val="1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lastRenderedPageBreak/>
        <w:t xml:space="preserve">Conditioned by Underwriting </w:t>
      </w:r>
    </w:p>
    <w:p w:rsidR="006B799F" w:rsidRPr="006B799F" w:rsidRDefault="006B799F" w:rsidP="006B799F">
      <w:pPr>
        <w:numPr>
          <w:ilvl w:val="0"/>
          <w:numId w:val="1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Required by the transaction </w:t>
      </w:r>
    </w:p>
    <w:p w:rsidR="006B799F" w:rsidRPr="006B799F" w:rsidRDefault="006B799F" w:rsidP="006B799F">
      <w:pPr>
        <w:numPr>
          <w:ilvl w:val="0"/>
          <w:numId w:val="12"/>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loan is Non-Agency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See </w:t>
      </w:r>
      <w:r w:rsidRPr="006B799F">
        <w:rPr>
          <w:rFonts w:ascii="Verdana" w:eastAsia="Times New Roman" w:hAnsi="Verdana" w:cs="Times New Roman"/>
          <w:color w:val="006699"/>
          <w:sz w:val="18"/>
          <w:szCs w:val="18"/>
        </w:rPr>
        <w:t>Transactions Requiring an Executed 4506-T</w:t>
      </w:r>
      <w:r w:rsidRPr="006B799F">
        <w:rPr>
          <w:rFonts w:ascii="Verdana" w:eastAsia="Times New Roman" w:hAnsi="Verdana" w:cs="Times New Roman"/>
          <w:sz w:val="18"/>
          <w:szCs w:val="18"/>
        </w:rPr>
        <w:t xml:space="preserve"> below.</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When misrepresentation is suspected, forward the file and findings to Loan Integrity Operations for review.</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See </w:t>
      </w:r>
      <w:r w:rsidRPr="006B799F">
        <w:rPr>
          <w:rFonts w:ascii="Verdana" w:eastAsia="Times New Roman" w:hAnsi="Verdana" w:cs="Times New Roman"/>
          <w:color w:val="006699"/>
          <w:sz w:val="18"/>
          <w:szCs w:val="18"/>
        </w:rPr>
        <w:t>4506-T Requirements</w:t>
      </w:r>
      <w:r w:rsidRPr="006B799F">
        <w:rPr>
          <w:rFonts w:ascii="Verdana" w:eastAsia="Times New Roman" w:hAnsi="Verdana" w:cs="Times New Roman"/>
          <w:sz w:val="18"/>
          <w:szCs w:val="18"/>
        </w:rPr>
        <w:t xml:space="preserve"> for relevant procedures.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See </w:t>
      </w:r>
      <w:r w:rsidRPr="006B799F">
        <w:rPr>
          <w:rFonts w:ascii="Verdana" w:eastAsia="Times New Roman" w:hAnsi="Verdana" w:cs="Times New Roman"/>
          <w:color w:val="006699"/>
          <w:sz w:val="18"/>
          <w:szCs w:val="18"/>
        </w:rPr>
        <w:t>IRS 4506-T</w:t>
      </w:r>
      <w:r w:rsidRPr="006B799F">
        <w:rPr>
          <w:rFonts w:ascii="Verdana" w:eastAsia="Times New Roman" w:hAnsi="Verdana" w:cs="Times New Roman"/>
          <w:sz w:val="18"/>
          <w:szCs w:val="18"/>
        </w:rPr>
        <w:t xml:space="preserve"> for an electronic copy of the form.</w:t>
      </w:r>
    </w:p>
    <w:p w:rsidR="006B799F" w:rsidRPr="006B799F" w:rsidRDefault="0084256B" w:rsidP="006B799F">
      <w:pPr>
        <w:spacing w:before="100" w:beforeAutospacing="1" w:after="100" w:afterAutospacing="1" w:line="240" w:lineRule="auto"/>
        <w:outlineLvl w:val="2"/>
        <w:rPr>
          <w:rFonts w:ascii="Verdana" w:eastAsia="Times New Roman" w:hAnsi="Verdana" w:cs="Times New Roman"/>
          <w:b/>
          <w:bCs/>
          <w:sz w:val="18"/>
          <w:szCs w:val="18"/>
        </w:rPr>
      </w:pPr>
      <w:bookmarkStart w:id="17" w:name="MiniTOCBookMark16"/>
      <w:bookmarkEnd w:id="17"/>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Home Equity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Obtain a completed and signed 4506-T on every conditionally-approved application. For a final-approved transaction, the completed form must be retained in the loan file.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In addition, execute the 4506-T and retain 2 years of IRS transcripts in the loan file when:</w:t>
      </w:r>
    </w:p>
    <w:p w:rsidR="006B799F" w:rsidRPr="006B799F" w:rsidRDefault="006B799F" w:rsidP="006B799F">
      <w:pPr>
        <w:numPr>
          <w:ilvl w:val="0"/>
          <w:numId w:val="1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Conditioned by Underwriting </w:t>
      </w:r>
    </w:p>
    <w:p w:rsidR="006B799F" w:rsidRPr="006B799F" w:rsidRDefault="006B799F" w:rsidP="006B799F">
      <w:pPr>
        <w:numPr>
          <w:ilvl w:val="0"/>
          <w:numId w:val="13"/>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Required by the transaction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See </w:t>
      </w:r>
      <w:r w:rsidRPr="006B799F">
        <w:rPr>
          <w:rFonts w:ascii="Verdana" w:eastAsia="Times New Roman" w:hAnsi="Verdana" w:cs="Times New Roman"/>
          <w:color w:val="006699"/>
          <w:sz w:val="18"/>
          <w:szCs w:val="18"/>
        </w:rPr>
        <w:t>Transactions Requiring an Executed 4506-T</w:t>
      </w:r>
      <w:r w:rsidRPr="006B799F">
        <w:rPr>
          <w:rFonts w:ascii="Verdana" w:eastAsia="Times New Roman" w:hAnsi="Verdana" w:cs="Times New Roman"/>
          <w:sz w:val="18"/>
          <w:szCs w:val="18"/>
        </w:rPr>
        <w:t xml:space="preserve"> below.</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When misrepresentation is suspected, forward the file and findings to Loan Integrity Operations for review.</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8" w:name="MiniTOCBookMark17"/>
      <w:bookmarkStart w:id="19" w:name="Use_of_Executed"/>
      <w:bookmarkEnd w:id="18"/>
      <w:bookmarkEnd w:id="19"/>
      <w:r w:rsidRPr="006B799F">
        <w:rPr>
          <w:rFonts w:ascii="Verdana" w:eastAsia="Times New Roman" w:hAnsi="Verdana" w:cs="Times New Roman"/>
          <w:b/>
          <w:bCs/>
          <w:sz w:val="21"/>
          <w:szCs w:val="21"/>
        </w:rPr>
        <w:t>Use of Executed 4506-T (IRS Tax Transcripts) in Lieu of Tax Returns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Unless restricted by a specific Product Guide, Agency, Non-Agency and Home Equity products allow for the use of an executed 4506-T (IRS Tax Transcripts) as an alternative to obtaining the borrower’s signed and dated personal and/or business tax returns to document qualifying income for sources normally requiring tax returns.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Additionally, when the loan file contains unsigned tax returns, an executed 4506-T (IRS Tax Transcripts) may be used as an alternative to requiring the tax returns to be signed.</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The following requirements apply:</w:t>
      </w:r>
    </w:p>
    <w:p w:rsidR="006B799F" w:rsidRPr="006B799F" w:rsidRDefault="006B799F" w:rsidP="006B799F">
      <w:pPr>
        <w:numPr>
          <w:ilvl w:val="0"/>
          <w:numId w:val="14"/>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IRS Tax Transcripts must be obtained directly from the IRS by </w:t>
      </w:r>
      <w:r w:rsidR="0084256B">
        <w:rPr>
          <w:rFonts w:ascii="Verdana" w:eastAsia="Times New Roman" w:hAnsi="Verdana" w:cs="Times New Roman"/>
          <w:sz w:val="18"/>
          <w:szCs w:val="18"/>
        </w:rPr>
        <w:t>the Lender</w:t>
      </w:r>
      <w:r w:rsidRPr="006B799F">
        <w:rPr>
          <w:rFonts w:ascii="Verdana" w:eastAsia="Times New Roman" w:hAnsi="Verdana" w:cs="Times New Roman"/>
          <w:sz w:val="18"/>
          <w:szCs w:val="18"/>
        </w:rPr>
        <w:t xml:space="preserve">, or through an approved vendor, by using a fully executed 4506-T. </w:t>
      </w:r>
    </w:p>
    <w:p w:rsidR="006B799F" w:rsidRPr="006B799F" w:rsidRDefault="006B799F" w:rsidP="006B799F">
      <w:pPr>
        <w:numPr>
          <w:ilvl w:val="0"/>
          <w:numId w:val="14"/>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IRS Tax Transcripts must meet the required number of years for qualification of the specific income source. </w:t>
      </w:r>
    </w:p>
    <w:p w:rsidR="006B799F" w:rsidRPr="006B799F" w:rsidRDefault="006B799F" w:rsidP="006B799F">
      <w:pPr>
        <w:numPr>
          <w:ilvl w:val="0"/>
          <w:numId w:val="14"/>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IRS Tax Transcripts must contain the same information that would be required by Agency guidelines, and would normally be included in the borrower’s official IRS Tax Returns, including all applicable schedules.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i/>
          <w:iCs/>
          <w:sz w:val="18"/>
          <w:szCs w:val="18"/>
        </w:rPr>
        <w:t>All</w:t>
      </w:r>
      <w:r w:rsidRPr="006B799F">
        <w:rPr>
          <w:rFonts w:ascii="Verdana" w:eastAsia="Times New Roman" w:hAnsi="Verdana" w:cs="Times New Roman"/>
          <w:sz w:val="18"/>
          <w:szCs w:val="18"/>
        </w:rPr>
        <w:t xml:space="preserve"> of the above requirements must be met, or complete signed and dated tax returns are required.</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w:t>
      </w:r>
      <w:r w:rsidRPr="006B799F">
        <w:rPr>
          <w:rFonts w:ascii="Verdana" w:eastAsia="Times New Roman" w:hAnsi="Verdana" w:cs="Times New Roman"/>
          <w:sz w:val="18"/>
          <w:szCs w:val="18"/>
        </w:rPr>
        <w:t>: The IRS Tax Transcripts may also be used in lieu of IRS W-2 Forms when all of the required information is contained in them.</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Click for procedures.</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0" w:name="MiniTOCBookMark18"/>
      <w:bookmarkStart w:id="21" w:name="Transactions_Requiring_an_Executed_4506-"/>
      <w:bookmarkStart w:id="22" w:name="Transactions"/>
      <w:bookmarkEnd w:id="20"/>
      <w:bookmarkEnd w:id="21"/>
      <w:bookmarkEnd w:id="22"/>
      <w:r w:rsidRPr="006B799F">
        <w:rPr>
          <w:rFonts w:ascii="Verdana" w:eastAsia="Times New Roman" w:hAnsi="Verdana" w:cs="Times New Roman"/>
          <w:b/>
          <w:bCs/>
          <w:sz w:val="21"/>
          <w:szCs w:val="21"/>
        </w:rPr>
        <w:t>Transactions Requiring an Executed 4506-T</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lastRenderedPageBreak/>
        <w:t xml:space="preserve">An executed 4506-T is a borrower-completed and signed form that has been processed by the IRS and contains income information for the years requested; two (2) years of income must be requested. </w:t>
      </w:r>
      <w:r w:rsidR="009B3752">
        <w:rPr>
          <w:rFonts w:ascii="Verdana" w:eastAsia="Times New Roman" w:hAnsi="Verdana" w:cs="Times New Roman"/>
          <w:sz w:val="18"/>
          <w:szCs w:val="18"/>
        </w:rPr>
        <w:t>Lending Book</w:t>
      </w:r>
      <w:r w:rsidRPr="006B799F">
        <w:rPr>
          <w:rFonts w:ascii="Verdana" w:eastAsia="Times New Roman" w:hAnsi="Verdana" w:cs="Times New Roman"/>
          <w:sz w:val="18"/>
          <w:szCs w:val="18"/>
        </w:rPr>
        <w:t xml:space="preserve"> uses an approved vendor as our access point into the IRS.</w:t>
      </w:r>
    </w:p>
    <w:p w:rsidR="006B799F" w:rsidRPr="006B799F" w:rsidRDefault="009B3752" w:rsidP="006B799F">
      <w:pPr>
        <w:spacing w:before="100" w:beforeAutospacing="1" w:after="100" w:afterAutospacing="1" w:line="240" w:lineRule="auto"/>
        <w:outlineLvl w:val="2"/>
        <w:rPr>
          <w:rFonts w:ascii="Verdana" w:eastAsia="Times New Roman" w:hAnsi="Verdana" w:cs="Times New Roman"/>
          <w:b/>
          <w:bCs/>
          <w:sz w:val="18"/>
          <w:szCs w:val="18"/>
        </w:rPr>
      </w:pPr>
      <w:bookmarkStart w:id="23" w:name="MiniTOCBookMark19"/>
      <w:bookmarkEnd w:id="23"/>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w:t>
      </w:r>
      <w:r w:rsidRPr="006B799F">
        <w:rPr>
          <w:rFonts w:ascii="Verdana" w:eastAsia="Times New Roman" w:hAnsi="Verdana" w:cs="Times New Roman"/>
          <w:sz w:val="18"/>
          <w:szCs w:val="18"/>
        </w:rPr>
        <w:t>: An executed 4506-T is required on all Non-Agency loan transactions.</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All transactions and borrower types listed below require an executed 4506-T, unless an exempt loan type:</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All Non-Agency loan products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Self-employed borrowers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employed by a family member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who currently own rental property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currently employed in the mortgage or real estate industries (including but not limited to real estate sales, property management, a mortgage broker, mortgage banker or operations staff, a real estate investor, or a builder or developer)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appearing to have a real estate speculation or straw buyer profile, as evidenced by multiple mortgages appearing on the credit report for short durations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 party to a non-arm's length transaction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Financing on a distressed property, including financing properties that are short sales or REOs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secured against properties located in the state of Florida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in which stated owner occupancy is determined to be questionable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identified by </w:t>
      </w:r>
      <w:r w:rsidR="0084256B">
        <w:rPr>
          <w:rFonts w:ascii="Verdana" w:eastAsia="Times New Roman" w:hAnsi="Verdana" w:cs="Times New Roman"/>
          <w:sz w:val="18"/>
          <w:szCs w:val="18"/>
        </w:rPr>
        <w:t>High Risk</w:t>
      </w:r>
      <w:r w:rsidRPr="006B799F">
        <w:rPr>
          <w:rFonts w:ascii="Verdana" w:eastAsia="Times New Roman" w:hAnsi="Verdana" w:cs="Times New Roman"/>
          <w:sz w:val="18"/>
          <w:szCs w:val="18"/>
        </w:rPr>
        <w:t xml:space="preserve"> as "High Risk" Employment/Income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shd w:val="clear" w:color="auto" w:fill="FFFFFF"/>
        </w:rPr>
        <w:t>Borrowers with prior serious derogatory credit issues (Foreclosure, Bankruptcy or Short Sale/Forgiveness of debt) in past 48 months</w:t>
      </w:r>
      <w:r w:rsidRPr="006B799F">
        <w:rPr>
          <w:rFonts w:ascii="Verdana" w:eastAsia="Times New Roman" w:hAnsi="Verdana" w:cs="Times New Roman"/>
          <w:sz w:val="18"/>
          <w:szCs w:val="18"/>
        </w:rPr>
        <w:t xml:space="preserve">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All Conventional Loan transactions Requiring Private Mortgage Insurance (LTV greater than 80%)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All non-owner occupied and Second/Vacation Homes loans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Transactions involving Conversion of Primary Residence (see </w:t>
      </w:r>
      <w:r w:rsidRPr="006B799F">
        <w:rPr>
          <w:rFonts w:ascii="Verdana" w:eastAsia="Times New Roman" w:hAnsi="Verdana" w:cs="Times New Roman"/>
          <w:color w:val="006699"/>
          <w:sz w:val="18"/>
        </w:rPr>
        <w:t>Conversion of Primary Residence</w:t>
      </w:r>
      <w:r w:rsidRPr="006B799F">
        <w:rPr>
          <w:rFonts w:ascii="Verdana" w:eastAsia="Times New Roman" w:hAnsi="Verdana" w:cs="Times New Roman"/>
          <w:sz w:val="18"/>
          <w:szCs w:val="18"/>
        </w:rPr>
        <w:t xml:space="preserve">)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All cash out refinance transactions, excluding: </w:t>
      </w:r>
    </w:p>
    <w:p w:rsidR="006B799F" w:rsidRPr="006B799F" w:rsidRDefault="006B799F" w:rsidP="006B799F">
      <w:pPr>
        <w:numPr>
          <w:ilvl w:val="0"/>
          <w:numId w:val="15"/>
        </w:numPr>
        <w:spacing w:before="100" w:beforeAutospacing="1" w:after="100" w:afterAutospacing="1" w:line="240" w:lineRule="auto"/>
        <w:ind w:left="1440"/>
        <w:rPr>
          <w:rFonts w:ascii="Verdana" w:eastAsia="Times New Roman" w:hAnsi="Verdana" w:cs="Times New Roman"/>
          <w:sz w:val="18"/>
          <w:szCs w:val="18"/>
        </w:rPr>
      </w:pPr>
    </w:p>
    <w:p w:rsidR="006B799F" w:rsidRPr="006B799F" w:rsidRDefault="006B799F" w:rsidP="006B799F">
      <w:pPr>
        <w:numPr>
          <w:ilvl w:val="1"/>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VA IRRRL transactions </w:t>
      </w:r>
    </w:p>
    <w:p w:rsidR="006B799F" w:rsidRPr="006B799F" w:rsidRDefault="006B799F" w:rsidP="006B799F">
      <w:pPr>
        <w:numPr>
          <w:ilvl w:val="1"/>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VA refinances paying off only liens secured by the subject property and with less than $500 cash back to borrower </w:t>
      </w:r>
    </w:p>
    <w:p w:rsidR="006B799F" w:rsidRPr="006B799F" w:rsidRDefault="006B799F" w:rsidP="006B799F">
      <w:pPr>
        <w:numPr>
          <w:ilvl w:val="0"/>
          <w:numId w:val="15"/>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Any loan where the LTV exceeds 70%, and any of these conditions exist: </w:t>
      </w:r>
    </w:p>
    <w:p w:rsidR="006B799F" w:rsidRPr="006B799F" w:rsidRDefault="006B799F" w:rsidP="006B799F">
      <w:pPr>
        <w:numPr>
          <w:ilvl w:val="0"/>
          <w:numId w:val="15"/>
        </w:numPr>
        <w:spacing w:before="100" w:beforeAutospacing="1" w:after="100" w:afterAutospacing="1" w:line="240" w:lineRule="auto"/>
        <w:ind w:left="1440"/>
        <w:rPr>
          <w:rFonts w:ascii="Verdana" w:eastAsia="Times New Roman" w:hAnsi="Verdana" w:cs="Times New Roman"/>
          <w:sz w:val="18"/>
          <w:szCs w:val="18"/>
        </w:rPr>
      </w:pPr>
    </w:p>
    <w:p w:rsidR="006B799F" w:rsidRPr="006B799F" w:rsidRDefault="006B799F" w:rsidP="006B799F">
      <w:pPr>
        <w:numPr>
          <w:ilvl w:val="1"/>
          <w:numId w:val="1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3-4 Unit Properties </w:t>
      </w:r>
    </w:p>
    <w:p w:rsidR="006B799F" w:rsidRPr="006B799F" w:rsidRDefault="006B799F" w:rsidP="006B799F">
      <w:pPr>
        <w:numPr>
          <w:ilvl w:val="1"/>
          <w:numId w:val="1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DTI greater than 40% (excludes FHA and VA loans) </w:t>
      </w:r>
    </w:p>
    <w:p w:rsidR="006B799F" w:rsidRPr="006B799F" w:rsidRDefault="006B799F" w:rsidP="006B799F">
      <w:pPr>
        <w:numPr>
          <w:ilvl w:val="1"/>
          <w:numId w:val="16"/>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Less than six (6) months liquid reserves (</w:t>
      </w:r>
      <w:r w:rsidR="0084256B">
        <w:rPr>
          <w:rFonts w:ascii="Verdana" w:eastAsia="Times New Roman" w:hAnsi="Verdana" w:cs="Times New Roman"/>
          <w:sz w:val="18"/>
          <w:szCs w:val="18"/>
        </w:rPr>
        <w:t>purchase</w:t>
      </w:r>
      <w:r w:rsidRPr="006B799F">
        <w:rPr>
          <w:rFonts w:ascii="Verdana" w:eastAsia="Times New Roman" w:hAnsi="Verdana" w:cs="Times New Roman"/>
          <w:sz w:val="18"/>
          <w:szCs w:val="18"/>
        </w:rPr>
        <w:t xml:space="preserve"> transactions only, and excludes FHA and VA Loans) </w:t>
      </w:r>
    </w:p>
    <w:p w:rsidR="006B799F" w:rsidRPr="006B799F" w:rsidRDefault="0084256B" w:rsidP="006B799F">
      <w:pPr>
        <w:spacing w:before="100" w:beforeAutospacing="1" w:after="100" w:afterAutospacing="1" w:line="240" w:lineRule="auto"/>
        <w:outlineLvl w:val="2"/>
        <w:rPr>
          <w:rFonts w:ascii="Verdana" w:eastAsia="Times New Roman" w:hAnsi="Verdana" w:cs="Times New Roman"/>
          <w:b/>
          <w:bCs/>
          <w:sz w:val="18"/>
          <w:szCs w:val="18"/>
        </w:rPr>
      </w:pPr>
      <w:bookmarkStart w:id="24" w:name="MiniTOCBookMark20"/>
      <w:bookmarkEnd w:id="24"/>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Home Equity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All transactions and borrower types listed below require an executed 4506-T, unless an exempt loan type:</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Self-employed borrowers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employed by a family member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who currently own rental property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currently employed in the mortgage or real estate industries (including but not limited to real estate sales, property management, a mortgage broker, mortgage banker or operations staff, a real estate investor, or a builder or developer)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appearing to have a real estate speculation profile, as evidenced by multiple mortgages appearing on the credit report for short durations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secured against properties located in the state of Florida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in which stated owner occupancy is determined to be questionable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Loans identified by </w:t>
      </w:r>
      <w:r w:rsidR="0084256B">
        <w:rPr>
          <w:rFonts w:ascii="Verdana" w:eastAsia="Times New Roman" w:hAnsi="Verdana" w:cs="Times New Roman"/>
          <w:sz w:val="18"/>
          <w:szCs w:val="18"/>
        </w:rPr>
        <w:t>High Risk</w:t>
      </w:r>
      <w:r w:rsidRPr="006B799F">
        <w:rPr>
          <w:rFonts w:ascii="Verdana" w:eastAsia="Times New Roman" w:hAnsi="Verdana" w:cs="Times New Roman"/>
          <w:sz w:val="18"/>
          <w:szCs w:val="18"/>
        </w:rPr>
        <w:t xml:space="preserve"> as "High Risk" Employment/Income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Borrowers with prior serious derogatory credit issues (Foreclosure, Bankruptcy or Short Sale/Forgiveness of debt) in past 48 months </w:t>
      </w:r>
    </w:p>
    <w:p w:rsidR="006B799F" w:rsidRPr="006B799F" w:rsidRDefault="006B799F" w:rsidP="006B799F">
      <w:pPr>
        <w:numPr>
          <w:ilvl w:val="0"/>
          <w:numId w:val="17"/>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lastRenderedPageBreak/>
        <w:t xml:space="preserve">Any loan where the LTV exceeds 70% and DTI greater than 40%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5" w:name="MiniTOCBookMark21"/>
      <w:bookmarkEnd w:id="25"/>
      <w:r w:rsidRPr="006B799F">
        <w:rPr>
          <w:rFonts w:ascii="Verdana" w:eastAsia="Times New Roman" w:hAnsi="Verdana" w:cs="Times New Roman"/>
          <w:b/>
          <w:bCs/>
          <w:sz w:val="21"/>
          <w:szCs w:val="21"/>
        </w:rPr>
        <w:t>Exempt Loan Types</w:t>
      </w:r>
    </w:p>
    <w:p w:rsidR="006B799F" w:rsidRPr="006B799F" w:rsidRDefault="009B3752" w:rsidP="006B799F">
      <w:pPr>
        <w:spacing w:before="100" w:beforeAutospacing="1" w:after="100" w:afterAutospacing="1" w:line="240" w:lineRule="auto"/>
        <w:outlineLvl w:val="2"/>
        <w:rPr>
          <w:rFonts w:ascii="Verdana" w:eastAsia="Times New Roman" w:hAnsi="Verdana" w:cs="Times New Roman"/>
          <w:b/>
          <w:bCs/>
          <w:sz w:val="18"/>
          <w:szCs w:val="18"/>
        </w:rPr>
      </w:pPr>
      <w:bookmarkStart w:id="26" w:name="MiniTOCBookMark22"/>
      <w:bookmarkEnd w:id="26"/>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following loan type and program is </w:t>
      </w:r>
      <w:proofErr w:type="gramStart"/>
      <w:r w:rsidRPr="006B799F">
        <w:rPr>
          <w:rFonts w:ascii="Verdana" w:eastAsia="Times New Roman" w:hAnsi="Verdana" w:cs="Times New Roman"/>
          <w:sz w:val="18"/>
          <w:szCs w:val="18"/>
        </w:rPr>
        <w:t>exempt</w:t>
      </w:r>
      <w:proofErr w:type="gramEnd"/>
      <w:r w:rsidRPr="006B799F">
        <w:rPr>
          <w:rFonts w:ascii="Verdana" w:eastAsia="Times New Roman" w:hAnsi="Verdana" w:cs="Times New Roman"/>
          <w:sz w:val="18"/>
          <w:szCs w:val="18"/>
        </w:rPr>
        <w:t xml:space="preserve"> from a 4506-T at time of application and closing and therefore also exempt from execution:</w:t>
      </w:r>
    </w:p>
    <w:p w:rsidR="006B799F" w:rsidRPr="006B799F" w:rsidRDefault="006B799F" w:rsidP="006B799F">
      <w:pPr>
        <w:numPr>
          <w:ilvl w:val="0"/>
          <w:numId w:val="18"/>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Agency Streamline HARP refinance loans (</w:t>
      </w:r>
      <w:proofErr w:type="spellStart"/>
      <w:r w:rsidRPr="006B799F">
        <w:rPr>
          <w:rFonts w:ascii="Verdana" w:eastAsia="Times New Roman" w:hAnsi="Verdana" w:cs="Times New Roman"/>
          <w:sz w:val="18"/>
          <w:szCs w:val="18"/>
        </w:rPr>
        <w:t>Refi</w:t>
      </w:r>
      <w:proofErr w:type="spellEnd"/>
      <w:r w:rsidRPr="006B799F">
        <w:rPr>
          <w:rFonts w:ascii="Verdana" w:eastAsia="Times New Roman" w:hAnsi="Verdana" w:cs="Times New Roman"/>
          <w:sz w:val="18"/>
          <w:szCs w:val="18"/>
        </w:rPr>
        <w:t xml:space="preserve"> Plus and Relief </w:t>
      </w:r>
      <w:proofErr w:type="spellStart"/>
      <w:r w:rsidRPr="006B799F">
        <w:rPr>
          <w:rFonts w:ascii="Verdana" w:eastAsia="Times New Roman" w:hAnsi="Verdana" w:cs="Times New Roman"/>
          <w:sz w:val="18"/>
          <w:szCs w:val="18"/>
        </w:rPr>
        <w:t>Refi</w:t>
      </w:r>
      <w:proofErr w:type="spellEnd"/>
      <w:r w:rsidRPr="006B799F">
        <w:rPr>
          <w:rFonts w:ascii="Verdana" w:eastAsia="Times New Roman" w:hAnsi="Verdana" w:cs="Times New Roman"/>
          <w:sz w:val="18"/>
          <w:szCs w:val="18"/>
        </w:rPr>
        <w:t>) not requiring income qualification (i.e. payment shock &lt;= 120%)</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The following loan types and programs are exempt only from 4506-T </w:t>
      </w:r>
      <w:r w:rsidRPr="006B799F">
        <w:rPr>
          <w:rFonts w:ascii="Verdana" w:eastAsia="Times New Roman" w:hAnsi="Verdana" w:cs="Times New Roman"/>
          <w:b/>
          <w:bCs/>
          <w:sz w:val="18"/>
          <w:szCs w:val="18"/>
        </w:rPr>
        <w:t>execution</w:t>
      </w:r>
      <w:r w:rsidRPr="006B799F">
        <w:rPr>
          <w:rFonts w:ascii="Verdana" w:eastAsia="Times New Roman" w:hAnsi="Verdana" w:cs="Times New Roman"/>
          <w:sz w:val="18"/>
          <w:szCs w:val="18"/>
        </w:rPr>
        <w:t xml:space="preserve"> but still require a completed and signed 4506-T be obtained at time of application and closing:</w:t>
      </w:r>
    </w:p>
    <w:p w:rsidR="006B799F" w:rsidRPr="006B799F" w:rsidRDefault="006B799F" w:rsidP="006B799F">
      <w:pPr>
        <w:numPr>
          <w:ilvl w:val="0"/>
          <w:numId w:val="19"/>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VA non-credit qualifying IRRRL loans </w:t>
      </w:r>
    </w:p>
    <w:p w:rsidR="006B799F" w:rsidRPr="006B799F" w:rsidRDefault="009B3752" w:rsidP="006B799F">
      <w:pPr>
        <w:numPr>
          <w:ilvl w:val="0"/>
          <w:numId w:val="19"/>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Underwriting Institute</w:t>
      </w:r>
      <w:r w:rsidR="006B799F" w:rsidRPr="006B799F">
        <w:rPr>
          <w:rFonts w:ascii="Verdana" w:eastAsia="Times New Roman" w:hAnsi="Verdana" w:cs="Times New Roman"/>
          <w:sz w:val="18"/>
          <w:szCs w:val="18"/>
        </w:rPr>
        <w:t xml:space="preserve"> employee loans (Underwriting retains discretion to execute 4506-T for other reasons) </w:t>
      </w:r>
    </w:p>
    <w:p w:rsidR="006B799F" w:rsidRPr="006B799F" w:rsidRDefault="0084256B" w:rsidP="006B799F">
      <w:pPr>
        <w:spacing w:before="100" w:beforeAutospacing="1" w:after="100" w:afterAutospacing="1" w:line="240" w:lineRule="auto"/>
        <w:outlineLvl w:val="2"/>
        <w:rPr>
          <w:rFonts w:ascii="Verdana" w:eastAsia="Times New Roman" w:hAnsi="Verdana" w:cs="Times New Roman"/>
          <w:b/>
          <w:bCs/>
          <w:sz w:val="18"/>
          <w:szCs w:val="18"/>
        </w:rPr>
      </w:pPr>
      <w:bookmarkStart w:id="27" w:name="MiniTOCBookMark23"/>
      <w:bookmarkEnd w:id="27"/>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Home Equity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See the </w:t>
      </w:r>
      <w:r w:rsidRPr="006B799F">
        <w:rPr>
          <w:rFonts w:ascii="Verdana" w:eastAsia="Times New Roman" w:hAnsi="Verdana" w:cs="Times New Roman"/>
          <w:color w:val="006699"/>
          <w:sz w:val="18"/>
          <w:szCs w:val="18"/>
        </w:rPr>
        <w:t>Exceptions</w:t>
      </w:r>
      <w:r w:rsidRPr="006B799F">
        <w:rPr>
          <w:rFonts w:ascii="Verdana" w:eastAsia="Times New Roman" w:hAnsi="Verdana" w:cs="Times New Roman"/>
          <w:sz w:val="18"/>
          <w:szCs w:val="18"/>
        </w:rPr>
        <w:t xml:space="preserve"> section below.</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The following loan types are exempt from 4506-T execution but still require a completed and signed 4506-T be retained in the loan file:</w:t>
      </w:r>
    </w:p>
    <w:p w:rsidR="006B799F" w:rsidRPr="006B799F" w:rsidRDefault="0084256B" w:rsidP="0084256B">
      <w:pPr>
        <w:spacing w:before="100" w:beforeAutospacing="1" w:after="100" w:afterAutospacing="1" w:line="240" w:lineRule="auto"/>
        <w:ind w:left="720"/>
        <w:rPr>
          <w:rFonts w:ascii="Verdana" w:eastAsia="Times New Roman" w:hAnsi="Verdana" w:cs="Times New Roman"/>
          <w:sz w:val="18"/>
          <w:szCs w:val="18"/>
        </w:rPr>
      </w:pPr>
      <w:r>
        <w:rPr>
          <w:rFonts w:ascii="Verdana" w:eastAsia="Times New Roman" w:hAnsi="Verdana" w:cs="Times New Roman"/>
          <w:sz w:val="18"/>
          <w:szCs w:val="18"/>
        </w:rPr>
        <w:t>E</w:t>
      </w:r>
      <w:r w:rsidR="006B799F" w:rsidRPr="006B799F">
        <w:rPr>
          <w:rFonts w:ascii="Verdana" w:eastAsia="Times New Roman" w:hAnsi="Verdana" w:cs="Times New Roman"/>
          <w:sz w:val="18"/>
          <w:szCs w:val="18"/>
        </w:rPr>
        <w:t xml:space="preserve">mployee loans (Underwriting has discretion to execute for other reasons) </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8" w:name="MiniTOCBookMark24"/>
      <w:bookmarkEnd w:id="28"/>
      <w:r w:rsidRPr="006B799F">
        <w:rPr>
          <w:rFonts w:ascii="Verdana" w:eastAsia="Times New Roman" w:hAnsi="Verdana" w:cs="Times New Roman"/>
          <w:b/>
          <w:bCs/>
          <w:sz w:val="21"/>
          <w:szCs w:val="21"/>
        </w:rPr>
        <w:t>Borrower's Application - FNMA 1003/FHLMC 65 (Financial Statement)</w:t>
      </w:r>
    </w:p>
    <w:p w:rsidR="006B799F" w:rsidRPr="006B799F" w:rsidRDefault="009B3752" w:rsidP="006B799F">
      <w:pPr>
        <w:spacing w:before="100" w:beforeAutospacing="1" w:after="100" w:afterAutospacing="1" w:line="240" w:lineRule="auto"/>
        <w:outlineLvl w:val="2"/>
        <w:rPr>
          <w:rFonts w:ascii="Verdana" w:eastAsia="Times New Roman" w:hAnsi="Verdana" w:cs="Times New Roman"/>
          <w:b/>
          <w:bCs/>
          <w:sz w:val="18"/>
          <w:szCs w:val="18"/>
        </w:rPr>
      </w:pPr>
      <w:bookmarkStart w:id="29" w:name="MiniTOCBookMark25"/>
      <w:bookmarkEnd w:id="29"/>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9B3752" w:rsidP="006B799F">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4256B">
        <w:rPr>
          <w:rFonts w:ascii="Verdana" w:eastAsia="Times New Roman" w:hAnsi="Verdana" w:cs="Times New Roman"/>
          <w:sz w:val="18"/>
          <w:szCs w:val="18"/>
        </w:rPr>
        <w:t>guidelines</w:t>
      </w:r>
      <w:r w:rsidR="006B799F" w:rsidRPr="006B799F">
        <w:rPr>
          <w:rFonts w:ascii="Verdana" w:eastAsia="Times New Roman" w:hAnsi="Verdana" w:cs="Times New Roman"/>
          <w:sz w:val="18"/>
          <w:szCs w:val="18"/>
        </w:rPr>
        <w:t xml:space="preserve"> require an initial application for all borrowers. The application:</w:t>
      </w:r>
    </w:p>
    <w:p w:rsidR="006B799F" w:rsidRPr="006B799F" w:rsidRDefault="006B799F" w:rsidP="006B799F">
      <w:pPr>
        <w:numPr>
          <w:ilvl w:val="0"/>
          <w:numId w:val="2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Functions as the borrower's financial statement </w:t>
      </w:r>
    </w:p>
    <w:p w:rsidR="006B799F" w:rsidRPr="006B799F" w:rsidRDefault="006B799F" w:rsidP="006B799F">
      <w:pPr>
        <w:numPr>
          <w:ilvl w:val="0"/>
          <w:numId w:val="2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Identifies the borrower and their request for credit </w:t>
      </w:r>
    </w:p>
    <w:p w:rsidR="006B799F" w:rsidRPr="006B799F" w:rsidRDefault="006B799F" w:rsidP="006B799F">
      <w:pPr>
        <w:numPr>
          <w:ilvl w:val="0"/>
          <w:numId w:val="21"/>
        </w:num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Serves as the borrower's validation of the information disclosed </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After all information on the initial application has been received and verified, a final application is prepared and signed by the borrower at closing.</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b/>
          <w:bCs/>
          <w:sz w:val="18"/>
          <w:szCs w:val="18"/>
        </w:rPr>
        <w:t>Note</w:t>
      </w:r>
      <w:r w:rsidRPr="006B799F">
        <w:rPr>
          <w:rFonts w:ascii="Verdana" w:eastAsia="Times New Roman" w:hAnsi="Verdana" w:cs="Times New Roman"/>
          <w:sz w:val="18"/>
          <w:szCs w:val="18"/>
        </w:rPr>
        <w:t>: On stated income products, or AUS findings, the application serves as the source of information for employment and income.</w:t>
      </w:r>
    </w:p>
    <w:p w:rsidR="006B799F" w:rsidRPr="006B799F" w:rsidRDefault="0084256B" w:rsidP="006B799F">
      <w:pPr>
        <w:spacing w:before="100" w:beforeAutospacing="1" w:after="100" w:afterAutospacing="1" w:line="240" w:lineRule="auto"/>
        <w:outlineLvl w:val="2"/>
        <w:rPr>
          <w:rFonts w:ascii="Verdana" w:eastAsia="Times New Roman" w:hAnsi="Verdana" w:cs="Times New Roman"/>
          <w:b/>
          <w:bCs/>
          <w:sz w:val="18"/>
          <w:szCs w:val="18"/>
        </w:rPr>
      </w:pPr>
      <w:bookmarkStart w:id="30" w:name="MiniTOCBookMark26"/>
      <w:bookmarkEnd w:id="30"/>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Home Equity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Not applicable.</w:t>
      </w:r>
    </w:p>
    <w:p w:rsidR="006B799F" w:rsidRPr="006B799F" w:rsidRDefault="006B799F" w:rsidP="006B799F">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1" w:name="MiniTOCBookMark27"/>
      <w:bookmarkStart w:id="32" w:name="Exceptions"/>
      <w:bookmarkEnd w:id="31"/>
      <w:bookmarkEnd w:id="32"/>
      <w:r w:rsidRPr="006B799F">
        <w:rPr>
          <w:rFonts w:ascii="Verdana" w:eastAsia="Times New Roman" w:hAnsi="Verdana" w:cs="Times New Roman"/>
          <w:b/>
          <w:bCs/>
          <w:sz w:val="21"/>
          <w:szCs w:val="21"/>
        </w:rPr>
        <w:t>Exceptions</w:t>
      </w:r>
    </w:p>
    <w:p w:rsidR="006B799F" w:rsidRPr="006B799F" w:rsidRDefault="009B3752" w:rsidP="006B799F">
      <w:pPr>
        <w:spacing w:before="100" w:beforeAutospacing="1" w:after="100" w:afterAutospacing="1" w:line="240" w:lineRule="auto"/>
        <w:outlineLvl w:val="2"/>
        <w:rPr>
          <w:rFonts w:ascii="Verdana" w:eastAsia="Times New Roman" w:hAnsi="Verdana" w:cs="Times New Roman"/>
          <w:b/>
          <w:bCs/>
          <w:sz w:val="18"/>
          <w:szCs w:val="18"/>
        </w:rPr>
      </w:pPr>
      <w:bookmarkStart w:id="33" w:name="MiniTOCBookMark28"/>
      <w:bookmarkEnd w:id="33"/>
      <w:r>
        <w:rPr>
          <w:rFonts w:ascii="Verdana" w:eastAsia="Times New Roman" w:hAnsi="Verdana" w:cs="Times New Roman"/>
          <w:b/>
          <w:bCs/>
          <w:sz w:val="18"/>
          <w:szCs w:val="18"/>
        </w:rPr>
        <w:t>Lending Direct</w:t>
      </w:r>
      <w:r w:rsidR="006B799F" w:rsidRPr="006B799F">
        <w:rPr>
          <w:rFonts w:ascii="Verdana" w:eastAsia="Times New Roman" w:hAnsi="Verdana" w:cs="Times New Roman"/>
          <w:b/>
          <w:bCs/>
          <w:sz w:val="18"/>
          <w:szCs w:val="18"/>
        </w:rPr>
        <w:t xml:space="preserve"> - Mortgage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Refer to </w:t>
      </w:r>
      <w:r w:rsidRPr="006B799F">
        <w:rPr>
          <w:rFonts w:ascii="Verdana" w:eastAsia="Times New Roman" w:hAnsi="Verdana" w:cs="Times New Roman"/>
          <w:color w:val="006699"/>
          <w:sz w:val="18"/>
          <w:szCs w:val="18"/>
        </w:rPr>
        <w:t>Exceptions</w:t>
      </w:r>
      <w:r w:rsidRPr="006B799F">
        <w:rPr>
          <w:rFonts w:ascii="Verdana" w:eastAsia="Times New Roman" w:hAnsi="Verdana" w:cs="Times New Roman"/>
          <w:sz w:val="18"/>
          <w:szCs w:val="18"/>
        </w:rPr>
        <w:t xml:space="preserve"> and </w:t>
      </w:r>
      <w:r w:rsidRPr="006B799F">
        <w:rPr>
          <w:rFonts w:ascii="Verdana" w:eastAsia="Times New Roman" w:hAnsi="Verdana" w:cs="Times New Roman"/>
          <w:color w:val="006699"/>
          <w:sz w:val="18"/>
          <w:szCs w:val="18"/>
        </w:rPr>
        <w:t>Conventional First Mortgage Exception Requests</w:t>
      </w:r>
      <w:r w:rsidRPr="006B799F">
        <w:rPr>
          <w:rFonts w:ascii="Verdana" w:eastAsia="Times New Roman" w:hAnsi="Verdana" w:cs="Times New Roman"/>
          <w:sz w:val="18"/>
          <w:szCs w:val="18"/>
        </w:rPr>
        <w:t xml:space="preserve"> policy topics for guidance on the First Mortgage exception process and requirements.</w:t>
      </w:r>
    </w:p>
    <w:p w:rsidR="006B799F" w:rsidRPr="006B799F" w:rsidRDefault="0084256B" w:rsidP="006B799F">
      <w:pPr>
        <w:spacing w:before="100" w:beforeAutospacing="1" w:after="100" w:afterAutospacing="1" w:line="240" w:lineRule="auto"/>
        <w:outlineLvl w:val="2"/>
        <w:rPr>
          <w:rFonts w:ascii="Verdana" w:eastAsia="Times New Roman" w:hAnsi="Verdana" w:cs="Times New Roman"/>
          <w:b/>
          <w:bCs/>
          <w:sz w:val="18"/>
          <w:szCs w:val="18"/>
        </w:rPr>
      </w:pPr>
      <w:bookmarkStart w:id="34" w:name="MiniTOCBookMark29"/>
      <w:bookmarkEnd w:id="34"/>
      <w:r>
        <w:rPr>
          <w:rFonts w:ascii="Verdana" w:eastAsia="Times New Roman" w:hAnsi="Verdana" w:cs="Times New Roman"/>
          <w:b/>
          <w:bCs/>
          <w:sz w:val="18"/>
          <w:szCs w:val="18"/>
        </w:rPr>
        <w:lastRenderedPageBreak/>
        <w:t>Lending Direct</w:t>
      </w:r>
      <w:r w:rsidR="006B799F" w:rsidRPr="006B799F">
        <w:rPr>
          <w:rFonts w:ascii="Verdana" w:eastAsia="Times New Roman" w:hAnsi="Verdana" w:cs="Times New Roman"/>
          <w:b/>
          <w:bCs/>
          <w:sz w:val="18"/>
          <w:szCs w:val="18"/>
        </w:rPr>
        <w:t xml:space="preserve"> - Home Equity</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Variance to level of documentation requirements for income verification must be approved and documented by a Lender Level 4 or higher. The exception must not hinder the credit decision with insufficient and inadequate documentation (e.g., one pay stub to verify commission income).</w:t>
      </w:r>
    </w:p>
    <w:p w:rsidR="006B799F" w:rsidRPr="006B799F" w:rsidRDefault="006B799F" w:rsidP="006B799F">
      <w:pPr>
        <w:spacing w:before="100" w:beforeAutospacing="1" w:after="100" w:afterAutospacing="1" w:line="240" w:lineRule="auto"/>
        <w:rPr>
          <w:rFonts w:ascii="Verdana" w:eastAsia="Times New Roman" w:hAnsi="Verdana" w:cs="Times New Roman"/>
          <w:sz w:val="18"/>
          <w:szCs w:val="18"/>
        </w:rPr>
      </w:pPr>
      <w:r w:rsidRPr="006B799F">
        <w:rPr>
          <w:rFonts w:ascii="Verdana" w:eastAsia="Times New Roman" w:hAnsi="Verdana" w:cs="Times New Roman"/>
          <w:sz w:val="18"/>
          <w:szCs w:val="18"/>
        </w:rPr>
        <w:t xml:space="preserve">Any exception made where income verification is not received (i.e., Stated Income), </w:t>
      </w:r>
      <w:r w:rsidRPr="006B799F">
        <w:rPr>
          <w:rFonts w:ascii="Verdana" w:eastAsia="Times New Roman" w:hAnsi="Verdana" w:cs="Times New Roman"/>
          <w:i/>
          <w:iCs/>
          <w:sz w:val="18"/>
          <w:szCs w:val="18"/>
        </w:rPr>
        <w:t>and</w:t>
      </w:r>
      <w:r w:rsidRPr="006B799F">
        <w:rPr>
          <w:rFonts w:ascii="Verdana" w:eastAsia="Times New Roman" w:hAnsi="Verdana" w:cs="Times New Roman"/>
          <w:sz w:val="18"/>
          <w:szCs w:val="18"/>
        </w:rPr>
        <w:t xml:space="preserve"> the loan is not originated or closed in the Banking Center Channel, requires a Request for Transcript of Tax Return (IRS Form 4506-T) to be executed at time of loan closing. See </w:t>
      </w:r>
    </w:p>
    <w:p w:rsidR="00AB3DFD" w:rsidRPr="00AB3DFD" w:rsidRDefault="00AB3DFD" w:rsidP="00AB3DFD">
      <w:pPr>
        <w:spacing w:before="100" w:beforeAutospacing="1" w:after="100" w:afterAutospacing="1" w:line="240" w:lineRule="auto"/>
        <w:outlineLvl w:val="0"/>
        <w:rPr>
          <w:rFonts w:ascii="Arial" w:eastAsia="Times New Roman" w:hAnsi="Arial" w:cs="Arial"/>
          <w:b/>
          <w:bCs/>
          <w:spacing w:val="-15"/>
          <w:kern w:val="36"/>
          <w:sz w:val="30"/>
          <w:szCs w:val="30"/>
        </w:rPr>
      </w:pPr>
      <w:r w:rsidRPr="00AB3DFD">
        <w:rPr>
          <w:rFonts w:ascii="Arial" w:eastAsia="Times New Roman" w:hAnsi="Arial" w:cs="Arial"/>
          <w:b/>
          <w:bCs/>
          <w:spacing w:val="-15"/>
          <w:kern w:val="36"/>
          <w:sz w:val="30"/>
          <w:szCs w:val="30"/>
        </w:rPr>
        <w:t>Employment Income - Salaried Sources</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Policy</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Salaried borrowers are individuals who have less than 25% ownership in the business from which they derive their salary. These borrowers receive annual or hourly wages, or commission.</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Refer to </w:t>
      </w:r>
      <w:r w:rsidRPr="00AB3DFD">
        <w:rPr>
          <w:rFonts w:ascii="Verdana" w:eastAsia="Times New Roman" w:hAnsi="Verdana" w:cs="Times New Roman"/>
          <w:color w:val="006699"/>
          <w:sz w:val="18"/>
          <w:szCs w:val="18"/>
        </w:rPr>
        <w:t>General Income Statement - Verification Requirements</w:t>
      </w:r>
      <w:r w:rsidRPr="00AB3DFD">
        <w:rPr>
          <w:rFonts w:ascii="Verdana" w:eastAsia="Times New Roman" w:hAnsi="Verdana" w:cs="Times New Roman"/>
          <w:sz w:val="18"/>
          <w:szCs w:val="18"/>
        </w:rPr>
        <w:t xml:space="preserve"> for qualifying income sources and taxable status.</w:t>
      </w:r>
    </w:p>
    <w:p w:rsidR="00AB3DFD" w:rsidRPr="00AB3DFD" w:rsidRDefault="00AB3DFD" w:rsidP="00AB3DFD">
      <w:pPr>
        <w:numPr>
          <w:ilvl w:val="0"/>
          <w:numId w:val="2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borrower who is not self-employed but employed by a family-owned business, or is employed by an interested party to the property sale, </w:t>
      </w:r>
      <w:r w:rsidR="0084256B">
        <w:rPr>
          <w:rFonts w:ascii="Verdana" w:eastAsia="Times New Roman" w:hAnsi="Verdana" w:cs="Times New Roman"/>
          <w:sz w:val="18"/>
          <w:szCs w:val="18"/>
        </w:rPr>
        <w:t>purchase</w:t>
      </w:r>
      <w:r w:rsidRPr="00AB3DFD">
        <w:rPr>
          <w:rFonts w:ascii="Verdana" w:eastAsia="Times New Roman" w:hAnsi="Verdana" w:cs="Times New Roman"/>
          <w:sz w:val="18"/>
          <w:szCs w:val="18"/>
        </w:rPr>
        <w:t xml:space="preserve">, or refinance transaction, may represent a less predictable source of income. Copies of the last two years income tax returns, filed with the IRS, are required. </w:t>
      </w:r>
    </w:p>
    <w:p w:rsidR="00AB3DFD" w:rsidRPr="00AB3DFD" w:rsidRDefault="00AB3DFD" w:rsidP="00AB3DFD">
      <w:pPr>
        <w:numPr>
          <w:ilvl w:val="0"/>
          <w:numId w:val="2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These borrowers are not eligible for reduced income documentation programs (Full Documentation only). </w:t>
      </w:r>
    </w:p>
    <w:p w:rsidR="00AB3DFD" w:rsidRPr="00AB3DFD" w:rsidRDefault="00AB3DFD" w:rsidP="00AB3DFD">
      <w:pPr>
        <w:numPr>
          <w:ilvl w:val="0"/>
          <w:numId w:val="2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w:t>
      </w:r>
      <w:proofErr w:type="spellStart"/>
      <w:r w:rsidRPr="00AB3DFD">
        <w:rPr>
          <w:rFonts w:ascii="Verdana" w:eastAsia="Times New Roman" w:hAnsi="Verdana" w:cs="Times New Roman"/>
          <w:color w:val="006699"/>
          <w:sz w:val="18"/>
        </w:rPr>
        <w:t>Arms</w:t>
      </w:r>
      <w:r w:rsidR="0084256B">
        <w:rPr>
          <w:rFonts w:ascii="Verdana" w:eastAsia="Times New Roman" w:hAnsi="Verdana" w:cs="Times New Roman"/>
          <w:color w:val="006699"/>
          <w:sz w:val="18"/>
        </w:rPr>
        <w:t xml:space="preserve"> </w:t>
      </w:r>
      <w:proofErr w:type="spellEnd"/>
      <w:r w:rsidRPr="00AB3DFD">
        <w:rPr>
          <w:rFonts w:ascii="Verdana" w:eastAsia="Times New Roman" w:hAnsi="Verdana" w:cs="Times New Roman"/>
          <w:color w:val="006699"/>
          <w:sz w:val="18"/>
        </w:rPr>
        <w:t>Length/Non-</w:t>
      </w:r>
      <w:proofErr w:type="spellStart"/>
      <w:r w:rsidRPr="00AB3DFD">
        <w:rPr>
          <w:rFonts w:ascii="Verdana" w:eastAsia="Times New Roman" w:hAnsi="Verdana" w:cs="Times New Roman"/>
          <w:color w:val="006699"/>
          <w:sz w:val="18"/>
        </w:rPr>
        <w:t>Arms Length</w:t>
      </w:r>
      <w:proofErr w:type="spellEnd"/>
      <w:r w:rsidRPr="00AB3DFD">
        <w:rPr>
          <w:rFonts w:ascii="Verdana" w:eastAsia="Times New Roman" w:hAnsi="Verdana" w:cs="Times New Roman"/>
          <w:color w:val="006699"/>
          <w:sz w:val="18"/>
        </w:rPr>
        <w:t xml:space="preserve"> Transactions</w:t>
      </w:r>
      <w:r w:rsidRPr="00AB3DFD">
        <w:rPr>
          <w:rFonts w:ascii="Verdana" w:eastAsia="Times New Roman" w:hAnsi="Verdana" w:cs="Times New Roman"/>
          <w:sz w:val="18"/>
          <w:szCs w:val="18"/>
        </w:rPr>
        <w:t xml:space="preserve"> for more information. </w:t>
      </w:r>
    </w:p>
    <w:p w:rsidR="00AB3DFD" w:rsidRPr="00AB3DFD" w:rsidRDefault="00AB3DFD" w:rsidP="00AB3DFD">
      <w:pPr>
        <w:spacing w:before="100" w:beforeAutospacing="1" w:after="100" w:afterAutospacing="1" w:line="240" w:lineRule="auto"/>
        <w:outlineLvl w:val="2"/>
        <w:rPr>
          <w:rFonts w:ascii="Verdana" w:eastAsia="Times New Roman" w:hAnsi="Verdana" w:cs="Times New Roman"/>
          <w:b/>
          <w:bCs/>
          <w:sz w:val="18"/>
          <w:szCs w:val="18"/>
        </w:rPr>
      </w:pPr>
      <w:r w:rsidRPr="00AB3DFD">
        <w:rPr>
          <w:rFonts w:ascii="Verdana" w:eastAsia="Times New Roman" w:hAnsi="Verdana" w:cs="Times New Roman"/>
          <w:b/>
          <w:bCs/>
          <w:sz w:val="18"/>
          <w:szCs w:val="18"/>
        </w:rPr>
        <w:t>General Income Verification Requirements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When documentation shows that the applicant has maintained a consistent level of income despite changes in the sources of income, the stability of that income level may be presumed.</w:t>
      </w:r>
    </w:p>
    <w:p w:rsidR="00AB3DFD" w:rsidRPr="00AB3DFD" w:rsidRDefault="00AB3DFD" w:rsidP="00AB3DFD">
      <w:pPr>
        <w:spacing w:before="100" w:beforeAutospacing="1" w:after="100" w:afterAutospacing="1" w:line="240" w:lineRule="auto"/>
        <w:ind w:left="600"/>
        <w:rPr>
          <w:rFonts w:ascii="Verdana" w:eastAsia="Times New Roman" w:hAnsi="Verdana" w:cs="Times New Roman"/>
          <w:sz w:val="18"/>
          <w:szCs w:val="18"/>
        </w:rPr>
      </w:pPr>
      <w:r w:rsidRPr="00AB3DFD">
        <w:rPr>
          <w:rFonts w:ascii="Verdana" w:eastAsia="Times New Roman" w:hAnsi="Verdana" w:cs="Times New Roman"/>
          <w:b/>
          <w:bCs/>
          <w:sz w:val="18"/>
          <w:szCs w:val="18"/>
        </w:rPr>
        <w:t>Example</w:t>
      </w:r>
      <w:r w:rsidRPr="00AB3DFD">
        <w:rPr>
          <w:rFonts w:ascii="Verdana" w:eastAsia="Times New Roman" w:hAnsi="Verdana" w:cs="Times New Roman"/>
          <w:sz w:val="18"/>
          <w:szCs w:val="18"/>
        </w:rPr>
        <w:t>: An applicant may change jobs frequently but is nonetheless able to earn consistent and predictable income.</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Employment Contracts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An employment contract is a legally enforceable written document executed jointly by the employer and employee. The contract will define pertinent employment details such as employment start date, length of employment, salary and may also include such things as benefits and other related terms of employment. Employment agreements and offer letters are additional forms of employment contracts, provided that they are fully executed by all parties and afford the same information as previously described.</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 borrower may be qualified utilizing the income documented in the employment contract provided:</w:t>
      </w:r>
    </w:p>
    <w:p w:rsidR="00AB3DFD" w:rsidRPr="00AB3DFD" w:rsidRDefault="00AB3DFD" w:rsidP="00AB3DFD">
      <w:pPr>
        <w:numPr>
          <w:ilvl w:val="0"/>
          <w:numId w:val="2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employment contract is fully executed by the employer and employee and does not contain contingencies; </w:t>
      </w:r>
    </w:p>
    <w:p w:rsidR="00AB3DFD" w:rsidRPr="00AB3DFD" w:rsidRDefault="00AB3DFD" w:rsidP="00AB3DFD">
      <w:pPr>
        <w:numPr>
          <w:ilvl w:val="0"/>
          <w:numId w:val="2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borrower will begin employment prior to the loan closing; </w:t>
      </w:r>
    </w:p>
    <w:p w:rsidR="00AB3DFD" w:rsidRPr="00AB3DFD" w:rsidRDefault="00AB3DFD" w:rsidP="00AB3DFD">
      <w:pPr>
        <w:numPr>
          <w:ilvl w:val="0"/>
          <w:numId w:val="2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terms of the contract are deemed reasonable by Underwriting; and </w:t>
      </w:r>
    </w:p>
    <w:p w:rsidR="00AB3DFD" w:rsidRPr="00AB3DFD" w:rsidRDefault="00AB3DFD" w:rsidP="00AB3DFD">
      <w:pPr>
        <w:numPr>
          <w:ilvl w:val="0"/>
          <w:numId w:val="23"/>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the</w:t>
      </w:r>
      <w:proofErr w:type="gramEnd"/>
      <w:r w:rsidRPr="00AB3DFD">
        <w:rPr>
          <w:rFonts w:ascii="Verdana" w:eastAsia="Times New Roman" w:hAnsi="Verdana" w:cs="Times New Roman"/>
          <w:sz w:val="18"/>
          <w:szCs w:val="18"/>
        </w:rPr>
        <w:t xml:space="preserve"> loan application and file documentation verify the required minimum two-year employment history for the borrower. Underwriting may elect to accept college transcripts in lieu of employment history.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xml:space="preserve"> A verbal Verification of Employment must be completed prior to the loan closing confirming that the borrower has started their employment based on the terms reflected in the employment contract.</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5" w:name="Temporary_Leave_of_Absence"/>
      <w:bookmarkEnd w:id="35"/>
      <w:r w:rsidRPr="00AB3DFD">
        <w:rPr>
          <w:rFonts w:ascii="Verdana" w:eastAsia="Times New Roman" w:hAnsi="Verdana" w:cs="Times New Roman"/>
          <w:b/>
          <w:bCs/>
          <w:sz w:val="21"/>
          <w:szCs w:val="21"/>
        </w:rPr>
        <w:lastRenderedPageBreak/>
        <w:t>Temporary Leave of Absence</w:t>
      </w:r>
    </w:p>
    <w:p w:rsidR="00AB3DFD" w:rsidRPr="00AB3DFD" w:rsidRDefault="009B3752" w:rsidP="00AB3DFD">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4256B">
        <w:rPr>
          <w:rFonts w:ascii="Verdana" w:eastAsia="Times New Roman" w:hAnsi="Verdana" w:cs="Times New Roman"/>
          <w:sz w:val="18"/>
          <w:szCs w:val="18"/>
        </w:rPr>
        <w:t>Guidelines</w:t>
      </w:r>
      <w:r w:rsidR="00AB3DFD" w:rsidRPr="00AB3DFD">
        <w:rPr>
          <w:rFonts w:ascii="Verdana" w:eastAsia="Times New Roman" w:hAnsi="Verdana" w:cs="Times New Roman"/>
          <w:sz w:val="18"/>
          <w:szCs w:val="18"/>
        </w:rPr>
        <w:t xml:space="preserve"> will consider regular employment income or other alternative short-term sources of income from a borrower that is on a temporary leave of absence, even if the borrower will not be returning to work at the time of closing. Acceptable reasons for the leave of absence include maternity or parental leave, short-term medical disability, Workman's Compensation, or other temporary leave types that are acceptable by law or the borrower’s employer provided the following conditions are met:</w:t>
      </w:r>
    </w:p>
    <w:p w:rsidR="00AB3DFD" w:rsidRPr="00AB3DFD" w:rsidRDefault="00AB3DFD" w:rsidP="00AB3DFD">
      <w:pPr>
        <w:numPr>
          <w:ilvl w:val="0"/>
          <w:numId w:val="2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Written verification from the borrower confirming: </w:t>
      </w:r>
    </w:p>
    <w:p w:rsidR="00AB3DFD" w:rsidRPr="00AB3DFD" w:rsidRDefault="00AB3DFD" w:rsidP="00AB3DFD">
      <w:pPr>
        <w:numPr>
          <w:ilvl w:val="0"/>
          <w:numId w:val="24"/>
        </w:numPr>
        <w:spacing w:before="100" w:beforeAutospacing="1" w:after="100" w:afterAutospacing="1" w:line="240" w:lineRule="auto"/>
        <w:ind w:left="1440"/>
        <w:rPr>
          <w:rFonts w:ascii="Verdana" w:eastAsia="Times New Roman" w:hAnsi="Verdana" w:cs="Times New Roman"/>
          <w:sz w:val="18"/>
          <w:szCs w:val="18"/>
        </w:rPr>
      </w:pPr>
    </w:p>
    <w:p w:rsidR="00AB3DFD" w:rsidRPr="00AB3DFD" w:rsidRDefault="00AB3DFD" w:rsidP="00AB3DFD">
      <w:pPr>
        <w:numPr>
          <w:ilvl w:val="1"/>
          <w:numId w:val="2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 their intent to return to work upon completion of the leave of absence, under the same terms as prior to the leave, and </w:t>
      </w:r>
    </w:p>
    <w:p w:rsidR="00AB3DFD" w:rsidRPr="00AB3DFD" w:rsidRDefault="00AB3DFD" w:rsidP="00AB3DFD">
      <w:pPr>
        <w:numPr>
          <w:ilvl w:val="1"/>
          <w:numId w:val="2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agreed upon date of the return to work; </w:t>
      </w:r>
    </w:p>
    <w:p w:rsidR="00AB3DFD" w:rsidRPr="00AB3DFD" w:rsidRDefault="00AB3DFD" w:rsidP="00AB3DFD">
      <w:pPr>
        <w:numPr>
          <w:ilvl w:val="0"/>
          <w:numId w:val="2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Written verification from the borrower’s employer confirming: </w:t>
      </w:r>
    </w:p>
    <w:p w:rsidR="00AB3DFD" w:rsidRPr="00AB3DFD" w:rsidRDefault="00AB3DFD" w:rsidP="00AB3DFD">
      <w:pPr>
        <w:numPr>
          <w:ilvl w:val="0"/>
          <w:numId w:val="24"/>
        </w:numPr>
        <w:spacing w:before="100" w:beforeAutospacing="1" w:after="100" w:afterAutospacing="1" w:line="240" w:lineRule="auto"/>
        <w:ind w:left="1440"/>
        <w:rPr>
          <w:rFonts w:ascii="Verdana" w:eastAsia="Times New Roman" w:hAnsi="Verdana" w:cs="Times New Roman"/>
          <w:sz w:val="18"/>
          <w:szCs w:val="18"/>
        </w:rPr>
      </w:pPr>
    </w:p>
    <w:p w:rsidR="00AB3DFD" w:rsidRPr="00AB3DFD" w:rsidRDefault="00AB3DFD" w:rsidP="00AB3DFD">
      <w:pPr>
        <w:numPr>
          <w:ilvl w:val="1"/>
          <w:numId w:val="24"/>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the</w:t>
      </w:r>
      <w:proofErr w:type="gramEnd"/>
      <w:r w:rsidRPr="00AB3DFD">
        <w:rPr>
          <w:rFonts w:ascii="Verdana" w:eastAsia="Times New Roman" w:hAnsi="Verdana" w:cs="Times New Roman"/>
          <w:sz w:val="18"/>
          <w:szCs w:val="18"/>
        </w:rPr>
        <w:t xml:space="preserve"> borrower’s continued employment with the company. </w:t>
      </w:r>
    </w:p>
    <w:p w:rsidR="00AB3DFD" w:rsidRPr="00AB3DFD" w:rsidRDefault="00AB3DFD" w:rsidP="00AB3DFD">
      <w:pPr>
        <w:numPr>
          <w:ilvl w:val="1"/>
          <w:numId w:val="24"/>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the</w:t>
      </w:r>
      <w:proofErr w:type="gramEnd"/>
      <w:r w:rsidRPr="00AB3DFD">
        <w:rPr>
          <w:rFonts w:ascii="Verdana" w:eastAsia="Times New Roman" w:hAnsi="Verdana" w:cs="Times New Roman"/>
          <w:sz w:val="18"/>
          <w:szCs w:val="18"/>
        </w:rPr>
        <w:t xml:space="preserve"> borrower’s return date. </w:t>
      </w:r>
    </w:p>
    <w:p w:rsidR="00AB3DFD" w:rsidRPr="00AB3DFD" w:rsidRDefault="00AB3DFD" w:rsidP="00AB3DFD">
      <w:pPr>
        <w:numPr>
          <w:ilvl w:val="1"/>
          <w:numId w:val="24"/>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the</w:t>
      </w:r>
      <w:proofErr w:type="gramEnd"/>
      <w:r w:rsidRPr="00AB3DFD">
        <w:rPr>
          <w:rFonts w:ascii="Verdana" w:eastAsia="Times New Roman" w:hAnsi="Verdana" w:cs="Times New Roman"/>
          <w:sz w:val="18"/>
          <w:szCs w:val="18"/>
        </w:rPr>
        <w:t xml:space="preserve"> borrower’s post-leave employment and income will be under the same terms as prior to the leave. </w:t>
      </w:r>
    </w:p>
    <w:p w:rsidR="00AB3DFD" w:rsidRPr="00AB3DFD" w:rsidRDefault="00AB3DFD" w:rsidP="00AB3DFD">
      <w:pPr>
        <w:numPr>
          <w:ilvl w:val="0"/>
          <w:numId w:val="2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color w:val="006699"/>
          <w:sz w:val="18"/>
        </w:rPr>
        <w:t>Verbal Verification of Employment (VVOE)</w:t>
      </w:r>
      <w:r w:rsidRPr="00AB3DFD">
        <w:rPr>
          <w:rFonts w:ascii="Verdana" w:eastAsia="Times New Roman" w:hAnsi="Verdana" w:cs="Times New Roman"/>
          <w:sz w:val="18"/>
          <w:szCs w:val="18"/>
        </w:rPr>
        <w:t xml:space="preserve"> following standard policy &amp; procedures. </w:t>
      </w:r>
    </w:p>
    <w:p w:rsidR="00AB3DFD" w:rsidRPr="00AB3DFD" w:rsidRDefault="00AB3DFD" w:rsidP="00AB3DFD">
      <w:pPr>
        <w:spacing w:before="100" w:beforeAutospacing="1" w:after="100" w:afterAutospacing="1" w:line="240" w:lineRule="auto"/>
        <w:outlineLvl w:val="2"/>
        <w:rPr>
          <w:rFonts w:ascii="Verdana" w:eastAsia="Times New Roman" w:hAnsi="Verdana" w:cs="Times New Roman"/>
          <w:b/>
          <w:bCs/>
          <w:sz w:val="18"/>
          <w:szCs w:val="18"/>
        </w:rPr>
      </w:pPr>
      <w:r w:rsidRPr="00AB3DFD">
        <w:rPr>
          <w:rFonts w:ascii="Verdana" w:eastAsia="Times New Roman" w:hAnsi="Verdana" w:cs="Times New Roman"/>
          <w:b/>
          <w:bCs/>
          <w:sz w:val="18"/>
          <w:szCs w:val="18"/>
        </w:rPr>
        <w:t>Income Verification Requirements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Verification of borrower’s income is required as follows:</w:t>
      </w:r>
    </w:p>
    <w:p w:rsidR="00AB3DFD" w:rsidRPr="00AB3DFD" w:rsidRDefault="00AB3DFD" w:rsidP="00AB3DFD">
      <w:pPr>
        <w:numPr>
          <w:ilvl w:val="0"/>
          <w:numId w:val="25"/>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standard</w:t>
      </w:r>
      <w:proofErr w:type="gramEnd"/>
      <w:r w:rsidRPr="00AB3DFD">
        <w:rPr>
          <w:rFonts w:ascii="Verdana" w:eastAsia="Times New Roman" w:hAnsi="Verdana" w:cs="Times New Roman"/>
          <w:sz w:val="18"/>
          <w:szCs w:val="18"/>
        </w:rPr>
        <w:t xml:space="preserve"> documentation of the amount of regular employment income the borrower received prior to the temporary leave.  This includes, but is not limited to base pay, overtime, commissions and bonus income. </w:t>
      </w:r>
    </w:p>
    <w:p w:rsidR="00AB3DFD" w:rsidRPr="00AB3DFD" w:rsidRDefault="00AB3DFD" w:rsidP="00AB3DFD">
      <w:pPr>
        <w:numPr>
          <w:ilvl w:val="0"/>
          <w:numId w:val="25"/>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documentation</w:t>
      </w:r>
      <w:proofErr w:type="gramEnd"/>
      <w:r w:rsidRPr="00AB3DFD">
        <w:rPr>
          <w:rFonts w:ascii="Verdana" w:eastAsia="Times New Roman" w:hAnsi="Verdana" w:cs="Times New Roman"/>
          <w:sz w:val="18"/>
          <w:szCs w:val="18"/>
        </w:rPr>
        <w:t xml:space="preserve"> evidencing the amount and duration of all income sources being used to qualify the borrower during the temporary leave of absence period. </w:t>
      </w:r>
    </w:p>
    <w:p w:rsidR="00AB3DFD" w:rsidRPr="00AB3DFD" w:rsidRDefault="00AB3DFD" w:rsidP="00AB3DFD">
      <w:pPr>
        <w:numPr>
          <w:ilvl w:val="0"/>
          <w:numId w:val="25"/>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if</w:t>
      </w:r>
      <w:proofErr w:type="gramEnd"/>
      <w:r w:rsidRPr="00AB3DFD">
        <w:rPr>
          <w:rFonts w:ascii="Verdana" w:eastAsia="Times New Roman" w:hAnsi="Verdana" w:cs="Times New Roman"/>
          <w:sz w:val="18"/>
          <w:szCs w:val="18"/>
        </w:rPr>
        <w:t xml:space="preserve"> needed, documentation verifying all available liquid assets used to supplement a reduced income for the duration of the temporary leave of absence period. </w:t>
      </w:r>
    </w:p>
    <w:p w:rsidR="00AB3DFD" w:rsidRPr="00AB3DFD" w:rsidRDefault="00AB3DFD" w:rsidP="00AB3DFD">
      <w:pPr>
        <w:spacing w:before="100" w:beforeAutospacing="1" w:after="100" w:afterAutospacing="1" w:line="240" w:lineRule="auto"/>
        <w:outlineLvl w:val="2"/>
        <w:rPr>
          <w:rFonts w:ascii="Verdana" w:eastAsia="Times New Roman" w:hAnsi="Verdana" w:cs="Times New Roman"/>
          <w:b/>
          <w:bCs/>
          <w:sz w:val="18"/>
          <w:szCs w:val="18"/>
        </w:rPr>
      </w:pPr>
      <w:r w:rsidRPr="00AB3DFD">
        <w:rPr>
          <w:rFonts w:ascii="Verdana" w:eastAsia="Times New Roman" w:hAnsi="Verdana" w:cs="Times New Roman"/>
          <w:b/>
          <w:bCs/>
          <w:sz w:val="18"/>
          <w:szCs w:val="18"/>
        </w:rPr>
        <w:t>Calculation of Qualifying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If it is verified that the borrower </w:t>
      </w:r>
      <w:r w:rsidRPr="00AB3DFD">
        <w:rPr>
          <w:rFonts w:ascii="Verdana" w:eastAsia="Times New Roman" w:hAnsi="Verdana" w:cs="Times New Roman"/>
          <w:b/>
          <w:bCs/>
          <w:sz w:val="18"/>
          <w:szCs w:val="18"/>
        </w:rPr>
        <w:t>will</w:t>
      </w:r>
      <w:r w:rsidRPr="00AB3DFD">
        <w:rPr>
          <w:rFonts w:ascii="Verdana" w:eastAsia="Times New Roman" w:hAnsi="Verdana" w:cs="Times New Roman"/>
          <w:sz w:val="18"/>
          <w:szCs w:val="18"/>
        </w:rPr>
        <w:t xml:space="preserve"> return to work at their current employer as of the first mortgage payment date:</w:t>
      </w:r>
    </w:p>
    <w:p w:rsidR="00AB3DFD" w:rsidRPr="00AB3DFD" w:rsidRDefault="00AB3DFD" w:rsidP="00AB3DFD">
      <w:pPr>
        <w:numPr>
          <w:ilvl w:val="0"/>
          <w:numId w:val="26"/>
        </w:numPr>
        <w:shd w:val="clear" w:color="auto" w:fill="FFFFFF"/>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the borrower's regular employment income (i.e. gross monthly income) that will be received upon return to work can be used for loan qualification purposes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If the borrower </w:t>
      </w:r>
      <w:r w:rsidRPr="00AB3DFD">
        <w:rPr>
          <w:rFonts w:ascii="Verdana" w:eastAsia="Times New Roman" w:hAnsi="Verdana" w:cs="Times New Roman"/>
          <w:b/>
          <w:bCs/>
          <w:sz w:val="18"/>
          <w:szCs w:val="18"/>
        </w:rPr>
        <w:t>will not</w:t>
      </w:r>
      <w:r w:rsidRPr="00AB3DFD">
        <w:rPr>
          <w:rFonts w:ascii="Verdana" w:eastAsia="Times New Roman" w:hAnsi="Verdana" w:cs="Times New Roman"/>
          <w:sz w:val="18"/>
          <w:szCs w:val="18"/>
        </w:rPr>
        <w:t xml:space="preserve"> return to work as of the first mortgage payment date:</w:t>
      </w:r>
    </w:p>
    <w:p w:rsidR="00AB3DFD" w:rsidRPr="00AB3DFD" w:rsidRDefault="00AB3DFD" w:rsidP="00AB3DFD">
      <w:pPr>
        <w:numPr>
          <w:ilvl w:val="0"/>
          <w:numId w:val="27"/>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use the lesser of the borrower's temporary leave income that will continue to be received for the duration of the leave of absence period (if any) or regular employment income </w:t>
      </w:r>
    </w:p>
    <w:p w:rsidR="00AB3DFD" w:rsidRPr="00AB3DFD" w:rsidRDefault="00AB3DFD" w:rsidP="00AB3DFD">
      <w:pPr>
        <w:spacing w:before="100" w:beforeAutospacing="1" w:after="100" w:afterAutospacing="1" w:line="240" w:lineRule="auto"/>
        <w:outlineLvl w:val="2"/>
        <w:rPr>
          <w:rFonts w:ascii="Verdana" w:eastAsia="Times New Roman" w:hAnsi="Verdana" w:cs="Times New Roman"/>
          <w:b/>
          <w:bCs/>
          <w:sz w:val="18"/>
          <w:szCs w:val="18"/>
        </w:rPr>
      </w:pPr>
      <w:r w:rsidRPr="00AB3DFD">
        <w:rPr>
          <w:rFonts w:ascii="Verdana" w:eastAsia="Times New Roman" w:hAnsi="Verdana" w:cs="Times New Roman"/>
          <w:b/>
          <w:bCs/>
          <w:sz w:val="18"/>
          <w:szCs w:val="18"/>
        </w:rPr>
        <w:t>Use of Supplemental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If the temporary leave income is less than the regular employment income and is not sufficient to qualify, available liquid financial reserves may be used supplement the temporary leave income. Supplemental income, if applicable is calculated as follows: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Supplemental income amount = available liquid reserves divided by the number of months of supplemental income</w:t>
      </w:r>
    </w:p>
    <w:p w:rsidR="00AB3DFD" w:rsidRPr="00AB3DFD" w:rsidRDefault="00AB3DFD" w:rsidP="00AB3DFD">
      <w:pPr>
        <w:numPr>
          <w:ilvl w:val="0"/>
          <w:numId w:val="28"/>
        </w:numPr>
        <w:shd w:val="clear" w:color="auto" w:fill="FFFFFF"/>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shd w:val="clear" w:color="auto" w:fill="FFFFFF"/>
        </w:rPr>
        <w:t>Available liquid reserves</w:t>
      </w:r>
      <w:r w:rsidRPr="00AB3DFD">
        <w:rPr>
          <w:rFonts w:ascii="Verdana" w:eastAsia="Times New Roman" w:hAnsi="Verdana" w:cs="Times New Roman"/>
          <w:sz w:val="18"/>
          <w:szCs w:val="18"/>
          <w:shd w:val="clear" w:color="auto" w:fill="FFFFFF"/>
        </w:rPr>
        <w:t>: subtract any funds needed to complete the transaction (down payment, closing costs, other required debt payoff, escrows, and minimum required reserves) from the total verified liquid asset amount.</w:t>
      </w:r>
      <w:r w:rsidRPr="00AB3DFD">
        <w:rPr>
          <w:rFonts w:ascii="Verdana" w:eastAsia="Times New Roman" w:hAnsi="Verdana" w:cs="Times New Roman"/>
          <w:sz w:val="18"/>
          <w:szCs w:val="18"/>
        </w:rPr>
        <w:t xml:space="preserve"> </w:t>
      </w:r>
    </w:p>
    <w:p w:rsidR="00AB3DFD" w:rsidRPr="00AB3DFD" w:rsidRDefault="00AB3DFD" w:rsidP="00AB3DFD">
      <w:pPr>
        <w:numPr>
          <w:ilvl w:val="0"/>
          <w:numId w:val="28"/>
        </w:numPr>
        <w:shd w:val="clear" w:color="auto" w:fill="FFFFFF"/>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shd w:val="clear" w:color="auto" w:fill="FFFFFF"/>
        </w:rPr>
        <w:lastRenderedPageBreak/>
        <w:t>Number of months of supplemental income</w:t>
      </w:r>
      <w:r w:rsidRPr="00AB3DFD">
        <w:rPr>
          <w:rFonts w:ascii="Verdana" w:eastAsia="Times New Roman" w:hAnsi="Verdana" w:cs="Times New Roman"/>
          <w:sz w:val="18"/>
          <w:szCs w:val="18"/>
          <w:shd w:val="clear" w:color="auto" w:fill="FFFFFF"/>
        </w:rPr>
        <w:t>: the number of months from the first mortgage payment date to the date the borrower will begin receiving his or her regular employment income, rounded up to the next whole number.</w:t>
      </w:r>
      <w:r w:rsidRPr="00AB3DFD">
        <w:rPr>
          <w:rFonts w:ascii="Verdana" w:eastAsia="Times New Roman" w:hAnsi="Verdana" w:cs="Times New Roman"/>
          <w:sz w:val="18"/>
          <w:szCs w:val="18"/>
        </w:rPr>
        <w:t xml:space="preserve">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After determining the supplemental income, calculate the total qualifying income as follows:</w:t>
      </w:r>
    </w:p>
    <w:p w:rsidR="00AB3DFD" w:rsidRPr="00AB3DFD" w:rsidRDefault="00AB3DFD" w:rsidP="00AB3DFD">
      <w:pPr>
        <w:numPr>
          <w:ilvl w:val="0"/>
          <w:numId w:val="29"/>
        </w:numPr>
        <w:shd w:val="clear" w:color="auto" w:fill="FFFFFF"/>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Total qualifying income = supplemental income plus the temporary leave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The total qualifying income that results may not exceed the borrower's regular employment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Important</w:t>
      </w:r>
      <w:r w:rsidRPr="00AB3DFD">
        <w:rPr>
          <w:rFonts w:ascii="Verdana" w:eastAsia="Times New Roman" w:hAnsi="Verdana" w:cs="Times New Roman"/>
          <w:sz w:val="18"/>
          <w:szCs w:val="18"/>
        </w:rPr>
        <w:t xml:space="preserve">: If a borrower is not currently on temporary leave, </w:t>
      </w:r>
      <w:r w:rsidR="009C130F">
        <w:rPr>
          <w:rFonts w:ascii="Verdana" w:eastAsia="Times New Roman" w:hAnsi="Verdana" w:cs="Times New Roman"/>
          <w:sz w:val="18"/>
          <w:szCs w:val="18"/>
        </w:rPr>
        <w:t>Lender</w:t>
      </w:r>
      <w:r w:rsidRPr="00AB3DFD">
        <w:rPr>
          <w:rFonts w:ascii="Verdana" w:eastAsia="Times New Roman" w:hAnsi="Verdana" w:cs="Times New Roman"/>
          <w:sz w:val="18"/>
          <w:szCs w:val="18"/>
        </w:rPr>
        <w:t xml:space="preserve"> Employees must not ask if he or she intends to take leave in the future.  In addition, under no circumstances should any information regarding a borrower’s personal medical history or condition be requested from the borrower or any third party source.</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Overtime Salary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Overtime income may fluctuate from year to year. Use an average of the last two years of income to qualify the borrower, and consider the annualized YTD earnings.  Annual earnings that are level or increasing from one year to the next are considered stable.  However, if the trend for the overtime income shows a decline, earnings should not be averaged and must be carefully analyzed before considering as stable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 use overtime income to qualify a borrower, the following requirements must be met:</w:t>
      </w:r>
    </w:p>
    <w:p w:rsidR="00AB3DFD" w:rsidRPr="00AB3DFD" w:rsidRDefault="00AB3DFD" w:rsidP="00AB3DFD">
      <w:pPr>
        <w:numPr>
          <w:ilvl w:val="0"/>
          <w:numId w:val="3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borrower must have a consecutive, recent, two-year history of receiving overtime income. </w:t>
      </w:r>
    </w:p>
    <w:p w:rsidR="00AB3DFD" w:rsidRPr="00AB3DFD" w:rsidRDefault="00AB3DFD" w:rsidP="00AB3DFD">
      <w:pPr>
        <w:numPr>
          <w:ilvl w:val="0"/>
          <w:numId w:val="3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overtime income must be stated separately for the past two years and YTD period.   </w:t>
      </w:r>
    </w:p>
    <w:p w:rsidR="00AB3DFD" w:rsidRPr="00AB3DFD" w:rsidRDefault="00AB3DFD" w:rsidP="00AB3DFD">
      <w:pPr>
        <w:numPr>
          <w:ilvl w:val="0"/>
          <w:numId w:val="3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overtime income must be reasonably expected to continue. </w:t>
      </w:r>
    </w:p>
    <w:p w:rsidR="00AB3DFD" w:rsidRPr="00AB3DFD" w:rsidRDefault="00AB3DFD" w:rsidP="00AB3DFD">
      <w:pPr>
        <w:numPr>
          <w:ilvl w:val="0"/>
          <w:numId w:val="3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Overtime income must be documented on W-2s, tax returns, and/or paystubs for the past two years and YTD period.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w:t>
      </w:r>
      <w:proofErr w:type="gramStart"/>
      <w:r w:rsidRPr="00AB3DFD">
        <w:rPr>
          <w:rFonts w:ascii="Verdana" w:eastAsia="Times New Roman" w:hAnsi="Verdana" w:cs="Times New Roman"/>
          <w:b/>
          <w:bCs/>
          <w:sz w:val="18"/>
          <w:szCs w:val="18"/>
        </w:rPr>
        <w:t>-  Mortgage</w:t>
      </w:r>
      <w:proofErr w:type="gramEnd"/>
      <w:r w:rsidRPr="00AB3DFD">
        <w:rPr>
          <w:rFonts w:ascii="Verdana" w:eastAsia="Times New Roman" w:hAnsi="Verdana" w:cs="Times New Roman"/>
          <w:b/>
          <w:bCs/>
          <w:sz w:val="18"/>
          <w:szCs w:val="18"/>
        </w:rPr>
        <w:t xml:space="preserve"> Only:</w:t>
      </w:r>
      <w:r w:rsidRPr="00AB3DFD">
        <w:rPr>
          <w:rFonts w:ascii="Verdana" w:eastAsia="Times New Roman" w:hAnsi="Verdana" w:cs="Times New Roman"/>
          <w:sz w:val="18"/>
          <w:szCs w:val="18"/>
        </w:rPr>
        <w:t xml:space="preserve"> See the </w:t>
      </w:r>
      <w:r w:rsidRPr="00AB3DFD">
        <w:rPr>
          <w:rFonts w:ascii="Verdana" w:eastAsia="Times New Roman" w:hAnsi="Verdana" w:cs="Times New Roman"/>
          <w:color w:val="006699"/>
          <w:sz w:val="18"/>
          <w:szCs w:val="18"/>
        </w:rPr>
        <w:t>Use and Calculation of Overtime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szCs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Partial Year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Certain borrowers (e.g., teachers and forest fire fighters) may be paid for only part of the year. Underwriting must ensure that the monthly qualifying income calculation considers this partial-year employment. To determine partial-year qualifying income, the monthly salary is multiplied by the number of months the borrower is paid and divided by 12 (i.e., "annualizing" the income).</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Seasonal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Seasonal income is a recurring but temporary source. To use seasonal income to qualify the borrower, there must be:</w:t>
      </w:r>
    </w:p>
    <w:p w:rsidR="00AB3DFD" w:rsidRPr="00AB3DFD" w:rsidRDefault="00AB3DFD" w:rsidP="00AB3DFD">
      <w:pPr>
        <w:numPr>
          <w:ilvl w:val="0"/>
          <w:numId w:val="3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two-year historical record of earnings. </w:t>
      </w:r>
    </w:p>
    <w:p w:rsidR="00AB3DFD" w:rsidRPr="00AB3DFD" w:rsidRDefault="00AB3DFD" w:rsidP="00AB3DFD">
      <w:pPr>
        <w:numPr>
          <w:ilvl w:val="0"/>
          <w:numId w:val="3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most recent pay stub and previous two (2) years' W-2s documented in the file. </w:t>
      </w:r>
    </w:p>
    <w:p w:rsidR="00AB3DFD" w:rsidRPr="00AB3DFD" w:rsidRDefault="00AB3DFD" w:rsidP="00AB3DFD">
      <w:pPr>
        <w:numPr>
          <w:ilvl w:val="0"/>
          <w:numId w:val="3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Reasonable expectations the income is likely to continue.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Part-Time or Second Job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 use part-time or second job income, carefully consider the source and sustainability of the income. In addition, the following is required:</w:t>
      </w:r>
    </w:p>
    <w:p w:rsidR="00AB3DFD" w:rsidRPr="00AB3DFD" w:rsidRDefault="00AB3DFD" w:rsidP="00AB3DFD">
      <w:pPr>
        <w:numPr>
          <w:ilvl w:val="0"/>
          <w:numId w:val="3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There must be a minimum 24-month history for the second job to include it in the debt ratio (DTI) calculation. </w:t>
      </w:r>
    </w:p>
    <w:p w:rsidR="00AB3DFD" w:rsidRPr="00AB3DFD" w:rsidRDefault="00AB3DFD" w:rsidP="00AB3DFD">
      <w:pPr>
        <w:numPr>
          <w:ilvl w:val="0"/>
          <w:numId w:val="3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lastRenderedPageBreak/>
        <w:t xml:space="preserve">A recent pay stub showing YTD earnings. </w:t>
      </w:r>
    </w:p>
    <w:p w:rsidR="00AB3DFD" w:rsidRPr="00AB3DFD" w:rsidRDefault="00AB3DFD" w:rsidP="00AB3DFD">
      <w:pPr>
        <w:numPr>
          <w:ilvl w:val="0"/>
          <w:numId w:val="3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Previous two years' W-2s. </w:t>
      </w:r>
    </w:p>
    <w:p w:rsidR="00AB3DFD" w:rsidRPr="00AB3DFD" w:rsidRDefault="00AB3DFD" w:rsidP="00AB3DFD">
      <w:pPr>
        <w:numPr>
          <w:ilvl w:val="0"/>
          <w:numId w:val="3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income must be reasonably expected to continue.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w:t>
      </w:r>
      <w:proofErr w:type="gramStart"/>
      <w:r w:rsidRPr="00AB3DFD">
        <w:rPr>
          <w:rFonts w:ascii="Verdana" w:eastAsia="Times New Roman" w:hAnsi="Verdana" w:cs="Times New Roman"/>
          <w:b/>
          <w:bCs/>
          <w:sz w:val="18"/>
          <w:szCs w:val="18"/>
        </w:rPr>
        <w:t>-  Mortgage</w:t>
      </w:r>
      <w:proofErr w:type="gramEnd"/>
      <w:r w:rsidRPr="00AB3DFD">
        <w:rPr>
          <w:rFonts w:ascii="Verdana" w:eastAsia="Times New Roman" w:hAnsi="Verdana" w:cs="Times New Roman"/>
          <w:b/>
          <w:bCs/>
          <w:sz w:val="18"/>
          <w:szCs w:val="18"/>
        </w:rPr>
        <w:t xml:space="preserve"> Only:</w:t>
      </w:r>
      <w:r w:rsidRPr="00AB3DFD">
        <w:rPr>
          <w:rFonts w:ascii="Verdana" w:eastAsia="Times New Roman" w:hAnsi="Verdana" w:cs="Times New Roman"/>
          <w:sz w:val="18"/>
          <w:szCs w:val="18"/>
        </w:rPr>
        <w:t xml:space="preserve"> See the </w:t>
      </w:r>
      <w:r w:rsidRPr="00AB3DFD">
        <w:rPr>
          <w:rFonts w:ascii="Verdana" w:eastAsia="Times New Roman" w:hAnsi="Verdana" w:cs="Times New Roman"/>
          <w:color w:val="006699"/>
          <w:sz w:val="18"/>
          <w:szCs w:val="18"/>
        </w:rPr>
        <w:t>Use and Calculation of Part-Time/Second Job Income</w:t>
      </w:r>
      <w:r w:rsidRPr="00AB3DFD">
        <w:rPr>
          <w:rFonts w:ascii="Verdana" w:eastAsia="Times New Roman" w:hAnsi="Verdana" w:cs="Times New Roman"/>
          <w:sz w:val="18"/>
          <w:szCs w:val="18"/>
        </w:rPr>
        <w:t xml:space="preserve"> topic in the </w:t>
      </w:r>
      <w:hyperlink r:id="rId7" w:history="1">
        <w:r w:rsidR="00F9512F">
          <w:rPr>
            <w:rFonts w:ascii="Verdana" w:eastAsia="Times New Roman" w:hAnsi="Verdana" w:cs="Times New Roman"/>
            <w:color w:val="006699"/>
            <w:sz w:val="18"/>
            <w:szCs w:val="18"/>
          </w:rPr>
          <w:t>Lender Underwriting Policy</w:t>
        </w:r>
      </w:hyperlink>
      <w:r w:rsidRPr="00AB3DFD">
        <w:rPr>
          <w:rFonts w:ascii="Verdana" w:eastAsia="Times New Roman" w:hAnsi="Verdana" w:cs="Times New Roman"/>
          <w:sz w:val="18"/>
          <w:szCs w:val="18"/>
        </w:rPr>
        <w:t xml:space="preserve"> for additional information, including documentation requirements and detailed calculation methods.</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Bonus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 use bonus income in the qualification, Underwriting must carefully consider the source, and method paid, and the basis upon which the income is earned (e.g., personal sales or company profit).  Annual earnings that are level or increasing from one year to the next are considered stable.  However, if the trend for the bonus income shows a decline, earnings should not be averaged and must be carefully analyzed before considering as stable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 use bonus income in the qualification:</w:t>
      </w:r>
    </w:p>
    <w:p w:rsidR="00AB3DFD" w:rsidRPr="00AB3DFD" w:rsidRDefault="00AB3DFD" w:rsidP="00AB3DFD">
      <w:pPr>
        <w:numPr>
          <w:ilvl w:val="0"/>
          <w:numId w:val="3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Document a consecutive, recent, two-year history with the same employer. </w:t>
      </w:r>
    </w:p>
    <w:p w:rsidR="00AB3DFD" w:rsidRPr="00AB3DFD" w:rsidRDefault="00AB3DFD" w:rsidP="00AB3DFD">
      <w:pPr>
        <w:numPr>
          <w:ilvl w:val="0"/>
          <w:numId w:val="33"/>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A</w:t>
      </w:r>
      <w:proofErr w:type="gramEnd"/>
      <w:r w:rsidRPr="00AB3DFD">
        <w:rPr>
          <w:rFonts w:ascii="Verdana" w:eastAsia="Times New Roman" w:hAnsi="Verdana" w:cs="Times New Roman"/>
          <w:sz w:val="18"/>
          <w:szCs w:val="18"/>
        </w:rPr>
        <w:t xml:space="preserve"> YTD pay stub reflecting bonus income received is required. </w:t>
      </w:r>
    </w:p>
    <w:p w:rsidR="00AB3DFD" w:rsidRPr="00AB3DFD" w:rsidRDefault="00AB3DFD" w:rsidP="00AB3DFD">
      <w:pPr>
        <w:numPr>
          <w:ilvl w:val="0"/>
          <w:numId w:val="3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It must be stated separately for the recent two-year period. </w:t>
      </w:r>
    </w:p>
    <w:p w:rsidR="00AB3DFD" w:rsidRPr="00AB3DFD" w:rsidRDefault="00AB3DFD" w:rsidP="00AB3DFD">
      <w:pPr>
        <w:numPr>
          <w:ilvl w:val="0"/>
          <w:numId w:val="3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It must be reasonably expected to continue. </w:t>
      </w:r>
    </w:p>
    <w:p w:rsidR="00AB3DFD" w:rsidRPr="00AB3DFD" w:rsidRDefault="00AB3DFD" w:rsidP="00AB3DFD">
      <w:pPr>
        <w:numPr>
          <w:ilvl w:val="0"/>
          <w:numId w:val="3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Copies of the borrower's W-2s and/or signed federal income tax returns for the past two years are required. </w:t>
      </w:r>
    </w:p>
    <w:p w:rsidR="00AB3DFD" w:rsidRPr="00AB3DFD" w:rsidRDefault="00AB3DFD" w:rsidP="00AB3DFD">
      <w:pPr>
        <w:numPr>
          <w:ilvl w:val="0"/>
          <w:numId w:val="33"/>
        </w:numPr>
        <w:spacing w:before="100" w:beforeAutospacing="1" w:after="100" w:afterAutospacing="1" w:line="240" w:lineRule="auto"/>
        <w:ind w:left="1440"/>
        <w:rPr>
          <w:rFonts w:ascii="Verdana" w:eastAsia="Times New Roman" w:hAnsi="Verdana" w:cs="Times New Roman"/>
          <w:sz w:val="18"/>
          <w:szCs w:val="18"/>
        </w:rPr>
      </w:pPr>
    </w:p>
    <w:p w:rsidR="00AB3DFD" w:rsidRPr="00AB3DFD" w:rsidRDefault="00AB3DFD" w:rsidP="00AB3DFD">
      <w:pPr>
        <w:numPr>
          <w:ilvl w:val="1"/>
          <w:numId w:val="3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Tax returns must have been filed with the IRS.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w:t>
      </w:r>
    </w:p>
    <w:p w:rsidR="00AB3DFD" w:rsidRPr="00AB3DFD" w:rsidRDefault="00AB3DFD" w:rsidP="00AB3DFD">
      <w:pPr>
        <w:numPr>
          <w:ilvl w:val="0"/>
          <w:numId w:val="35"/>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Projected bonus income that has no historical basis is not an acceptable source of income. </w:t>
      </w:r>
    </w:p>
    <w:p w:rsidR="00AB3DFD" w:rsidRPr="00AB3DFD" w:rsidRDefault="009B3752" w:rsidP="00AB3DFD">
      <w:pPr>
        <w:numPr>
          <w:ilvl w:val="0"/>
          <w:numId w:val="35"/>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Mortgage Only:</w:t>
      </w:r>
      <w:r w:rsidR="00AB3DFD" w:rsidRPr="00AB3DFD">
        <w:rPr>
          <w:rFonts w:ascii="Verdana" w:eastAsia="Times New Roman" w:hAnsi="Verdana" w:cs="Times New Roman"/>
          <w:sz w:val="18"/>
          <w:szCs w:val="18"/>
        </w:rPr>
        <w:t xml:space="preserve">  See the </w:t>
      </w:r>
      <w:r w:rsidR="00AB3DFD" w:rsidRPr="00AB3DFD">
        <w:rPr>
          <w:rFonts w:ascii="Verdana" w:eastAsia="Times New Roman" w:hAnsi="Verdana" w:cs="Times New Roman"/>
          <w:color w:val="006699"/>
          <w:sz w:val="18"/>
        </w:rPr>
        <w:t>Use and Calculation of Bonus Income</w:t>
      </w:r>
      <w:r w:rsidR="00AB3DFD"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00AB3DFD" w:rsidRPr="00AB3DFD">
        <w:rPr>
          <w:rFonts w:ascii="Verdana" w:eastAsia="Times New Roman" w:hAnsi="Verdana" w:cs="Times New Roman"/>
          <w:sz w:val="18"/>
          <w:szCs w:val="18"/>
        </w:rPr>
        <w:t xml:space="preserve"> additional information, including documentation requirements and detailed calculation methods.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Commissioned Borrowers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Commission income may fluctuate from year to year. Use an average of the last two years of income to qualify the borrower, and consider the annualized YTD earnings. Annual earnings that are level or increasing from one year to the next are considered stable. However, if the trend for the commission income shows a decline, earnings should not be averaged and must be carefully analyzed before being considered as stable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To include commission income in the qualification:</w:t>
      </w:r>
    </w:p>
    <w:p w:rsidR="00AB3DFD" w:rsidRPr="00AB3DFD" w:rsidRDefault="00AB3DFD" w:rsidP="00AB3DFD">
      <w:pPr>
        <w:numPr>
          <w:ilvl w:val="0"/>
          <w:numId w:val="36"/>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Document a consecutive, recent, two-year history in the same field. </w:t>
      </w:r>
    </w:p>
    <w:p w:rsidR="00AB3DFD" w:rsidRPr="00AB3DFD" w:rsidRDefault="00AB3DFD" w:rsidP="00AB3DFD">
      <w:pPr>
        <w:numPr>
          <w:ilvl w:val="0"/>
          <w:numId w:val="36"/>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It must be stated separately for the recent two-year period. </w:t>
      </w:r>
    </w:p>
    <w:p w:rsidR="00AB3DFD" w:rsidRPr="00AB3DFD" w:rsidRDefault="00AB3DFD" w:rsidP="00AB3DFD">
      <w:pPr>
        <w:numPr>
          <w:ilvl w:val="0"/>
          <w:numId w:val="36"/>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It must be reasonably expected to continue. </w:t>
      </w:r>
    </w:p>
    <w:p w:rsidR="00AB3DFD" w:rsidRPr="00AB3DFD" w:rsidRDefault="00AB3DFD" w:rsidP="00AB3DFD">
      <w:pPr>
        <w:numPr>
          <w:ilvl w:val="0"/>
          <w:numId w:val="36"/>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Copies of the borrower's YTD paystub/income statement, W-2s (or 1099s) and signed federal income tax returns for the past two years are required. Tax returns must have been filed with the IRS.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w:t>
      </w:r>
    </w:p>
    <w:p w:rsidR="00AB3DFD" w:rsidRPr="00AB3DFD" w:rsidRDefault="00AB3DFD" w:rsidP="00AB3DFD">
      <w:pPr>
        <w:numPr>
          <w:ilvl w:val="0"/>
          <w:numId w:val="37"/>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Commission income reported on the tax returns must cover at least a 12-month period and any non-reimbursed business expenses should be deducted from the income. Generally, these expenses are averaged, unless increasing. </w:t>
      </w:r>
    </w:p>
    <w:p w:rsidR="00AB3DFD" w:rsidRPr="00AB3DFD" w:rsidRDefault="00AB3DFD" w:rsidP="00AB3DFD">
      <w:pPr>
        <w:numPr>
          <w:ilvl w:val="0"/>
          <w:numId w:val="37"/>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Non-reimbursed business expenses are reflected on Schedule A and Form 2106 of the tax returns. </w:t>
      </w:r>
    </w:p>
    <w:p w:rsidR="00AB3DFD" w:rsidRPr="00AB3DFD" w:rsidRDefault="009B3752" w:rsidP="00AB3DFD">
      <w:pPr>
        <w:numPr>
          <w:ilvl w:val="0"/>
          <w:numId w:val="37"/>
        </w:numPr>
        <w:spacing w:before="100" w:beforeAutospacing="1" w:after="100" w:afterAutospacing="1" w:line="240" w:lineRule="auto"/>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Mortgage Only </w:t>
      </w:r>
    </w:p>
    <w:p w:rsidR="00AB3DFD" w:rsidRPr="00AB3DFD" w:rsidRDefault="00AB3DFD" w:rsidP="00AB3DFD">
      <w:pPr>
        <w:numPr>
          <w:ilvl w:val="0"/>
          <w:numId w:val="37"/>
        </w:numPr>
        <w:spacing w:before="100" w:beforeAutospacing="1" w:after="100" w:afterAutospacing="1" w:line="240" w:lineRule="auto"/>
        <w:ind w:left="1440"/>
        <w:rPr>
          <w:rFonts w:ascii="Verdana" w:eastAsia="Times New Roman" w:hAnsi="Verdana" w:cs="Times New Roman"/>
          <w:sz w:val="18"/>
          <w:szCs w:val="18"/>
        </w:rPr>
      </w:pPr>
    </w:p>
    <w:p w:rsidR="00AB3DFD" w:rsidRPr="00AB3DFD" w:rsidRDefault="00AB3DFD" w:rsidP="00AB3DFD">
      <w:pPr>
        <w:numPr>
          <w:ilvl w:val="1"/>
          <w:numId w:val="38"/>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lastRenderedPageBreak/>
        <w:t xml:space="preserve">See the </w:t>
      </w:r>
      <w:r w:rsidRPr="00AB3DFD">
        <w:rPr>
          <w:rFonts w:ascii="Verdana" w:eastAsia="Times New Roman" w:hAnsi="Verdana" w:cs="Times New Roman"/>
          <w:color w:val="006699"/>
          <w:sz w:val="18"/>
        </w:rPr>
        <w:t>Use and Calculation of Commission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additional information, including documentation requirements and detailed calculation methods. </w:t>
      </w:r>
    </w:p>
    <w:p w:rsidR="00AB3DFD" w:rsidRPr="00AB3DFD" w:rsidRDefault="00AB3DFD" w:rsidP="00AB3DFD">
      <w:pPr>
        <w:numPr>
          <w:ilvl w:val="1"/>
          <w:numId w:val="38"/>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Use </w:t>
      </w:r>
      <w:r w:rsidRPr="00AB3DFD">
        <w:rPr>
          <w:rFonts w:ascii="Verdana" w:eastAsia="Times New Roman" w:hAnsi="Verdana" w:cs="Times New Roman"/>
          <w:color w:val="006699"/>
          <w:sz w:val="18"/>
        </w:rPr>
        <w:t>Fannie Mae Automated 1084 Self-Employed Worksheets</w:t>
      </w:r>
      <w:r w:rsidRPr="00AB3DFD">
        <w:rPr>
          <w:rFonts w:ascii="Verdana" w:eastAsia="Times New Roman" w:hAnsi="Verdana" w:cs="Times New Roman"/>
          <w:sz w:val="18"/>
          <w:szCs w:val="18"/>
        </w:rPr>
        <w:t xml:space="preserve"> to analyze income.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Tips and Gratuities</w:t>
      </w:r>
    </w:p>
    <w:p w:rsidR="00AB3DFD" w:rsidRPr="00AB3DFD" w:rsidRDefault="00AB3DFD" w:rsidP="00AB3DFD">
      <w:pPr>
        <w:shd w:val="clear" w:color="auto" w:fill="CBD9E4"/>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Income derived from tips and gratuities is permitted as follows: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ONLY verified amounts are allowed.  An employer, as part of an employee's normal wages, must report tip income. Applicant(s) must, at a minimum, provide copies of the two (2) most recent W-2s, a current pay stub showing YTD earnings, and two (2) most recent tax returns with all schedules.</w:t>
      </w:r>
    </w:p>
    <w:p w:rsidR="00AB3DFD" w:rsidRDefault="00AB3DFD"/>
    <w:p w:rsidR="00AB3DFD" w:rsidRPr="00AB3DFD" w:rsidRDefault="00AB3DFD" w:rsidP="00AB3DFD">
      <w:pPr>
        <w:spacing w:before="100" w:beforeAutospacing="1" w:after="100" w:afterAutospacing="1" w:line="240" w:lineRule="auto"/>
        <w:outlineLvl w:val="0"/>
        <w:rPr>
          <w:rFonts w:ascii="Arial" w:eastAsia="Times New Roman" w:hAnsi="Arial" w:cs="Arial"/>
          <w:b/>
          <w:bCs/>
          <w:spacing w:val="-15"/>
          <w:kern w:val="36"/>
          <w:sz w:val="30"/>
          <w:szCs w:val="30"/>
        </w:rPr>
      </w:pPr>
      <w:r w:rsidRPr="00AB3DFD">
        <w:rPr>
          <w:rFonts w:ascii="Arial" w:eastAsia="Times New Roman" w:hAnsi="Arial" w:cs="Arial"/>
          <w:b/>
          <w:bCs/>
          <w:spacing w:val="-15"/>
          <w:kern w:val="36"/>
          <w:sz w:val="30"/>
          <w:szCs w:val="30"/>
        </w:rPr>
        <w:t>Employment Income - Self-Employed Sources</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Policy</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Self-employed income comes from an enterprise the borrower owns outright or substantially controls. An ownership share of 25% or more, or a combined ownership share of 25% or more for multiple applicants, determines "substantial control."</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Refer to </w:t>
      </w:r>
      <w:r w:rsidRPr="00AB3DFD">
        <w:rPr>
          <w:rFonts w:ascii="Verdana" w:eastAsia="Times New Roman" w:hAnsi="Verdana" w:cs="Times New Roman"/>
          <w:color w:val="006699"/>
          <w:sz w:val="18"/>
          <w:szCs w:val="18"/>
        </w:rPr>
        <w:t>General Income Statement - Verification Requirements</w:t>
      </w:r>
      <w:r w:rsidRPr="00AB3DFD">
        <w:rPr>
          <w:rFonts w:ascii="Verdana" w:eastAsia="Times New Roman" w:hAnsi="Verdana" w:cs="Times New Roman"/>
          <w:sz w:val="18"/>
          <w:szCs w:val="18"/>
        </w:rPr>
        <w:t xml:space="preserve"> for qualifying income sources and taxable status.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Analyze a self-employed borrower's business to determine that income streams are reasonable and likely to continue. The determination must validate the business is:</w:t>
      </w:r>
    </w:p>
    <w:p w:rsidR="00AB3DFD" w:rsidRPr="00AB3DFD" w:rsidRDefault="00AB3DFD" w:rsidP="00AB3DFD">
      <w:pPr>
        <w:numPr>
          <w:ilvl w:val="0"/>
          <w:numId w:val="39"/>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profitable</w:t>
      </w:r>
      <w:proofErr w:type="gramEnd"/>
      <w:r w:rsidRPr="00AB3DFD">
        <w:rPr>
          <w:rFonts w:ascii="Verdana" w:eastAsia="Times New Roman" w:hAnsi="Verdana" w:cs="Times New Roman"/>
          <w:sz w:val="18"/>
          <w:szCs w:val="18"/>
        </w:rPr>
        <w:t xml:space="preserve"> and viable. </w:t>
      </w:r>
    </w:p>
    <w:p w:rsidR="00AB3DFD" w:rsidRPr="00AB3DFD" w:rsidRDefault="00AB3DFD" w:rsidP="00AB3DFD">
      <w:pPr>
        <w:numPr>
          <w:ilvl w:val="0"/>
          <w:numId w:val="39"/>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generating</w:t>
      </w:r>
      <w:proofErr w:type="gramEnd"/>
      <w:r w:rsidRPr="00AB3DFD">
        <w:rPr>
          <w:rFonts w:ascii="Verdana" w:eastAsia="Times New Roman" w:hAnsi="Verdana" w:cs="Times New Roman"/>
          <w:sz w:val="18"/>
          <w:szCs w:val="18"/>
        </w:rPr>
        <w:t xml:space="preserve"> sufficient cash-flow to fund internal business needs. </w:t>
      </w:r>
    </w:p>
    <w:p w:rsidR="00AB3DFD" w:rsidRPr="00AB3DFD" w:rsidRDefault="00AB3DFD" w:rsidP="00AB3DFD">
      <w:pPr>
        <w:numPr>
          <w:ilvl w:val="0"/>
          <w:numId w:val="39"/>
        </w:numPr>
        <w:spacing w:before="100" w:beforeAutospacing="1" w:after="100" w:afterAutospacing="1" w:line="240" w:lineRule="auto"/>
        <w:rPr>
          <w:rFonts w:ascii="Verdana" w:eastAsia="Times New Roman" w:hAnsi="Verdana" w:cs="Times New Roman"/>
          <w:sz w:val="18"/>
          <w:szCs w:val="18"/>
        </w:rPr>
      </w:pPr>
      <w:proofErr w:type="gramStart"/>
      <w:r w:rsidRPr="00AB3DFD">
        <w:rPr>
          <w:rFonts w:ascii="Verdana" w:eastAsia="Times New Roman" w:hAnsi="Verdana" w:cs="Times New Roman"/>
          <w:sz w:val="18"/>
          <w:szCs w:val="18"/>
        </w:rPr>
        <w:t>able</w:t>
      </w:r>
      <w:proofErr w:type="gramEnd"/>
      <w:r w:rsidRPr="00AB3DFD">
        <w:rPr>
          <w:rFonts w:ascii="Verdana" w:eastAsia="Times New Roman" w:hAnsi="Verdana" w:cs="Times New Roman"/>
          <w:sz w:val="18"/>
          <w:szCs w:val="18"/>
        </w:rPr>
        <w:t xml:space="preserve"> to provide the owner (borrower) with sufficient income to repay all debt obligations.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w:t>
      </w:r>
    </w:p>
    <w:p w:rsidR="00AB3DFD" w:rsidRPr="00AB3DFD" w:rsidRDefault="00AB3DFD" w:rsidP="00AB3DFD">
      <w:pPr>
        <w:numPr>
          <w:ilvl w:val="0"/>
          <w:numId w:val="4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Tax returns must be obtained regardless of whether the income is being used to qualify, to determine if there is a business loss that may have an impact on the stable monthly income used for qualifying. </w:t>
      </w:r>
    </w:p>
    <w:p w:rsidR="00AB3DFD" w:rsidRPr="00AB3DFD" w:rsidRDefault="009B3752" w:rsidP="00AB3DFD">
      <w:pPr>
        <w:numPr>
          <w:ilvl w:val="0"/>
          <w:numId w:val="40"/>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Mortgage Only:</w:t>
      </w:r>
      <w:r w:rsidR="00AB3DFD" w:rsidRPr="00AB3DFD">
        <w:rPr>
          <w:rFonts w:ascii="Verdana" w:eastAsia="Times New Roman" w:hAnsi="Verdana" w:cs="Times New Roman"/>
          <w:sz w:val="18"/>
          <w:szCs w:val="18"/>
        </w:rPr>
        <w:t xml:space="preserve"> Use </w:t>
      </w:r>
      <w:r w:rsidR="00AB3DFD" w:rsidRPr="00AB3DFD">
        <w:rPr>
          <w:rFonts w:ascii="Verdana" w:eastAsia="Times New Roman" w:hAnsi="Verdana" w:cs="Times New Roman"/>
          <w:color w:val="006699"/>
          <w:sz w:val="18"/>
        </w:rPr>
        <w:t>Fannie Mae Automated 1084 Self-Employed Worksheets</w:t>
      </w:r>
      <w:r w:rsidR="00AB3DFD" w:rsidRPr="00AB3DFD">
        <w:rPr>
          <w:rFonts w:ascii="Verdana" w:eastAsia="Times New Roman" w:hAnsi="Verdana" w:cs="Times New Roman"/>
          <w:sz w:val="18"/>
          <w:szCs w:val="18"/>
        </w:rPr>
        <w:t xml:space="preserve"> to analyze income.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General Requirements for Self-Employed Borrowers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Self-employed borrowers should exhibit the following stability standards:</w:t>
      </w:r>
    </w:p>
    <w:p w:rsidR="00AB3DFD" w:rsidRPr="00AB3DFD" w:rsidRDefault="00AB3DFD" w:rsidP="00AB3DFD">
      <w:pPr>
        <w:numPr>
          <w:ilvl w:val="0"/>
          <w:numId w:val="4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Minimum of two years operating the same business </w:t>
      </w:r>
    </w:p>
    <w:p w:rsidR="00AB3DFD" w:rsidRPr="00AB3DFD" w:rsidRDefault="00AB3DFD" w:rsidP="00AB3DFD">
      <w:pPr>
        <w:numPr>
          <w:ilvl w:val="0"/>
          <w:numId w:val="4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Potential for maintaining continuous operation of business and income </w:t>
      </w:r>
    </w:p>
    <w:p w:rsidR="00AB3DFD" w:rsidRPr="00AB3DFD" w:rsidRDefault="00AB3DFD" w:rsidP="00AB3DFD">
      <w:pPr>
        <w:numPr>
          <w:ilvl w:val="0"/>
          <w:numId w:val="4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Documented ability to meet current and future obligations when income is fluctuating or diminishing </w:t>
      </w:r>
    </w:p>
    <w:p w:rsidR="00AB3DFD" w:rsidRPr="00AB3DFD" w:rsidRDefault="00AB3DFD" w:rsidP="00AB3DFD">
      <w:pPr>
        <w:numPr>
          <w:ilvl w:val="0"/>
          <w:numId w:val="4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Independent verification, prior to closing, that the borrower is self-employed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The following are required for all self-employed borrowers:</w:t>
      </w:r>
    </w:p>
    <w:p w:rsidR="00AB3DFD" w:rsidRPr="00AB3DFD" w:rsidRDefault="00AB3DFD" w:rsidP="00AB3DFD">
      <w:pPr>
        <w:numPr>
          <w:ilvl w:val="0"/>
          <w:numId w:val="4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24-month history of self employment, regardless of prior work history   </w:t>
      </w:r>
    </w:p>
    <w:p w:rsidR="00AB3DFD" w:rsidRPr="00AB3DFD" w:rsidRDefault="00AB3DFD" w:rsidP="00AB3DFD">
      <w:pPr>
        <w:numPr>
          <w:ilvl w:val="0"/>
          <w:numId w:val="4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minimum of two (2) years self-employment, reflected on tax returns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 Only</w:t>
      </w:r>
    </w:p>
    <w:p w:rsidR="00AB3DFD" w:rsidRPr="00AB3DFD" w:rsidRDefault="00AB3DFD" w:rsidP="00AB3DFD">
      <w:pPr>
        <w:numPr>
          <w:ilvl w:val="0"/>
          <w:numId w:val="4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lastRenderedPageBreak/>
        <w:t xml:space="preserve">A P &amp; L Statement prepared by a CPA for any time period within the last two (2) years that is not reflected on the tax returns </w:t>
      </w:r>
    </w:p>
    <w:p w:rsidR="00AB3DFD" w:rsidRPr="00AB3DFD" w:rsidRDefault="00AB3DFD" w:rsidP="00AB3DFD">
      <w:pPr>
        <w:numPr>
          <w:ilvl w:val="0"/>
          <w:numId w:val="4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the </w:t>
      </w:r>
      <w:r w:rsidRPr="00AB3DFD">
        <w:rPr>
          <w:rFonts w:ascii="Verdana" w:eastAsia="Times New Roman" w:hAnsi="Verdana" w:cs="Times New Roman"/>
          <w:color w:val="006699"/>
          <w:sz w:val="18"/>
        </w:rPr>
        <w:t>Use and Calculation of Self Employed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6" w:name="Documentation"/>
      <w:bookmarkEnd w:id="36"/>
      <w:r w:rsidRPr="00AB3DFD">
        <w:rPr>
          <w:rFonts w:ascii="Verdana" w:eastAsia="Times New Roman" w:hAnsi="Verdana" w:cs="Times New Roman"/>
          <w:b/>
          <w:bCs/>
          <w:sz w:val="21"/>
          <w:szCs w:val="21"/>
        </w:rPr>
        <w:t>Documentation Requirements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The following documentation is required for all self-employed borrowers:</w:t>
      </w:r>
    </w:p>
    <w:p w:rsidR="00AB3DFD" w:rsidRPr="00AB3DFD" w:rsidRDefault="00AB3DFD" w:rsidP="00AB3DFD">
      <w:pPr>
        <w:numPr>
          <w:ilvl w:val="0"/>
          <w:numId w:val="4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 minimum of the last two years of tax returns, signed by the borrower, including all schedules and statements</w:t>
      </w:r>
    </w:p>
    <w:p w:rsidR="00AB3DFD" w:rsidRPr="00AB3DFD" w:rsidRDefault="00AB3DFD" w:rsidP="00AB3DFD">
      <w:pPr>
        <w:numPr>
          <w:ilvl w:val="0"/>
          <w:numId w:val="4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Internal Revenue Service (IRS) Form 4506-T; see the corresponding section in </w:t>
      </w:r>
      <w:r w:rsidRPr="00AB3DFD">
        <w:rPr>
          <w:rFonts w:ascii="Verdana" w:eastAsia="Times New Roman" w:hAnsi="Verdana" w:cs="Times New Roman"/>
          <w:color w:val="006699"/>
          <w:sz w:val="18"/>
          <w:szCs w:val="18"/>
        </w:rPr>
        <w:t>General Income Statement - Verification Requirements</w:t>
      </w:r>
    </w:p>
    <w:p w:rsidR="00AB3DFD" w:rsidRPr="00AB3DFD" w:rsidRDefault="009B3752" w:rsidP="00AB3DFD">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Mortgage</w:t>
      </w:r>
    </w:p>
    <w:p w:rsidR="00AB3DFD" w:rsidRPr="00AB3DFD" w:rsidRDefault="00AB3DFD" w:rsidP="00AB3DFD">
      <w:pPr>
        <w:numPr>
          <w:ilvl w:val="0"/>
          <w:numId w:val="45"/>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When tax returns are required and the tax-filing deadline has passed without the borrower filing, obtain a properly executed notice of extension for our review and loan file. See </w:t>
      </w:r>
      <w:r w:rsidRPr="00AB3DFD">
        <w:rPr>
          <w:rFonts w:ascii="Verdana" w:eastAsia="Times New Roman" w:hAnsi="Verdana" w:cs="Times New Roman"/>
          <w:color w:val="006699"/>
          <w:sz w:val="18"/>
        </w:rPr>
        <w:t>Tax Transcripts</w:t>
      </w:r>
      <w:r w:rsidRPr="00AB3DFD">
        <w:rPr>
          <w:rFonts w:ascii="Verdana" w:eastAsia="Times New Roman" w:hAnsi="Verdana" w:cs="Times New Roman"/>
          <w:sz w:val="18"/>
          <w:szCs w:val="18"/>
        </w:rPr>
        <w:t xml:space="preserve"> in the Underwriting Operations section of this guide for additional information. </w:t>
      </w:r>
    </w:p>
    <w:p w:rsidR="00AB3DFD" w:rsidRPr="00AB3DFD" w:rsidRDefault="00AB3DFD" w:rsidP="00AB3DFD">
      <w:pPr>
        <w:numPr>
          <w:ilvl w:val="0"/>
          <w:numId w:val="45"/>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year-to-date (YTD) P &amp; L Statement may be required by an Automated Underwriting System (AUS) when the application is dated more than 120 days after the end of the business' fiscal year, regardless of the type of business. </w:t>
      </w:r>
    </w:p>
    <w:p w:rsidR="00AB3DFD" w:rsidRPr="00AB3DFD" w:rsidRDefault="00AB3DFD" w:rsidP="00AB3DFD">
      <w:pPr>
        <w:numPr>
          <w:ilvl w:val="0"/>
          <w:numId w:val="45"/>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the </w:t>
      </w:r>
      <w:r w:rsidRPr="00AB3DFD">
        <w:rPr>
          <w:rFonts w:ascii="Verdana" w:eastAsia="Times New Roman" w:hAnsi="Verdana" w:cs="Times New Roman"/>
          <w:color w:val="006699"/>
          <w:sz w:val="18"/>
        </w:rPr>
        <w:t>Use and Calculation of Self Employed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 </w:t>
      </w:r>
    </w:p>
    <w:p w:rsidR="00AB3DFD" w:rsidRPr="00AB3DFD" w:rsidRDefault="0084256B" w:rsidP="00AB3DFD">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Home Equity</w:t>
      </w:r>
    </w:p>
    <w:p w:rsidR="00AB3DFD" w:rsidRPr="00AB3DFD" w:rsidRDefault="00AB3DFD" w:rsidP="00AB3DFD">
      <w:pPr>
        <w:numPr>
          <w:ilvl w:val="0"/>
          <w:numId w:val="46"/>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copy of executed extension for personal tax return is required for both initial documentation filed on April 15 and subsequent extension through October 15.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 xml:space="preserve">: These apply to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w:t>
      </w:r>
      <w:r w:rsidRPr="00AB3DFD">
        <w:rPr>
          <w:rFonts w:ascii="Verdana" w:eastAsia="Times New Roman" w:hAnsi="Verdana" w:cs="Times New Roman"/>
          <w:sz w:val="18"/>
          <w:szCs w:val="18"/>
        </w:rPr>
        <w:t xml:space="preserve"> and </w:t>
      </w:r>
      <w:r w:rsidR="0084256B">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Home Equity:</w:t>
      </w:r>
    </w:p>
    <w:p w:rsidR="00AB3DFD" w:rsidRPr="00AB3DFD" w:rsidRDefault="00AB3DFD" w:rsidP="00AB3DFD">
      <w:pPr>
        <w:numPr>
          <w:ilvl w:val="0"/>
          <w:numId w:val="47"/>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When any borrower on the loan application is self-employed, and the self-employment income is not used to qualify, obtain tax returns to determine if there is a business loss that may impact the stable monthly income used for qualifying.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Self-Employed Business Losses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Self employed business losses must be considered as part of the underwriting and risk assessment of the loan file. The amount of any losses incurred by the business must be deducted from qualifying income, based on the borrower’s percentage of ownership in the business.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Losses are also considered in the analysis of the business as indicated in the Policy section above.</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Contract Employees</w:t>
      </w:r>
    </w:p>
    <w:p w:rsidR="00AB3DFD" w:rsidRPr="00AB3DFD" w:rsidRDefault="009B3752" w:rsidP="00AB3DFD">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Lending Book</w:t>
      </w:r>
      <w:r w:rsidR="00AB3DFD" w:rsidRPr="00AB3DFD">
        <w:rPr>
          <w:rFonts w:ascii="Verdana" w:eastAsia="Times New Roman" w:hAnsi="Verdana" w:cs="Times New Roman"/>
          <w:sz w:val="18"/>
          <w:szCs w:val="18"/>
        </w:rPr>
        <w:t xml:space="preserve"> considers contract borrowers (borrowers paid on an independent, contractual basis) to be self-employed borrowers. Contract borrowers must provide the same documentation as self-employed borrowers.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 Only</w:t>
      </w:r>
      <w:r w:rsidRPr="00AB3DFD">
        <w:rPr>
          <w:rFonts w:ascii="Verdana" w:eastAsia="Times New Roman" w:hAnsi="Verdana" w:cs="Times New Roman"/>
          <w:sz w:val="18"/>
          <w:szCs w:val="18"/>
        </w:rPr>
        <w:t xml:space="preserve">: Use </w:t>
      </w:r>
      <w:r w:rsidRPr="00AB3DFD">
        <w:rPr>
          <w:rFonts w:ascii="Verdana" w:eastAsia="Times New Roman" w:hAnsi="Verdana" w:cs="Times New Roman"/>
          <w:color w:val="006699"/>
          <w:sz w:val="18"/>
          <w:szCs w:val="18"/>
        </w:rPr>
        <w:t>Fannie Mae Automated 1084 Self-Employed Worksheets</w:t>
      </w:r>
      <w:r w:rsidRPr="00AB3DFD">
        <w:rPr>
          <w:rFonts w:ascii="Verdana" w:eastAsia="Times New Roman" w:hAnsi="Verdana" w:cs="Times New Roman"/>
          <w:sz w:val="18"/>
          <w:szCs w:val="18"/>
        </w:rPr>
        <w:t xml:space="preserve"> to analyze income.</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Sole Proprietor</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A sole proprietor generally files a Schedule C with personal tax returns to report business income.</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lastRenderedPageBreak/>
        <w:t>Income verification requirements are:</w:t>
      </w:r>
    </w:p>
    <w:p w:rsidR="00AB3DFD" w:rsidRPr="00AB3DFD" w:rsidRDefault="00AB3DFD" w:rsidP="00AB3DFD">
      <w:pPr>
        <w:numPr>
          <w:ilvl w:val="0"/>
          <w:numId w:val="48"/>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A minimum of the last two years tax returns, signed by the borrower, including all schedules, and statements. </w:t>
      </w:r>
    </w:p>
    <w:p w:rsidR="00AB3DFD" w:rsidRPr="00AB3DFD" w:rsidRDefault="00AB3DFD" w:rsidP="00AB3DFD">
      <w:pPr>
        <w:numPr>
          <w:ilvl w:val="0"/>
          <w:numId w:val="48"/>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When the returns are insufficient to analyze the business, request supplemental financial information, such as interim financial statements.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 Only</w:t>
      </w:r>
    </w:p>
    <w:p w:rsidR="00AB3DFD" w:rsidRPr="00AB3DFD" w:rsidRDefault="00AB3DFD" w:rsidP="00AB3DFD">
      <w:pPr>
        <w:numPr>
          <w:ilvl w:val="0"/>
          <w:numId w:val="49"/>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When tax returns are required and the tax-filing deadline has passed without the borrower filing, obtain a properly executed notice of extension for our review and loan file. See </w:t>
      </w:r>
      <w:r w:rsidRPr="00AB3DFD">
        <w:rPr>
          <w:rFonts w:ascii="Verdana" w:eastAsia="Times New Roman" w:hAnsi="Verdana" w:cs="Times New Roman"/>
          <w:color w:val="006699"/>
          <w:sz w:val="18"/>
        </w:rPr>
        <w:t>Tax Transcripts</w:t>
      </w:r>
      <w:r w:rsidRPr="00AB3DFD">
        <w:rPr>
          <w:rFonts w:ascii="Verdana" w:eastAsia="Times New Roman" w:hAnsi="Verdana" w:cs="Times New Roman"/>
          <w:sz w:val="18"/>
          <w:szCs w:val="18"/>
        </w:rPr>
        <w:t xml:space="preserve"> in the Underwriting Operations section of this guide for additional information. </w:t>
      </w:r>
    </w:p>
    <w:p w:rsidR="00AB3DFD" w:rsidRPr="00AB3DFD" w:rsidRDefault="00AB3DFD" w:rsidP="00AB3DFD">
      <w:pPr>
        <w:numPr>
          <w:ilvl w:val="0"/>
          <w:numId w:val="49"/>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the </w:t>
      </w:r>
      <w:r w:rsidRPr="00AB3DFD">
        <w:rPr>
          <w:rFonts w:ascii="Verdana" w:eastAsia="Times New Roman" w:hAnsi="Verdana" w:cs="Times New Roman"/>
          <w:color w:val="006699"/>
          <w:sz w:val="18"/>
        </w:rPr>
        <w:t>Use and Calculation of Self Employed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 </w:t>
      </w:r>
    </w:p>
    <w:p w:rsidR="00AB3DFD" w:rsidRPr="00AB3DFD" w:rsidRDefault="00AB3DFD" w:rsidP="00AB3DFD">
      <w:pPr>
        <w:numPr>
          <w:ilvl w:val="0"/>
          <w:numId w:val="49"/>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Use Fannie Mae Automated </w:t>
      </w:r>
      <w:r w:rsidRPr="00AB3DFD">
        <w:rPr>
          <w:rFonts w:ascii="Verdana" w:eastAsia="Times New Roman" w:hAnsi="Verdana" w:cs="Times New Roman"/>
          <w:color w:val="006699"/>
          <w:sz w:val="18"/>
        </w:rPr>
        <w:t>1084 Self-Employed Worksheets</w:t>
      </w:r>
      <w:r w:rsidRPr="00AB3DFD">
        <w:rPr>
          <w:rFonts w:ascii="Verdana" w:eastAsia="Times New Roman" w:hAnsi="Verdana" w:cs="Times New Roman"/>
          <w:sz w:val="18"/>
          <w:szCs w:val="18"/>
        </w:rPr>
        <w:t xml:space="preserve"> to analyze income.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7" w:name="Partnership"/>
      <w:bookmarkEnd w:id="37"/>
      <w:r w:rsidRPr="00AB3DFD">
        <w:rPr>
          <w:rFonts w:ascii="Verdana" w:eastAsia="Times New Roman" w:hAnsi="Verdana" w:cs="Times New Roman"/>
          <w:b/>
          <w:bCs/>
          <w:sz w:val="21"/>
          <w:szCs w:val="21"/>
        </w:rPr>
        <w:t>Partnership</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Partnership income is generally reflected on the Schedule K-1 and contains income from the borrower's personal tax returns as well as from the partnership returns.</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When the borrower, or multiple borrowers, controls 25% or more of the business, the following minimum requirements apply:</w:t>
      </w:r>
    </w:p>
    <w:p w:rsidR="00AB3DFD" w:rsidRPr="00AB3DFD" w:rsidRDefault="00AB3DFD" w:rsidP="00AB3DFD">
      <w:pPr>
        <w:numPr>
          <w:ilvl w:val="0"/>
          <w:numId w:val="5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Personal tax returns as indicated in General Requirements for Self-Employed Borrowers section above </w:t>
      </w:r>
    </w:p>
    <w:p w:rsidR="00AB3DFD" w:rsidRPr="00AB3DFD" w:rsidRDefault="00AB3DFD" w:rsidP="00AB3DFD">
      <w:pPr>
        <w:numPr>
          <w:ilvl w:val="0"/>
          <w:numId w:val="50"/>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Two (2) years of K-1s from the Partnership to the individual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 Only</w:t>
      </w:r>
    </w:p>
    <w:p w:rsidR="00AB3DFD" w:rsidRPr="00AB3DFD" w:rsidRDefault="00AB3DFD" w:rsidP="00AB3DFD">
      <w:pPr>
        <w:numPr>
          <w:ilvl w:val="0"/>
          <w:numId w:val="5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Two (2) years of the most recent Partnership Tax Returns (1065s) </w:t>
      </w:r>
    </w:p>
    <w:p w:rsidR="00AB3DFD" w:rsidRPr="00AB3DFD" w:rsidRDefault="00AB3DFD" w:rsidP="00AB3DFD">
      <w:pPr>
        <w:numPr>
          <w:ilvl w:val="0"/>
          <w:numId w:val="5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the </w:t>
      </w:r>
      <w:r w:rsidRPr="00AB3DFD">
        <w:rPr>
          <w:rFonts w:ascii="Verdana" w:eastAsia="Times New Roman" w:hAnsi="Verdana" w:cs="Times New Roman"/>
          <w:color w:val="006699"/>
          <w:sz w:val="18"/>
        </w:rPr>
        <w:t>Use and Calculation of Self Employed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 </w:t>
      </w:r>
    </w:p>
    <w:p w:rsidR="00AB3DFD" w:rsidRPr="00AB3DFD" w:rsidRDefault="00AB3DFD" w:rsidP="00AB3DFD">
      <w:pPr>
        <w:numPr>
          <w:ilvl w:val="0"/>
          <w:numId w:val="51"/>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Use Fannie Mae Automated </w:t>
      </w:r>
      <w:hyperlink r:id="rId8" w:tgtFrame="_blank" w:history="1">
        <w:r w:rsidRPr="00AB3DFD">
          <w:rPr>
            <w:rFonts w:ascii="Verdana" w:eastAsia="Times New Roman" w:hAnsi="Verdana" w:cs="Times New Roman"/>
            <w:color w:val="006699"/>
            <w:sz w:val="18"/>
          </w:rPr>
          <w:t>1084 Self-Employed Worksheets</w:t>
        </w:r>
      </w:hyperlink>
      <w:r w:rsidRPr="00AB3DFD">
        <w:rPr>
          <w:rFonts w:ascii="Verdana" w:eastAsia="Times New Roman" w:hAnsi="Verdana" w:cs="Times New Roman"/>
          <w:sz w:val="18"/>
          <w:szCs w:val="18"/>
        </w:rPr>
        <w:t xml:space="preserve"> to analyze income.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Corporation</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When the borrower, or multiple borrowers, controls 25% or more of the business, the following minimum requirements apply:</w:t>
      </w:r>
    </w:p>
    <w:p w:rsidR="00AB3DFD" w:rsidRPr="00AB3DFD" w:rsidRDefault="00AB3DFD" w:rsidP="00AB3DFD">
      <w:pPr>
        <w:numPr>
          <w:ilvl w:val="0"/>
          <w:numId w:val="5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Personal tax returns as indicated in General Requirements for Self-Employed Borrowers section above </w:t>
      </w:r>
    </w:p>
    <w:p w:rsidR="00AB3DFD" w:rsidRPr="00AB3DFD" w:rsidRDefault="00AB3DFD" w:rsidP="00AB3DFD">
      <w:pPr>
        <w:numPr>
          <w:ilvl w:val="0"/>
          <w:numId w:val="5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Corporate financial statements are useful as a supplement, but are not substitutes for the Corporate Tax Returns. </w:t>
      </w:r>
    </w:p>
    <w:p w:rsidR="00AB3DFD" w:rsidRPr="00AB3DFD" w:rsidRDefault="00AB3DFD" w:rsidP="00AB3DFD">
      <w:pPr>
        <w:numPr>
          <w:ilvl w:val="0"/>
          <w:numId w:val="52"/>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Two (2) years of K-1s from an "S" Corporation to the individual.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AB3DFD">
        <w:rPr>
          <w:rFonts w:ascii="Verdana" w:eastAsia="Times New Roman" w:hAnsi="Verdana" w:cs="Times New Roman"/>
          <w:b/>
          <w:bCs/>
          <w:sz w:val="18"/>
          <w:szCs w:val="18"/>
        </w:rPr>
        <w:t xml:space="preserve"> - Mortgage Only</w:t>
      </w:r>
    </w:p>
    <w:p w:rsidR="00AB3DFD" w:rsidRPr="00AB3DFD" w:rsidRDefault="00AB3DFD" w:rsidP="00AB3DFD">
      <w:pPr>
        <w:numPr>
          <w:ilvl w:val="0"/>
          <w:numId w:val="5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Two (2) years of the most recent Corporate Tax Returns (1120s or 1120Ss, if applicable) </w:t>
      </w:r>
    </w:p>
    <w:p w:rsidR="00AB3DFD" w:rsidRPr="00AB3DFD" w:rsidRDefault="00AB3DFD" w:rsidP="00AB3DFD">
      <w:pPr>
        <w:numPr>
          <w:ilvl w:val="0"/>
          <w:numId w:val="53"/>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See the </w:t>
      </w:r>
      <w:r w:rsidRPr="00AB3DFD">
        <w:rPr>
          <w:rFonts w:ascii="Verdana" w:eastAsia="Times New Roman" w:hAnsi="Verdana" w:cs="Times New Roman"/>
          <w:color w:val="006699"/>
          <w:sz w:val="18"/>
        </w:rPr>
        <w:t>Use and Calculation of Self Employed Income</w:t>
      </w:r>
      <w:r w:rsidRPr="00AB3DFD">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rPr>
        <w:t>Lender Underwriting Policy</w:t>
      </w:r>
      <w:r w:rsidRPr="00AB3DFD">
        <w:rPr>
          <w:rFonts w:ascii="Verdana" w:eastAsia="Times New Roman" w:hAnsi="Verdana" w:cs="Times New Roman"/>
          <w:sz w:val="18"/>
          <w:szCs w:val="18"/>
        </w:rPr>
        <w:t xml:space="preserve"> for additional information, including documentation requirements and detailed calculation methods. </w:t>
      </w:r>
    </w:p>
    <w:p w:rsidR="00AB3DFD" w:rsidRPr="00AB3DFD" w:rsidRDefault="00AB3DFD" w:rsidP="00AB3DFD">
      <w:pPr>
        <w:spacing w:before="100" w:beforeAutospacing="1" w:after="100" w:afterAutospacing="1" w:line="240" w:lineRule="auto"/>
        <w:outlineLvl w:val="2"/>
        <w:rPr>
          <w:rFonts w:ascii="Verdana" w:eastAsia="Times New Roman" w:hAnsi="Verdana" w:cs="Times New Roman"/>
          <w:b/>
          <w:bCs/>
          <w:sz w:val="18"/>
          <w:szCs w:val="18"/>
        </w:rPr>
      </w:pPr>
      <w:r w:rsidRPr="00AB3DFD">
        <w:rPr>
          <w:rFonts w:ascii="Verdana" w:eastAsia="Times New Roman" w:hAnsi="Verdana" w:cs="Times New Roman"/>
          <w:b/>
          <w:bCs/>
          <w:sz w:val="18"/>
          <w:szCs w:val="18"/>
        </w:rPr>
        <w:t>Use of Profits from a Corporation</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To use "net profits" from a Corporation as qualifying income, the borrower(s) on the application must have </w:t>
      </w:r>
      <w:r w:rsidRPr="00AB3DFD">
        <w:rPr>
          <w:rFonts w:ascii="Verdana" w:eastAsia="Times New Roman" w:hAnsi="Verdana" w:cs="Times New Roman"/>
          <w:i/>
          <w:iCs/>
          <w:sz w:val="18"/>
          <w:szCs w:val="18"/>
        </w:rPr>
        <w:t>complete (100%) ownership of the Corporation</w:t>
      </w:r>
      <w:r w:rsidRPr="00AB3DFD">
        <w:rPr>
          <w:rFonts w:ascii="Verdana" w:eastAsia="Times New Roman" w:hAnsi="Verdana" w:cs="Times New Roman"/>
          <w:sz w:val="18"/>
          <w:szCs w:val="18"/>
        </w:rPr>
        <w:t xml:space="preserve"> as evidenced by the business tax returns or a letter from the accountant for the business.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lastRenderedPageBreak/>
        <w:t>The following requirements must also be met:</w:t>
      </w:r>
    </w:p>
    <w:p w:rsidR="00AB3DFD" w:rsidRPr="00AB3DFD" w:rsidRDefault="00AB3DFD" w:rsidP="00AB3DFD">
      <w:pPr>
        <w:numPr>
          <w:ilvl w:val="0"/>
          <w:numId w:val="5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borrower(s) must have a legal right to the additional income as evidenced by a corporate resolution or other comparable document. </w:t>
      </w:r>
    </w:p>
    <w:p w:rsidR="00AB3DFD" w:rsidRPr="00AB3DFD" w:rsidRDefault="00AB3DFD" w:rsidP="00AB3DFD">
      <w:pPr>
        <w:numPr>
          <w:ilvl w:val="0"/>
          <w:numId w:val="5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There must be a minimum two (2) year history of receipt of the income. </w:t>
      </w:r>
    </w:p>
    <w:p w:rsidR="00AB3DFD" w:rsidRPr="00AB3DFD" w:rsidRDefault="00AB3DFD" w:rsidP="00AB3DFD">
      <w:pPr>
        <w:numPr>
          <w:ilvl w:val="0"/>
          <w:numId w:val="5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Verification from the accountant for the company indicating that the business can support the on-going distribution of the corporate profits at the same or an increasing level. </w:t>
      </w:r>
    </w:p>
    <w:p w:rsidR="00AB3DFD" w:rsidRPr="00AB3DFD" w:rsidRDefault="00AB3DFD" w:rsidP="00AB3DFD">
      <w:pPr>
        <w:numPr>
          <w:ilvl w:val="0"/>
          <w:numId w:val="54"/>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rPr>
        <w:t>Underwriting's</w:t>
      </w:r>
      <w:r w:rsidRPr="00AB3DFD">
        <w:rPr>
          <w:rFonts w:ascii="Verdana" w:eastAsia="Times New Roman" w:hAnsi="Verdana" w:cs="Times New Roman"/>
          <w:sz w:val="18"/>
          <w:szCs w:val="18"/>
        </w:rPr>
        <w:t xml:space="preserve"> analysis of the business that supports it is capable of providing the borrower(s) with the additional income. </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b/>
          <w:bCs/>
          <w:sz w:val="18"/>
          <w:szCs w:val="18"/>
        </w:rPr>
        <w:t>Notes</w:t>
      </w:r>
      <w:r w:rsidRPr="00AB3DFD">
        <w:rPr>
          <w:rFonts w:ascii="Verdana" w:eastAsia="Times New Roman" w:hAnsi="Verdana" w:cs="Times New Roman"/>
          <w:sz w:val="18"/>
          <w:szCs w:val="18"/>
        </w:rPr>
        <w:t>:</w:t>
      </w:r>
    </w:p>
    <w:p w:rsidR="00AB3DFD" w:rsidRPr="00AB3DFD" w:rsidRDefault="00AB3DFD" w:rsidP="00AB3DFD">
      <w:pPr>
        <w:numPr>
          <w:ilvl w:val="0"/>
          <w:numId w:val="55"/>
        </w:num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 xml:space="preserve">The requirements above do not apply to "S" Corporations. </w:t>
      </w:r>
    </w:p>
    <w:p w:rsidR="00AB3DFD" w:rsidRPr="00AB3DFD" w:rsidRDefault="009B3752" w:rsidP="00AB3DFD">
      <w:pPr>
        <w:numPr>
          <w:ilvl w:val="0"/>
          <w:numId w:val="55"/>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b/>
          <w:bCs/>
          <w:sz w:val="18"/>
          <w:szCs w:val="18"/>
        </w:rPr>
        <w:t>Lending Direct</w:t>
      </w:r>
      <w:r w:rsidR="00AB3DFD" w:rsidRPr="00AB3DFD">
        <w:rPr>
          <w:rFonts w:ascii="Verdana" w:eastAsia="Times New Roman" w:hAnsi="Verdana" w:cs="Times New Roman"/>
          <w:b/>
          <w:bCs/>
          <w:sz w:val="18"/>
          <w:szCs w:val="18"/>
        </w:rPr>
        <w:t xml:space="preserve"> - Mortgage Only</w:t>
      </w:r>
      <w:r w:rsidR="00AB3DFD" w:rsidRPr="00AB3DFD">
        <w:rPr>
          <w:rFonts w:ascii="Verdana" w:eastAsia="Times New Roman" w:hAnsi="Verdana" w:cs="Times New Roman"/>
          <w:sz w:val="18"/>
          <w:szCs w:val="18"/>
        </w:rPr>
        <w:t xml:space="preserve">: Use Fannie Mae Automated </w:t>
      </w:r>
      <w:r w:rsidR="00AB3DFD" w:rsidRPr="00AB3DFD">
        <w:rPr>
          <w:rFonts w:ascii="Verdana" w:eastAsia="Times New Roman" w:hAnsi="Verdana" w:cs="Times New Roman"/>
          <w:color w:val="006699"/>
          <w:sz w:val="18"/>
        </w:rPr>
        <w:t>1084 Self-Employed Worksheets</w:t>
      </w:r>
      <w:r w:rsidR="00AB3DFD" w:rsidRPr="00AB3DFD">
        <w:rPr>
          <w:rFonts w:ascii="Verdana" w:eastAsia="Times New Roman" w:hAnsi="Verdana" w:cs="Times New Roman"/>
          <w:sz w:val="18"/>
          <w:szCs w:val="18"/>
        </w:rPr>
        <w:t xml:space="preserve"> to analyze income. </w:t>
      </w:r>
    </w:p>
    <w:p w:rsidR="00AB3DFD" w:rsidRPr="00AB3DFD" w:rsidRDefault="00AB3DFD" w:rsidP="00AB3DFD">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AB3DFD">
        <w:rPr>
          <w:rFonts w:ascii="Verdana" w:eastAsia="Times New Roman" w:hAnsi="Verdana" w:cs="Times New Roman"/>
          <w:b/>
          <w:bCs/>
          <w:sz w:val="21"/>
          <w:szCs w:val="21"/>
        </w:rPr>
        <w:t>Limited Liability Company (LLC)</w:t>
      </w:r>
    </w:p>
    <w:p w:rsidR="00AB3DFD" w:rsidRPr="00AB3DFD" w:rsidRDefault="00AB3DFD" w:rsidP="00AB3DFD">
      <w:pPr>
        <w:spacing w:before="100" w:beforeAutospacing="1" w:after="100" w:afterAutospacing="1" w:line="240" w:lineRule="auto"/>
        <w:rPr>
          <w:rFonts w:ascii="Verdana" w:eastAsia="Times New Roman" w:hAnsi="Verdana" w:cs="Times New Roman"/>
          <w:sz w:val="18"/>
          <w:szCs w:val="18"/>
        </w:rPr>
      </w:pPr>
      <w:r w:rsidRPr="00AB3DFD">
        <w:rPr>
          <w:rFonts w:ascii="Verdana" w:eastAsia="Times New Roman" w:hAnsi="Verdana" w:cs="Times New Roman"/>
          <w:sz w:val="18"/>
          <w:szCs w:val="18"/>
        </w:rPr>
        <w:t>Limited Liability Companies file taxes using partnership tax returns.  Apply the partnership tax return requirements above to these companies.</w:t>
      </w:r>
    </w:p>
    <w:p w:rsidR="00AB3DFD" w:rsidRDefault="00AB3DFD"/>
    <w:p w:rsidR="00005AA3" w:rsidRPr="00005AA3" w:rsidRDefault="00005AA3" w:rsidP="00005AA3">
      <w:pPr>
        <w:spacing w:before="100" w:beforeAutospacing="1" w:after="100" w:afterAutospacing="1" w:line="240" w:lineRule="auto"/>
        <w:outlineLvl w:val="0"/>
        <w:rPr>
          <w:rFonts w:ascii="Arial" w:eastAsia="Times New Roman" w:hAnsi="Arial" w:cs="Arial"/>
          <w:b/>
          <w:bCs/>
          <w:spacing w:val="-15"/>
          <w:kern w:val="36"/>
          <w:sz w:val="30"/>
          <w:szCs w:val="30"/>
        </w:rPr>
      </w:pPr>
      <w:r w:rsidRPr="00005AA3">
        <w:rPr>
          <w:rFonts w:ascii="Arial" w:eastAsia="Times New Roman" w:hAnsi="Arial" w:cs="Arial"/>
          <w:b/>
          <w:bCs/>
          <w:spacing w:val="-15"/>
          <w:kern w:val="36"/>
          <w:sz w:val="30"/>
          <w:szCs w:val="30"/>
        </w:rPr>
        <w:t>Other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Policy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Other income sources, taxable and non-taxable, must be verified unless otherwise indicated by underwriting and/or specific program guides.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Distinguish non-taxable income from </w:t>
      </w:r>
      <w:r w:rsidRPr="00005AA3">
        <w:rPr>
          <w:rFonts w:ascii="Verdana" w:eastAsia="Times New Roman" w:hAnsi="Verdana" w:cs="Times New Roman"/>
          <w:color w:val="006699"/>
          <w:sz w:val="18"/>
          <w:szCs w:val="18"/>
        </w:rPr>
        <w:t>non-reported income</w:t>
      </w:r>
      <w:r w:rsidRPr="00005AA3">
        <w:rPr>
          <w:rFonts w:ascii="Verdana" w:eastAsia="Times New Roman" w:hAnsi="Verdana" w:cs="Times New Roman"/>
          <w:sz w:val="18"/>
          <w:szCs w:val="18"/>
        </w:rPr>
        <w:t xml:space="preserve">. Non-taxable income sources are not taxed, resulting in a greater "value" to the borrower. Unless otherwise noted, all non-taxable income sources are grossed up by a factor of </w:t>
      </w:r>
      <w:proofErr w:type="gramStart"/>
      <w:r w:rsidRPr="00005AA3">
        <w:rPr>
          <w:rFonts w:ascii="Verdana" w:eastAsia="Times New Roman" w:hAnsi="Verdana" w:cs="Times New Roman"/>
          <w:sz w:val="18"/>
          <w:szCs w:val="18"/>
        </w:rPr>
        <w:t>1.25,</w:t>
      </w:r>
      <w:proofErr w:type="gramEnd"/>
      <w:r w:rsidRPr="00005AA3">
        <w:rPr>
          <w:rFonts w:ascii="Verdana" w:eastAsia="Times New Roman" w:hAnsi="Verdana" w:cs="Times New Roman"/>
          <w:sz w:val="18"/>
          <w:szCs w:val="18"/>
        </w:rPr>
        <w:t xml:space="preserve"> provided the non-taxable status of the income is verified. See </w:t>
      </w:r>
      <w:r w:rsidRPr="00005AA3">
        <w:rPr>
          <w:rFonts w:ascii="Verdana" w:eastAsia="Times New Roman" w:hAnsi="Verdana" w:cs="Times New Roman"/>
          <w:color w:val="006699"/>
          <w:sz w:val="18"/>
          <w:szCs w:val="18"/>
        </w:rPr>
        <w:t>General Income Statement - Verification Requirements</w:t>
      </w:r>
      <w:r w:rsidRPr="00005AA3">
        <w:rPr>
          <w:rFonts w:ascii="Verdana" w:eastAsia="Times New Roman" w:hAnsi="Verdana" w:cs="Times New Roman"/>
          <w:sz w:val="18"/>
          <w:szCs w:val="18"/>
        </w:rPr>
        <w:t xml:space="preserve"> for specific non-taxable income details.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See </w:t>
      </w:r>
      <w:r w:rsidRPr="00005AA3">
        <w:rPr>
          <w:rFonts w:ascii="Verdana" w:eastAsia="Times New Roman" w:hAnsi="Verdana" w:cs="Times New Roman"/>
          <w:color w:val="006699"/>
          <w:sz w:val="18"/>
          <w:szCs w:val="18"/>
        </w:rPr>
        <w:t>General Income Statement – Verification Requirements</w:t>
      </w:r>
      <w:r w:rsidRPr="00005AA3">
        <w:rPr>
          <w:rFonts w:ascii="Verdana" w:eastAsia="Times New Roman" w:hAnsi="Verdana" w:cs="Times New Roman"/>
          <w:sz w:val="18"/>
          <w:szCs w:val="18"/>
        </w:rPr>
        <w:t xml:space="preserve"> for qualifying income sources and taxable status.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table below outlines income types and the corresponding taxable or </w:t>
      </w:r>
      <w:r w:rsidRPr="00005AA3">
        <w:rPr>
          <w:rFonts w:ascii="Verdana" w:eastAsia="Times New Roman" w:hAnsi="Verdana" w:cs="Times New Roman"/>
          <w:color w:val="006699"/>
          <w:sz w:val="18"/>
          <w:szCs w:val="18"/>
        </w:rPr>
        <w:t>non-taxable</w:t>
      </w:r>
      <w:r w:rsidRPr="00005AA3">
        <w:rPr>
          <w:rFonts w:ascii="Verdana" w:eastAsia="Times New Roman" w:hAnsi="Verdana" w:cs="Times New Roman"/>
          <w:sz w:val="18"/>
          <w:szCs w:val="18"/>
        </w:rPr>
        <w:t xml:space="preserve"> status of each source.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7913"/>
        <w:gridCol w:w="836"/>
        <w:gridCol w:w="1362"/>
        <w:gridCol w:w="443"/>
      </w:tblGrid>
      <w:tr w:rsidR="00005AA3" w:rsidRPr="00005AA3" w:rsidTr="00005AA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bookmarkStart w:id="38" w:name="Income_Type"/>
            <w:bookmarkEnd w:id="38"/>
            <w:r w:rsidRPr="00005AA3">
              <w:rPr>
                <w:rFonts w:ascii="Verdana" w:eastAsia="Times New Roman" w:hAnsi="Verdana" w:cs="Times New Roman"/>
                <w:b/>
                <w:bCs/>
                <w:sz w:val="18"/>
                <w:szCs w:val="18"/>
              </w:rPr>
              <w:t>Income Type</w:t>
            </w:r>
          </w:p>
        </w:tc>
        <w:tc>
          <w:tcPr>
            <w:tcW w:w="0" w:type="auto"/>
            <w:tcBorders>
              <w:top w:val="single" w:sz="6" w:space="0" w:color="000000"/>
              <w:bottom w:val="single" w:sz="6" w:space="0" w:color="000000"/>
              <w:right w:val="single" w:sz="6" w:space="0" w:color="000000"/>
            </w:tcBorders>
            <w:shd w:val="clear" w:color="auto" w:fill="FFFFCC"/>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Taxable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Non-Taxable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Alimony/Separate Maintenance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Automobile Allowance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Boarder Income</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Child Support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Permanent Disability</w:t>
            </w:r>
            <w:r w:rsidRPr="00005AA3">
              <w:rPr>
                <w:rFonts w:ascii="Verdana" w:eastAsia="Times New Roman" w:hAnsi="Verdana" w:cs="Times New Roman"/>
                <w:sz w:val="18"/>
                <w:szCs w:val="18"/>
              </w:rPr>
              <w:t xml:space="preserve"> - Examples include but are not limited to:</w:t>
            </w:r>
          </w:p>
          <w:p w:rsidR="00005AA3" w:rsidRPr="00005AA3" w:rsidRDefault="00005AA3" w:rsidP="00005AA3">
            <w:pPr>
              <w:numPr>
                <w:ilvl w:val="0"/>
                <w:numId w:val="5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Black Lung Benefits </w:t>
            </w:r>
          </w:p>
          <w:p w:rsidR="00005AA3" w:rsidRPr="00005AA3" w:rsidRDefault="00005AA3" w:rsidP="00005AA3">
            <w:pPr>
              <w:numPr>
                <w:ilvl w:val="0"/>
                <w:numId w:val="5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Social Security Disability </w:t>
            </w:r>
          </w:p>
          <w:p w:rsidR="00005AA3" w:rsidRPr="00005AA3" w:rsidRDefault="00005AA3" w:rsidP="00005AA3">
            <w:pPr>
              <w:numPr>
                <w:ilvl w:val="0"/>
                <w:numId w:val="5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Private Insurance Disability </w:t>
            </w:r>
          </w:p>
          <w:p w:rsidR="00005AA3" w:rsidRPr="00005AA3" w:rsidRDefault="00005AA3" w:rsidP="00005AA3">
            <w:pPr>
              <w:numPr>
                <w:ilvl w:val="0"/>
                <w:numId w:val="5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VA Disability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Foster Care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Gift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lastRenderedPageBreak/>
              <w:t>Housing Allowance</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Military Allotment</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Examples on non-taxable income include but are not limited to:</w:t>
            </w:r>
          </w:p>
          <w:p w:rsidR="00005AA3" w:rsidRPr="00005AA3" w:rsidRDefault="00005AA3" w:rsidP="00005AA3">
            <w:pPr>
              <w:numPr>
                <w:ilvl w:val="0"/>
                <w:numId w:val="5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Housing (BAH) </w:t>
            </w:r>
          </w:p>
          <w:p w:rsidR="00005AA3" w:rsidRPr="00005AA3" w:rsidRDefault="00005AA3" w:rsidP="00005AA3">
            <w:pPr>
              <w:numPr>
                <w:ilvl w:val="0"/>
                <w:numId w:val="5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Rations (BAS)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Mortgage Credit Certificates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Mortgage Interest Differential</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Non-qualifying</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Non-reported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Public Assistance</w:t>
            </w:r>
            <w:r w:rsidRPr="00005AA3">
              <w:rPr>
                <w:rFonts w:ascii="Verdana" w:eastAsia="Times New Roman" w:hAnsi="Verdana" w:cs="Times New Roman"/>
                <w:sz w:val="18"/>
                <w:szCs w:val="18"/>
              </w:rPr>
              <w:t xml:space="preserve"> - Examples include but are not limited to:</w:t>
            </w:r>
          </w:p>
          <w:p w:rsidR="00005AA3" w:rsidRPr="00005AA3" w:rsidRDefault="00005AA3" w:rsidP="00005AA3">
            <w:pPr>
              <w:numPr>
                <w:ilvl w:val="0"/>
                <w:numId w:val="5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Aid to Dependent Children </w:t>
            </w:r>
          </w:p>
          <w:p w:rsidR="00005AA3" w:rsidRPr="00005AA3" w:rsidRDefault="00005AA3" w:rsidP="00005AA3">
            <w:pPr>
              <w:numPr>
                <w:ilvl w:val="0"/>
                <w:numId w:val="5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Welfare Benefits, including food stamps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Relocations/Trailing Co-applicant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N/A</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4A6B98" w:rsidP="00005AA3">
            <w:pPr>
              <w:spacing w:before="100" w:beforeAutospacing="1" w:after="100" w:afterAutospacing="1" w:line="240" w:lineRule="auto"/>
              <w:rPr>
                <w:rFonts w:ascii="Verdana" w:eastAsia="Times New Roman" w:hAnsi="Verdana" w:cs="Times New Roman"/>
                <w:sz w:val="18"/>
                <w:szCs w:val="18"/>
              </w:rPr>
            </w:pPr>
            <w:hyperlink r:id="rId9" w:anchor="Retirement" w:history="1">
              <w:r w:rsidR="00005AA3" w:rsidRPr="00005AA3">
                <w:rPr>
                  <w:rFonts w:ascii="Verdana" w:eastAsia="Times New Roman" w:hAnsi="Verdana" w:cs="Times New Roman"/>
                  <w:color w:val="006699"/>
                  <w:sz w:val="18"/>
                  <w:szCs w:val="18"/>
                </w:rPr>
                <w:t>Retirement/Pension</w:t>
              </w:r>
            </w:hyperlink>
            <w:r w:rsidR="00005AA3" w:rsidRPr="00005AA3">
              <w:rPr>
                <w:rFonts w:ascii="Verdana" w:eastAsia="Times New Roman" w:hAnsi="Verdana" w:cs="Times New Roman"/>
                <w:sz w:val="18"/>
                <w:szCs w:val="18"/>
              </w:rPr>
              <w:t xml:space="preserve"> - Generally, the majority of pension income is taxable. Examples of non-taxable income include but are not limited to:</w:t>
            </w:r>
          </w:p>
          <w:p w:rsidR="00005AA3" w:rsidRPr="00005AA3" w:rsidRDefault="00005AA3" w:rsidP="00005AA3">
            <w:pPr>
              <w:numPr>
                <w:ilvl w:val="0"/>
                <w:numId w:val="5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Civil Service Annuity </w:t>
            </w:r>
          </w:p>
          <w:p w:rsidR="00005AA3" w:rsidRPr="00005AA3" w:rsidRDefault="00005AA3" w:rsidP="00005AA3">
            <w:pPr>
              <w:numPr>
                <w:ilvl w:val="0"/>
                <w:numId w:val="5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Civil Service Retirement </w:t>
            </w:r>
          </w:p>
          <w:p w:rsidR="00005AA3" w:rsidRPr="00005AA3" w:rsidRDefault="00005AA3" w:rsidP="00005AA3">
            <w:pPr>
              <w:numPr>
                <w:ilvl w:val="0"/>
                <w:numId w:val="5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Rail Road Retirement/Pension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Section 8 Homeownership Assistance Payments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Social Security</w:t>
            </w:r>
            <w:r w:rsidRPr="00005AA3">
              <w:rPr>
                <w:rFonts w:ascii="Verdana" w:eastAsia="Times New Roman" w:hAnsi="Verdana" w:cs="Times New Roman"/>
                <w:sz w:val="18"/>
                <w:szCs w:val="18"/>
              </w:rPr>
              <w:t xml:space="preserve"> - Retirement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Social Security</w:t>
            </w:r>
            <w:r w:rsidRPr="00005AA3">
              <w:rPr>
                <w:rFonts w:ascii="Verdana" w:eastAsia="Times New Roman" w:hAnsi="Verdana" w:cs="Times New Roman"/>
                <w:sz w:val="18"/>
                <w:szCs w:val="18"/>
              </w:rPr>
              <w:t xml:space="preserve"> - Survivor Benefits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4A6B98" w:rsidP="00005AA3">
            <w:pPr>
              <w:spacing w:before="100" w:beforeAutospacing="1" w:after="100" w:afterAutospacing="1" w:line="240" w:lineRule="auto"/>
              <w:rPr>
                <w:rFonts w:ascii="Verdana" w:eastAsia="Times New Roman" w:hAnsi="Verdana" w:cs="Times New Roman"/>
                <w:sz w:val="18"/>
                <w:szCs w:val="18"/>
              </w:rPr>
            </w:pPr>
            <w:hyperlink r:id="rId10" w:anchor="Supplemental" w:history="1">
              <w:r w:rsidR="00005AA3" w:rsidRPr="00005AA3">
                <w:rPr>
                  <w:rFonts w:ascii="Verdana" w:eastAsia="Times New Roman" w:hAnsi="Verdana" w:cs="Times New Roman"/>
                  <w:color w:val="006699"/>
                  <w:sz w:val="18"/>
                  <w:szCs w:val="18"/>
                </w:rPr>
                <w:t>Supplemental Security Income</w:t>
              </w:r>
            </w:hyperlink>
            <w:r w:rsidR="00005AA3" w:rsidRPr="00005AA3">
              <w:rPr>
                <w:rFonts w:ascii="Verdana" w:eastAsia="Times New Roman" w:hAnsi="Verdana" w:cs="Times New Roman"/>
                <w:sz w:val="18"/>
                <w:szCs w:val="18"/>
              </w:rPr>
              <w:t xml:space="preserve"> (SSI)</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Unemployment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Union Members</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 </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Veterans Benefits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sz w:val="18"/>
                <w:szCs w:val="18"/>
              </w:rPr>
            </w:pPr>
            <w:r w:rsidRPr="00005AA3">
              <w:rPr>
                <w:rFonts w:ascii="Verdana" w:eastAsia="Times New Roman" w:hAnsi="Verdana" w:cs="Times New Roman"/>
                <w:sz w:val="18"/>
                <w:szCs w:val="18"/>
              </w:rPr>
              <w:t>*</w:t>
            </w:r>
          </w:p>
        </w:tc>
      </w:tr>
    </w:tbl>
    <w:p w:rsidR="00005AA3" w:rsidRPr="00005AA3" w:rsidRDefault="00005AA3" w:rsidP="00005AA3">
      <w:pPr>
        <w:spacing w:before="100" w:beforeAutospacing="1" w:after="210" w:line="240" w:lineRule="auto"/>
        <w:rPr>
          <w:rFonts w:ascii="Verdana" w:eastAsia="Times New Roman" w:hAnsi="Verdana" w:cs="Times New Roman"/>
          <w:sz w:val="17"/>
          <w:szCs w:val="17"/>
        </w:rPr>
      </w:pPr>
      <w:r w:rsidRPr="00005AA3">
        <w:rPr>
          <w:rFonts w:ascii="Verdana" w:eastAsia="Times New Roman" w:hAnsi="Verdana" w:cs="Times New Roman"/>
          <w:sz w:val="17"/>
          <w:szCs w:val="17"/>
        </w:rPr>
        <w:t xml:space="preserve">*There are situations where additional documentation is required to determine the portion of a borrower's income that is non-taxable. The non-taxable portion is grossed up provided the non-taxable status of the income is verified. See </w:t>
      </w:r>
      <w:r w:rsidRPr="00005AA3">
        <w:rPr>
          <w:rFonts w:ascii="Verdana" w:eastAsia="Times New Roman" w:hAnsi="Verdana" w:cs="Times New Roman"/>
          <w:color w:val="006699"/>
          <w:sz w:val="17"/>
          <w:szCs w:val="17"/>
        </w:rPr>
        <w:t>General Income Statement Verification Requirements – Non Taxable Income</w:t>
      </w:r>
      <w:r w:rsidRPr="00005AA3">
        <w:rPr>
          <w:rFonts w:ascii="Verdana" w:eastAsia="Times New Roman" w:hAnsi="Verdana" w:cs="Times New Roman"/>
          <w:sz w:val="17"/>
          <w:szCs w:val="17"/>
        </w:rPr>
        <w:t xml:space="preserve"> for additional details and requirements.</w:t>
      </w:r>
    </w:p>
    <w:p w:rsidR="00005AA3" w:rsidRPr="00005AA3" w:rsidRDefault="00005AA3" w:rsidP="00005AA3">
      <w:pPr>
        <w:numPr>
          <w:ilvl w:val="0"/>
          <w:numId w:val="6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rPr>
        <w:t>Employment Income – Salaried Sources</w:t>
      </w:r>
      <w:r w:rsidRPr="00005AA3">
        <w:rPr>
          <w:rFonts w:ascii="Verdana" w:eastAsia="Times New Roman" w:hAnsi="Verdana" w:cs="Times New Roman"/>
          <w:sz w:val="18"/>
          <w:szCs w:val="18"/>
        </w:rPr>
        <w:t xml:space="preserve"> </w:t>
      </w:r>
    </w:p>
    <w:p w:rsidR="00005AA3" w:rsidRPr="00005AA3" w:rsidRDefault="00005AA3" w:rsidP="00005AA3">
      <w:pPr>
        <w:numPr>
          <w:ilvl w:val="0"/>
          <w:numId w:val="6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rPr>
        <w:t>Employment Income – Self-Employed Sources</w:t>
      </w:r>
      <w:r w:rsidRPr="00005AA3">
        <w:rPr>
          <w:rFonts w:ascii="Verdana" w:eastAsia="Times New Roman" w:hAnsi="Verdana" w:cs="Times New Roman"/>
          <w:sz w:val="18"/>
          <w:szCs w:val="18"/>
        </w:rPr>
        <w:t xml:space="preserve"> </w:t>
      </w:r>
    </w:p>
    <w:p w:rsidR="00005AA3" w:rsidRPr="00005AA3" w:rsidRDefault="00005AA3" w:rsidP="00005AA3">
      <w:pPr>
        <w:numPr>
          <w:ilvl w:val="0"/>
          <w:numId w:val="6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rPr>
        <w:t>Investment Income</w:t>
      </w:r>
      <w:r w:rsidRPr="00005AA3">
        <w:rPr>
          <w:rFonts w:ascii="Verdana" w:eastAsia="Times New Roman" w:hAnsi="Verdana" w:cs="Times New Roman"/>
          <w:sz w:val="18"/>
          <w:szCs w:val="18"/>
        </w:rPr>
        <w:t xml:space="preserve">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005AA3">
        <w:rPr>
          <w:rFonts w:ascii="Verdana" w:eastAsia="Times New Roman" w:hAnsi="Verdana" w:cs="Times New Roman"/>
          <w:b/>
          <w:bCs/>
          <w:sz w:val="18"/>
          <w:szCs w:val="18"/>
        </w:rPr>
        <w:t xml:space="preserve"> - Mortgage Only: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Defer to Automated Underwriting System (AUS) findings or messages.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9" w:name="Alimony"/>
      <w:bookmarkEnd w:id="39"/>
      <w:r w:rsidRPr="00005AA3">
        <w:rPr>
          <w:rFonts w:ascii="Verdana" w:eastAsia="Times New Roman" w:hAnsi="Verdana" w:cs="Times New Roman"/>
          <w:b/>
          <w:bCs/>
          <w:sz w:val="21"/>
          <w:szCs w:val="21"/>
        </w:rPr>
        <w:t>Alimony, Child Support and Separate Maintenance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When the borrower discloses receipt of alimony, child support or separate maintenance income, it may be included as qualifying income, following the documentation and seasoning requirements listed below.</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Documentation Requirements</w:t>
      </w:r>
    </w:p>
    <w:p w:rsidR="00005AA3" w:rsidRPr="00005AA3" w:rsidRDefault="00005AA3" w:rsidP="00005AA3">
      <w:pPr>
        <w:numPr>
          <w:ilvl w:val="0"/>
          <w:numId w:val="6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minimum of six (6) months' proof of receipt </w:t>
      </w:r>
    </w:p>
    <w:p w:rsidR="00005AA3" w:rsidRPr="00005AA3" w:rsidRDefault="00005AA3" w:rsidP="00005AA3">
      <w:pPr>
        <w:numPr>
          <w:ilvl w:val="0"/>
          <w:numId w:val="6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Any one of the following is an acceptable proof of receipt: </w:t>
      </w:r>
    </w:p>
    <w:p w:rsidR="00005AA3" w:rsidRPr="00005AA3" w:rsidRDefault="00005AA3" w:rsidP="00005AA3">
      <w:pPr>
        <w:numPr>
          <w:ilvl w:val="0"/>
          <w:numId w:val="61"/>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6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Court documents </w:t>
      </w:r>
    </w:p>
    <w:p w:rsidR="00005AA3" w:rsidRPr="00005AA3" w:rsidRDefault="00005AA3" w:rsidP="00005AA3">
      <w:pPr>
        <w:numPr>
          <w:ilvl w:val="1"/>
          <w:numId w:val="6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Bank statements </w:t>
      </w:r>
    </w:p>
    <w:p w:rsidR="00005AA3" w:rsidRPr="00005AA3" w:rsidRDefault="00005AA3" w:rsidP="00005AA3">
      <w:pPr>
        <w:numPr>
          <w:ilvl w:val="1"/>
          <w:numId w:val="6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Bank deposit slips </w:t>
      </w:r>
    </w:p>
    <w:p w:rsidR="00005AA3" w:rsidRPr="00005AA3" w:rsidRDefault="00005AA3" w:rsidP="00005AA3">
      <w:pPr>
        <w:numPr>
          <w:ilvl w:val="1"/>
          <w:numId w:val="6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Tax returns </w:t>
      </w:r>
    </w:p>
    <w:p w:rsidR="00005AA3" w:rsidRPr="00005AA3" w:rsidRDefault="00005AA3" w:rsidP="00005AA3">
      <w:pPr>
        <w:numPr>
          <w:ilvl w:val="1"/>
          <w:numId w:val="6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Cancelled checks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Income received for less than six (6) months is considered unstable and may not be used towards loan qualification. In addition, if payments are not for the full amount or are made on an inconsistent or sporadic basis, the income is not acceptable.</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Seasoning Requirements:</w:t>
      </w:r>
    </w:p>
    <w:p w:rsidR="00005AA3" w:rsidRPr="00005AA3" w:rsidRDefault="00005AA3" w:rsidP="00005AA3">
      <w:pPr>
        <w:numPr>
          <w:ilvl w:val="0"/>
          <w:numId w:val="6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Proof of obligation for the past six (6) months is documented with a copy of any of the following: </w:t>
      </w:r>
    </w:p>
    <w:p w:rsidR="00005AA3" w:rsidRPr="00005AA3" w:rsidRDefault="00005AA3" w:rsidP="00005AA3">
      <w:pPr>
        <w:numPr>
          <w:ilvl w:val="0"/>
          <w:numId w:val="63"/>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6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divorce decree </w:t>
      </w:r>
    </w:p>
    <w:p w:rsidR="00005AA3" w:rsidRPr="00005AA3" w:rsidRDefault="00005AA3" w:rsidP="00005AA3">
      <w:pPr>
        <w:numPr>
          <w:ilvl w:val="1"/>
          <w:numId w:val="6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signed separation agreement </w:t>
      </w:r>
    </w:p>
    <w:p w:rsidR="00005AA3" w:rsidRPr="00005AA3" w:rsidRDefault="00005AA3" w:rsidP="00005AA3">
      <w:pPr>
        <w:numPr>
          <w:ilvl w:val="1"/>
          <w:numId w:val="6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notarized agreement as dictated by local custom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Documentation must support that the alimony, child support or separate maintenance income will continue for at least three years. In addition, if the income source is from Child Support then proof of the ages of the children receiving the support is required to confirm a three-year continuance of the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Alimony payments are found on the front page of the personal tax return.</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0" w:name="Automobile"/>
      <w:bookmarkEnd w:id="40"/>
      <w:r w:rsidRPr="00005AA3">
        <w:rPr>
          <w:rFonts w:ascii="Verdana" w:eastAsia="Times New Roman" w:hAnsi="Verdana" w:cs="Times New Roman"/>
          <w:b/>
          <w:bCs/>
          <w:sz w:val="21"/>
          <w:szCs w:val="21"/>
        </w:rPr>
        <w:t>Automobile Allowance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An automobile allowance may be included in qualifying income provided evidence of receipt for two years is documented with one of the following:</w:t>
      </w:r>
    </w:p>
    <w:p w:rsidR="00005AA3" w:rsidRPr="00005AA3" w:rsidRDefault="00005AA3" w:rsidP="00005AA3">
      <w:pPr>
        <w:numPr>
          <w:ilvl w:val="0"/>
          <w:numId w:val="6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Written verification from the employer </w:t>
      </w:r>
    </w:p>
    <w:p w:rsidR="00005AA3" w:rsidRPr="00005AA3" w:rsidRDefault="00005AA3" w:rsidP="00005AA3">
      <w:pPr>
        <w:numPr>
          <w:ilvl w:val="0"/>
          <w:numId w:val="6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Pay statements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automobile payment must be added to the liabilities and included in the borrower’s debt-to-income ratio (DTI), while the full amount of the auto allowance is added to the qualifying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1" w:name="Boarder"/>
      <w:bookmarkEnd w:id="41"/>
      <w:r w:rsidRPr="00005AA3">
        <w:rPr>
          <w:rFonts w:ascii="Verdana" w:eastAsia="Times New Roman" w:hAnsi="Verdana" w:cs="Times New Roman"/>
          <w:b/>
          <w:bCs/>
          <w:sz w:val="21"/>
          <w:szCs w:val="21"/>
        </w:rPr>
        <w:t>Boarder Income</w:t>
      </w:r>
    </w:p>
    <w:p w:rsidR="00005AA3" w:rsidRPr="00005AA3" w:rsidRDefault="009B3752"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Mortgage</w:t>
      </w:r>
    </w:p>
    <w:p w:rsidR="00005AA3" w:rsidRPr="00005AA3" w:rsidRDefault="00005AA3" w:rsidP="00005AA3">
      <w:pPr>
        <w:numPr>
          <w:ilvl w:val="0"/>
          <w:numId w:val="6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Non-Affordable Loan Product </w:t>
      </w:r>
    </w:p>
    <w:p w:rsidR="00005AA3" w:rsidRPr="00005AA3" w:rsidRDefault="00005AA3" w:rsidP="00005AA3">
      <w:pPr>
        <w:numPr>
          <w:ilvl w:val="0"/>
          <w:numId w:val="66"/>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6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Boarder income is not eligible as qualifying income with a non-affordable loan product.</w:t>
      </w:r>
    </w:p>
    <w:p w:rsidR="00005AA3" w:rsidRPr="00005AA3" w:rsidRDefault="00005AA3" w:rsidP="00005AA3">
      <w:pPr>
        <w:numPr>
          <w:ilvl w:val="0"/>
          <w:numId w:val="6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Affordable Loan Product </w:t>
      </w:r>
    </w:p>
    <w:p w:rsidR="00005AA3" w:rsidRPr="00005AA3" w:rsidRDefault="00005AA3" w:rsidP="00005AA3">
      <w:pPr>
        <w:numPr>
          <w:ilvl w:val="0"/>
          <w:numId w:val="67"/>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6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Boarder income is acceptable with an affordable product. The property must be an owner-occupied, single family home, and the borrower must claim </w:t>
      </w:r>
      <w:proofErr w:type="gramStart"/>
      <w:r w:rsidRPr="00005AA3">
        <w:rPr>
          <w:rFonts w:ascii="Verdana" w:eastAsia="Times New Roman" w:hAnsi="Verdana" w:cs="Times New Roman"/>
          <w:sz w:val="18"/>
          <w:szCs w:val="18"/>
        </w:rPr>
        <w:t>the  income</w:t>
      </w:r>
      <w:proofErr w:type="gramEnd"/>
      <w:r w:rsidRPr="00005AA3">
        <w:rPr>
          <w:rFonts w:ascii="Verdana" w:eastAsia="Times New Roman" w:hAnsi="Verdana" w:cs="Times New Roman"/>
          <w:sz w:val="18"/>
          <w:szCs w:val="18"/>
        </w:rPr>
        <w:t xml:space="preserve"> on tax returns. </w:t>
      </w:r>
    </w:p>
    <w:p w:rsidR="00005AA3" w:rsidRPr="00005AA3" w:rsidRDefault="00005AA3" w:rsidP="00005AA3">
      <w:pPr>
        <w:numPr>
          <w:ilvl w:val="1"/>
          <w:numId w:val="6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Verification is required with both of the documentation sources below: </w:t>
      </w:r>
    </w:p>
    <w:p w:rsidR="00005AA3" w:rsidRPr="00005AA3" w:rsidRDefault="00005AA3" w:rsidP="00005AA3">
      <w:pPr>
        <w:numPr>
          <w:ilvl w:val="1"/>
          <w:numId w:val="68"/>
        </w:numPr>
        <w:spacing w:before="100" w:beforeAutospacing="1" w:after="100" w:afterAutospacing="1" w:line="240" w:lineRule="auto"/>
        <w:ind w:left="2160"/>
        <w:rPr>
          <w:rFonts w:ascii="Verdana" w:eastAsia="Times New Roman" w:hAnsi="Verdana" w:cs="Times New Roman"/>
          <w:sz w:val="18"/>
          <w:szCs w:val="18"/>
        </w:rPr>
      </w:pPr>
    </w:p>
    <w:p w:rsidR="00005AA3" w:rsidRPr="00005AA3" w:rsidRDefault="00005AA3" w:rsidP="00005AA3">
      <w:pPr>
        <w:numPr>
          <w:ilvl w:val="2"/>
          <w:numId w:val="6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last two (2) years 1040s, including Schedule E </w:t>
      </w:r>
    </w:p>
    <w:p w:rsidR="00005AA3" w:rsidRPr="00005AA3" w:rsidRDefault="00005AA3" w:rsidP="00005AA3">
      <w:pPr>
        <w:numPr>
          <w:ilvl w:val="2"/>
          <w:numId w:val="6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a current lease </w:t>
      </w:r>
    </w:p>
    <w:p w:rsidR="00005AA3" w:rsidRPr="00005AA3" w:rsidRDefault="0084256B"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Home Equity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Not a permitted source of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2" w:name="Permanent_Disability_Income"/>
      <w:bookmarkEnd w:id="42"/>
      <w:r w:rsidRPr="00005AA3">
        <w:rPr>
          <w:rFonts w:ascii="Verdana" w:eastAsia="Times New Roman" w:hAnsi="Verdana" w:cs="Times New Roman"/>
          <w:b/>
          <w:bCs/>
          <w:sz w:val="21"/>
          <w:szCs w:val="21"/>
        </w:rPr>
        <w:t>Permanent Disability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lastRenderedPageBreak/>
        <w:t>Permanent Disability (AKA Long-Term Disability) income may be included as qualifying income. The borrower's current eligibility, amount and terms of the payment are verified with:</w:t>
      </w:r>
    </w:p>
    <w:p w:rsidR="00005AA3" w:rsidRPr="00005AA3" w:rsidRDefault="00005AA3" w:rsidP="00005AA3">
      <w:pPr>
        <w:numPr>
          <w:ilvl w:val="0"/>
          <w:numId w:val="7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the most recent two (2) months bank statements or check stubs, and one of the following: </w:t>
      </w:r>
    </w:p>
    <w:p w:rsidR="00005AA3" w:rsidRPr="00005AA3" w:rsidRDefault="00005AA3" w:rsidP="00005AA3">
      <w:pPr>
        <w:numPr>
          <w:ilvl w:val="0"/>
          <w:numId w:val="70"/>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7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the awards letter </w:t>
      </w:r>
    </w:p>
    <w:p w:rsidR="00005AA3" w:rsidRPr="00005AA3" w:rsidRDefault="00005AA3" w:rsidP="00005AA3">
      <w:pPr>
        <w:numPr>
          <w:ilvl w:val="1"/>
          <w:numId w:val="7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Other verification provided by: </w:t>
      </w:r>
    </w:p>
    <w:p w:rsidR="00005AA3" w:rsidRPr="00005AA3" w:rsidRDefault="00005AA3" w:rsidP="00005AA3">
      <w:pPr>
        <w:numPr>
          <w:ilvl w:val="1"/>
          <w:numId w:val="71"/>
        </w:numPr>
        <w:spacing w:before="100" w:beforeAutospacing="1" w:after="100" w:afterAutospacing="1" w:line="240" w:lineRule="auto"/>
        <w:ind w:left="2160"/>
        <w:rPr>
          <w:rFonts w:ascii="Verdana" w:eastAsia="Times New Roman" w:hAnsi="Verdana" w:cs="Times New Roman"/>
          <w:sz w:val="18"/>
          <w:szCs w:val="18"/>
        </w:rPr>
      </w:pPr>
    </w:p>
    <w:p w:rsidR="00005AA3" w:rsidRPr="00005AA3" w:rsidRDefault="00005AA3" w:rsidP="00005AA3">
      <w:pPr>
        <w:numPr>
          <w:ilvl w:val="2"/>
          <w:numId w:val="7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employer </w:t>
      </w:r>
    </w:p>
    <w:p w:rsidR="00005AA3" w:rsidRPr="00005AA3" w:rsidRDefault="00005AA3" w:rsidP="00005AA3">
      <w:pPr>
        <w:numPr>
          <w:ilvl w:val="2"/>
          <w:numId w:val="7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Insurance company </w:t>
      </w:r>
    </w:p>
    <w:p w:rsidR="00005AA3" w:rsidRPr="00005AA3" w:rsidRDefault="00005AA3" w:rsidP="00005AA3">
      <w:pPr>
        <w:numPr>
          <w:ilvl w:val="2"/>
          <w:numId w:val="7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Government agency (i.e., Social Security Administration or Veterans Administration) </w:t>
      </w:r>
    </w:p>
    <w:p w:rsidR="00005AA3" w:rsidRPr="00005AA3" w:rsidRDefault="00005AA3" w:rsidP="00005AA3">
      <w:pPr>
        <w:shd w:val="clear" w:color="auto" w:fill="CBD9E4"/>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Generally, long-term disability will not have a defined expiration date and must be expected to continue. The requirement for re-evaluation of benefits is not considered a defined expiration date.  For temporary or Short-Term Disability situations (including Workman’s Compensation), see the Temporary Leave of Absence section in the </w:t>
      </w:r>
      <w:r w:rsidRPr="00005AA3">
        <w:rPr>
          <w:rFonts w:ascii="Verdana" w:eastAsia="Times New Roman" w:hAnsi="Verdana" w:cs="Times New Roman"/>
          <w:color w:val="006699"/>
          <w:sz w:val="18"/>
          <w:szCs w:val="18"/>
        </w:rPr>
        <w:t>Employment Income - Salaried Sources</w:t>
      </w:r>
      <w:r w:rsidRPr="00005AA3">
        <w:rPr>
          <w:rFonts w:ascii="Verdana" w:eastAsia="Times New Roman" w:hAnsi="Verdana" w:cs="Times New Roman"/>
          <w:sz w:val="18"/>
          <w:szCs w:val="18"/>
        </w:rPr>
        <w:t xml:space="preserve"> topic</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xml:space="preserve"> </w:t>
      </w:r>
      <w:r w:rsidR="009B3752">
        <w:rPr>
          <w:rFonts w:ascii="Verdana" w:eastAsia="Times New Roman" w:hAnsi="Verdana" w:cs="Times New Roman"/>
          <w:sz w:val="18"/>
          <w:szCs w:val="18"/>
        </w:rPr>
        <w:t>Lending Book</w:t>
      </w:r>
      <w:r w:rsidRPr="00005AA3">
        <w:rPr>
          <w:rFonts w:ascii="Verdana" w:eastAsia="Times New Roman" w:hAnsi="Verdana" w:cs="Times New Roman"/>
          <w:sz w:val="18"/>
          <w:szCs w:val="18"/>
        </w:rPr>
        <w:t xml:space="preserve"> never requests any medical documentation or makes any inquiry regarding the nature of the disability or its duration. Any discussion regarding a borrower's disability should be limited to a request for the required documentation outlined above.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3" w:name="Foster"/>
      <w:bookmarkEnd w:id="43"/>
      <w:r w:rsidRPr="00005AA3">
        <w:rPr>
          <w:rFonts w:ascii="Verdana" w:eastAsia="Times New Roman" w:hAnsi="Verdana" w:cs="Times New Roman"/>
          <w:b/>
          <w:bCs/>
          <w:sz w:val="21"/>
          <w:szCs w:val="21"/>
        </w:rPr>
        <w:t>Foster Care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Foster care income may be included as qualifying income provided both conditions below are met:</w:t>
      </w:r>
    </w:p>
    <w:p w:rsidR="00005AA3" w:rsidRPr="00005AA3" w:rsidRDefault="00005AA3" w:rsidP="00005AA3">
      <w:pPr>
        <w:numPr>
          <w:ilvl w:val="0"/>
          <w:numId w:val="7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Document receipt for the previous 24 months. </w:t>
      </w:r>
    </w:p>
    <w:p w:rsidR="00005AA3" w:rsidRPr="00005AA3" w:rsidRDefault="00005AA3" w:rsidP="00005AA3">
      <w:pPr>
        <w:numPr>
          <w:ilvl w:val="0"/>
          <w:numId w:val="7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Document the income is paid to the borrower by a governmental agency, and is verified by one of the following: </w:t>
      </w:r>
    </w:p>
    <w:p w:rsidR="00005AA3" w:rsidRPr="00005AA3" w:rsidRDefault="00005AA3" w:rsidP="00005AA3">
      <w:pPr>
        <w:numPr>
          <w:ilvl w:val="0"/>
          <w:numId w:val="73"/>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7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checks </w:t>
      </w:r>
    </w:p>
    <w:p w:rsidR="00005AA3" w:rsidRPr="00005AA3" w:rsidRDefault="00005AA3" w:rsidP="00005AA3">
      <w:pPr>
        <w:numPr>
          <w:ilvl w:val="1"/>
          <w:numId w:val="7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contracts or agreements with the governmental agency. </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4" w:name="Gift"/>
      <w:bookmarkEnd w:id="44"/>
      <w:r w:rsidRPr="00005AA3">
        <w:rPr>
          <w:rFonts w:ascii="Verdana" w:eastAsia="Times New Roman" w:hAnsi="Verdana" w:cs="Times New Roman"/>
          <w:b/>
          <w:bCs/>
          <w:sz w:val="21"/>
          <w:szCs w:val="21"/>
        </w:rPr>
        <w:t>Gift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Gift income, even if received on a regular and on-going basis, is not eligible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Do not confuse gift income with a "one-time" gift of funds considered as assets to cover down payment, closing costs, etc.</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5" w:name="Housing"/>
      <w:bookmarkEnd w:id="45"/>
      <w:r w:rsidRPr="00005AA3">
        <w:rPr>
          <w:rFonts w:ascii="Verdana" w:eastAsia="Times New Roman" w:hAnsi="Verdana" w:cs="Times New Roman"/>
          <w:b/>
          <w:bCs/>
          <w:sz w:val="21"/>
          <w:szCs w:val="21"/>
        </w:rPr>
        <w:t>Housing Allowance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Borrowers may be able to use certain housing allowances (i.e., military or clergy) as qualifying income provided all of the following conditions are met:</w:t>
      </w:r>
    </w:p>
    <w:p w:rsidR="00005AA3" w:rsidRPr="00005AA3" w:rsidRDefault="00005AA3" w:rsidP="00005AA3">
      <w:pPr>
        <w:numPr>
          <w:ilvl w:val="0"/>
          <w:numId w:val="7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housing allowance has a history of being a part of a salary. </w:t>
      </w:r>
    </w:p>
    <w:p w:rsidR="00005AA3" w:rsidRPr="00005AA3" w:rsidRDefault="00005AA3" w:rsidP="00005AA3">
      <w:pPr>
        <w:numPr>
          <w:ilvl w:val="0"/>
          <w:numId w:val="7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amount of the allowance is verified in writing by the employer. </w:t>
      </w:r>
    </w:p>
    <w:p w:rsidR="00005AA3" w:rsidRPr="00005AA3" w:rsidRDefault="00005AA3" w:rsidP="00005AA3">
      <w:pPr>
        <w:numPr>
          <w:ilvl w:val="0"/>
          <w:numId w:val="7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There is proof of receipt of the income for the most recent 12 months. </w:t>
      </w:r>
    </w:p>
    <w:p w:rsidR="00005AA3" w:rsidRPr="00005AA3" w:rsidRDefault="00005AA3" w:rsidP="00005AA3">
      <w:pPr>
        <w:numPr>
          <w:ilvl w:val="0"/>
          <w:numId w:val="7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Use the lower amount of monthly income when the allowance is declining.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This requirement applies to non-military housing allowances only.</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6" w:name="Military"/>
      <w:bookmarkEnd w:id="46"/>
      <w:r w:rsidRPr="00005AA3">
        <w:rPr>
          <w:rFonts w:ascii="Verdana" w:eastAsia="Times New Roman" w:hAnsi="Verdana" w:cs="Times New Roman"/>
          <w:b/>
          <w:bCs/>
          <w:sz w:val="21"/>
          <w:szCs w:val="21"/>
        </w:rPr>
        <w:t>Military Allowances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Military personnel often receive supplemental income allowances (paid by allotment) in addition to regular base salary income.  Allowances may or may not be taxable.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lastRenderedPageBreak/>
        <w:t>The following supplemental income amounts can be used for military personnel provided the pay is verified in writing by the branch of the military in which the borrower serves, and conforms to the standard income continuance requirements:</w:t>
      </w:r>
    </w:p>
    <w:p w:rsidR="00005AA3" w:rsidRPr="00005AA3" w:rsidRDefault="00005AA3" w:rsidP="00005AA3">
      <w:pPr>
        <w:numPr>
          <w:ilvl w:val="0"/>
          <w:numId w:val="7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Flight or hazard pay </w:t>
      </w:r>
    </w:p>
    <w:p w:rsidR="00005AA3" w:rsidRPr="00005AA3" w:rsidRDefault="00005AA3" w:rsidP="00005AA3">
      <w:pPr>
        <w:numPr>
          <w:ilvl w:val="0"/>
          <w:numId w:val="7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Pro-pay (professional pay)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following additional supplemental income allowances for military personnel are grossed up by a factor of 1.25 percent, as they are non-taxable:</w:t>
      </w:r>
    </w:p>
    <w:p w:rsidR="00005AA3" w:rsidRPr="00005AA3" w:rsidRDefault="00005AA3" w:rsidP="00005AA3">
      <w:pPr>
        <w:numPr>
          <w:ilvl w:val="0"/>
          <w:numId w:val="7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Housing (BAH) </w:t>
      </w:r>
    </w:p>
    <w:p w:rsidR="00005AA3" w:rsidRPr="00005AA3" w:rsidRDefault="00005AA3" w:rsidP="00005AA3">
      <w:pPr>
        <w:numPr>
          <w:ilvl w:val="0"/>
          <w:numId w:val="7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Rations (BAS)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Click </w:t>
      </w:r>
      <w:r w:rsidRPr="00005AA3">
        <w:rPr>
          <w:rFonts w:ascii="Verdana" w:eastAsia="Times New Roman" w:hAnsi="Verdana" w:cs="Times New Roman"/>
          <w:color w:val="006699"/>
          <w:sz w:val="18"/>
          <w:szCs w:val="18"/>
        </w:rPr>
        <w:t>Military Compensation - Allowances</w:t>
      </w:r>
      <w:r w:rsidRPr="00005AA3">
        <w:rPr>
          <w:rFonts w:ascii="Verdana" w:eastAsia="Times New Roman" w:hAnsi="Verdana" w:cs="Times New Roman"/>
          <w:sz w:val="18"/>
          <w:szCs w:val="18"/>
        </w:rPr>
        <w:t xml:space="preserve"> for additional information on military allowances and non-taxable statuses.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7" w:name="Mortgage_Credit"/>
      <w:bookmarkEnd w:id="47"/>
      <w:r w:rsidRPr="00005AA3">
        <w:rPr>
          <w:rFonts w:ascii="Verdana" w:eastAsia="Times New Roman" w:hAnsi="Verdana" w:cs="Times New Roman"/>
          <w:b/>
          <w:bCs/>
          <w:sz w:val="21"/>
          <w:szCs w:val="21"/>
        </w:rPr>
        <w:t>Mortgage Credit Certificates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Mortgage Credit Certificates are not used as income or reduction of a housing payment for purposes of qualifying the borrower. The certificates are eligible as a tax credit only for First Time Homebuyers on a </w:t>
      </w:r>
      <w:r w:rsidR="0084256B">
        <w:rPr>
          <w:rFonts w:ascii="Verdana" w:eastAsia="Times New Roman" w:hAnsi="Verdana" w:cs="Times New Roman"/>
          <w:sz w:val="18"/>
          <w:szCs w:val="18"/>
        </w:rPr>
        <w:t>Purchase</w:t>
      </w:r>
      <w:r w:rsidRPr="00005AA3">
        <w:rPr>
          <w:rFonts w:ascii="Verdana" w:eastAsia="Times New Roman" w:hAnsi="Verdana" w:cs="Times New Roman"/>
          <w:sz w:val="18"/>
          <w:szCs w:val="18"/>
        </w:rPr>
        <w:t xml:space="preserve"> transaction.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color w:val="006699"/>
          <w:sz w:val="18"/>
          <w:szCs w:val="18"/>
        </w:rPr>
        <w:t>State Bond and Mortgage Credit Certificates Programs - Approval Process</w:t>
      </w:r>
      <w:r w:rsidRPr="00005AA3">
        <w:rPr>
          <w:rFonts w:ascii="Verdana" w:eastAsia="Times New Roman" w:hAnsi="Verdana" w:cs="Times New Roman"/>
          <w:sz w:val="18"/>
          <w:szCs w:val="18"/>
        </w:rPr>
        <w:t xml:space="preserve"> for information on the eligibility and approval process.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8" w:name="Mortgage_Interest"/>
      <w:bookmarkEnd w:id="48"/>
      <w:r w:rsidRPr="00005AA3">
        <w:rPr>
          <w:rFonts w:ascii="Verdana" w:eastAsia="Times New Roman" w:hAnsi="Verdana" w:cs="Times New Roman"/>
          <w:b/>
          <w:bCs/>
          <w:sz w:val="21"/>
          <w:szCs w:val="21"/>
        </w:rPr>
        <w:t>Mortgage Interest Differential</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Mortgage interest-rate differential payments are used as qualifying income provided the employer verifies the amount, terms and payment method for the payment.</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employer cannot be an interested party to the transaction.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When the payment amount fluctuates, use an average.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Mortgage differential payments cannot be subtracted from the PITI payment on the mortgage.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9" w:name="Non-Qualifying_Income"/>
      <w:bookmarkEnd w:id="49"/>
      <w:r w:rsidRPr="00005AA3">
        <w:rPr>
          <w:rFonts w:ascii="Verdana" w:eastAsia="Times New Roman" w:hAnsi="Verdana" w:cs="Times New Roman"/>
          <w:b/>
          <w:bCs/>
          <w:sz w:val="21"/>
          <w:szCs w:val="21"/>
        </w:rPr>
        <w:t>Non-qualifying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There are a variety of other sources of income, such as stable short-term income, that cannot be included in qualifying income or as a compensating factor for a high payment or high debt-to-income (DTI) ratio.</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0" w:name="Non-Reported_Income"/>
      <w:bookmarkEnd w:id="50"/>
      <w:r w:rsidRPr="00005AA3">
        <w:rPr>
          <w:rFonts w:ascii="Verdana" w:eastAsia="Times New Roman" w:hAnsi="Verdana" w:cs="Times New Roman"/>
          <w:b/>
          <w:bCs/>
          <w:sz w:val="21"/>
          <w:szCs w:val="21"/>
        </w:rPr>
        <w:t>Non-reported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Non-reported income (aka "undocumented" income) cannot be used as a qualifying income source.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1" w:name="Public_Assistance"/>
      <w:bookmarkEnd w:id="51"/>
      <w:r w:rsidRPr="00005AA3">
        <w:rPr>
          <w:rFonts w:ascii="Verdana" w:eastAsia="Times New Roman" w:hAnsi="Verdana" w:cs="Times New Roman"/>
          <w:b/>
          <w:bCs/>
          <w:sz w:val="21"/>
          <w:szCs w:val="21"/>
        </w:rPr>
        <w:t>Public Assistance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Public Assistance is used as qualifying income and must be verified with:</w:t>
      </w:r>
    </w:p>
    <w:p w:rsidR="00005AA3" w:rsidRPr="00005AA3" w:rsidRDefault="00005AA3" w:rsidP="00005AA3">
      <w:pPr>
        <w:numPr>
          <w:ilvl w:val="0"/>
          <w:numId w:val="7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the most recent two (2) months bank statements or check stubs, and one of the following indicating proof of receipt for the previous 24 months: </w:t>
      </w:r>
    </w:p>
    <w:p w:rsidR="00005AA3" w:rsidRPr="00005AA3" w:rsidRDefault="00005AA3" w:rsidP="00005AA3">
      <w:pPr>
        <w:numPr>
          <w:ilvl w:val="0"/>
          <w:numId w:val="78"/>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7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award letters </w:t>
      </w:r>
    </w:p>
    <w:p w:rsidR="00005AA3" w:rsidRPr="00005AA3" w:rsidRDefault="00005AA3" w:rsidP="00005AA3">
      <w:pPr>
        <w:numPr>
          <w:ilvl w:val="1"/>
          <w:numId w:val="7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grant statements </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2" w:name="Relocations"/>
      <w:bookmarkEnd w:id="52"/>
      <w:r w:rsidRPr="00005AA3">
        <w:rPr>
          <w:rFonts w:ascii="Verdana" w:eastAsia="Times New Roman" w:hAnsi="Verdana" w:cs="Times New Roman"/>
          <w:b/>
          <w:bCs/>
          <w:sz w:val="21"/>
          <w:szCs w:val="21"/>
        </w:rPr>
        <w:lastRenderedPageBreak/>
        <w:t>Relocations or Trailing Co-applicant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Trailing co-applicant income cannot be used as part of qualifying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3" w:name="Retirement"/>
      <w:bookmarkEnd w:id="53"/>
      <w:r w:rsidRPr="00005AA3">
        <w:rPr>
          <w:rFonts w:ascii="Verdana" w:eastAsia="Times New Roman" w:hAnsi="Verdana" w:cs="Times New Roman"/>
          <w:b/>
          <w:bCs/>
          <w:sz w:val="21"/>
          <w:szCs w:val="21"/>
        </w:rPr>
        <w:t>Retirement or Pension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Retirement or pension income, and retirement assets that have been set up for regular distribution payments, are used as qualifying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When the source of income is the previous employer, government agency or military retirement plan, continuance does not need to be addressed unless there is evidence to the contrary. Retirement or pension income, and continuance, when necessary, must be verified with:</w:t>
      </w:r>
    </w:p>
    <w:p w:rsidR="00005AA3" w:rsidRPr="00005AA3" w:rsidRDefault="00005AA3" w:rsidP="00005AA3">
      <w:pPr>
        <w:numPr>
          <w:ilvl w:val="0"/>
          <w:numId w:val="8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the most recent two (2) months bank statements or check stubs, and one of the following: </w:t>
      </w:r>
    </w:p>
    <w:p w:rsidR="00005AA3" w:rsidRPr="00005AA3" w:rsidRDefault="00005AA3" w:rsidP="00005AA3">
      <w:pPr>
        <w:numPr>
          <w:ilvl w:val="0"/>
          <w:numId w:val="80"/>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8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Written verification from the organization paying the income </w:t>
      </w:r>
    </w:p>
    <w:p w:rsidR="00005AA3" w:rsidRPr="00005AA3" w:rsidRDefault="00005AA3" w:rsidP="00005AA3">
      <w:pPr>
        <w:numPr>
          <w:ilvl w:val="1"/>
          <w:numId w:val="8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the most recent award letter </w:t>
      </w:r>
    </w:p>
    <w:p w:rsidR="00005AA3" w:rsidRPr="00005AA3" w:rsidRDefault="00005AA3" w:rsidP="00005AA3">
      <w:pPr>
        <w:numPr>
          <w:ilvl w:val="1"/>
          <w:numId w:val="8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Most recent two (2) years 1099 tax forms </w:t>
      </w:r>
    </w:p>
    <w:p w:rsidR="00005AA3" w:rsidRPr="00005AA3" w:rsidRDefault="00005AA3" w:rsidP="00005AA3">
      <w:pPr>
        <w:numPr>
          <w:ilvl w:val="1"/>
          <w:numId w:val="8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Most recent two (2) years personal tax returns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All assets used for income qualification cannot be used for closing costs or reserve requirements, exceptions must be approved by the BWG Specialized Team.</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20"/>
          <w:szCs w:val="20"/>
        </w:rPr>
        <w:t xml:space="preserve">: </w:t>
      </w:r>
      <w:proofErr w:type="spellStart"/>
      <w:r w:rsidRPr="00005AA3">
        <w:rPr>
          <w:rFonts w:ascii="Verdana" w:eastAsia="Times New Roman" w:hAnsi="Verdana" w:cs="Times New Roman"/>
          <w:sz w:val="20"/>
          <w:szCs w:val="20"/>
        </w:rPr>
        <w:t>Annuitization</w:t>
      </w:r>
      <w:proofErr w:type="spellEnd"/>
      <w:r w:rsidRPr="00005AA3">
        <w:rPr>
          <w:rFonts w:ascii="Verdana" w:eastAsia="Times New Roman" w:hAnsi="Verdana" w:cs="Times New Roman"/>
          <w:sz w:val="20"/>
          <w:szCs w:val="20"/>
        </w:rPr>
        <w:t xml:space="preserve"> of retirement or pension assets must conform to agency policy (see </w:t>
      </w:r>
      <w:proofErr w:type="spellStart"/>
      <w:r w:rsidRPr="00005AA3">
        <w:rPr>
          <w:rFonts w:ascii="Verdana" w:eastAsia="Times New Roman" w:hAnsi="Verdana" w:cs="Times New Roman"/>
          <w:color w:val="006699"/>
          <w:sz w:val="20"/>
        </w:rPr>
        <w:t>Annuitization</w:t>
      </w:r>
      <w:proofErr w:type="spellEnd"/>
      <w:r w:rsidRPr="00005AA3">
        <w:rPr>
          <w:rFonts w:ascii="Verdana" w:eastAsia="Times New Roman" w:hAnsi="Verdana" w:cs="Times New Roman"/>
          <w:color w:val="006699"/>
          <w:sz w:val="20"/>
        </w:rPr>
        <w:t xml:space="preserve"> of Employment Related </w:t>
      </w:r>
      <w:proofErr w:type="gramStart"/>
      <w:r w:rsidRPr="00005AA3">
        <w:rPr>
          <w:rFonts w:ascii="Verdana" w:eastAsia="Times New Roman" w:hAnsi="Verdana" w:cs="Times New Roman"/>
          <w:color w:val="006699"/>
          <w:sz w:val="20"/>
        </w:rPr>
        <w:t>Assets</w:t>
      </w:r>
      <w:r w:rsidRPr="00005AA3">
        <w:rPr>
          <w:rFonts w:ascii="Verdana" w:eastAsia="Times New Roman" w:hAnsi="Verdana" w:cs="Times New Roman"/>
          <w:sz w:val="18"/>
          <w:szCs w:val="18"/>
        </w:rPr>
        <w:t xml:space="preserve"> </w:t>
      </w:r>
      <w:r w:rsidRPr="00005AA3">
        <w:rPr>
          <w:rFonts w:ascii="Verdana" w:eastAsia="Times New Roman" w:hAnsi="Verdana" w:cs="Times New Roman"/>
          <w:sz w:val="20"/>
          <w:szCs w:val="20"/>
        </w:rPr>
        <w:t>)</w:t>
      </w:r>
      <w:proofErr w:type="gramEnd"/>
      <w:r w:rsidRPr="00005AA3">
        <w:rPr>
          <w:rFonts w:ascii="Verdana" w:eastAsia="Times New Roman" w:hAnsi="Verdana" w:cs="Times New Roman"/>
          <w:sz w:val="20"/>
          <w:szCs w:val="20"/>
        </w:rPr>
        <w:t xml:space="preserve"> or approved by Exceptions Desk </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4" w:name="Section_8"/>
      <w:bookmarkEnd w:id="54"/>
      <w:r w:rsidRPr="00005AA3">
        <w:rPr>
          <w:rFonts w:ascii="Verdana" w:eastAsia="Times New Roman" w:hAnsi="Verdana" w:cs="Times New Roman"/>
          <w:b/>
          <w:bCs/>
          <w:sz w:val="21"/>
          <w:szCs w:val="21"/>
        </w:rPr>
        <w:t>Section 8 Homeownership Assistance Payments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Section 8 homeownership assistance payments that are paid directly to the borrower may be considered qualifying income. The payments may not be used to offset the monthly housing payment amount used for qualification. The borrower must provide documentation that shows the amount and terms of the monthly payment received from the public housing agency that issued the voucher. The documentation must reflect that the payments are made directly to the borrower. Section 8 homeownership assistance payments must be likely to continue for the next three years.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xml:space="preserve">: All Section 8 Homeownership Programs and PHAs must be approved by </w:t>
      </w:r>
      <w:r w:rsidR="009B3752">
        <w:rPr>
          <w:rFonts w:ascii="Verdana" w:eastAsia="Times New Roman" w:hAnsi="Verdana" w:cs="Times New Roman"/>
          <w:sz w:val="18"/>
          <w:szCs w:val="18"/>
        </w:rPr>
        <w:t>Underwriting Institute</w:t>
      </w:r>
      <w:r w:rsidRPr="00005AA3">
        <w:rPr>
          <w:rFonts w:ascii="Verdana" w:eastAsia="Times New Roman" w:hAnsi="Verdana" w:cs="Times New Roman"/>
          <w:sz w:val="18"/>
          <w:szCs w:val="18"/>
        </w:rPr>
        <w:t xml:space="preserve"> prior to submitting a loan application.</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5" w:name="Social_Security_Income"/>
      <w:bookmarkEnd w:id="55"/>
      <w:r w:rsidRPr="00005AA3">
        <w:rPr>
          <w:rFonts w:ascii="Verdana" w:eastAsia="Times New Roman" w:hAnsi="Verdana" w:cs="Times New Roman"/>
          <w:b/>
          <w:bCs/>
          <w:sz w:val="21"/>
          <w:szCs w:val="21"/>
        </w:rPr>
        <w:t>Social Security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Social Security income is used as qualifying income provided it is verified with:</w:t>
      </w:r>
    </w:p>
    <w:p w:rsidR="00005AA3" w:rsidRPr="00005AA3" w:rsidRDefault="00005AA3" w:rsidP="00005AA3">
      <w:pPr>
        <w:numPr>
          <w:ilvl w:val="0"/>
          <w:numId w:val="8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the most recent two (2) months bank statements or check stubs, and one of the following: </w:t>
      </w:r>
    </w:p>
    <w:p w:rsidR="00005AA3" w:rsidRPr="00005AA3" w:rsidRDefault="00005AA3" w:rsidP="00005AA3">
      <w:pPr>
        <w:numPr>
          <w:ilvl w:val="0"/>
          <w:numId w:val="82"/>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8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the Social Security Administration (SSA) award letter </w:t>
      </w:r>
    </w:p>
    <w:p w:rsidR="00005AA3" w:rsidRPr="00005AA3" w:rsidRDefault="00005AA3" w:rsidP="00005AA3">
      <w:pPr>
        <w:numPr>
          <w:ilvl w:val="1"/>
          <w:numId w:val="8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Most recent one year 1099 tax form </w:t>
      </w:r>
    </w:p>
    <w:p w:rsidR="00005AA3" w:rsidRPr="00005AA3" w:rsidRDefault="00005AA3" w:rsidP="00005AA3">
      <w:pPr>
        <w:numPr>
          <w:ilvl w:val="1"/>
          <w:numId w:val="8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Most recent one year personal tax return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following suffixes to the Social Security Number (SSN) indicate the type of benefit received:</w:t>
      </w:r>
    </w:p>
    <w:p w:rsidR="00005AA3" w:rsidRPr="00005AA3" w:rsidRDefault="00005AA3" w:rsidP="00005AA3">
      <w:pPr>
        <w:numPr>
          <w:ilvl w:val="0"/>
          <w:numId w:val="8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 Disability or retirement </w:t>
      </w:r>
    </w:p>
    <w:p w:rsidR="00005AA3" w:rsidRPr="00005AA3" w:rsidRDefault="00005AA3" w:rsidP="00005AA3">
      <w:pPr>
        <w:numPr>
          <w:ilvl w:val="0"/>
          <w:numId w:val="8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B - The person is alive and the spouse is receiving the benefit </w:t>
      </w:r>
    </w:p>
    <w:p w:rsidR="00005AA3" w:rsidRPr="00005AA3" w:rsidRDefault="00005AA3" w:rsidP="00005AA3">
      <w:pPr>
        <w:numPr>
          <w:ilvl w:val="0"/>
          <w:numId w:val="8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 - Child beneficiary </w:t>
      </w:r>
    </w:p>
    <w:p w:rsidR="00005AA3" w:rsidRPr="00005AA3" w:rsidRDefault="00005AA3" w:rsidP="00005AA3">
      <w:pPr>
        <w:numPr>
          <w:ilvl w:val="0"/>
          <w:numId w:val="8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 - The person is deceased and the surviving spouse is receiving the benefit.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Social security income is found on the front page of the personal tax return.</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lastRenderedPageBreak/>
        <w:t>Survivor Benefits for Minor Children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Survivor benefits for minor children are counted as income to qualify for a loan. Copies of the most recent two (2) months bank statements or check stubs and a copy of the awards letter (or equivalent documentation) are required for verification.</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6" w:name="Supplemental"/>
      <w:bookmarkEnd w:id="56"/>
      <w:r w:rsidRPr="00005AA3">
        <w:rPr>
          <w:rFonts w:ascii="Verdana" w:eastAsia="Times New Roman" w:hAnsi="Verdana" w:cs="Times New Roman"/>
          <w:b/>
          <w:bCs/>
          <w:sz w:val="21"/>
          <w:szCs w:val="21"/>
        </w:rPr>
        <w:t>Supplemental Security Income (SSI)</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Supplemental Security Income is included as qualifying income provided it is verified with both of the following:</w:t>
      </w:r>
    </w:p>
    <w:p w:rsidR="00005AA3" w:rsidRPr="00005AA3" w:rsidRDefault="00005AA3" w:rsidP="00005AA3">
      <w:pPr>
        <w:numPr>
          <w:ilvl w:val="0"/>
          <w:numId w:val="8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Copies of the most recent two (2) months bank statements or check stubs </w:t>
      </w:r>
    </w:p>
    <w:p w:rsidR="00005AA3" w:rsidRPr="00005AA3" w:rsidRDefault="00005AA3" w:rsidP="00005AA3">
      <w:pPr>
        <w:numPr>
          <w:ilvl w:val="0"/>
          <w:numId w:val="8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the awards letter (or equivalent documentation) </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7" w:name="Unemployment_Income"/>
      <w:bookmarkEnd w:id="57"/>
      <w:r w:rsidRPr="00005AA3">
        <w:rPr>
          <w:rFonts w:ascii="Verdana" w:eastAsia="Times New Roman" w:hAnsi="Verdana" w:cs="Times New Roman"/>
          <w:b/>
          <w:bCs/>
          <w:sz w:val="21"/>
          <w:szCs w:val="21"/>
        </w:rPr>
        <w:t>Unemployment Income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Unemployment compensation, (received by seasonal workers), may be considered as acceptable stable income provided it:</w:t>
      </w:r>
    </w:p>
    <w:p w:rsidR="00005AA3" w:rsidRPr="00005AA3" w:rsidRDefault="00005AA3" w:rsidP="00005AA3">
      <w:pPr>
        <w:numPr>
          <w:ilvl w:val="0"/>
          <w:numId w:val="8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Is properly documented </w:t>
      </w:r>
    </w:p>
    <w:p w:rsidR="00005AA3" w:rsidRPr="00005AA3" w:rsidRDefault="00005AA3" w:rsidP="00005AA3">
      <w:pPr>
        <w:numPr>
          <w:ilvl w:val="0"/>
          <w:numId w:val="8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Has been received for the past two (2) years </w:t>
      </w:r>
    </w:p>
    <w:p w:rsidR="00005AA3" w:rsidRPr="00005AA3" w:rsidRDefault="00005AA3" w:rsidP="00005AA3">
      <w:pPr>
        <w:numPr>
          <w:ilvl w:val="0"/>
          <w:numId w:val="8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Is predictable and likely to continue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Unemployment income is found on the front page of the personal tax return.</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8" w:name="Veterans_Benefits"/>
      <w:bookmarkEnd w:id="58"/>
      <w:r w:rsidRPr="00005AA3">
        <w:rPr>
          <w:rFonts w:ascii="Verdana" w:eastAsia="Times New Roman" w:hAnsi="Verdana" w:cs="Times New Roman"/>
          <w:b/>
          <w:bCs/>
          <w:sz w:val="21"/>
          <w:szCs w:val="21"/>
        </w:rPr>
        <w:t>Veterans Benefits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proofErr w:type="gramStart"/>
      <w:r w:rsidRPr="00005AA3">
        <w:rPr>
          <w:rFonts w:ascii="Verdana" w:eastAsia="Times New Roman" w:hAnsi="Verdana" w:cs="Times New Roman"/>
          <w:sz w:val="18"/>
          <w:szCs w:val="18"/>
        </w:rPr>
        <w:t>Veterans</w:t>
      </w:r>
      <w:proofErr w:type="gramEnd"/>
      <w:r w:rsidRPr="00005AA3">
        <w:rPr>
          <w:rFonts w:ascii="Verdana" w:eastAsia="Times New Roman" w:hAnsi="Verdana" w:cs="Times New Roman"/>
          <w:sz w:val="18"/>
          <w:szCs w:val="18"/>
        </w:rPr>
        <w:t xml:space="preserve"> benefits are included as qualifying income provided the income is verified with one of the following:</w:t>
      </w:r>
    </w:p>
    <w:p w:rsidR="00005AA3" w:rsidRPr="00005AA3" w:rsidRDefault="00005AA3" w:rsidP="00005AA3">
      <w:pPr>
        <w:numPr>
          <w:ilvl w:val="0"/>
          <w:numId w:val="8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letter or distribution form </w:t>
      </w:r>
    </w:p>
    <w:p w:rsidR="00005AA3" w:rsidRPr="00005AA3" w:rsidRDefault="00005AA3" w:rsidP="00005AA3">
      <w:pPr>
        <w:numPr>
          <w:ilvl w:val="0"/>
          <w:numId w:val="8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statement of earnings from the Department of Veterans Affairs (VA)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Educational assistance may not be used as qualifying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9" w:name="Union_Members"/>
      <w:bookmarkEnd w:id="59"/>
      <w:r w:rsidRPr="00005AA3">
        <w:rPr>
          <w:rFonts w:ascii="Verdana" w:eastAsia="Times New Roman" w:hAnsi="Verdana" w:cs="Times New Roman"/>
          <w:b/>
          <w:bCs/>
          <w:sz w:val="21"/>
          <w:szCs w:val="21"/>
        </w:rPr>
        <w:t>Union Members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Average income from direct union job assignments using both of the following sources of documentation:</w:t>
      </w:r>
    </w:p>
    <w:p w:rsidR="00005AA3" w:rsidRPr="00005AA3" w:rsidRDefault="00005AA3" w:rsidP="00005AA3">
      <w:pPr>
        <w:numPr>
          <w:ilvl w:val="0"/>
          <w:numId w:val="8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last two years W-2s from all employers </w:t>
      </w:r>
    </w:p>
    <w:p w:rsidR="00005AA3" w:rsidRPr="00005AA3" w:rsidRDefault="00005AA3" w:rsidP="00005AA3">
      <w:pPr>
        <w:numPr>
          <w:ilvl w:val="0"/>
          <w:numId w:val="8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Year-to-date (YTD) earnings from current pay stubs or statements </w:t>
      </w:r>
    </w:p>
    <w:p w:rsidR="00005AA3" w:rsidRDefault="00005AA3"/>
    <w:p w:rsidR="00005AA3" w:rsidRPr="00005AA3" w:rsidRDefault="00005AA3" w:rsidP="00005AA3">
      <w:pPr>
        <w:spacing w:before="100" w:beforeAutospacing="1" w:after="100" w:afterAutospacing="1" w:line="240" w:lineRule="auto"/>
        <w:outlineLvl w:val="0"/>
        <w:rPr>
          <w:rFonts w:ascii="Arial" w:eastAsia="Times New Roman" w:hAnsi="Arial" w:cs="Arial"/>
          <w:b/>
          <w:bCs/>
          <w:spacing w:val="-15"/>
          <w:kern w:val="36"/>
          <w:sz w:val="30"/>
          <w:szCs w:val="30"/>
        </w:rPr>
      </w:pPr>
      <w:r w:rsidRPr="00005AA3">
        <w:rPr>
          <w:rFonts w:ascii="Arial" w:eastAsia="Times New Roman" w:hAnsi="Arial" w:cs="Arial"/>
          <w:b/>
          <w:bCs/>
          <w:spacing w:val="-15"/>
          <w:kern w:val="36"/>
          <w:sz w:val="30"/>
          <w:szCs w:val="30"/>
        </w:rPr>
        <w:t>Subject Property and Non-subject Property Income Verification Requirements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Subject Property Income Verification Requirements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xml:space="preserve">: To use the rental income from investment properties as a qualifying income source, the borrower must demonstrate at least a two-year history through tax returns of managing 1-4 unit investment properties, in addition to requirements in these tables. </w:t>
      </w:r>
      <w:r w:rsidRPr="00005AA3">
        <w:rPr>
          <w:rFonts w:ascii="Verdana" w:eastAsia="Times New Roman" w:hAnsi="Verdana" w:cs="Times New Roman"/>
          <w:sz w:val="18"/>
          <w:szCs w:val="18"/>
          <w:shd w:val="clear" w:color="auto" w:fill="C6D6E0"/>
        </w:rPr>
        <w:t>The two-year management history must be consecutive and must have occurred (in part or in whole) during the 36 months prior to the mortgage application date.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This table provides subject property income verification requirements: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085"/>
        <w:gridCol w:w="1316"/>
        <w:gridCol w:w="1554"/>
        <w:gridCol w:w="5599"/>
      </w:tblGrid>
      <w:tr w:rsidR="00005AA3" w:rsidRPr="00005AA3" w:rsidTr="00005AA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lastRenderedPageBreak/>
              <w:t>Occupancy</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Property Type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Seasoning Status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Income Verification</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Owner-occupied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2-4 unit</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Seasoned</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Average seasoned income over the last two years, unless declining. Unless the automated underwriting (AU) systems state otherwise, verify by reviewing either of these documents:</w:t>
            </w:r>
          </w:p>
          <w:p w:rsidR="00005AA3" w:rsidRPr="00005AA3" w:rsidRDefault="00005AA3" w:rsidP="00005AA3">
            <w:pPr>
              <w:numPr>
                <w:ilvl w:val="0"/>
                <w:numId w:val="8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two (2) most recent federal tax returns with the appropriate accompanying schedules and forms</w:t>
            </w:r>
          </w:p>
          <w:p w:rsidR="00005AA3" w:rsidRPr="00005AA3" w:rsidRDefault="00005AA3" w:rsidP="00005AA3">
            <w:pPr>
              <w:numPr>
                <w:ilvl w:val="0"/>
                <w:numId w:val="8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most recent tax return along with a current lease that reflects consistent gross rental income</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Non-owner occupied (investment)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1-4 unit</w:t>
            </w: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numPr>
                <w:ilvl w:val="0"/>
                <w:numId w:val="90"/>
              </w:numPr>
              <w:spacing w:before="100" w:beforeAutospacing="1" w:after="100" w:afterAutospacing="1" w:line="240" w:lineRule="auto"/>
              <w:ind w:left="420"/>
              <w:rPr>
                <w:rFonts w:ascii="Verdana" w:eastAsia="Times New Roman" w:hAnsi="Verdana" w:cs="Times New Roman"/>
                <w:sz w:val="18"/>
                <w:szCs w:val="18"/>
              </w:rPr>
            </w:pPr>
            <w:r w:rsidRPr="00005AA3">
              <w:rPr>
                <w:rFonts w:ascii="Verdana" w:eastAsia="Times New Roman" w:hAnsi="Verdana" w:cs="Times New Roman"/>
                <w:sz w:val="18"/>
                <w:szCs w:val="18"/>
              </w:rPr>
              <w:t xml:space="preserve">Owner-occupied </w:t>
            </w:r>
          </w:p>
          <w:p w:rsidR="00005AA3" w:rsidRPr="00005AA3" w:rsidRDefault="00005AA3" w:rsidP="00005AA3">
            <w:pPr>
              <w:numPr>
                <w:ilvl w:val="0"/>
                <w:numId w:val="90"/>
              </w:numPr>
              <w:spacing w:before="100" w:beforeAutospacing="1" w:after="100" w:afterAutospacing="1" w:line="240" w:lineRule="auto"/>
              <w:ind w:left="420"/>
              <w:rPr>
                <w:rFonts w:ascii="Verdana" w:eastAsia="Times New Roman" w:hAnsi="Verdana" w:cs="Times New Roman"/>
                <w:sz w:val="18"/>
                <w:szCs w:val="18"/>
              </w:rPr>
            </w:pPr>
            <w:r w:rsidRPr="00005AA3">
              <w:rPr>
                <w:rFonts w:ascii="Verdana" w:eastAsia="Times New Roman" w:hAnsi="Verdana" w:cs="Times New Roman"/>
                <w:sz w:val="18"/>
                <w:szCs w:val="18"/>
              </w:rPr>
              <w:t xml:space="preserve">Non-owner occupied (investment)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2-4 unit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Unseasoned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Determine income (cash flow) using the amount calculated on the appraiser-provided "</w:t>
            </w:r>
            <w:r w:rsidRPr="00005AA3">
              <w:rPr>
                <w:rFonts w:ascii="Verdana" w:eastAsia="Times New Roman" w:hAnsi="Verdana" w:cs="Times New Roman"/>
                <w:i/>
                <w:iCs/>
                <w:sz w:val="18"/>
                <w:szCs w:val="18"/>
              </w:rPr>
              <w:t>Operating Income Statement</w:t>
            </w:r>
            <w:r w:rsidRPr="00005AA3">
              <w:rPr>
                <w:rFonts w:ascii="Verdana" w:eastAsia="Times New Roman" w:hAnsi="Verdana" w:cs="Times New Roman"/>
                <w:sz w:val="18"/>
                <w:szCs w:val="18"/>
              </w:rPr>
              <w:t>" (FNMA Form 216).</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Non-owner occupied (investment)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1 unit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Unseasoned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Determine income (cash flow) using the amount calculated on these appraiser-provided schedules:</w:t>
            </w:r>
          </w:p>
          <w:p w:rsidR="00005AA3" w:rsidRPr="00005AA3" w:rsidRDefault="00005AA3" w:rsidP="00005AA3">
            <w:pPr>
              <w:numPr>
                <w:ilvl w:val="0"/>
                <w:numId w:val="9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t>
            </w:r>
            <w:r w:rsidRPr="00005AA3">
              <w:rPr>
                <w:rFonts w:ascii="Verdana" w:eastAsia="Times New Roman" w:hAnsi="Verdana" w:cs="Times New Roman"/>
                <w:i/>
                <w:iCs/>
                <w:sz w:val="18"/>
                <w:szCs w:val="18"/>
              </w:rPr>
              <w:t>Operating Income Statement</w:t>
            </w:r>
            <w:r w:rsidRPr="00005AA3">
              <w:rPr>
                <w:rFonts w:ascii="Verdana" w:eastAsia="Times New Roman" w:hAnsi="Verdana" w:cs="Times New Roman"/>
                <w:sz w:val="18"/>
                <w:szCs w:val="18"/>
              </w:rPr>
              <w:t xml:space="preserve">" (FNMA form 216) </w:t>
            </w:r>
          </w:p>
          <w:p w:rsidR="00005AA3" w:rsidRPr="00005AA3" w:rsidRDefault="00005AA3" w:rsidP="00005AA3">
            <w:pPr>
              <w:numPr>
                <w:ilvl w:val="0"/>
                <w:numId w:val="9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t>
            </w:r>
            <w:r w:rsidRPr="00005AA3">
              <w:rPr>
                <w:rFonts w:ascii="Verdana" w:eastAsia="Times New Roman" w:hAnsi="Verdana" w:cs="Times New Roman"/>
                <w:i/>
                <w:iCs/>
                <w:sz w:val="18"/>
                <w:szCs w:val="18"/>
              </w:rPr>
              <w:t>Single-Family Comparable Rent Schedule</w:t>
            </w:r>
            <w:r w:rsidRPr="00005AA3">
              <w:rPr>
                <w:rFonts w:ascii="Verdana" w:eastAsia="Times New Roman" w:hAnsi="Verdana" w:cs="Times New Roman"/>
                <w:sz w:val="18"/>
                <w:szCs w:val="18"/>
              </w:rPr>
              <w:t xml:space="preserve">" (FNMA form 1007) </w:t>
            </w:r>
          </w:p>
        </w:tc>
      </w:tr>
    </w:tbl>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Non-subject Property Income Verification Requirements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Alert</w:t>
      </w:r>
      <w:r w:rsidRPr="00005AA3">
        <w:rPr>
          <w:rFonts w:ascii="Verdana" w:eastAsia="Times New Roman" w:hAnsi="Verdana" w:cs="Times New Roman"/>
          <w:sz w:val="18"/>
          <w:szCs w:val="18"/>
        </w:rPr>
        <w:t xml:space="preserve">: To use the rental income from investment properties as a qualifying income source, the borrower must demonstrate at least a two-year history through tax returns of managing 1-4 unit investment properties, in addition to requirements in these tables. </w:t>
      </w:r>
      <w:r w:rsidRPr="00005AA3">
        <w:rPr>
          <w:rFonts w:ascii="Verdana" w:eastAsia="Times New Roman" w:hAnsi="Verdana" w:cs="Times New Roman"/>
          <w:sz w:val="18"/>
          <w:szCs w:val="18"/>
          <w:shd w:val="clear" w:color="auto" w:fill="C6D6E0"/>
        </w:rPr>
        <w:t>The two-year management history must be consecutive and must have occurred (in part or in whole) during the 36 months prior to the mortgage application date.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This table provides non-subject property income verification requirements: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053"/>
        <w:gridCol w:w="1351"/>
        <w:gridCol w:w="1597"/>
        <w:gridCol w:w="5553"/>
      </w:tblGrid>
      <w:tr w:rsidR="00005AA3" w:rsidRPr="00005AA3" w:rsidTr="00005AA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Occupancy</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Property Type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Seasoning Status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jc w:val="center"/>
              <w:rPr>
                <w:rFonts w:ascii="Verdana" w:eastAsia="Times New Roman" w:hAnsi="Verdana" w:cs="Times New Roman"/>
                <w:b/>
                <w:bCs/>
                <w:sz w:val="18"/>
                <w:szCs w:val="18"/>
              </w:rPr>
            </w:pPr>
            <w:r w:rsidRPr="00005AA3">
              <w:rPr>
                <w:rFonts w:ascii="Verdana" w:eastAsia="Times New Roman" w:hAnsi="Verdana" w:cs="Times New Roman"/>
                <w:b/>
                <w:bCs/>
                <w:sz w:val="18"/>
                <w:szCs w:val="18"/>
              </w:rPr>
              <w:t>Income Verification</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Owner-occupied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2-4 unit</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Seasoned</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Average seasoned income over the last two years, unless declining. Unless the AU systems state otherwise, verify by reviewing either of these documents:</w:t>
            </w:r>
          </w:p>
          <w:p w:rsidR="00005AA3" w:rsidRPr="00005AA3" w:rsidRDefault="00005AA3" w:rsidP="00005AA3">
            <w:pPr>
              <w:numPr>
                <w:ilvl w:val="0"/>
                <w:numId w:val="9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two (2) most recent federal tax returns with the appropriate accompanying schedules and forms</w:t>
            </w:r>
          </w:p>
          <w:p w:rsidR="00005AA3" w:rsidRPr="00005AA3" w:rsidRDefault="00005AA3" w:rsidP="00005AA3">
            <w:pPr>
              <w:numPr>
                <w:ilvl w:val="0"/>
                <w:numId w:val="9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 current lease, if the property generating income does not appear on the most recently filed tax return - calculate using 75% of the income</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Non-owner occupied (investment)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1-4 unit</w:t>
            </w: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Owner-occupied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2-4 unit</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Unseasoned</w:t>
            </w:r>
          </w:p>
        </w:tc>
        <w:tc>
          <w:tcPr>
            <w:tcW w:w="0" w:type="auto"/>
            <w:vMerge w:val="restart"/>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after="0" w:line="240" w:lineRule="auto"/>
              <w:rPr>
                <w:rFonts w:ascii="Verdana" w:eastAsia="Times New Roman" w:hAnsi="Verdana" w:cs="Times New Roman"/>
                <w:sz w:val="18"/>
                <w:szCs w:val="18"/>
              </w:rPr>
            </w:pPr>
            <w:r w:rsidRPr="00005AA3">
              <w:rPr>
                <w:rFonts w:ascii="Verdana" w:eastAsia="Times New Roman" w:hAnsi="Verdana" w:cs="Times New Roman"/>
                <w:sz w:val="18"/>
                <w:szCs w:val="18"/>
              </w:rPr>
              <w:t>Calculate unseasoned income using 75% of the income and, unless the AU systems state otherwise, verify the current lease.</w:t>
            </w:r>
          </w:p>
        </w:tc>
      </w:tr>
      <w:tr w:rsidR="00005AA3" w:rsidRPr="00005AA3" w:rsidTr="00005AA3">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Non-owner occupied (investment)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1-4 unit</w:t>
            </w: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c>
          <w:tcPr>
            <w:tcW w:w="0" w:type="auto"/>
            <w:vMerge/>
            <w:tcBorders>
              <w:bottom w:val="single" w:sz="6" w:space="0" w:color="000000"/>
              <w:right w:val="single" w:sz="6" w:space="0" w:color="000000"/>
            </w:tcBorders>
            <w:hideMark/>
          </w:tcPr>
          <w:p w:rsidR="00005AA3" w:rsidRPr="00005AA3" w:rsidRDefault="00005AA3" w:rsidP="00005AA3">
            <w:pPr>
              <w:spacing w:after="0" w:line="240" w:lineRule="auto"/>
              <w:rPr>
                <w:rFonts w:ascii="Verdana" w:eastAsia="Times New Roman" w:hAnsi="Verdana" w:cs="Times New Roman"/>
                <w:sz w:val="18"/>
                <w:szCs w:val="18"/>
              </w:rPr>
            </w:pPr>
          </w:p>
        </w:tc>
      </w:tr>
    </w:tbl>
    <w:p w:rsidR="00005AA3" w:rsidRDefault="00005AA3" w:rsidP="00005AA3"/>
    <w:p w:rsidR="00005AA3" w:rsidRPr="00005AA3" w:rsidRDefault="00005AA3" w:rsidP="00005AA3">
      <w:pPr>
        <w:spacing w:before="100" w:beforeAutospacing="1" w:after="100" w:afterAutospacing="1" w:line="240" w:lineRule="auto"/>
        <w:outlineLvl w:val="0"/>
        <w:rPr>
          <w:rFonts w:ascii="Arial" w:eastAsia="Times New Roman" w:hAnsi="Arial" w:cs="Arial"/>
          <w:b/>
          <w:bCs/>
          <w:spacing w:val="-15"/>
          <w:kern w:val="36"/>
          <w:sz w:val="30"/>
          <w:szCs w:val="30"/>
        </w:rPr>
      </w:pPr>
      <w:r w:rsidRPr="00005AA3">
        <w:rPr>
          <w:rFonts w:ascii="Arial" w:eastAsia="Times New Roman" w:hAnsi="Arial" w:cs="Arial"/>
          <w:b/>
          <w:bCs/>
          <w:spacing w:val="-15"/>
          <w:kern w:val="36"/>
          <w:sz w:val="30"/>
          <w:szCs w:val="30"/>
        </w:rPr>
        <w:lastRenderedPageBreak/>
        <w:t>Investment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Policy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Refer to </w:t>
      </w:r>
      <w:r w:rsidRPr="00005AA3">
        <w:rPr>
          <w:rFonts w:ascii="Verdana" w:eastAsia="Times New Roman" w:hAnsi="Verdana" w:cs="Times New Roman"/>
          <w:color w:val="006699"/>
          <w:sz w:val="18"/>
          <w:szCs w:val="18"/>
        </w:rPr>
        <w:t>General Income Statement - Verification Requirements</w:t>
      </w:r>
      <w:r w:rsidRPr="00005AA3">
        <w:rPr>
          <w:rFonts w:ascii="Verdana" w:eastAsia="Times New Roman" w:hAnsi="Verdana" w:cs="Times New Roman"/>
          <w:sz w:val="18"/>
          <w:szCs w:val="18"/>
        </w:rPr>
        <w:t xml:space="preserve"> for qualifying income sources and taxable status.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When personal tax returns are used to verify investment income, the following is required:</w:t>
      </w:r>
    </w:p>
    <w:p w:rsidR="00005AA3" w:rsidRPr="00005AA3" w:rsidRDefault="00005AA3" w:rsidP="00005AA3">
      <w:pPr>
        <w:numPr>
          <w:ilvl w:val="0"/>
          <w:numId w:val="9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 minimum of the last two (2) years of personal tax returns, including all schedules and statements, and signed by the borrower.</w:t>
      </w:r>
    </w:p>
    <w:p w:rsidR="00005AA3" w:rsidRPr="00005AA3" w:rsidRDefault="00005AA3" w:rsidP="00005AA3">
      <w:pPr>
        <w:numPr>
          <w:ilvl w:val="0"/>
          <w:numId w:val="9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Unless otherwise noted, all non-taxable income sources are grossed up by a factor of </w:t>
      </w:r>
      <w:proofErr w:type="gramStart"/>
      <w:r w:rsidRPr="00005AA3">
        <w:rPr>
          <w:rFonts w:ascii="Verdana" w:eastAsia="Times New Roman" w:hAnsi="Verdana" w:cs="Times New Roman"/>
          <w:sz w:val="18"/>
          <w:szCs w:val="18"/>
        </w:rPr>
        <w:t>1.25,</w:t>
      </w:r>
      <w:proofErr w:type="gramEnd"/>
      <w:r w:rsidRPr="00005AA3">
        <w:rPr>
          <w:rFonts w:ascii="Verdana" w:eastAsia="Times New Roman" w:hAnsi="Verdana" w:cs="Times New Roman"/>
          <w:sz w:val="18"/>
          <w:szCs w:val="18"/>
        </w:rPr>
        <w:t xml:space="preserve"> provided the non-taxable status of the income is verified. See the </w:t>
      </w:r>
      <w:r w:rsidRPr="00005AA3">
        <w:rPr>
          <w:rFonts w:ascii="Verdana" w:eastAsia="Times New Roman" w:hAnsi="Verdana" w:cs="Times New Roman"/>
          <w:color w:val="006699"/>
          <w:sz w:val="18"/>
        </w:rPr>
        <w:t>Non-Taxable Income</w:t>
      </w:r>
      <w:r w:rsidRPr="00005AA3">
        <w:rPr>
          <w:rFonts w:ascii="Verdana" w:eastAsia="Times New Roman" w:hAnsi="Verdana" w:cs="Times New Roman"/>
          <w:sz w:val="18"/>
          <w:szCs w:val="18"/>
        </w:rPr>
        <w:t xml:space="preserve"> section of </w:t>
      </w:r>
      <w:r w:rsidRPr="00005AA3">
        <w:rPr>
          <w:rFonts w:ascii="Verdana" w:eastAsia="Times New Roman" w:hAnsi="Verdana" w:cs="Times New Roman"/>
          <w:color w:val="006699"/>
          <w:sz w:val="18"/>
        </w:rPr>
        <w:t>General Income Statement - Verification Requirements</w:t>
      </w:r>
      <w:r w:rsidRPr="00005AA3">
        <w:rPr>
          <w:rFonts w:ascii="Verdana" w:eastAsia="Times New Roman" w:hAnsi="Verdana" w:cs="Times New Roman"/>
          <w:sz w:val="18"/>
          <w:szCs w:val="18"/>
        </w:rPr>
        <w:t xml:space="preserve"> for details.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Notes</w:t>
      </w:r>
      <w:r w:rsidRPr="00005AA3">
        <w:rPr>
          <w:rFonts w:ascii="Verdana" w:eastAsia="Times New Roman" w:hAnsi="Verdana" w:cs="Times New Roman"/>
          <w:sz w:val="18"/>
          <w:szCs w:val="18"/>
        </w:rPr>
        <w:t xml:space="preserve">: </w:t>
      </w:r>
      <w:r w:rsidR="009B3752">
        <w:rPr>
          <w:rFonts w:ascii="Verdana" w:eastAsia="Times New Roman" w:hAnsi="Verdana" w:cs="Times New Roman"/>
          <w:b/>
          <w:bCs/>
          <w:sz w:val="18"/>
          <w:szCs w:val="18"/>
        </w:rPr>
        <w:t>Lending Direct</w:t>
      </w:r>
      <w:r w:rsidRPr="00005AA3">
        <w:rPr>
          <w:rFonts w:ascii="Verdana" w:eastAsia="Times New Roman" w:hAnsi="Verdana" w:cs="Times New Roman"/>
          <w:b/>
          <w:bCs/>
          <w:sz w:val="18"/>
          <w:szCs w:val="18"/>
        </w:rPr>
        <w:t xml:space="preserve"> - Mortgage Only</w:t>
      </w:r>
    </w:p>
    <w:p w:rsidR="00005AA3" w:rsidRPr="00005AA3" w:rsidRDefault="00005AA3" w:rsidP="00005AA3">
      <w:pPr>
        <w:numPr>
          <w:ilvl w:val="0"/>
          <w:numId w:val="9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Use the IRS form 4506-T to validate the tax returns. See the corresponding sections in </w:t>
      </w:r>
      <w:r w:rsidRPr="00005AA3">
        <w:rPr>
          <w:rFonts w:ascii="Verdana" w:eastAsia="Times New Roman" w:hAnsi="Verdana" w:cs="Times New Roman"/>
          <w:color w:val="006699"/>
          <w:sz w:val="18"/>
          <w:szCs w:val="18"/>
        </w:rPr>
        <w:t>General Income Statement - Verification Requirements</w:t>
      </w:r>
      <w:r w:rsidRPr="00005AA3">
        <w:rPr>
          <w:rFonts w:ascii="Verdana" w:eastAsia="Times New Roman" w:hAnsi="Verdana" w:cs="Times New Roman"/>
          <w:sz w:val="18"/>
          <w:szCs w:val="18"/>
        </w:rPr>
        <w:t>.</w:t>
      </w:r>
    </w:p>
    <w:p w:rsidR="00005AA3" w:rsidRPr="00005AA3" w:rsidRDefault="00005AA3" w:rsidP="00005AA3">
      <w:pPr>
        <w:numPr>
          <w:ilvl w:val="0"/>
          <w:numId w:val="9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When tax returns are required and the tax-filing deadline has passed without the borrower filing, obtain a properly executed notice of extension for our review and loan file. See </w:t>
      </w:r>
      <w:r w:rsidRPr="00005AA3">
        <w:rPr>
          <w:rFonts w:ascii="Verdana" w:eastAsia="Times New Roman" w:hAnsi="Verdana" w:cs="Times New Roman"/>
          <w:color w:val="006699"/>
          <w:sz w:val="18"/>
          <w:szCs w:val="18"/>
        </w:rPr>
        <w:t>Tax Transcripts</w:t>
      </w:r>
      <w:r w:rsidRPr="00005AA3">
        <w:rPr>
          <w:rFonts w:ascii="Verdana" w:eastAsia="Times New Roman" w:hAnsi="Verdana" w:cs="Times New Roman"/>
          <w:sz w:val="18"/>
          <w:szCs w:val="18"/>
        </w:rPr>
        <w:t xml:space="preserve"> in the Underwriting section of this guide for additional information.</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0" w:name="Annuity"/>
      <w:bookmarkEnd w:id="60"/>
      <w:r w:rsidRPr="00005AA3">
        <w:rPr>
          <w:rFonts w:ascii="Verdana" w:eastAsia="Times New Roman" w:hAnsi="Verdana" w:cs="Times New Roman"/>
          <w:b/>
          <w:bCs/>
          <w:sz w:val="21"/>
          <w:szCs w:val="21"/>
        </w:rPr>
        <w:t>Annuity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annuity income in the qualification, a formal and structured annuity agreement must exist through a guaranteed income vehicle.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Notes</w:t>
      </w:r>
      <w:r w:rsidRPr="00005AA3">
        <w:rPr>
          <w:rFonts w:ascii="Verdana" w:eastAsia="Times New Roman" w:hAnsi="Verdana" w:cs="Times New Roman"/>
          <w:sz w:val="18"/>
          <w:szCs w:val="18"/>
        </w:rPr>
        <w:t>:</w:t>
      </w:r>
    </w:p>
    <w:p w:rsidR="00005AA3" w:rsidRPr="00005AA3" w:rsidRDefault="00005AA3" w:rsidP="00005AA3">
      <w:pPr>
        <w:numPr>
          <w:ilvl w:val="0"/>
          <w:numId w:val="9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Funds in the annuity or investment vehicle used as an income source may not be used as an asset source, and must be deducted from the available funds for the loan transaction.</w:t>
      </w:r>
    </w:p>
    <w:p w:rsidR="00005AA3" w:rsidRPr="00005AA3" w:rsidRDefault="00005AA3" w:rsidP="00005AA3">
      <w:pPr>
        <w:numPr>
          <w:ilvl w:val="0"/>
          <w:numId w:val="9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Any lump sum amount (whether it </w:t>
      </w:r>
      <w:proofErr w:type="gramStart"/>
      <w:r w:rsidRPr="00005AA3">
        <w:rPr>
          <w:rFonts w:ascii="Verdana" w:eastAsia="Times New Roman" w:hAnsi="Verdana" w:cs="Times New Roman"/>
          <w:sz w:val="18"/>
          <w:szCs w:val="18"/>
        </w:rPr>
        <w:t>be</w:t>
      </w:r>
      <w:proofErr w:type="gramEnd"/>
      <w:r w:rsidRPr="00005AA3">
        <w:rPr>
          <w:rFonts w:ascii="Verdana" w:eastAsia="Times New Roman" w:hAnsi="Verdana" w:cs="Times New Roman"/>
          <w:sz w:val="18"/>
          <w:szCs w:val="18"/>
        </w:rPr>
        <w:t xml:space="preserve"> Lottery Income, Bonus Income, Court Settlement, etc.) is not allowed as income unless it can be established that it is received in consistent amounts on a regular basis and meets all other annuity income requirements.</w:t>
      </w:r>
    </w:p>
    <w:p w:rsidR="00005AA3" w:rsidRPr="00005AA3" w:rsidRDefault="009B3752"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Mortgage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See the </w:t>
      </w:r>
      <w:r w:rsidRPr="00005AA3">
        <w:rPr>
          <w:rFonts w:ascii="Verdana" w:eastAsia="Times New Roman" w:hAnsi="Verdana" w:cs="Times New Roman"/>
          <w:color w:val="006699"/>
          <w:sz w:val="18"/>
          <w:szCs w:val="18"/>
        </w:rPr>
        <w:t>Annuity Income</w:t>
      </w:r>
      <w:r w:rsidRPr="00005AA3">
        <w:rPr>
          <w:rFonts w:ascii="Verdana" w:eastAsia="Times New Roman" w:hAnsi="Verdana" w:cs="Times New Roman"/>
          <w:sz w:val="18"/>
          <w:szCs w:val="18"/>
        </w:rPr>
        <w:t xml:space="preserve"> topic in </w:t>
      </w:r>
      <w:r w:rsidR="00F9512F">
        <w:rPr>
          <w:rFonts w:ascii="Verdana" w:eastAsia="Times New Roman" w:hAnsi="Verdana" w:cs="Times New Roman"/>
          <w:color w:val="006699"/>
          <w:sz w:val="18"/>
          <w:szCs w:val="18"/>
        </w:rPr>
        <w:t>Lender Underwriting Policy</w:t>
      </w:r>
      <w:r w:rsidRPr="00005AA3">
        <w:rPr>
          <w:rFonts w:ascii="Verdana" w:eastAsia="Times New Roman" w:hAnsi="Verdana" w:cs="Times New Roman"/>
          <w:sz w:val="18"/>
          <w:szCs w:val="18"/>
        </w:rPr>
        <w:t xml:space="preserve"> for additional information and requirements.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xml:space="preserve">: Implied </w:t>
      </w:r>
      <w:proofErr w:type="spellStart"/>
      <w:r w:rsidRPr="00005AA3">
        <w:rPr>
          <w:rFonts w:ascii="Verdana" w:eastAsia="Times New Roman" w:hAnsi="Verdana" w:cs="Times New Roman"/>
          <w:sz w:val="18"/>
          <w:szCs w:val="18"/>
        </w:rPr>
        <w:t>annuitization</w:t>
      </w:r>
      <w:proofErr w:type="spellEnd"/>
      <w:r w:rsidRPr="00005AA3">
        <w:rPr>
          <w:rFonts w:ascii="Verdana" w:eastAsia="Times New Roman" w:hAnsi="Verdana" w:cs="Times New Roman"/>
          <w:sz w:val="18"/>
          <w:szCs w:val="18"/>
        </w:rPr>
        <w:t xml:space="preserve"> of assets does not meet the requirements for use as Annuity Income. However, under certain circumstances, an income stream may be created from eligible assets and utilized as a source of qualifying income. See </w:t>
      </w:r>
      <w:proofErr w:type="spellStart"/>
      <w:r w:rsidRPr="00005AA3">
        <w:rPr>
          <w:rFonts w:ascii="Verdana" w:eastAsia="Times New Roman" w:hAnsi="Verdana" w:cs="Times New Roman"/>
          <w:color w:val="006699"/>
          <w:sz w:val="18"/>
          <w:szCs w:val="18"/>
        </w:rPr>
        <w:t>Annuitization</w:t>
      </w:r>
      <w:proofErr w:type="spellEnd"/>
      <w:r w:rsidRPr="00005AA3">
        <w:rPr>
          <w:rFonts w:ascii="Verdana" w:eastAsia="Times New Roman" w:hAnsi="Verdana" w:cs="Times New Roman"/>
          <w:color w:val="006699"/>
          <w:sz w:val="18"/>
          <w:szCs w:val="18"/>
        </w:rPr>
        <w:t xml:space="preserve"> of Assets</w:t>
      </w:r>
      <w:r w:rsidRPr="00005AA3">
        <w:rPr>
          <w:rFonts w:ascii="Verdana" w:eastAsia="Times New Roman" w:hAnsi="Verdana" w:cs="Times New Roman"/>
          <w:sz w:val="18"/>
          <w:szCs w:val="18"/>
        </w:rPr>
        <w:t xml:space="preserve"> below for additional information and requirements.</w:t>
      </w:r>
    </w:p>
    <w:p w:rsidR="00005AA3" w:rsidRPr="00005AA3" w:rsidRDefault="0084256B"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Home Equity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Twelve (12) months of bank statements, most recent W2s, 1099s, or tax returns with all schedules are required in addition to the annuity agreement.</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1" w:name="Annuitization"/>
      <w:bookmarkEnd w:id="61"/>
      <w:proofErr w:type="spellStart"/>
      <w:r w:rsidRPr="00005AA3">
        <w:rPr>
          <w:rFonts w:ascii="Verdana" w:eastAsia="Times New Roman" w:hAnsi="Verdana" w:cs="Times New Roman"/>
          <w:b/>
          <w:bCs/>
          <w:sz w:val="21"/>
          <w:szCs w:val="21"/>
        </w:rPr>
        <w:t>Annuitization</w:t>
      </w:r>
      <w:proofErr w:type="spellEnd"/>
      <w:r w:rsidRPr="00005AA3">
        <w:rPr>
          <w:rFonts w:ascii="Verdana" w:eastAsia="Times New Roman" w:hAnsi="Verdana" w:cs="Times New Roman"/>
          <w:b/>
          <w:bCs/>
          <w:sz w:val="21"/>
          <w:szCs w:val="21"/>
        </w:rPr>
        <w:t xml:space="preserve"> of Assets</w:t>
      </w:r>
    </w:p>
    <w:p w:rsidR="00005AA3" w:rsidRPr="00005AA3" w:rsidRDefault="009B3752"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Mortgage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In some cases implied </w:t>
      </w:r>
      <w:proofErr w:type="spellStart"/>
      <w:r w:rsidRPr="00005AA3">
        <w:rPr>
          <w:rFonts w:ascii="Verdana" w:eastAsia="Times New Roman" w:hAnsi="Verdana" w:cs="Times New Roman"/>
          <w:sz w:val="18"/>
          <w:szCs w:val="18"/>
        </w:rPr>
        <w:t>annuitization</w:t>
      </w:r>
      <w:proofErr w:type="spellEnd"/>
      <w:r w:rsidRPr="00005AA3">
        <w:rPr>
          <w:rFonts w:ascii="Verdana" w:eastAsia="Times New Roman" w:hAnsi="Verdana" w:cs="Times New Roman"/>
          <w:sz w:val="18"/>
          <w:szCs w:val="18"/>
        </w:rPr>
        <w:t xml:space="preserve"> and the creation of an income stream from employment related assets may be used as a source of qualifying income.  In order to be eligible, the assets must be liquid, owned solely by the </w:t>
      </w:r>
      <w:r w:rsidRPr="00005AA3">
        <w:rPr>
          <w:rFonts w:ascii="Verdana" w:eastAsia="Times New Roman" w:hAnsi="Verdana" w:cs="Times New Roman"/>
          <w:sz w:val="18"/>
          <w:szCs w:val="18"/>
        </w:rPr>
        <w:lastRenderedPageBreak/>
        <w:t>borrowers, with unrestricted access and 100% of the balance available without penalty if the asset is a retirement account recognized by the IRS.  Examples of eligible assets include, but are not limited to:</w:t>
      </w:r>
    </w:p>
    <w:p w:rsidR="00005AA3" w:rsidRPr="00005AA3" w:rsidRDefault="00005AA3" w:rsidP="00005AA3">
      <w:pPr>
        <w:numPr>
          <w:ilvl w:val="0"/>
          <w:numId w:val="9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401K </w:t>
      </w:r>
    </w:p>
    <w:p w:rsidR="00005AA3" w:rsidRPr="00005AA3" w:rsidRDefault="00005AA3" w:rsidP="00005AA3">
      <w:pPr>
        <w:numPr>
          <w:ilvl w:val="0"/>
          <w:numId w:val="9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IRA </w:t>
      </w:r>
    </w:p>
    <w:p w:rsidR="00005AA3" w:rsidRPr="00005AA3" w:rsidRDefault="00005AA3" w:rsidP="00005AA3">
      <w:pPr>
        <w:numPr>
          <w:ilvl w:val="0"/>
          <w:numId w:val="9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KEOGH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Employer-based rollover funds are permissible.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These assets are only eligible for use if distribution is not already set up or the distribution amount is not enough to qualify.  In addition, the account must be documented with the most recent statement.</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Non-Self Employed Severance and Lump Sum Retirement Packages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Non-Self Employed Severance and Lump Sum Retirement Packages deposited into a retirement account:</w:t>
      </w:r>
    </w:p>
    <w:p w:rsidR="00005AA3" w:rsidRPr="00005AA3" w:rsidRDefault="00005AA3" w:rsidP="00005AA3">
      <w:pPr>
        <w:numPr>
          <w:ilvl w:val="0"/>
          <w:numId w:val="9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Must be documented with a distribution letter from the employer (1099R) </w:t>
      </w:r>
    </w:p>
    <w:p w:rsidR="00005AA3" w:rsidRPr="00005AA3" w:rsidRDefault="00005AA3" w:rsidP="00005AA3">
      <w:pPr>
        <w:numPr>
          <w:ilvl w:val="0"/>
          <w:numId w:val="9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Must provide evidence of deposit to a verified retirement account </w:t>
      </w:r>
    </w:p>
    <w:p w:rsidR="00005AA3" w:rsidRPr="00005AA3" w:rsidRDefault="00005AA3" w:rsidP="00005AA3">
      <w:pPr>
        <w:numPr>
          <w:ilvl w:val="0"/>
          <w:numId w:val="9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Must provide copies of the most recent three months personal depository or brokerage account statements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Non-Self Employed Severance and Lump Sum Retirement Packages </w:t>
      </w:r>
      <w:r w:rsidRPr="00005AA3">
        <w:rPr>
          <w:rFonts w:ascii="Verdana" w:eastAsia="Times New Roman" w:hAnsi="Verdana" w:cs="Times New Roman"/>
          <w:b/>
          <w:bCs/>
          <w:sz w:val="18"/>
          <w:szCs w:val="18"/>
        </w:rPr>
        <w:t>not deposited into a retirement account</w:t>
      </w:r>
      <w:r w:rsidRPr="00005AA3">
        <w:rPr>
          <w:rFonts w:ascii="Verdana" w:eastAsia="Times New Roman" w:hAnsi="Verdana" w:cs="Times New Roman"/>
          <w:sz w:val="18"/>
          <w:szCs w:val="18"/>
        </w:rPr>
        <w:t>:</w:t>
      </w:r>
    </w:p>
    <w:p w:rsidR="00005AA3" w:rsidRPr="00005AA3" w:rsidRDefault="00005AA3" w:rsidP="00005AA3">
      <w:pPr>
        <w:numPr>
          <w:ilvl w:val="0"/>
          <w:numId w:val="9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Lump-sum distribution funds must be derived from a retirement account recognized by the IRS (e.g., 401(k), IRA) and must be deposited to a non-retirement brokerage or depository account</w:t>
      </w:r>
    </w:p>
    <w:p w:rsidR="00005AA3" w:rsidRPr="00005AA3" w:rsidRDefault="00005AA3" w:rsidP="00005AA3">
      <w:pPr>
        <w:numPr>
          <w:ilvl w:val="0"/>
          <w:numId w:val="9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 borrower on the Mortgage must have been the recipient of the lump-sum distribution funds</w:t>
      </w:r>
    </w:p>
    <w:p w:rsidR="00005AA3" w:rsidRPr="00005AA3" w:rsidRDefault="00005AA3" w:rsidP="00005AA3">
      <w:pPr>
        <w:numPr>
          <w:ilvl w:val="0"/>
          <w:numId w:val="9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Parties not obligated on the Mortgage may not have an ownership interest in the account that holds the funds from the lump-sum distribution</w:t>
      </w:r>
    </w:p>
    <w:p w:rsidR="00005AA3" w:rsidRPr="00005AA3" w:rsidRDefault="00005AA3" w:rsidP="00005AA3">
      <w:pPr>
        <w:numPr>
          <w:ilvl w:val="0"/>
          <w:numId w:val="9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proceeds from the lump-sum distribution must be immediately accessible in their entirety</w:t>
      </w:r>
    </w:p>
    <w:p w:rsidR="00005AA3" w:rsidRPr="00005AA3" w:rsidRDefault="00005AA3" w:rsidP="00005AA3">
      <w:pPr>
        <w:numPr>
          <w:ilvl w:val="0"/>
          <w:numId w:val="9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proceeds from the lump-sum distribution must not have been or currently be subject to a penalty</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Ineligible Assets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Examples of ineligible assets include, but are not limited to:</w:t>
      </w:r>
    </w:p>
    <w:p w:rsidR="00005AA3" w:rsidRPr="00005AA3" w:rsidRDefault="00005AA3" w:rsidP="00005AA3">
      <w:pPr>
        <w:numPr>
          <w:ilvl w:val="0"/>
          <w:numId w:val="9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Non-employment related assets (e.g., stock options, non-vested restricted stock, lawsuits, lottery winnings, sale of real estate, inheritance, </w:t>
      </w:r>
      <w:proofErr w:type="gramStart"/>
      <w:r w:rsidRPr="00005AA3">
        <w:rPr>
          <w:rFonts w:ascii="Verdana" w:eastAsia="Times New Roman" w:hAnsi="Verdana" w:cs="Times New Roman"/>
          <w:sz w:val="18"/>
          <w:szCs w:val="18"/>
        </w:rPr>
        <w:t>divorce</w:t>
      </w:r>
      <w:proofErr w:type="gramEnd"/>
      <w:r w:rsidRPr="00005AA3">
        <w:rPr>
          <w:rFonts w:ascii="Verdana" w:eastAsia="Times New Roman" w:hAnsi="Verdana" w:cs="Times New Roman"/>
          <w:sz w:val="18"/>
          <w:szCs w:val="18"/>
        </w:rPr>
        <w:t xml:space="preserve"> proceeds, etc.)</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Eligibility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In order for eligible employment-related assets to be used as qualifying income, the following criteria must be met:</w:t>
      </w:r>
    </w:p>
    <w:p w:rsidR="00005AA3" w:rsidRPr="00005AA3" w:rsidRDefault="00005AA3" w:rsidP="00005AA3">
      <w:pPr>
        <w:numPr>
          <w:ilvl w:val="0"/>
          <w:numId w:val="10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asset cannot already also be used as separate source of income, </w:t>
      </w:r>
    </w:p>
    <w:p w:rsidR="00005AA3" w:rsidRPr="00005AA3" w:rsidRDefault="00005AA3" w:rsidP="00005AA3">
      <w:pPr>
        <w:numPr>
          <w:ilvl w:val="0"/>
          <w:numId w:val="10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70% Maximum LTV/CLTV/HCLTV, </w:t>
      </w:r>
    </w:p>
    <w:p w:rsidR="00005AA3" w:rsidRPr="00005AA3" w:rsidRDefault="00005AA3" w:rsidP="00005AA3">
      <w:pPr>
        <w:numPr>
          <w:ilvl w:val="0"/>
          <w:numId w:val="10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Minimum 700 credit score (AUS) or per eligibility matrix (manual), </w:t>
      </w:r>
    </w:p>
    <w:p w:rsidR="00005AA3" w:rsidRPr="00005AA3" w:rsidRDefault="0084256B" w:rsidP="00005AA3">
      <w:pPr>
        <w:numPr>
          <w:ilvl w:val="0"/>
          <w:numId w:val="100"/>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005AA3" w:rsidRPr="00005AA3">
        <w:rPr>
          <w:rFonts w:ascii="Verdana" w:eastAsia="Times New Roman" w:hAnsi="Verdana" w:cs="Times New Roman"/>
          <w:sz w:val="18"/>
          <w:szCs w:val="18"/>
        </w:rPr>
        <w:t xml:space="preserve"> or limited cash-out refinance, and </w:t>
      </w:r>
    </w:p>
    <w:p w:rsidR="00005AA3" w:rsidRPr="00005AA3" w:rsidRDefault="00005AA3" w:rsidP="00005AA3">
      <w:pPr>
        <w:numPr>
          <w:ilvl w:val="0"/>
          <w:numId w:val="10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Principal residence (1-unit) or second home (1-unit). No investment properties. </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Income calculation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Divide "net documented assets" by 360-Months (regardless of borrower age and current interest rate market.)</w:t>
      </w:r>
    </w:p>
    <w:p w:rsidR="00005AA3" w:rsidRPr="00005AA3" w:rsidRDefault="00005AA3" w:rsidP="00005AA3">
      <w:pPr>
        <w:numPr>
          <w:ilvl w:val="0"/>
          <w:numId w:val="10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Net documented assets = 70% of the sum of eligible documented assets minus any funds that will be used for closing costs or reserve requirements</w:t>
      </w:r>
    </w:p>
    <w:p w:rsidR="00005AA3" w:rsidRPr="00005AA3" w:rsidRDefault="00005AA3" w:rsidP="00005AA3">
      <w:pPr>
        <w:numPr>
          <w:ilvl w:val="0"/>
          <w:numId w:val="10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lastRenderedPageBreak/>
        <w:t>All assets used for income qualification cannot be used for closing costs or reserve requirements</w:t>
      </w:r>
    </w:p>
    <w:p w:rsidR="00005AA3" w:rsidRPr="00005AA3" w:rsidRDefault="00005AA3" w:rsidP="00005AA3">
      <w:pPr>
        <w:numPr>
          <w:ilvl w:val="0"/>
          <w:numId w:val="101"/>
        </w:numPr>
        <w:shd w:val="clear" w:color="auto" w:fill="CBD9E4"/>
        <w:spacing w:after="0"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See </w:t>
      </w:r>
      <w:proofErr w:type="spellStart"/>
      <w:r w:rsidRPr="00005AA3">
        <w:rPr>
          <w:rFonts w:ascii="Verdana" w:eastAsia="Times New Roman" w:hAnsi="Verdana" w:cs="Times New Roman"/>
          <w:color w:val="006699"/>
          <w:sz w:val="18"/>
          <w:szCs w:val="18"/>
        </w:rPr>
        <w:t>Annuitization</w:t>
      </w:r>
      <w:proofErr w:type="spellEnd"/>
      <w:r w:rsidRPr="00005AA3">
        <w:rPr>
          <w:rFonts w:ascii="Verdana" w:eastAsia="Times New Roman" w:hAnsi="Verdana" w:cs="Times New Roman"/>
          <w:color w:val="006699"/>
          <w:sz w:val="18"/>
          <w:szCs w:val="18"/>
        </w:rPr>
        <w:t xml:space="preserve"> of Assets</w:t>
      </w:r>
      <w:r w:rsidRPr="00005AA3">
        <w:rPr>
          <w:rFonts w:ascii="Verdana" w:eastAsia="Times New Roman" w:hAnsi="Verdana" w:cs="Times New Roman"/>
          <w:sz w:val="18"/>
          <w:szCs w:val="18"/>
        </w:rPr>
        <w:t xml:space="preserve"> in the </w:t>
      </w:r>
      <w:r w:rsidR="00F9512F">
        <w:rPr>
          <w:rFonts w:ascii="Verdana" w:eastAsia="Times New Roman" w:hAnsi="Verdana" w:cs="Times New Roman"/>
          <w:sz w:val="18"/>
          <w:szCs w:val="18"/>
        </w:rPr>
        <w:t>Lender Underwriting Policy</w:t>
      </w:r>
      <w:r w:rsidRPr="00005AA3">
        <w:rPr>
          <w:rFonts w:ascii="Verdana" w:eastAsia="Times New Roman" w:hAnsi="Verdana" w:cs="Times New Roman"/>
          <w:sz w:val="18"/>
          <w:szCs w:val="18"/>
        </w:rPr>
        <w:t xml:space="preserve"> for additional information, including documentation requirements and detailed calculation methods.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If the employment related assets do not meet the requirements of this policy, they still may be eligible under other standard income guidelines, such as Annuity Income, Interest and Dividends Income or Retirement/Pension Income.</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Capital Gain or Loss</w:t>
      </w:r>
    </w:p>
    <w:p w:rsidR="00005AA3" w:rsidRPr="00005AA3" w:rsidRDefault="00DA0C51" w:rsidP="00005AA3">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guidelines </w:t>
      </w:r>
      <w:r w:rsidR="00005AA3" w:rsidRPr="00005AA3">
        <w:rPr>
          <w:rFonts w:ascii="Verdana" w:eastAsia="Times New Roman" w:hAnsi="Verdana" w:cs="Times New Roman"/>
          <w:sz w:val="18"/>
          <w:szCs w:val="18"/>
        </w:rPr>
        <w:t>does not use capital gains or losses that arise from the sale of assets as qualifying income, or deductions to income, because they typically do not recur.</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Interest or Dividend</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include interest and/or dividend income from cash or marketable securities in qualifying income, follow these guidelines:</w:t>
      </w:r>
    </w:p>
    <w:p w:rsidR="00005AA3" w:rsidRPr="00005AA3" w:rsidRDefault="00005AA3" w:rsidP="00005AA3">
      <w:pPr>
        <w:numPr>
          <w:ilvl w:val="0"/>
          <w:numId w:val="10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Verify that the underlying cash deposits and/or securities are currently held by the borrower.</w:t>
      </w:r>
    </w:p>
    <w:p w:rsidR="00005AA3" w:rsidRPr="00005AA3" w:rsidRDefault="00005AA3" w:rsidP="00005AA3">
      <w:pPr>
        <w:numPr>
          <w:ilvl w:val="0"/>
          <w:numId w:val="10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Subtract any funds required for closing on the subject transaction prior to the calculation of interest or dividend income.</w:t>
      </w:r>
    </w:p>
    <w:p w:rsidR="00005AA3" w:rsidRPr="00005AA3" w:rsidRDefault="00005AA3" w:rsidP="00005AA3">
      <w:pPr>
        <w:numPr>
          <w:ilvl w:val="0"/>
          <w:numId w:val="10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Average the year-to-date (YTD) interest and dividend income over the last two (2) years with the borrowers' tax returns, unless the income is declining. </w:t>
      </w:r>
    </w:p>
    <w:p w:rsidR="00005AA3" w:rsidRPr="00005AA3" w:rsidRDefault="00005AA3" w:rsidP="00005AA3">
      <w:pPr>
        <w:numPr>
          <w:ilvl w:val="0"/>
          <w:numId w:val="102"/>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10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YTD earnings can be calculated by applying a realistic market interest rate to the account balances and averaging over the number of months the income has been received for the year.</w:t>
      </w:r>
    </w:p>
    <w:p w:rsidR="00005AA3" w:rsidRPr="00005AA3" w:rsidRDefault="00005AA3" w:rsidP="00005AA3">
      <w:pPr>
        <w:numPr>
          <w:ilvl w:val="1"/>
          <w:numId w:val="10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Do not include interest from pass-through tax entities (Partnerships and S Corporations), or from margined securities in the calculation of interest or dividend income.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Notes</w:t>
      </w:r>
      <w:r w:rsidRPr="00005AA3">
        <w:rPr>
          <w:rFonts w:ascii="Verdana" w:eastAsia="Times New Roman" w:hAnsi="Verdana" w:cs="Times New Roman"/>
          <w:sz w:val="18"/>
          <w:szCs w:val="18"/>
        </w:rPr>
        <w:t>:</w:t>
      </w:r>
    </w:p>
    <w:p w:rsidR="00005AA3" w:rsidRPr="00005AA3" w:rsidRDefault="00005AA3" w:rsidP="00005AA3">
      <w:pPr>
        <w:numPr>
          <w:ilvl w:val="0"/>
          <w:numId w:val="10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Interest and dividend income is typically found on Schedule B of the personal tax return, but may be on Schedule D and Form 6252 - Installment Sales.</w:t>
      </w:r>
    </w:p>
    <w:p w:rsidR="00005AA3" w:rsidRPr="00005AA3" w:rsidRDefault="009B3752" w:rsidP="00005AA3">
      <w:pPr>
        <w:numPr>
          <w:ilvl w:val="0"/>
          <w:numId w:val="104"/>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Mortgage Only</w:t>
      </w:r>
      <w:r w:rsidR="00005AA3" w:rsidRPr="00005AA3">
        <w:rPr>
          <w:rFonts w:ascii="Verdana" w:eastAsia="Times New Roman" w:hAnsi="Verdana" w:cs="Times New Roman"/>
          <w:sz w:val="18"/>
          <w:szCs w:val="18"/>
        </w:rPr>
        <w:t xml:space="preserve">: Use Fannie Mae Automated </w:t>
      </w:r>
      <w:r w:rsidR="00005AA3" w:rsidRPr="00005AA3">
        <w:rPr>
          <w:rFonts w:ascii="Verdana" w:eastAsia="Times New Roman" w:hAnsi="Verdana" w:cs="Times New Roman"/>
          <w:color w:val="006699"/>
          <w:sz w:val="18"/>
          <w:szCs w:val="18"/>
        </w:rPr>
        <w:t>1084 Self-Employed Worksheets</w:t>
      </w:r>
      <w:r w:rsidR="00005AA3" w:rsidRPr="00005AA3">
        <w:rPr>
          <w:rFonts w:ascii="Verdana" w:eastAsia="Times New Roman" w:hAnsi="Verdana" w:cs="Times New Roman"/>
          <w:sz w:val="18"/>
          <w:szCs w:val="18"/>
        </w:rPr>
        <w:t xml:space="preserve"> to analyze income.</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Non-Taxable Interest or Dividend</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non-taxable income (e.g., municipal bond tax-exempt interest, etc) as qualifying income, Underwriting must:</w:t>
      </w:r>
    </w:p>
    <w:p w:rsidR="00005AA3" w:rsidRPr="00005AA3" w:rsidRDefault="00005AA3" w:rsidP="00005AA3">
      <w:pPr>
        <w:numPr>
          <w:ilvl w:val="0"/>
          <w:numId w:val="105"/>
        </w:numPr>
        <w:spacing w:before="100" w:beforeAutospacing="1" w:after="100" w:afterAutospacing="1" w:line="240" w:lineRule="auto"/>
        <w:rPr>
          <w:rFonts w:ascii="Verdana" w:eastAsia="Times New Roman" w:hAnsi="Verdana" w:cs="Times New Roman"/>
          <w:sz w:val="18"/>
          <w:szCs w:val="18"/>
        </w:rPr>
      </w:pPr>
      <w:proofErr w:type="gramStart"/>
      <w:r w:rsidRPr="00005AA3">
        <w:rPr>
          <w:rFonts w:ascii="Verdana" w:eastAsia="Times New Roman" w:hAnsi="Verdana" w:cs="Times New Roman"/>
          <w:sz w:val="18"/>
          <w:szCs w:val="18"/>
        </w:rPr>
        <w:t>document</w:t>
      </w:r>
      <w:proofErr w:type="gramEnd"/>
      <w:r w:rsidRPr="00005AA3">
        <w:rPr>
          <w:rFonts w:ascii="Verdana" w:eastAsia="Times New Roman" w:hAnsi="Verdana" w:cs="Times New Roman"/>
          <w:sz w:val="18"/>
          <w:szCs w:val="18"/>
        </w:rPr>
        <w:t xml:space="preserve"> the income with bank statements or award statements. </w:t>
      </w:r>
    </w:p>
    <w:p w:rsidR="00005AA3" w:rsidRPr="00005AA3" w:rsidRDefault="00005AA3" w:rsidP="00005AA3">
      <w:pPr>
        <w:numPr>
          <w:ilvl w:val="0"/>
          <w:numId w:val="105"/>
        </w:numPr>
        <w:spacing w:before="100" w:beforeAutospacing="1" w:after="100" w:afterAutospacing="1" w:line="240" w:lineRule="auto"/>
        <w:rPr>
          <w:rFonts w:ascii="Verdana" w:eastAsia="Times New Roman" w:hAnsi="Verdana" w:cs="Times New Roman"/>
          <w:sz w:val="18"/>
          <w:szCs w:val="18"/>
        </w:rPr>
      </w:pPr>
      <w:proofErr w:type="gramStart"/>
      <w:r w:rsidRPr="00005AA3">
        <w:rPr>
          <w:rFonts w:ascii="Verdana" w:eastAsia="Times New Roman" w:hAnsi="Verdana" w:cs="Times New Roman"/>
          <w:sz w:val="18"/>
          <w:szCs w:val="18"/>
        </w:rPr>
        <w:t>verify</w:t>
      </w:r>
      <w:proofErr w:type="gramEnd"/>
      <w:r w:rsidRPr="00005AA3">
        <w:rPr>
          <w:rFonts w:ascii="Verdana" w:eastAsia="Times New Roman" w:hAnsi="Verdana" w:cs="Times New Roman"/>
          <w:sz w:val="18"/>
          <w:szCs w:val="18"/>
        </w:rPr>
        <w:t xml:space="preserve"> a two (2)-year history of receipt of the income.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xml:space="preserve">: See the </w:t>
      </w:r>
      <w:r w:rsidRPr="00005AA3">
        <w:rPr>
          <w:rFonts w:ascii="Verdana" w:eastAsia="Times New Roman" w:hAnsi="Verdana" w:cs="Times New Roman"/>
          <w:color w:val="006699"/>
          <w:sz w:val="18"/>
          <w:szCs w:val="18"/>
        </w:rPr>
        <w:t>Non-Taxable Income</w:t>
      </w:r>
      <w:r w:rsidRPr="00005AA3">
        <w:rPr>
          <w:rFonts w:ascii="Verdana" w:eastAsia="Times New Roman" w:hAnsi="Verdana" w:cs="Times New Roman"/>
          <w:sz w:val="18"/>
          <w:szCs w:val="18"/>
        </w:rPr>
        <w:t xml:space="preserve"> section of the </w:t>
      </w:r>
      <w:r w:rsidRPr="00005AA3">
        <w:rPr>
          <w:rFonts w:ascii="Verdana" w:eastAsia="Times New Roman" w:hAnsi="Verdana" w:cs="Times New Roman"/>
          <w:color w:val="006699"/>
          <w:sz w:val="18"/>
          <w:szCs w:val="18"/>
        </w:rPr>
        <w:t>General Income Statement – Verification Requirements</w:t>
      </w:r>
      <w:r w:rsidRPr="00005AA3">
        <w:rPr>
          <w:rFonts w:ascii="Verdana" w:eastAsia="Times New Roman" w:hAnsi="Verdana" w:cs="Times New Roman"/>
          <w:sz w:val="18"/>
          <w:szCs w:val="18"/>
        </w:rPr>
        <w:t xml:space="preserve"> topic.</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Investment Gain or Loss from Business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Apparent gains or trivial losses on Schedule E of the personal tax return may indicate sizeable future liabilities or required contributions.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Analyze the Schedules E and K-1 to project future liability or qualifying income. The Schedule K-1 reveals contingent liabilities, historic capital contributions and possible future liabilities.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Any income derived from investment activity found on the Schedule E of the personal tax returns is based on a two (2)-year tax return analysis, and averaged, unless the income is declining.</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proofErr w:type="spellStart"/>
      <w:r w:rsidRPr="00005AA3">
        <w:rPr>
          <w:rFonts w:ascii="Verdana" w:eastAsia="Times New Roman" w:hAnsi="Verdana" w:cs="Times New Roman"/>
          <w:b/>
          <w:bCs/>
          <w:sz w:val="18"/>
          <w:szCs w:val="18"/>
        </w:rPr>
        <w:lastRenderedPageBreak/>
        <w:t>Note</w:t>
      </w:r>
      <w:proofErr w:type="gramStart"/>
      <w:r w:rsidRPr="00005AA3">
        <w:rPr>
          <w:rFonts w:ascii="Verdana" w:eastAsia="Times New Roman" w:hAnsi="Verdana" w:cs="Times New Roman"/>
          <w:sz w:val="18"/>
          <w:szCs w:val="18"/>
        </w:rPr>
        <w:t>:</w:t>
      </w:r>
      <w:r w:rsidR="009B3752">
        <w:rPr>
          <w:rFonts w:ascii="Verdana" w:eastAsia="Times New Roman" w:hAnsi="Verdana" w:cs="Times New Roman"/>
          <w:b/>
          <w:bCs/>
          <w:sz w:val="18"/>
          <w:szCs w:val="18"/>
        </w:rPr>
        <w:t>Lending</w:t>
      </w:r>
      <w:proofErr w:type="spellEnd"/>
      <w:proofErr w:type="gramEnd"/>
      <w:r w:rsidR="009B3752">
        <w:rPr>
          <w:rFonts w:ascii="Verdana" w:eastAsia="Times New Roman" w:hAnsi="Verdana" w:cs="Times New Roman"/>
          <w:b/>
          <w:bCs/>
          <w:sz w:val="18"/>
          <w:szCs w:val="18"/>
        </w:rPr>
        <w:t xml:space="preserve"> Direct</w:t>
      </w:r>
      <w:r w:rsidRPr="00005AA3">
        <w:rPr>
          <w:rFonts w:ascii="Verdana" w:eastAsia="Times New Roman" w:hAnsi="Verdana" w:cs="Times New Roman"/>
          <w:b/>
          <w:bCs/>
          <w:sz w:val="18"/>
          <w:szCs w:val="18"/>
        </w:rPr>
        <w:t xml:space="preserve"> - Mortgage Only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Obtain a letter from the Partnership or S Corporation tax return preparer specifying future contributions, obligations, debt responsibility and income projections.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Note Receivable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interest income from a Note receivable:</w:t>
      </w:r>
    </w:p>
    <w:p w:rsidR="00005AA3" w:rsidRPr="00005AA3" w:rsidRDefault="00005AA3" w:rsidP="00005AA3">
      <w:pPr>
        <w:numPr>
          <w:ilvl w:val="0"/>
          <w:numId w:val="10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Obtain a copy of the Note </w:t>
      </w:r>
    </w:p>
    <w:p w:rsidR="00005AA3" w:rsidRPr="00005AA3" w:rsidRDefault="00005AA3" w:rsidP="00005AA3">
      <w:pPr>
        <w:numPr>
          <w:ilvl w:val="0"/>
          <w:numId w:val="10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Note must be seasoned for a minimum 12 months </w:t>
      </w:r>
    </w:p>
    <w:p w:rsidR="00005AA3" w:rsidRPr="00005AA3" w:rsidRDefault="00005AA3" w:rsidP="00005AA3">
      <w:pPr>
        <w:numPr>
          <w:ilvl w:val="0"/>
          <w:numId w:val="10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Document receipt of the most recent twelve (12) payments </w:t>
      </w:r>
    </w:p>
    <w:p w:rsidR="00005AA3" w:rsidRPr="00005AA3" w:rsidRDefault="00005AA3" w:rsidP="00005AA3">
      <w:pPr>
        <w:numPr>
          <w:ilvl w:val="0"/>
          <w:numId w:val="10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Obtain the most recent two (2) years tax returns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Notes</w:t>
      </w:r>
      <w:r w:rsidRPr="00005AA3">
        <w:rPr>
          <w:rFonts w:ascii="Verdana" w:eastAsia="Times New Roman" w:hAnsi="Verdana" w:cs="Times New Roman"/>
          <w:sz w:val="18"/>
          <w:szCs w:val="18"/>
        </w:rPr>
        <w:t>:</w:t>
      </w:r>
    </w:p>
    <w:p w:rsidR="00005AA3" w:rsidRPr="00005AA3" w:rsidRDefault="00005AA3" w:rsidP="00005AA3">
      <w:pPr>
        <w:numPr>
          <w:ilvl w:val="0"/>
          <w:numId w:val="10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Underwriting may require additional documentation when warranted.</w:t>
      </w:r>
    </w:p>
    <w:p w:rsidR="00005AA3" w:rsidRPr="00005AA3" w:rsidRDefault="00005AA3" w:rsidP="00005AA3">
      <w:pPr>
        <w:numPr>
          <w:ilvl w:val="0"/>
          <w:numId w:val="10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Alert:  </w:t>
      </w:r>
      <w:r w:rsidR="009B3752">
        <w:rPr>
          <w:rFonts w:ascii="Verdana" w:eastAsia="Times New Roman" w:hAnsi="Verdana" w:cs="Times New Roman"/>
          <w:b/>
          <w:bCs/>
          <w:sz w:val="18"/>
          <w:szCs w:val="18"/>
        </w:rPr>
        <w:t>Lending Direct</w:t>
      </w:r>
      <w:r w:rsidRPr="00005AA3">
        <w:rPr>
          <w:rFonts w:ascii="Verdana" w:eastAsia="Times New Roman" w:hAnsi="Verdana" w:cs="Times New Roman"/>
          <w:b/>
          <w:bCs/>
          <w:sz w:val="18"/>
          <w:szCs w:val="18"/>
        </w:rPr>
        <w:t xml:space="preserve"> - Mortgage Only:</w:t>
      </w:r>
      <w:r w:rsidRPr="00005AA3">
        <w:rPr>
          <w:rFonts w:ascii="Verdana" w:eastAsia="Times New Roman" w:hAnsi="Verdana" w:cs="Times New Roman"/>
          <w:sz w:val="18"/>
          <w:szCs w:val="18"/>
        </w:rPr>
        <w:t xml:space="preserve"> The Automated Underwriting System (AUS) may reflect different requirements for the twelve (12) month payment history; defer to the AUS requirements.</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2" w:name="Rental_and_Investment"/>
      <w:bookmarkEnd w:id="62"/>
      <w:r w:rsidRPr="00005AA3">
        <w:rPr>
          <w:rFonts w:ascii="Verdana" w:eastAsia="Times New Roman" w:hAnsi="Verdana" w:cs="Times New Roman"/>
          <w:b/>
          <w:bCs/>
          <w:sz w:val="21"/>
          <w:szCs w:val="21"/>
        </w:rPr>
        <w:t>Rental and Investment Property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Rental or Investment property income may be used as qualifying income for owner-occupied and non-owner-occupied properties.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rental income from investment properties (either the subject property or non-subject property) in the qualification, the borrower must:</w:t>
      </w:r>
    </w:p>
    <w:p w:rsidR="00005AA3" w:rsidRPr="00005AA3" w:rsidRDefault="00005AA3" w:rsidP="00005AA3">
      <w:pPr>
        <w:numPr>
          <w:ilvl w:val="0"/>
          <w:numId w:val="108"/>
        </w:numPr>
        <w:spacing w:after="0"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Demonstrate at least a two (2) year history managing 1-4 unit properties for a consecutive period without gaps.</w:t>
      </w:r>
    </w:p>
    <w:p w:rsidR="00005AA3" w:rsidRPr="00005AA3" w:rsidRDefault="00005AA3" w:rsidP="00005AA3">
      <w:pPr>
        <w:numPr>
          <w:ilvl w:val="0"/>
          <w:numId w:val="108"/>
        </w:numPr>
        <w:spacing w:after="0"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Demonstrate that a portion of the consecutive period occurred at some point within the 36 months prior to the mortgage application date.</w:t>
      </w:r>
    </w:p>
    <w:p w:rsidR="00005AA3" w:rsidRPr="00005AA3" w:rsidRDefault="00005AA3" w:rsidP="00005AA3">
      <w:pPr>
        <w:numPr>
          <w:ilvl w:val="0"/>
          <w:numId w:val="10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Document the two (2) year management history on their tax returns.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When rental income has been earned, but is not used in the qualification, include the full PITI in recurring debt.</w:t>
      </w:r>
    </w:p>
    <w:p w:rsidR="00005AA3" w:rsidRPr="00005AA3" w:rsidRDefault="00005AA3" w:rsidP="00005AA3">
      <w:pPr>
        <w:spacing w:before="100" w:beforeAutospacing="1" w:after="100" w:afterAutospacing="1" w:line="240" w:lineRule="auto"/>
        <w:outlineLvl w:val="2"/>
        <w:rPr>
          <w:rFonts w:ascii="Verdana" w:eastAsia="Times New Roman" w:hAnsi="Verdana" w:cs="Times New Roman"/>
          <w:b/>
          <w:bCs/>
          <w:sz w:val="18"/>
          <w:szCs w:val="18"/>
        </w:rPr>
      </w:pPr>
      <w:r w:rsidRPr="00005AA3">
        <w:rPr>
          <w:rFonts w:ascii="Verdana" w:eastAsia="Times New Roman" w:hAnsi="Verdana" w:cs="Times New Roman"/>
          <w:b/>
          <w:bCs/>
          <w:sz w:val="18"/>
          <w:szCs w:val="18"/>
        </w:rPr>
        <w:t>Income Calculation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Income is calculated based on:</w:t>
      </w:r>
    </w:p>
    <w:p w:rsidR="00005AA3" w:rsidRPr="00005AA3" w:rsidRDefault="00005AA3" w:rsidP="00005AA3">
      <w:pPr>
        <w:numPr>
          <w:ilvl w:val="0"/>
          <w:numId w:val="10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Seasoning </w:t>
      </w:r>
    </w:p>
    <w:p w:rsidR="00005AA3" w:rsidRPr="00005AA3" w:rsidRDefault="00005AA3" w:rsidP="00005AA3">
      <w:pPr>
        <w:numPr>
          <w:ilvl w:val="0"/>
          <w:numId w:val="10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Property type </w:t>
      </w:r>
    </w:p>
    <w:p w:rsidR="00005AA3" w:rsidRPr="00005AA3" w:rsidRDefault="00005AA3" w:rsidP="00005AA3">
      <w:pPr>
        <w:numPr>
          <w:ilvl w:val="0"/>
          <w:numId w:val="10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Subject vs. non-subject property </w:t>
      </w:r>
    </w:p>
    <w:p w:rsidR="00005AA3" w:rsidRPr="00005AA3" w:rsidRDefault="00005AA3" w:rsidP="00005AA3">
      <w:pPr>
        <w:numPr>
          <w:ilvl w:val="0"/>
          <w:numId w:val="10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Occupancy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Regardless of the method used to calculate rental income, and for all categories in the topic above:</w:t>
      </w:r>
    </w:p>
    <w:p w:rsidR="00005AA3" w:rsidRPr="00005AA3" w:rsidRDefault="00005AA3" w:rsidP="00005AA3">
      <w:pPr>
        <w:numPr>
          <w:ilvl w:val="0"/>
          <w:numId w:val="11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When the amount is positive, add it to the qualifying income. </w:t>
      </w:r>
    </w:p>
    <w:p w:rsidR="00005AA3" w:rsidRPr="00005AA3" w:rsidRDefault="00005AA3" w:rsidP="00005AA3">
      <w:pPr>
        <w:numPr>
          <w:ilvl w:val="0"/>
          <w:numId w:val="11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When the amount is negative, add it to the recurring debts.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Rental and Investment properties fit into one of the following two (2) classifications:</w:t>
      </w:r>
    </w:p>
    <w:p w:rsidR="00005AA3" w:rsidRPr="00005AA3" w:rsidRDefault="00005AA3" w:rsidP="00005AA3">
      <w:pPr>
        <w:numPr>
          <w:ilvl w:val="0"/>
          <w:numId w:val="11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Residential - 1 to 4 unit residential </w:t>
      </w:r>
    </w:p>
    <w:p w:rsidR="00005AA3" w:rsidRPr="00005AA3" w:rsidRDefault="00005AA3" w:rsidP="00005AA3">
      <w:pPr>
        <w:numPr>
          <w:ilvl w:val="0"/>
          <w:numId w:val="11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Non-residential - any property that meets one of these criteria: </w:t>
      </w:r>
    </w:p>
    <w:p w:rsidR="00005AA3" w:rsidRPr="00005AA3" w:rsidRDefault="00005AA3" w:rsidP="00005AA3">
      <w:pPr>
        <w:numPr>
          <w:ilvl w:val="0"/>
          <w:numId w:val="111"/>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11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lastRenderedPageBreak/>
        <w:t xml:space="preserve">Has more than four (4) units </w:t>
      </w:r>
    </w:p>
    <w:p w:rsidR="00005AA3" w:rsidRPr="00005AA3" w:rsidRDefault="00005AA3" w:rsidP="00005AA3">
      <w:pPr>
        <w:numPr>
          <w:ilvl w:val="1"/>
          <w:numId w:val="11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Is for commercial use </w:t>
      </w:r>
    </w:p>
    <w:p w:rsidR="00005AA3" w:rsidRPr="00005AA3" w:rsidRDefault="00005AA3" w:rsidP="00005AA3">
      <w:pPr>
        <w:numPr>
          <w:ilvl w:val="1"/>
          <w:numId w:val="112"/>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Is for industrial use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Income from rental or investment properties is designated as either:</w:t>
      </w:r>
    </w:p>
    <w:p w:rsidR="00005AA3" w:rsidRPr="00005AA3" w:rsidRDefault="00005AA3" w:rsidP="00005AA3">
      <w:pPr>
        <w:numPr>
          <w:ilvl w:val="0"/>
          <w:numId w:val="11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Seasoned - a one-year history reported on federal tax returns </w:t>
      </w:r>
    </w:p>
    <w:p w:rsidR="00005AA3" w:rsidRPr="00005AA3" w:rsidRDefault="00005AA3" w:rsidP="00005AA3">
      <w:pPr>
        <w:numPr>
          <w:ilvl w:val="0"/>
          <w:numId w:val="113"/>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Unseasoned: </w:t>
      </w:r>
    </w:p>
    <w:p w:rsidR="00005AA3" w:rsidRPr="00005AA3" w:rsidRDefault="00005AA3" w:rsidP="00005AA3">
      <w:pPr>
        <w:numPr>
          <w:ilvl w:val="0"/>
          <w:numId w:val="113"/>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11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Does not have a one (1)-year rental history reflected on personal tax returns </w:t>
      </w:r>
    </w:p>
    <w:p w:rsidR="00005AA3" w:rsidRPr="00005AA3" w:rsidRDefault="00005AA3" w:rsidP="00005AA3">
      <w:pPr>
        <w:numPr>
          <w:ilvl w:val="1"/>
          <w:numId w:val="114"/>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Is a newly </w:t>
      </w:r>
      <w:r w:rsidR="0084256B">
        <w:rPr>
          <w:rFonts w:ascii="Verdana" w:eastAsia="Times New Roman" w:hAnsi="Verdana" w:cs="Times New Roman"/>
          <w:sz w:val="18"/>
          <w:szCs w:val="18"/>
        </w:rPr>
        <w:t>purchase</w:t>
      </w:r>
      <w:r w:rsidRPr="00005AA3">
        <w:rPr>
          <w:rFonts w:ascii="Verdana" w:eastAsia="Times New Roman" w:hAnsi="Verdana" w:cs="Times New Roman"/>
          <w:sz w:val="18"/>
          <w:szCs w:val="18"/>
        </w:rPr>
        <w:t xml:space="preserve">d investment property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w:t>
      </w:r>
      <w:r w:rsidRPr="00005AA3">
        <w:rPr>
          <w:rFonts w:ascii="Verdana" w:eastAsia="Times New Roman" w:hAnsi="Verdana" w:cs="Times New Roman"/>
          <w:sz w:val="18"/>
          <w:szCs w:val="18"/>
        </w:rPr>
        <w:t>: Specific product or program property standards may differ. Please review the product and program guidelines of this manual for specific products.</w:t>
      </w:r>
    </w:p>
    <w:p w:rsidR="00005AA3" w:rsidRPr="00005AA3" w:rsidRDefault="009B3752" w:rsidP="00005AA3">
      <w:pPr>
        <w:spacing w:before="100" w:beforeAutospacing="1" w:after="100" w:afterAutospacing="1" w:line="240" w:lineRule="auto"/>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Mortgage</w:t>
      </w:r>
    </w:p>
    <w:p w:rsidR="00005AA3" w:rsidRPr="00005AA3" w:rsidRDefault="00005AA3" w:rsidP="00005AA3">
      <w:pPr>
        <w:numPr>
          <w:ilvl w:val="0"/>
          <w:numId w:val="11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See </w:t>
      </w:r>
      <w:r w:rsidRPr="00005AA3">
        <w:rPr>
          <w:rFonts w:ascii="Verdana" w:eastAsia="Times New Roman" w:hAnsi="Verdana" w:cs="Times New Roman"/>
          <w:color w:val="006699"/>
          <w:sz w:val="18"/>
          <w:szCs w:val="18"/>
        </w:rPr>
        <w:t>Subject Property and Non Subject Property Income Verification Requirements</w:t>
      </w:r>
      <w:r w:rsidRPr="00005AA3">
        <w:rPr>
          <w:rFonts w:ascii="Verdana" w:eastAsia="Times New Roman" w:hAnsi="Verdana" w:cs="Times New Roman"/>
          <w:sz w:val="18"/>
          <w:szCs w:val="18"/>
        </w:rPr>
        <w:t>.</w:t>
      </w:r>
    </w:p>
    <w:p w:rsidR="00005AA3" w:rsidRPr="00005AA3" w:rsidRDefault="00005AA3" w:rsidP="00005AA3">
      <w:pPr>
        <w:numPr>
          <w:ilvl w:val="0"/>
          <w:numId w:val="11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See </w:t>
      </w:r>
      <w:hyperlink r:id="rId11" w:history="1">
        <w:r w:rsidRPr="00005AA3">
          <w:rPr>
            <w:rFonts w:ascii="Verdana" w:eastAsia="Times New Roman" w:hAnsi="Verdana" w:cs="Times New Roman"/>
            <w:color w:val="006699"/>
            <w:sz w:val="18"/>
            <w:szCs w:val="18"/>
          </w:rPr>
          <w:t>Conversion of Primary Residence</w:t>
        </w:r>
      </w:hyperlink>
      <w:r w:rsidRPr="00005AA3">
        <w:rPr>
          <w:rFonts w:ascii="Verdana" w:eastAsia="Times New Roman" w:hAnsi="Verdana" w:cs="Times New Roman"/>
          <w:sz w:val="18"/>
          <w:szCs w:val="18"/>
        </w:rPr>
        <w:t xml:space="preserve"> for additional guidance.</w:t>
      </w:r>
    </w:p>
    <w:p w:rsidR="00005AA3" w:rsidRPr="00005AA3" w:rsidRDefault="00005AA3" w:rsidP="00005AA3">
      <w:pPr>
        <w:numPr>
          <w:ilvl w:val="0"/>
          <w:numId w:val="115"/>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Use Fannie Mae Automated </w:t>
      </w:r>
      <w:r w:rsidRPr="00005AA3">
        <w:rPr>
          <w:rFonts w:ascii="Verdana" w:eastAsia="Times New Roman" w:hAnsi="Verdana" w:cs="Times New Roman"/>
          <w:color w:val="006699"/>
          <w:sz w:val="18"/>
          <w:szCs w:val="18"/>
        </w:rPr>
        <w:t>1084 Self-Employed Worksheets</w:t>
      </w:r>
      <w:r w:rsidRPr="00005AA3">
        <w:rPr>
          <w:rFonts w:ascii="Verdana" w:eastAsia="Times New Roman" w:hAnsi="Verdana" w:cs="Times New Roman"/>
          <w:sz w:val="18"/>
          <w:szCs w:val="18"/>
        </w:rPr>
        <w:t xml:space="preserve"> to analyze income.</w:t>
      </w:r>
    </w:p>
    <w:p w:rsidR="00005AA3" w:rsidRPr="00005AA3" w:rsidRDefault="0084256B" w:rsidP="00005AA3">
      <w:pPr>
        <w:spacing w:before="100" w:beforeAutospacing="1" w:after="100" w:afterAutospacing="1" w:line="240" w:lineRule="auto"/>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Home Equity</w:t>
      </w:r>
    </w:p>
    <w:p w:rsidR="00005AA3" w:rsidRPr="00005AA3" w:rsidRDefault="00005AA3" w:rsidP="00005AA3">
      <w:pPr>
        <w:numPr>
          <w:ilvl w:val="0"/>
          <w:numId w:val="11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When the rental property has been leased less than 12 months, use 75% of the gross rental income and obtain a lease.</w:t>
      </w:r>
    </w:p>
    <w:p w:rsidR="00005AA3" w:rsidRPr="00005AA3" w:rsidRDefault="00005AA3" w:rsidP="00005AA3">
      <w:pPr>
        <w:numPr>
          <w:ilvl w:val="0"/>
          <w:numId w:val="116"/>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When the rental property has been leased more than 12 months: </w:t>
      </w:r>
    </w:p>
    <w:p w:rsidR="00005AA3" w:rsidRPr="00005AA3" w:rsidRDefault="00005AA3" w:rsidP="00005AA3">
      <w:pPr>
        <w:numPr>
          <w:ilvl w:val="0"/>
          <w:numId w:val="116"/>
        </w:numPr>
        <w:spacing w:before="100" w:beforeAutospacing="1" w:after="100" w:afterAutospacing="1" w:line="240" w:lineRule="auto"/>
        <w:ind w:left="1440"/>
        <w:rPr>
          <w:rFonts w:ascii="Verdana" w:eastAsia="Times New Roman" w:hAnsi="Verdana" w:cs="Times New Roman"/>
          <w:sz w:val="18"/>
          <w:szCs w:val="18"/>
        </w:rPr>
      </w:pPr>
    </w:p>
    <w:p w:rsidR="00005AA3" w:rsidRPr="00005AA3" w:rsidRDefault="00005AA3" w:rsidP="00005AA3">
      <w:pPr>
        <w:numPr>
          <w:ilvl w:val="1"/>
          <w:numId w:val="11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Two (2) most recent years tax returns with all schedules are be required. </w:t>
      </w:r>
    </w:p>
    <w:p w:rsidR="00005AA3" w:rsidRPr="00005AA3" w:rsidRDefault="00005AA3" w:rsidP="00005AA3">
      <w:pPr>
        <w:numPr>
          <w:ilvl w:val="1"/>
          <w:numId w:val="11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When the two (2) most recent tax returns with all schedules are not available, the most recent tax return with all schedules and current lease agreement is required.</w:t>
      </w:r>
    </w:p>
    <w:p w:rsidR="00005AA3" w:rsidRPr="00005AA3" w:rsidRDefault="00005AA3" w:rsidP="00005AA3">
      <w:pPr>
        <w:numPr>
          <w:ilvl w:val="0"/>
          <w:numId w:val="11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Income generated from properties other than the collateral property may be used to "wash" the associated mortgage payment. See </w:t>
      </w:r>
      <w:r w:rsidRPr="00005AA3">
        <w:rPr>
          <w:rFonts w:ascii="Verdana" w:eastAsia="Times New Roman" w:hAnsi="Verdana" w:cs="Times New Roman"/>
          <w:color w:val="006699"/>
          <w:sz w:val="18"/>
          <w:szCs w:val="18"/>
        </w:rPr>
        <w:t>Rental Income Verification - 13.31.CD</w:t>
      </w:r>
      <w:r w:rsidRPr="00005AA3">
        <w:rPr>
          <w:rFonts w:ascii="Verdana" w:eastAsia="Times New Roman" w:hAnsi="Verdana" w:cs="Times New Roman"/>
          <w:sz w:val="18"/>
          <w:szCs w:val="18"/>
        </w:rPr>
        <w:t xml:space="preserve"> for additional information.</w:t>
      </w:r>
    </w:p>
    <w:p w:rsidR="00005AA3" w:rsidRPr="00005AA3" w:rsidRDefault="00005AA3" w:rsidP="00005AA3">
      <w:pPr>
        <w:numPr>
          <w:ilvl w:val="0"/>
          <w:numId w:val="117"/>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Income generated from renting out a portion of a single unit Primary Residence occupied by the applicant (Boarder Income) is not permitted.</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Royalty and Lease (Other Than Real Estate)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Carefully consider the source and method in calculating this type of income, and ensure that it is reasonable and likely to continue.</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Royalty and lease income sources are found on Schedule E of the personal tax return.</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royalty or lease income:</w:t>
      </w:r>
    </w:p>
    <w:p w:rsidR="00005AA3" w:rsidRPr="00005AA3" w:rsidRDefault="00005AA3" w:rsidP="00005AA3">
      <w:pPr>
        <w:numPr>
          <w:ilvl w:val="0"/>
          <w:numId w:val="11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Obtain copies of the contracts or leases. </w:t>
      </w:r>
    </w:p>
    <w:p w:rsidR="00005AA3" w:rsidRPr="00005AA3" w:rsidRDefault="00005AA3" w:rsidP="00005AA3">
      <w:pPr>
        <w:numPr>
          <w:ilvl w:val="0"/>
          <w:numId w:val="11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income must have a two (2) year minimum history. </w:t>
      </w:r>
    </w:p>
    <w:p w:rsidR="00005AA3" w:rsidRPr="00005AA3" w:rsidRDefault="00005AA3" w:rsidP="00005AA3">
      <w:pPr>
        <w:numPr>
          <w:ilvl w:val="0"/>
          <w:numId w:val="11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Parties obligated to pay the leases or contracts must be identified. </w:t>
      </w:r>
    </w:p>
    <w:p w:rsidR="00005AA3" w:rsidRPr="00005AA3" w:rsidRDefault="00005AA3" w:rsidP="00005AA3">
      <w:pPr>
        <w:numPr>
          <w:ilvl w:val="0"/>
          <w:numId w:val="118"/>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Use a two (2)-year average, unless the income is declining. </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005AA3">
        <w:rPr>
          <w:rFonts w:ascii="Verdana" w:eastAsia="Times New Roman" w:hAnsi="Verdana" w:cs="Times New Roman"/>
          <w:b/>
          <w:bCs/>
          <w:sz w:val="21"/>
          <w:szCs w:val="21"/>
        </w:rPr>
        <w:t>Stock Options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Corporate stock options are frequently used by an employer as an incentive to attract a "new hire" or to compensate an employee with a more direct interest in the success of the company.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Stock options are not permitted as a source of income. Values are subject to significant fluctuations, or may not be readily quantified. Additionally, there are often restrictions on when and how the options may be exercised.</w:t>
      </w:r>
    </w:p>
    <w:p w:rsidR="00005AA3" w:rsidRPr="00005AA3" w:rsidRDefault="00005AA3" w:rsidP="00005AA3">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3" w:name="Trust"/>
      <w:bookmarkEnd w:id="63"/>
      <w:r w:rsidRPr="00005AA3">
        <w:rPr>
          <w:rFonts w:ascii="Verdana" w:eastAsia="Times New Roman" w:hAnsi="Verdana" w:cs="Times New Roman"/>
          <w:b/>
          <w:bCs/>
          <w:sz w:val="21"/>
          <w:szCs w:val="21"/>
        </w:rPr>
        <w:lastRenderedPageBreak/>
        <w:t>Trust</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Trust income is an acceptable source of income and is verified with a Schedule K-1, Schedule B, Schedule D, or Schedule E of the personal tax return, depending on the composition of the trust assets.</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To use trust income, all of the following are required:</w:t>
      </w:r>
    </w:p>
    <w:p w:rsidR="00005AA3" w:rsidRPr="00005AA3" w:rsidRDefault="00005AA3" w:rsidP="00005AA3">
      <w:pPr>
        <w:numPr>
          <w:ilvl w:val="0"/>
          <w:numId w:val="11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A copy of the Trust Agreement </w:t>
      </w:r>
    </w:p>
    <w:p w:rsidR="00005AA3" w:rsidRPr="00005AA3" w:rsidRDefault="00005AA3" w:rsidP="00005AA3">
      <w:pPr>
        <w:numPr>
          <w:ilvl w:val="0"/>
          <w:numId w:val="11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Proof of receipt of the income for the most recent three (3) months </w:t>
      </w:r>
    </w:p>
    <w:p w:rsidR="00005AA3" w:rsidRPr="00005AA3" w:rsidRDefault="00005AA3" w:rsidP="00005AA3">
      <w:pPr>
        <w:numPr>
          <w:ilvl w:val="0"/>
          <w:numId w:val="119"/>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Two (2) years most recent tax returns </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b/>
          <w:bCs/>
          <w:sz w:val="18"/>
          <w:szCs w:val="18"/>
        </w:rPr>
        <w:t>Notes</w:t>
      </w:r>
      <w:r w:rsidRPr="00005AA3">
        <w:rPr>
          <w:rFonts w:ascii="Verdana" w:eastAsia="Times New Roman" w:hAnsi="Verdana" w:cs="Times New Roman"/>
          <w:sz w:val="18"/>
          <w:szCs w:val="18"/>
        </w:rPr>
        <w:t>:</w:t>
      </w:r>
    </w:p>
    <w:p w:rsidR="00005AA3" w:rsidRPr="00005AA3" w:rsidRDefault="00005AA3" w:rsidP="00005AA3">
      <w:pPr>
        <w:numPr>
          <w:ilvl w:val="0"/>
          <w:numId w:val="12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When trust income constitutes 20% or more of the borrower’s qualifying income, the trust agreement must also be reviewed by </w:t>
      </w:r>
      <w:r w:rsidR="00267184">
        <w:rPr>
          <w:rFonts w:ascii="Verdana" w:eastAsia="Times New Roman" w:hAnsi="Verdana" w:cs="Times New Roman"/>
          <w:sz w:val="18"/>
          <w:szCs w:val="18"/>
        </w:rPr>
        <w:t>Lender</w:t>
      </w:r>
      <w:r w:rsidRPr="00005AA3">
        <w:rPr>
          <w:rFonts w:ascii="Verdana" w:eastAsia="Times New Roman" w:hAnsi="Verdana" w:cs="Times New Roman"/>
          <w:sz w:val="18"/>
          <w:szCs w:val="18"/>
        </w:rPr>
        <w:t xml:space="preserve"> approved counsel.</w:t>
      </w:r>
    </w:p>
    <w:p w:rsidR="00005AA3" w:rsidRPr="00005AA3" w:rsidRDefault="00005AA3" w:rsidP="00005AA3">
      <w:pPr>
        <w:numPr>
          <w:ilvl w:val="0"/>
          <w:numId w:val="120"/>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legal review of the trust agreement is not a substitute for meeting the requirements to support the use of the income, and does not relieve Underwriting of the responsibility to ensure the income source is stable.</w:t>
      </w:r>
    </w:p>
    <w:p w:rsidR="00005AA3" w:rsidRPr="00005AA3" w:rsidRDefault="0084256B" w:rsidP="00005AA3">
      <w:pPr>
        <w:spacing w:before="100" w:beforeAutospacing="1" w:after="100" w:afterAutospacing="1" w:line="240" w:lineRule="auto"/>
        <w:outlineLvl w:val="2"/>
        <w:rPr>
          <w:rFonts w:ascii="Verdana" w:eastAsia="Times New Roman" w:hAnsi="Verdana" w:cs="Times New Roman"/>
          <w:b/>
          <w:bCs/>
          <w:sz w:val="18"/>
          <w:szCs w:val="18"/>
        </w:rPr>
      </w:pPr>
      <w:r>
        <w:rPr>
          <w:rFonts w:ascii="Verdana" w:eastAsia="Times New Roman" w:hAnsi="Verdana" w:cs="Times New Roman"/>
          <w:b/>
          <w:bCs/>
          <w:sz w:val="18"/>
          <w:szCs w:val="18"/>
        </w:rPr>
        <w:t>Lending Direct</w:t>
      </w:r>
      <w:r w:rsidR="00005AA3" w:rsidRPr="00005AA3">
        <w:rPr>
          <w:rFonts w:ascii="Verdana" w:eastAsia="Times New Roman" w:hAnsi="Verdana" w:cs="Times New Roman"/>
          <w:b/>
          <w:bCs/>
          <w:sz w:val="18"/>
          <w:szCs w:val="18"/>
        </w:rPr>
        <w:t xml:space="preserve"> - Home Equity Only</w:t>
      </w:r>
    </w:p>
    <w:p w:rsidR="00005AA3" w:rsidRPr="00005AA3" w:rsidRDefault="00005AA3" w:rsidP="00005AA3">
      <w:p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The Trust Agreement must meet the following requirements:</w:t>
      </w:r>
    </w:p>
    <w:p w:rsidR="00005AA3" w:rsidRPr="00005AA3" w:rsidRDefault="00005AA3" w:rsidP="00005AA3">
      <w:pPr>
        <w:numPr>
          <w:ilvl w:val="0"/>
          <w:numId w:val="12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It is irrevocable. </w:t>
      </w:r>
    </w:p>
    <w:p w:rsidR="00005AA3" w:rsidRPr="00005AA3" w:rsidRDefault="00005AA3" w:rsidP="00005AA3">
      <w:pPr>
        <w:numPr>
          <w:ilvl w:val="0"/>
          <w:numId w:val="12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applicant is the beneficiary. </w:t>
      </w:r>
    </w:p>
    <w:p w:rsidR="00005AA3" w:rsidRPr="00005AA3" w:rsidRDefault="00005AA3" w:rsidP="00005AA3">
      <w:pPr>
        <w:numPr>
          <w:ilvl w:val="0"/>
          <w:numId w:val="12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 balance and assets of the trust principle support the continuance of the income stream. </w:t>
      </w:r>
    </w:p>
    <w:p w:rsidR="00005AA3" w:rsidRPr="00005AA3" w:rsidRDefault="00005AA3" w:rsidP="00005AA3">
      <w:pPr>
        <w:numPr>
          <w:ilvl w:val="0"/>
          <w:numId w:val="12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There are no restrictive or beneficiary performance clauses that may stop, hinder, or reduce trust payments to the beneficiary. </w:t>
      </w:r>
    </w:p>
    <w:p w:rsidR="00005AA3" w:rsidRPr="00005AA3" w:rsidRDefault="00005AA3" w:rsidP="00005AA3">
      <w:pPr>
        <w:numPr>
          <w:ilvl w:val="0"/>
          <w:numId w:val="121"/>
        </w:numPr>
        <w:spacing w:before="100" w:beforeAutospacing="1" w:after="100" w:afterAutospacing="1" w:line="240" w:lineRule="auto"/>
        <w:rPr>
          <w:rFonts w:ascii="Verdana" w:eastAsia="Times New Roman" w:hAnsi="Verdana" w:cs="Times New Roman"/>
          <w:sz w:val="18"/>
          <w:szCs w:val="18"/>
        </w:rPr>
      </w:pPr>
      <w:r w:rsidRPr="00005AA3">
        <w:rPr>
          <w:rFonts w:ascii="Verdana" w:eastAsia="Times New Roman" w:hAnsi="Verdana" w:cs="Times New Roman"/>
          <w:sz w:val="18"/>
          <w:szCs w:val="18"/>
        </w:rPr>
        <w:t xml:space="preserve">There are mandatory distributions or a history of previous distributions to the applicant. </w:t>
      </w:r>
    </w:p>
    <w:p w:rsidR="00005AA3" w:rsidRDefault="00005AA3" w:rsidP="00005AA3"/>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Credit Bureau Report Overview</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To assess a borrower's credit history, </w:t>
      </w:r>
      <w:r w:rsidR="009B3752">
        <w:rPr>
          <w:rFonts w:ascii="Verdana" w:eastAsia="Times New Roman" w:hAnsi="Verdana" w:cs="Times New Roman"/>
          <w:sz w:val="18"/>
          <w:szCs w:val="18"/>
        </w:rPr>
        <w:t>Lend</w:t>
      </w:r>
      <w:r w:rsidR="00267184">
        <w:rPr>
          <w:rFonts w:ascii="Verdana" w:eastAsia="Times New Roman" w:hAnsi="Verdana" w:cs="Times New Roman"/>
          <w:sz w:val="18"/>
          <w:szCs w:val="18"/>
        </w:rPr>
        <w:t xml:space="preserve">er </w:t>
      </w:r>
      <w:r w:rsidRPr="0087031A">
        <w:rPr>
          <w:rFonts w:ascii="Verdana" w:eastAsia="Times New Roman" w:hAnsi="Verdana" w:cs="Times New Roman"/>
          <w:sz w:val="18"/>
          <w:szCs w:val="18"/>
        </w:rPr>
        <w:t>obtains a credit report from a credit-reporting agency or by direct verification with a creditor. The credit report provides evidence of a borrower's payment history, as well as historical information about the borrower's "use" of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information credit bureaus report is </w:t>
      </w:r>
      <w:r w:rsidR="00267184">
        <w:rPr>
          <w:rFonts w:ascii="Verdana" w:eastAsia="Times New Roman" w:hAnsi="Verdana" w:cs="Times New Roman"/>
          <w:sz w:val="18"/>
          <w:szCs w:val="18"/>
        </w:rPr>
        <w:t>Lenders</w:t>
      </w:r>
      <w:r w:rsidRPr="0087031A">
        <w:rPr>
          <w:rFonts w:ascii="Verdana" w:eastAsia="Times New Roman" w:hAnsi="Verdana" w:cs="Times New Roman"/>
          <w:sz w:val="18"/>
          <w:szCs w:val="18"/>
        </w:rPr>
        <w:t xml:space="preserve"> primary measurement of the borrower's creditworthiness.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requires analysis of the borrower's current and past credit history through the review of a credit bureau report prepared by an independent credit-reporting agency or credit-reporting repository.</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4" w:name="Credit-reporting_Repositories"/>
      <w:bookmarkEnd w:id="64"/>
      <w:r w:rsidRPr="0087031A">
        <w:rPr>
          <w:rFonts w:ascii="Verdana" w:eastAsia="Times New Roman" w:hAnsi="Verdana" w:cs="Times New Roman"/>
          <w:b/>
          <w:bCs/>
          <w:sz w:val="21"/>
          <w:szCs w:val="21"/>
        </w:rPr>
        <w:t>Credit-reporting Repositories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are the three (3) major credit-reporting repositories:</w:t>
      </w:r>
    </w:p>
    <w:p w:rsidR="0087031A" w:rsidRPr="0087031A" w:rsidRDefault="0087031A" w:rsidP="0087031A">
      <w:pPr>
        <w:numPr>
          <w:ilvl w:val="0"/>
          <w:numId w:val="12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Equifax </w:t>
      </w:r>
    </w:p>
    <w:p w:rsidR="0087031A" w:rsidRPr="0087031A" w:rsidRDefault="0087031A" w:rsidP="0087031A">
      <w:pPr>
        <w:numPr>
          <w:ilvl w:val="0"/>
          <w:numId w:val="12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Experian </w:t>
      </w:r>
    </w:p>
    <w:p w:rsidR="0087031A" w:rsidRPr="0087031A" w:rsidRDefault="0087031A" w:rsidP="0087031A">
      <w:pPr>
        <w:numPr>
          <w:ilvl w:val="0"/>
          <w:numId w:val="122"/>
        </w:numPr>
        <w:spacing w:before="100" w:beforeAutospacing="1" w:after="100" w:afterAutospacing="1" w:line="240" w:lineRule="auto"/>
        <w:rPr>
          <w:rFonts w:ascii="Verdana" w:eastAsia="Times New Roman" w:hAnsi="Verdana" w:cs="Times New Roman"/>
          <w:sz w:val="18"/>
          <w:szCs w:val="18"/>
        </w:rPr>
      </w:pPr>
      <w:proofErr w:type="spellStart"/>
      <w:r w:rsidRPr="0087031A">
        <w:rPr>
          <w:rFonts w:ascii="Verdana" w:eastAsia="Times New Roman" w:hAnsi="Verdana" w:cs="Times New Roman"/>
          <w:sz w:val="18"/>
          <w:szCs w:val="18"/>
        </w:rPr>
        <w:t>TransUnion</w:t>
      </w:r>
      <w:proofErr w:type="spellEnd"/>
      <w:r w:rsidRPr="0087031A">
        <w:rPr>
          <w:rFonts w:ascii="Verdana" w:eastAsia="Times New Roman" w:hAnsi="Verdana" w:cs="Times New Roman"/>
          <w:sz w:val="18"/>
          <w:szCs w:val="18"/>
        </w:rPr>
        <w:t xml:space="preserve">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Acceptable Credit Reports</w:t>
      </w:r>
    </w:p>
    <w:p w:rsidR="0087031A" w:rsidRPr="0087031A" w:rsidRDefault="009B3752" w:rsidP="0087031A">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7031A" w:rsidRPr="0087031A">
        <w:rPr>
          <w:rFonts w:ascii="Verdana" w:eastAsia="Times New Roman" w:hAnsi="Verdana" w:cs="Times New Roman"/>
          <w:sz w:val="18"/>
          <w:szCs w:val="18"/>
        </w:rPr>
        <w:t>accepts these four (4) types of credit reports, which vary based on the mortgage request:</w:t>
      </w:r>
    </w:p>
    <w:p w:rsidR="0087031A" w:rsidRPr="0087031A" w:rsidRDefault="0087031A" w:rsidP="0087031A">
      <w:pPr>
        <w:numPr>
          <w:ilvl w:val="0"/>
          <w:numId w:val="12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In-file Credit Reports </w:t>
      </w:r>
    </w:p>
    <w:p w:rsidR="0087031A" w:rsidRPr="0087031A" w:rsidRDefault="0087031A" w:rsidP="0087031A">
      <w:pPr>
        <w:numPr>
          <w:ilvl w:val="0"/>
          <w:numId w:val="12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Merged Credit Reports </w:t>
      </w:r>
    </w:p>
    <w:p w:rsidR="0087031A" w:rsidRPr="0087031A" w:rsidRDefault="0087031A" w:rsidP="0087031A">
      <w:pPr>
        <w:numPr>
          <w:ilvl w:val="0"/>
          <w:numId w:val="12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Residential Mortgage Credit Report </w:t>
      </w:r>
    </w:p>
    <w:p w:rsidR="0087031A" w:rsidRPr="0087031A" w:rsidRDefault="0087031A" w:rsidP="0087031A">
      <w:pPr>
        <w:numPr>
          <w:ilvl w:val="0"/>
          <w:numId w:val="12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Non-Traditional Mortgage Credit Report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Bureau Report Requirements</w:t>
      </w:r>
    </w:p>
    <w:p w:rsidR="0087031A" w:rsidRPr="0087031A" w:rsidRDefault="009B3752" w:rsidP="0087031A">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7031A" w:rsidRPr="0087031A">
        <w:rPr>
          <w:rFonts w:ascii="Verdana" w:eastAsia="Times New Roman" w:hAnsi="Verdana" w:cs="Times New Roman"/>
          <w:sz w:val="18"/>
          <w:szCs w:val="18"/>
        </w:rPr>
        <w:t xml:space="preserve">requires a credit report for each borrower on the loan application with an individual credit record. One of the three major </w:t>
      </w:r>
      <w:r w:rsidR="0087031A" w:rsidRPr="0087031A">
        <w:rPr>
          <w:rFonts w:ascii="Verdana" w:eastAsia="Times New Roman" w:hAnsi="Verdana" w:cs="Times New Roman"/>
          <w:color w:val="006699"/>
          <w:sz w:val="18"/>
          <w:szCs w:val="18"/>
        </w:rPr>
        <w:t>credit-reporting repositories</w:t>
      </w:r>
      <w:r w:rsidR="0087031A" w:rsidRPr="0087031A">
        <w:rPr>
          <w:rFonts w:ascii="Verdana" w:eastAsia="Times New Roman" w:hAnsi="Verdana" w:cs="Times New Roman"/>
          <w:sz w:val="18"/>
          <w:szCs w:val="18"/>
        </w:rPr>
        <w:t xml:space="preserve"> must provide the data for the credit report.</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Traditional Credit Bureau Report Formats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are the acceptable formats for traditional credit bureau reports:</w:t>
      </w:r>
    </w:p>
    <w:p w:rsidR="0087031A" w:rsidRPr="0087031A" w:rsidRDefault="0087031A" w:rsidP="0087031A">
      <w:pPr>
        <w:numPr>
          <w:ilvl w:val="0"/>
          <w:numId w:val="12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In-file credit reports </w:t>
      </w:r>
    </w:p>
    <w:p w:rsidR="0087031A" w:rsidRPr="0087031A" w:rsidRDefault="0087031A" w:rsidP="0087031A">
      <w:pPr>
        <w:numPr>
          <w:ilvl w:val="0"/>
          <w:numId w:val="12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Automated merged credit report </w:t>
      </w:r>
    </w:p>
    <w:p w:rsidR="0087031A" w:rsidRPr="0087031A" w:rsidRDefault="0087031A" w:rsidP="0087031A">
      <w:pPr>
        <w:numPr>
          <w:ilvl w:val="0"/>
          <w:numId w:val="12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Residential Mortgage Credit Report (RMCR)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report must be an original report, with no erasures, white-outs, or alterations.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Required Information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Traditional credit bureau reports must include credit and public record information for each locality in which a borrower has resided for a minimum of the previous two (2) years, and must include all discovered credit and legal information that the Fair Credit Reporting Act does not consider obsolete.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Credit reports must reveal payment history indicating any 30-, 60-, or 90-day past-due payments. If any of the information on a report is conflicting, use the most recent "date reported" information.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report must include, but is not limited to, this information:</w:t>
      </w:r>
    </w:p>
    <w:p w:rsidR="0087031A" w:rsidRPr="0087031A" w:rsidRDefault="0087031A" w:rsidP="0087031A">
      <w:pPr>
        <w:numPr>
          <w:ilvl w:val="0"/>
          <w:numId w:val="12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Borrower full name </w:t>
      </w:r>
    </w:p>
    <w:p w:rsidR="0087031A" w:rsidRPr="0087031A" w:rsidRDefault="0087031A" w:rsidP="0087031A">
      <w:pPr>
        <w:numPr>
          <w:ilvl w:val="0"/>
          <w:numId w:val="12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Borrower address </w:t>
      </w:r>
    </w:p>
    <w:p w:rsidR="0087031A" w:rsidRPr="0087031A" w:rsidRDefault="0087031A" w:rsidP="0087031A">
      <w:pPr>
        <w:numPr>
          <w:ilvl w:val="0"/>
          <w:numId w:val="12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Telephone number of the reporting agency </w:t>
      </w:r>
    </w:p>
    <w:p w:rsidR="0087031A" w:rsidRPr="0087031A" w:rsidRDefault="0087031A" w:rsidP="0087031A">
      <w:pPr>
        <w:numPr>
          <w:ilvl w:val="0"/>
          <w:numId w:val="12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names of the repositories the agency used to provide information for the report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Supplement a credit report received from a referral source (e.g., broker or correspondent) for an Automated Underwriting (AU)-approved loan with an in-file credit report when either of these is true:</w:t>
      </w:r>
    </w:p>
    <w:p w:rsidR="0087031A" w:rsidRPr="0087031A" w:rsidRDefault="0087031A" w:rsidP="0087031A">
      <w:pPr>
        <w:numPr>
          <w:ilvl w:val="0"/>
          <w:numId w:val="12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AU approval does not acknowledge the report </w:t>
      </w:r>
    </w:p>
    <w:p w:rsidR="0087031A" w:rsidRPr="0087031A" w:rsidRDefault="0087031A" w:rsidP="0087031A">
      <w:pPr>
        <w:numPr>
          <w:ilvl w:val="0"/>
          <w:numId w:val="12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report does not include a fraud alert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When a traditional credit search reveals that a borrower does not have a traditional credit record with a credit repository, refer to </w:t>
      </w:r>
      <w:hyperlink r:id="rId12" w:anchor="Non-Traditional_Credit_Report" w:history="1">
        <w:r w:rsidRPr="0087031A">
          <w:rPr>
            <w:rFonts w:ascii="Verdana" w:eastAsia="Times New Roman" w:hAnsi="Verdana" w:cs="Times New Roman"/>
            <w:color w:val="006699"/>
            <w:sz w:val="18"/>
            <w:szCs w:val="18"/>
          </w:rPr>
          <w:t>Non-Traditional Credit Reports</w:t>
        </w:r>
      </w:hyperlink>
      <w:r w:rsidRPr="0087031A">
        <w:rPr>
          <w:rFonts w:ascii="Verdana" w:eastAsia="Times New Roman" w:hAnsi="Verdana" w:cs="Times New Roman"/>
          <w:sz w:val="18"/>
          <w:szCs w:val="18"/>
        </w:rPr>
        <w:t xml:space="preserve"> below.</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In-File Credit Reports</w:t>
      </w:r>
    </w:p>
    <w:p w:rsidR="0087031A" w:rsidRPr="0087031A" w:rsidRDefault="009B3752" w:rsidP="0087031A">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7031A" w:rsidRPr="0087031A">
        <w:rPr>
          <w:rFonts w:ascii="Verdana" w:eastAsia="Times New Roman" w:hAnsi="Verdana" w:cs="Times New Roman"/>
          <w:sz w:val="18"/>
          <w:szCs w:val="18"/>
        </w:rPr>
        <w:t xml:space="preserve">accepts in-file credit reports from three major credit-reporting repositories when they can report credit and public record information for each locality in which the borrower has lived during the last two years. </w:t>
      </w:r>
      <w:r>
        <w:rPr>
          <w:rFonts w:ascii="Verdana" w:eastAsia="Times New Roman" w:hAnsi="Verdana" w:cs="Times New Roman"/>
          <w:sz w:val="18"/>
          <w:szCs w:val="18"/>
        </w:rPr>
        <w:t>Lending Book</w:t>
      </w:r>
      <w:r w:rsidR="0087031A" w:rsidRPr="0087031A">
        <w:rPr>
          <w:rFonts w:ascii="Verdana" w:eastAsia="Times New Roman" w:hAnsi="Verdana" w:cs="Times New Roman"/>
          <w:sz w:val="18"/>
          <w:szCs w:val="18"/>
        </w:rPr>
        <w:t xml:space="preserve"> also accepts in-file reports from less than three credit-reporting repositories if that is the extent of the data available for the borrower.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In-file credit reports must identify the repository's source for each specific </w:t>
      </w:r>
      <w:proofErr w:type="spellStart"/>
      <w:r w:rsidRPr="0087031A">
        <w:rPr>
          <w:rFonts w:ascii="Verdana" w:eastAsia="Times New Roman" w:hAnsi="Verdana" w:cs="Times New Roman"/>
          <w:sz w:val="18"/>
          <w:szCs w:val="18"/>
        </w:rPr>
        <w:t>tradeline</w:t>
      </w:r>
      <w:proofErr w:type="spellEnd"/>
      <w:r w:rsidRPr="0087031A">
        <w:rPr>
          <w:rFonts w:ascii="Verdana" w:eastAsia="Times New Roman" w:hAnsi="Verdana" w:cs="Times New Roman"/>
          <w:sz w:val="18"/>
          <w:szCs w:val="18"/>
        </w:rPr>
        <w: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A joint or combined report for a married couple must contain all debts of both parties. Otherwise, obtain separate reports.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lastRenderedPageBreak/>
        <w:t>Merged Credit Reports</w:t>
      </w:r>
    </w:p>
    <w:p w:rsidR="0087031A" w:rsidRPr="0087031A" w:rsidRDefault="009B3752" w:rsidP="0087031A">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Lending </w:t>
      </w:r>
      <w:r w:rsidR="0087031A" w:rsidRPr="0087031A">
        <w:rPr>
          <w:rFonts w:ascii="Verdana" w:eastAsia="Times New Roman" w:hAnsi="Verdana" w:cs="Times New Roman"/>
          <w:sz w:val="18"/>
          <w:szCs w:val="18"/>
        </w:rPr>
        <w:t xml:space="preserve">accepts an automated merged credit report that electronically combines the information from the in-file credit reports from three different repositories into a single report, as long as an independent reporting agency provides the merged report. </w:t>
      </w:r>
      <w:r>
        <w:rPr>
          <w:rFonts w:ascii="Verdana" w:eastAsia="Times New Roman" w:hAnsi="Verdana" w:cs="Times New Roman"/>
          <w:sz w:val="18"/>
          <w:szCs w:val="18"/>
        </w:rPr>
        <w:t xml:space="preserve">Lending </w:t>
      </w:r>
      <w:r w:rsidR="0087031A" w:rsidRPr="0087031A">
        <w:rPr>
          <w:rFonts w:ascii="Verdana" w:eastAsia="Times New Roman" w:hAnsi="Verdana" w:cs="Times New Roman"/>
          <w:sz w:val="18"/>
          <w:szCs w:val="18"/>
        </w:rPr>
        <w:t>only accepts a merged report that combines the in-file credit reports from two different repositories if that is the extent of the data available for the borrower.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An automated merged credit report must clearly reflect all this information:</w:t>
      </w:r>
    </w:p>
    <w:p w:rsidR="0087031A" w:rsidRPr="0087031A" w:rsidRDefault="0087031A" w:rsidP="0087031A">
      <w:pPr>
        <w:numPr>
          <w:ilvl w:val="0"/>
          <w:numId w:val="12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All of the information from the three (or two, if applicable) in-file credit reports, (a two-bureau merged in-file report must reflect that </w:t>
      </w:r>
      <w:r w:rsidR="009B3752">
        <w:rPr>
          <w:rFonts w:ascii="Verdana" w:eastAsia="Times New Roman" w:hAnsi="Verdana" w:cs="Times New Roman"/>
          <w:sz w:val="18"/>
          <w:szCs w:val="18"/>
        </w:rPr>
        <w:t>Lending</w:t>
      </w:r>
      <w:r w:rsidRPr="0087031A">
        <w:rPr>
          <w:rFonts w:ascii="Verdana" w:eastAsia="Times New Roman" w:hAnsi="Verdana" w:cs="Times New Roman"/>
          <w:sz w:val="18"/>
          <w:szCs w:val="18"/>
        </w:rPr>
        <w:t xml:space="preserve"> initially ordered a three bureau in-file report)</w:t>
      </w:r>
    </w:p>
    <w:p w:rsidR="0087031A" w:rsidRPr="0087031A" w:rsidRDefault="0087031A" w:rsidP="0087031A">
      <w:pPr>
        <w:numPr>
          <w:ilvl w:val="0"/>
          <w:numId w:val="12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names of the repositories the agency used to provide  the information for the report</w:t>
      </w:r>
    </w:p>
    <w:p w:rsidR="0087031A" w:rsidRPr="0087031A" w:rsidRDefault="0087031A" w:rsidP="0087031A">
      <w:pPr>
        <w:numPr>
          <w:ilvl w:val="0"/>
          <w:numId w:val="12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All duplicate information (that which is not exactly the same on each report), or the most derogatory of the duplicate information that pertains to payment history and/or current payment status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A joint or combined report for a married couple must contain all debts of both parties. Otherwise, obtain separate reports.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Residential Mortgage Credit Report (RMCR)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consumer-reporting agency prepares a Residential Mortgage Credit Report (RMCR) for an individual borrower or for two borrowers who are married to each other. The agency merges and verifies credit information from a minimum of two major repositories before sending it to the user. The report provides current, verified, detailed information on the borrower's credit, employment, residence, and public record history.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reporting agency verifies and reports all this borrower information:</w:t>
      </w:r>
    </w:p>
    <w:p w:rsidR="0087031A" w:rsidRPr="0087031A" w:rsidRDefault="0087031A" w:rsidP="0087031A">
      <w:pPr>
        <w:numPr>
          <w:ilvl w:val="0"/>
          <w:numId w:val="12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Current employment and income </w:t>
      </w:r>
    </w:p>
    <w:p w:rsidR="0087031A" w:rsidRPr="0087031A" w:rsidRDefault="0087031A" w:rsidP="0087031A">
      <w:pPr>
        <w:numPr>
          <w:ilvl w:val="0"/>
          <w:numId w:val="12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Employment history for a minimum of two previous years </w:t>
      </w:r>
    </w:p>
    <w:p w:rsidR="0087031A" w:rsidRPr="0087031A" w:rsidRDefault="0087031A" w:rsidP="0087031A">
      <w:pPr>
        <w:numPr>
          <w:ilvl w:val="0"/>
          <w:numId w:val="12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Residence history </w:t>
      </w:r>
    </w:p>
    <w:p w:rsidR="0087031A" w:rsidRPr="0087031A" w:rsidRDefault="0087031A" w:rsidP="0087031A">
      <w:pPr>
        <w:numPr>
          <w:ilvl w:val="0"/>
          <w:numId w:val="12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All debts listed on the application (including terms, balances, payment history, and ratings) </w:t>
      </w:r>
    </w:p>
    <w:p w:rsidR="0087031A" w:rsidRPr="0087031A" w:rsidRDefault="0087031A" w:rsidP="0087031A">
      <w:pPr>
        <w:numPr>
          <w:ilvl w:val="0"/>
          <w:numId w:val="12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All available legal information discovered by a search of public records (including lawsuits, judgments, foreclosures, garnishments, bankruptcies, and divorces).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A joint or combined report for a married couple must contain all debts of both parties. Otherwise, obtain separate reports.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bookmarkStart w:id="65" w:name="Non-Traditional_Credit_Report"/>
      <w:bookmarkEnd w:id="65"/>
      <w:r w:rsidRPr="0087031A">
        <w:rPr>
          <w:rFonts w:ascii="Verdana" w:eastAsia="Times New Roman" w:hAnsi="Verdana" w:cs="Times New Roman"/>
          <w:b/>
          <w:bCs/>
          <w:sz w:val="18"/>
          <w:szCs w:val="18"/>
        </w:rPr>
        <w:t>Non-traditional Credit Reports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credit-reporting repositories or credit-reporting agencies are unable to develop an RMCR on a borrower, obtain a non-traditional mortgage credit report when product and program guidelines permit.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 xml:space="preserve">See </w:t>
      </w:r>
      <w:hyperlink r:id="rId13" w:history="1">
        <w:r w:rsidRPr="0087031A">
          <w:rPr>
            <w:rFonts w:ascii="Verdana" w:eastAsia="Times New Roman" w:hAnsi="Verdana" w:cs="Times New Roman"/>
            <w:color w:val="006699"/>
            <w:sz w:val="18"/>
            <w:szCs w:val="18"/>
          </w:rPr>
          <w:t>Limited Credit</w:t>
        </w:r>
      </w:hyperlink>
      <w:r w:rsidRPr="0087031A">
        <w:rPr>
          <w:rFonts w:ascii="Verdana" w:eastAsia="Times New Roman" w:hAnsi="Verdana" w:cs="Times New Roman"/>
          <w:sz w:val="18"/>
          <w:szCs w:val="18"/>
        </w:rPr>
        <w:t xml:space="preserve"> for detailed information on non-traditional credit reports.</w:t>
      </w:r>
      <w:proofErr w:type="gramEnd"/>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Bureau Report Requirements for Community Property States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 community property states, when a married individual applies for credit using sole and separate property, this complicates the credit history review.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Except when state law permits, do not run credit on the non-applicant spouse. Exclude the sole and separate income, assets, liabilities, and debts of the non-applicant spouse from consideration when qualifying the applicant spouse.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further clarification on community property issues, contact Legal and Compliance, or Operations Management</w:t>
      </w:r>
    </w:p>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lastRenderedPageBreak/>
        <w:t>Credit Bureau Risk Scores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Credit risk scores provide </w:t>
      </w:r>
      <w:r w:rsidR="009B3752">
        <w:rPr>
          <w:rFonts w:ascii="Verdana" w:eastAsia="Times New Roman" w:hAnsi="Verdana" w:cs="Times New Roman"/>
          <w:sz w:val="18"/>
          <w:szCs w:val="18"/>
        </w:rPr>
        <w:t xml:space="preserve">Lending </w:t>
      </w:r>
      <w:r w:rsidRPr="0087031A">
        <w:rPr>
          <w:rFonts w:ascii="Verdana" w:eastAsia="Times New Roman" w:hAnsi="Verdana" w:cs="Times New Roman"/>
          <w:sz w:val="18"/>
          <w:szCs w:val="18"/>
        </w:rPr>
        <w:t>with the relative probability of borrower default on a loan request. The mortgage industry uses the industry-standard credit risk scores (aka FICO scores) developed by the Fair Isaac Corporation (FICO), which have proven statistically to be valuable tools in predicting relative loan performance over time.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credit risk scores used by the three major credit-reporting repositories (Equifax, </w:t>
      </w:r>
      <w:proofErr w:type="spellStart"/>
      <w:r w:rsidRPr="0087031A">
        <w:rPr>
          <w:rFonts w:ascii="Verdana" w:eastAsia="Times New Roman" w:hAnsi="Verdana" w:cs="Times New Roman"/>
          <w:sz w:val="18"/>
          <w:szCs w:val="18"/>
        </w:rPr>
        <w:t>TransUnion</w:t>
      </w:r>
      <w:proofErr w:type="spellEnd"/>
      <w:r w:rsidRPr="0087031A">
        <w:rPr>
          <w:rFonts w:ascii="Verdana" w:eastAsia="Times New Roman" w:hAnsi="Verdana" w:cs="Times New Roman"/>
          <w:sz w:val="18"/>
          <w:szCs w:val="18"/>
        </w:rPr>
        <w:t>, and Experian) produce a numeric value that represents the relative odds that an extended loan will go into default. The higher the credit risk score, the less likely it is that the borrower will default.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three major credit-reporting repositories work with FICO to develop a FICO score specific to the repository. Because of variances in how and when the credit-reporting repositories receive creditor information, and differences in creditors that report to the repositories (i.e., not all creditors report to all three bureaus), the repositories and FICO build, monitor, maintain, and update specific credit risk scorecards.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are the repositories and the associated credit risk score trade names: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421"/>
        <w:gridCol w:w="2657"/>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Repository</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Risk Score Trade Name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Equifax</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Beacon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spellStart"/>
            <w:r w:rsidRPr="0087031A">
              <w:rPr>
                <w:rFonts w:ascii="Verdana" w:eastAsia="Times New Roman" w:hAnsi="Verdana" w:cs="Times New Roman"/>
                <w:sz w:val="18"/>
                <w:szCs w:val="18"/>
              </w:rPr>
              <w:t>TransUnion</w:t>
            </w:r>
            <w:proofErr w:type="spellEnd"/>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Classic 04</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Experian</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FICO</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Obtaining a Credit Risk Score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obtaining a credit risk score:</w:t>
      </w:r>
    </w:p>
    <w:p w:rsidR="0087031A" w:rsidRPr="0087031A" w:rsidRDefault="0087031A" w:rsidP="0087031A">
      <w:pPr>
        <w:numPr>
          <w:ilvl w:val="0"/>
          <w:numId w:val="12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Request a score for each borrower, regardless of the borrower's employment status.</w:t>
      </w:r>
    </w:p>
    <w:p w:rsidR="0087031A" w:rsidRPr="0087031A" w:rsidRDefault="0087031A" w:rsidP="0087031A">
      <w:pPr>
        <w:numPr>
          <w:ilvl w:val="0"/>
          <w:numId w:val="12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Obtain a score from each repository used in the compilation of the credit report data, regardless of the type of credit report obtained.</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report documentation requirement may vary based on the loan product, documentation program, and LTV.</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Risk Score Selection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After ordering and receiving a credit report, select a single "representative" credit risk score from the scores on the report (or reports, if more than one) as follows: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592"/>
        <w:gridCol w:w="5962"/>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 use...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report contains three (3) credit risk scores,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the</w:t>
            </w:r>
            <w:proofErr w:type="gramEnd"/>
            <w:r w:rsidRPr="0087031A">
              <w:rPr>
                <w:rFonts w:ascii="Verdana" w:eastAsia="Times New Roman" w:hAnsi="Verdana" w:cs="Times New Roman"/>
                <w:sz w:val="18"/>
                <w:szCs w:val="18"/>
              </w:rPr>
              <w:t xml:space="preserve"> middle score for each borrower.</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report contains two (2) credit risk scores,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the</w:t>
            </w:r>
            <w:proofErr w:type="gramEnd"/>
            <w:r w:rsidRPr="0087031A">
              <w:rPr>
                <w:rFonts w:ascii="Verdana" w:eastAsia="Times New Roman" w:hAnsi="Verdana" w:cs="Times New Roman"/>
                <w:sz w:val="18"/>
                <w:szCs w:val="18"/>
              </w:rPr>
              <w:t xml:space="preserve"> lowest score for each borrower.</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report contains one (1) credit risk score,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that</w:t>
            </w:r>
            <w:proofErr w:type="gramEnd"/>
            <w:r w:rsidRPr="0087031A">
              <w:rPr>
                <w:rFonts w:ascii="Verdana" w:eastAsia="Times New Roman" w:hAnsi="Verdana" w:cs="Times New Roman"/>
                <w:sz w:val="18"/>
                <w:szCs w:val="18"/>
              </w:rPr>
              <w:t xml:space="preserve"> score.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multiple borrowers are applying,</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the</w:t>
            </w:r>
            <w:proofErr w:type="gramEnd"/>
            <w:r w:rsidRPr="0087031A">
              <w:rPr>
                <w:rFonts w:ascii="Verdana" w:eastAsia="Times New Roman" w:hAnsi="Verdana" w:cs="Times New Roman"/>
                <w:sz w:val="18"/>
                <w:szCs w:val="18"/>
              </w:rPr>
              <w:t xml:space="preserve"> lowest score after determining the scores for all borrowers based on the above.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single repository reports more than one (1) credit risk score,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the</w:t>
            </w:r>
            <w:proofErr w:type="gramEnd"/>
            <w:r w:rsidRPr="0087031A">
              <w:rPr>
                <w:rFonts w:ascii="Verdana" w:eastAsia="Times New Roman" w:hAnsi="Verdana" w:cs="Times New Roman"/>
                <w:sz w:val="18"/>
                <w:szCs w:val="18"/>
              </w:rPr>
              <w:t xml:space="preserve"> first score listed of the multiple scores as "the score" for </w:t>
            </w:r>
            <w:r w:rsidRPr="0087031A">
              <w:rPr>
                <w:rFonts w:ascii="Verdana" w:eastAsia="Times New Roman" w:hAnsi="Verdana" w:cs="Times New Roman"/>
                <w:b/>
                <w:bCs/>
                <w:sz w:val="18"/>
                <w:szCs w:val="18"/>
              </w:rPr>
              <w:t>that repository only</w:t>
            </w:r>
            <w:r w:rsidRPr="0087031A">
              <w:rPr>
                <w:rFonts w:ascii="Verdana" w:eastAsia="Times New Roman" w:hAnsi="Verdana" w:cs="Times New Roman"/>
                <w:sz w:val="18"/>
                <w:szCs w:val="18"/>
              </w:rPr>
              <w:t>.</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This is the score to use when determining the loan product and program parameters.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Score Reason Codes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Each repository produces a credit risk score, as well as the score reason codes that reduced the score from a theoretical "perfect" score.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reason codes differ from one repository to another because of variations in the data the repository reports and uses to generate the credit risk score. Underwriting must use the score reason codes associated with the chosen representative credit score.</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Adverse Action and Credit Risk Scores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an individual product or program requires a minimum credit risk score and results in an adverse determination because the score is less than that minimum, the adverse action reasons correspond to the score factors contributing to the low score.</w:t>
      </w:r>
    </w:p>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Credit Requirements and Analysis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Reported credit bureau information is the primary measurement of the borrower's credit history;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must analyze it carefully to determine if the borrower demonstrates reliability and responsibility in the repayment of obligations.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Follow all Automated Underwriting (AU) guidance and messaging.</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Although AU decisions provide guidance and messaging, this topic provides further instructions on how to analyze a credit report for all loan requests. If a manual underwrite is necessary, follow the additional guidance in this topic.</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History Basic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To qualify for any loan with </w:t>
      </w:r>
      <w:r w:rsidR="009B3752">
        <w:rPr>
          <w:rFonts w:ascii="Verdana" w:eastAsia="Times New Roman" w:hAnsi="Verdana" w:cs="Times New Roman"/>
          <w:sz w:val="18"/>
          <w:szCs w:val="18"/>
        </w:rPr>
        <w:t>Underwriting Institute</w:t>
      </w:r>
      <w:r w:rsidRPr="0087031A">
        <w:rPr>
          <w:rFonts w:ascii="Verdana" w:eastAsia="Times New Roman" w:hAnsi="Verdana" w:cs="Times New Roman"/>
          <w:sz w:val="18"/>
          <w:szCs w:val="18"/>
        </w:rPr>
        <w:t xml:space="preserve">, the borrower must have a satisfactory repayment history.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does not consider this a compensating factor that offsets weaknesses in other areas of the borrower's credit profile.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borrower's credit history generally should reflect the following:</w:t>
      </w:r>
    </w:p>
    <w:p w:rsidR="0087031A" w:rsidRPr="0087031A" w:rsidRDefault="0087031A" w:rsidP="0087031A">
      <w:pPr>
        <w:numPr>
          <w:ilvl w:val="0"/>
          <w:numId w:val="13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history of bankruptcy </w:t>
      </w:r>
    </w:p>
    <w:p w:rsidR="0087031A" w:rsidRPr="0087031A" w:rsidRDefault="0087031A" w:rsidP="0087031A">
      <w:pPr>
        <w:numPr>
          <w:ilvl w:val="0"/>
          <w:numId w:val="13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history of foreclosure </w:t>
      </w:r>
    </w:p>
    <w:p w:rsidR="0087031A" w:rsidRPr="0087031A" w:rsidRDefault="0087031A" w:rsidP="0087031A">
      <w:pPr>
        <w:numPr>
          <w:ilvl w:val="0"/>
          <w:numId w:val="13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history of meeting payments according to the terms and conditions of the credit obligation </w:t>
      </w:r>
    </w:p>
    <w:p w:rsidR="0087031A" w:rsidRPr="0087031A" w:rsidRDefault="0087031A" w:rsidP="0087031A">
      <w:pPr>
        <w:numPr>
          <w:ilvl w:val="0"/>
          <w:numId w:val="13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sufficient history to establish a favorable repayment pattern </w:t>
      </w:r>
    </w:p>
    <w:p w:rsidR="0087031A" w:rsidRPr="0087031A" w:rsidRDefault="0087031A" w:rsidP="0087031A">
      <w:pPr>
        <w:numPr>
          <w:ilvl w:val="0"/>
          <w:numId w:val="13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Minimum </w:t>
      </w:r>
      <w:proofErr w:type="spellStart"/>
      <w:r w:rsidRPr="0087031A">
        <w:rPr>
          <w:rFonts w:ascii="Verdana" w:eastAsia="Times New Roman" w:hAnsi="Verdana" w:cs="Times New Roman"/>
          <w:sz w:val="18"/>
          <w:szCs w:val="18"/>
        </w:rPr>
        <w:t>tradeline</w:t>
      </w:r>
      <w:proofErr w:type="spellEnd"/>
      <w:r w:rsidRPr="0087031A">
        <w:rPr>
          <w:rFonts w:ascii="Verdana" w:eastAsia="Times New Roman" w:hAnsi="Verdana" w:cs="Times New Roman"/>
          <w:sz w:val="18"/>
          <w:szCs w:val="18"/>
        </w:rPr>
        <w:t xml:space="preserve"> requirements, as outlined below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6" w:name="Minimum_Tradeline_Requirements"/>
      <w:bookmarkEnd w:id="66"/>
      <w:r w:rsidRPr="0087031A">
        <w:rPr>
          <w:rFonts w:ascii="Verdana" w:eastAsia="Times New Roman" w:hAnsi="Verdana" w:cs="Times New Roman"/>
          <w:b/>
          <w:bCs/>
          <w:sz w:val="21"/>
          <w:szCs w:val="21"/>
        </w:rPr>
        <w:t xml:space="preserve">Minimum </w:t>
      </w:r>
      <w:proofErr w:type="spellStart"/>
      <w:r w:rsidRPr="0087031A">
        <w:rPr>
          <w:rFonts w:ascii="Verdana" w:eastAsia="Times New Roman" w:hAnsi="Verdana" w:cs="Times New Roman"/>
          <w:b/>
          <w:bCs/>
          <w:sz w:val="21"/>
          <w:szCs w:val="21"/>
        </w:rPr>
        <w:t>Tradeline</w:t>
      </w:r>
      <w:proofErr w:type="spellEnd"/>
      <w:r w:rsidRPr="0087031A">
        <w:rPr>
          <w:rFonts w:ascii="Verdana" w:eastAsia="Times New Roman" w:hAnsi="Verdana" w:cs="Times New Roman"/>
          <w:b/>
          <w:bCs/>
          <w:sz w:val="21"/>
          <w:szCs w:val="21"/>
        </w:rPr>
        <w:t xml:space="preserve">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meet these minimum </w:t>
      </w:r>
      <w:proofErr w:type="spellStart"/>
      <w:r w:rsidRPr="0087031A">
        <w:rPr>
          <w:rFonts w:ascii="Verdana" w:eastAsia="Times New Roman" w:hAnsi="Verdana" w:cs="Times New Roman"/>
          <w:sz w:val="18"/>
          <w:szCs w:val="18"/>
        </w:rPr>
        <w:t>tradeline</w:t>
      </w:r>
      <w:proofErr w:type="spellEnd"/>
      <w:r w:rsidRPr="0087031A">
        <w:rPr>
          <w:rFonts w:ascii="Verdana" w:eastAsia="Times New Roman" w:hAnsi="Verdana" w:cs="Times New Roman"/>
          <w:sz w:val="18"/>
          <w:szCs w:val="18"/>
        </w:rPr>
        <w:t xml:space="preserve"> requirements for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to consider their loan request:</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981"/>
        <w:gridCol w:w="5709"/>
        <w:gridCol w:w="3864"/>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File Type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Requirements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Additional Information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Thick file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file must have both of these for each borrower:</w:t>
            </w:r>
          </w:p>
          <w:p w:rsidR="0087031A" w:rsidRPr="0087031A" w:rsidRDefault="0087031A" w:rsidP="0087031A">
            <w:pPr>
              <w:numPr>
                <w:ilvl w:val="0"/>
                <w:numId w:val="13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Minimum of three active </w:t>
            </w:r>
            <w:proofErr w:type="spellStart"/>
            <w:r w:rsidRPr="0087031A">
              <w:rPr>
                <w:rFonts w:ascii="Verdana" w:eastAsia="Times New Roman" w:hAnsi="Verdana" w:cs="Times New Roman"/>
                <w:sz w:val="18"/>
                <w:szCs w:val="18"/>
              </w:rPr>
              <w:t>tradelines</w:t>
            </w:r>
            <w:proofErr w:type="spellEnd"/>
            <w:r w:rsidRPr="0087031A">
              <w:rPr>
                <w:rFonts w:ascii="Verdana" w:eastAsia="Times New Roman" w:hAnsi="Verdana" w:cs="Times New Roman"/>
                <w:sz w:val="18"/>
                <w:szCs w:val="18"/>
              </w:rPr>
              <w:t xml:space="preserve"> with 12 months of satisfactory history on each</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w:t>
            </w:r>
          </w:p>
          <w:p w:rsidR="0087031A" w:rsidRPr="0087031A" w:rsidRDefault="0087031A" w:rsidP="0087031A">
            <w:pPr>
              <w:numPr>
                <w:ilvl w:val="0"/>
                <w:numId w:val="13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Minimum Credit history of 24 months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Files not meeting these requirements are "Thin files."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Thin </w:t>
            </w:r>
            <w:r w:rsidRPr="0087031A">
              <w:rPr>
                <w:rFonts w:ascii="Verdana" w:eastAsia="Times New Roman" w:hAnsi="Verdana" w:cs="Times New Roman"/>
                <w:sz w:val="18"/>
                <w:szCs w:val="18"/>
              </w:rPr>
              <w:lastRenderedPageBreak/>
              <w:t>file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The loan transaction must have, at a minimum, all of </w:t>
            </w:r>
            <w:r w:rsidRPr="0087031A">
              <w:rPr>
                <w:rFonts w:ascii="Verdana" w:eastAsia="Times New Roman" w:hAnsi="Verdana" w:cs="Times New Roman"/>
                <w:sz w:val="18"/>
                <w:szCs w:val="18"/>
              </w:rPr>
              <w:lastRenderedPageBreak/>
              <w:t>these:</w:t>
            </w:r>
          </w:p>
          <w:p w:rsidR="0087031A" w:rsidRPr="0087031A" w:rsidRDefault="0087031A" w:rsidP="0087031A">
            <w:pPr>
              <w:numPr>
                <w:ilvl w:val="0"/>
                <w:numId w:val="13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Compensating factors </w:t>
            </w:r>
          </w:p>
          <w:p w:rsidR="0087031A" w:rsidRPr="0087031A" w:rsidRDefault="0087031A" w:rsidP="0087031A">
            <w:pPr>
              <w:numPr>
                <w:ilvl w:val="0"/>
                <w:numId w:val="13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Four supplemental non-traditional credit references with 12 months of satisfactory history for each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 addition, a supervisor or manager must review, document, and approve the file.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See </w:t>
            </w:r>
            <w:r w:rsidRPr="0087031A">
              <w:rPr>
                <w:rFonts w:ascii="Verdana" w:eastAsia="Times New Roman" w:hAnsi="Verdana" w:cs="Times New Roman"/>
                <w:color w:val="006699"/>
                <w:sz w:val="18"/>
                <w:szCs w:val="18"/>
              </w:rPr>
              <w:t xml:space="preserve">Limited Credit/Non-Traditional </w:t>
            </w:r>
            <w:r w:rsidRPr="0087031A">
              <w:rPr>
                <w:rFonts w:ascii="Verdana" w:eastAsia="Times New Roman" w:hAnsi="Verdana" w:cs="Times New Roman"/>
                <w:color w:val="006699"/>
                <w:sz w:val="18"/>
                <w:szCs w:val="18"/>
              </w:rPr>
              <w:lastRenderedPageBreak/>
              <w:t>Credit Requirements</w:t>
            </w:r>
            <w:r w:rsidRPr="0087031A">
              <w:rPr>
                <w:rFonts w:ascii="Verdana" w:eastAsia="Times New Roman" w:hAnsi="Verdana" w:cs="Times New Roman"/>
                <w:sz w:val="18"/>
                <w:szCs w:val="18"/>
              </w:rPr>
              <w:t xml:space="preserve"> for more information.</w:t>
            </w:r>
          </w:p>
        </w:tc>
      </w:tr>
    </w:tbl>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lastRenderedPageBreak/>
        <w:t>1</w:t>
      </w:r>
      <w:r w:rsidRPr="0087031A">
        <w:rPr>
          <w:rFonts w:ascii="Verdana" w:eastAsia="Times New Roman" w:hAnsi="Verdana" w:cs="Times New Roman"/>
          <w:sz w:val="17"/>
          <w:szCs w:val="17"/>
        </w:rPr>
        <w:t xml:space="preserve"> </w:t>
      </w:r>
      <w:r w:rsidR="009B3752">
        <w:rPr>
          <w:rFonts w:ascii="Verdana" w:eastAsia="Times New Roman" w:hAnsi="Verdana" w:cs="Times New Roman"/>
          <w:sz w:val="17"/>
          <w:szCs w:val="17"/>
        </w:rPr>
        <w:t>Lending Book</w:t>
      </w:r>
      <w:r w:rsidRPr="0087031A">
        <w:rPr>
          <w:rFonts w:ascii="Verdana" w:eastAsia="Times New Roman" w:hAnsi="Verdana" w:cs="Times New Roman"/>
          <w:sz w:val="17"/>
          <w:szCs w:val="17"/>
        </w:rPr>
        <w:t xml:space="preserve"> defines active as the last activity date less than or equal to 12 months from the current date.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Specific mortgage products, programs, or processing methods may require the use of specific credit history requirements.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Bureau Analysis for All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 all loans,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requires review of the following aspects of the credit bureau report in addition to following any AU system messaging:</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926"/>
        <w:gridCol w:w="7628"/>
      </w:tblGrid>
      <w:tr w:rsidR="0087031A" w:rsidRPr="0087031A" w:rsidTr="0087031A">
        <w:trPr>
          <w:tblCellSpacing w:w="0" w:type="dxa"/>
        </w:trPr>
        <w:tc>
          <w:tcPr>
            <w:tcW w:w="1386" w:type="pct"/>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Item</w:t>
            </w:r>
          </w:p>
        </w:tc>
        <w:tc>
          <w:tcPr>
            <w:tcW w:w="3613" w:type="pct"/>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Requirement</w:t>
            </w: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Bankruptcy or Foreclosure</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Employees must determine whether the credit bureau report, application, or other documentation in the file discloses or reports bankruptcy or foreclosure. See </w:t>
            </w:r>
            <w:r w:rsidRPr="0087031A">
              <w:rPr>
                <w:rFonts w:ascii="Verdana" w:eastAsia="Times New Roman" w:hAnsi="Verdana" w:cs="Times New Roman"/>
                <w:color w:val="006699"/>
                <w:sz w:val="18"/>
                <w:szCs w:val="18"/>
              </w:rPr>
              <w:t>Derogatory Credit</w:t>
            </w:r>
            <w:r w:rsidRPr="0087031A">
              <w:rPr>
                <w:rFonts w:ascii="Verdana" w:eastAsia="Times New Roman" w:hAnsi="Verdana" w:cs="Times New Roman"/>
                <w:sz w:val="18"/>
                <w:szCs w:val="18"/>
              </w:rPr>
              <w:t xml:space="preserve"> for additional guidance.</w:t>
            </w: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Credit Risk Score</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selected credit risk score must be accurate. See </w:t>
            </w:r>
            <w:r w:rsidRPr="0087031A">
              <w:rPr>
                <w:rFonts w:ascii="Verdana" w:eastAsia="Times New Roman" w:hAnsi="Verdana" w:cs="Times New Roman"/>
                <w:color w:val="006699"/>
                <w:sz w:val="18"/>
                <w:szCs w:val="18"/>
              </w:rPr>
              <w:t>Credit Bureau Risk Scores</w:t>
            </w:r>
            <w:r w:rsidRPr="0087031A">
              <w:rPr>
                <w:rFonts w:ascii="Verdana" w:eastAsia="Times New Roman" w:hAnsi="Verdana" w:cs="Times New Roman"/>
                <w:sz w:val="18"/>
                <w:szCs w:val="18"/>
              </w:rPr>
              <w:t xml:space="preserve"> for additional guidance.</w:t>
            </w: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Fraud Alert</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bureau report must contain evidence that the AUS has run one of the fraud alert programs.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An in-file credit report must supplement a credit report received from a referral source (e.g., broker or correspondent) when the loan was underwritten manually and the credit report does not include a Fraud Alert.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Identity Theft Red Flags</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To combat fraud and identity theft, employees must recognize potential red flags during review of the credit bureau report and know what to do when a potential red flag exists.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Red flags include, but are not limited to:</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Fraud or active duty alert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Credit freeze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Report of address discrepancy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Recent and significant increase in the volume of inquiries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Unusual number of recently established credit relationships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Material change in the use of credit, especially with respect to recently established credit relationships </w:t>
            </w:r>
          </w:p>
          <w:p w:rsidR="0087031A" w:rsidRPr="0087031A" w:rsidRDefault="0087031A" w:rsidP="0087031A">
            <w:pPr>
              <w:numPr>
                <w:ilvl w:val="0"/>
                <w:numId w:val="13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Account a financial institution or creditor closed for cause or identified for abuse of account privileges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Due to rising occurrences of identity theft and fraud,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does not allow waivers of loan conditions related to identification documentation.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Inquiries</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Employees must determine if numerous inquiries reported on the credit bureau report require an explanation from the borrower and/or an investigation to </w:t>
            </w:r>
            <w:r w:rsidRPr="0087031A">
              <w:rPr>
                <w:rFonts w:ascii="Verdana" w:eastAsia="Times New Roman" w:hAnsi="Verdana" w:cs="Times New Roman"/>
                <w:sz w:val="18"/>
                <w:szCs w:val="18"/>
              </w:rPr>
              <w:lastRenderedPageBreak/>
              <w:t>discover if any new credit obligations resulted from the inquiries.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provide a letter of explanation for inquiries less than 120 days old when credit report or mortgage application does not reflect a corresponding </w:t>
            </w:r>
            <w:proofErr w:type="spellStart"/>
            <w:r w:rsidRPr="0087031A">
              <w:rPr>
                <w:rFonts w:ascii="Verdana" w:eastAsia="Times New Roman" w:hAnsi="Verdana" w:cs="Times New Roman"/>
                <w:sz w:val="18"/>
                <w:szCs w:val="18"/>
              </w:rPr>
              <w:t>tradeline</w:t>
            </w:r>
            <w:proofErr w:type="spellEnd"/>
            <w:r w:rsidRPr="0087031A">
              <w:rPr>
                <w:rFonts w:ascii="Verdana" w:eastAsia="Times New Roman" w:hAnsi="Verdana" w:cs="Times New Roman"/>
                <w:sz w:val="18"/>
                <w:szCs w:val="18"/>
              </w:rPr>
              <w: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Inquiries with a corresponding trade line on the credit report or mortgage application do not require a letter of explanation.</w:t>
            </w:r>
          </w:p>
          <w:p w:rsidR="0087031A" w:rsidRPr="0087031A" w:rsidRDefault="0087031A" w:rsidP="00267184">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credit resulted from the inquiry, verify it and include the obligation in the qualifying debt ratio calculation.</w:t>
            </w:r>
            <w:r w:rsidR="00267184">
              <w:rPr>
                <w:rFonts w:ascii="Verdana" w:eastAsia="Times New Roman" w:hAnsi="Verdana" w:cs="Times New Roman"/>
                <w:sz w:val="18"/>
                <w:szCs w:val="18"/>
              </w:rPr>
              <w:t xml:space="preserve">  </w:t>
            </w: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Undisclosed Debt</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 must explain any debts that they did not disclose on the application. Underwriting must report the debts on the approval document. Undisclosed debt may cause the debt ratio to exceed guidelines and could result in loan denial.</w:t>
            </w:r>
          </w:p>
        </w:tc>
      </w:tr>
      <w:tr w:rsidR="0087031A" w:rsidRPr="0087031A" w:rsidTr="0087031A">
        <w:trPr>
          <w:tblCellSpacing w:w="0" w:type="dxa"/>
        </w:trPr>
        <w:tc>
          <w:tcPr>
            <w:tcW w:w="1386"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Unstated Derogatory/Delinquent Credit Bureau Amounts</w:t>
            </w:r>
          </w:p>
        </w:tc>
        <w:tc>
          <w:tcPr>
            <w:tcW w:w="3613"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credit bureau report does not state a balance for charge-offs, judgments, or collection accounts, obtain and document the balance.</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7" w:name="Credit_Bureau_Analysis"/>
      <w:bookmarkEnd w:id="67"/>
      <w:r w:rsidRPr="0087031A">
        <w:rPr>
          <w:rFonts w:ascii="Verdana" w:eastAsia="Times New Roman" w:hAnsi="Verdana" w:cs="Times New Roman"/>
          <w:b/>
          <w:bCs/>
          <w:sz w:val="21"/>
          <w:szCs w:val="21"/>
        </w:rPr>
        <w:t>Credit Bureau Analysis for Manually Underwritten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are some situations that may require manual underwriting:</w:t>
      </w:r>
    </w:p>
    <w:p w:rsidR="0087031A" w:rsidRPr="0087031A" w:rsidRDefault="0087031A" w:rsidP="0087031A">
      <w:pPr>
        <w:numPr>
          <w:ilvl w:val="0"/>
          <w:numId w:val="13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Specific loan products or programs </w:t>
      </w:r>
    </w:p>
    <w:p w:rsidR="0087031A" w:rsidRPr="0087031A" w:rsidRDefault="0087031A" w:rsidP="0087031A">
      <w:pPr>
        <w:numPr>
          <w:ilvl w:val="0"/>
          <w:numId w:val="13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credit scores / Out of Scope loans (not due to derogatory credit) </w:t>
      </w:r>
    </w:p>
    <w:p w:rsidR="0087031A" w:rsidRPr="0087031A" w:rsidRDefault="0087031A" w:rsidP="0087031A">
      <w:pPr>
        <w:numPr>
          <w:ilvl w:val="0"/>
          <w:numId w:val="13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Serious derogatory credit events </w:t>
      </w:r>
    </w:p>
    <w:p w:rsidR="0087031A" w:rsidRPr="0087031A" w:rsidRDefault="0087031A" w:rsidP="0087031A">
      <w:pPr>
        <w:numPr>
          <w:ilvl w:val="0"/>
          <w:numId w:val="13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Errors on credit report (aka disputed derogatory credit) </w:t>
      </w:r>
    </w:p>
    <w:p w:rsidR="0087031A" w:rsidRPr="0087031A" w:rsidRDefault="0087031A" w:rsidP="0087031A">
      <w:pPr>
        <w:numPr>
          <w:ilvl w:val="0"/>
          <w:numId w:val="13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Thin Files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manually underwritten loans, the reviewer must analyze the credit bureau report for the following information in addition to following any AU messaging:</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911"/>
        <w:gridCol w:w="7643"/>
      </w:tblGrid>
      <w:tr w:rsidR="0087031A" w:rsidRPr="0087031A" w:rsidTr="0087031A">
        <w:trPr>
          <w:tblCellSpacing w:w="0" w:type="dxa"/>
        </w:trPr>
        <w:tc>
          <w:tcPr>
            <w:tcW w:w="1379" w:type="pct"/>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Item</w:t>
            </w:r>
          </w:p>
        </w:tc>
        <w:tc>
          <w:tcPr>
            <w:tcW w:w="3620" w:type="pct"/>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Requirement</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Adverse Trends</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Require and review a letter of explanation from the borrower to support the reasons behind any adverse trends. Consider and weigh the reasons provided by the borrower. Document any offsetting compensating factors to negative trends including, but not limited to:</w:t>
            </w:r>
          </w:p>
          <w:p w:rsidR="0087031A" w:rsidRPr="0087031A" w:rsidRDefault="0087031A" w:rsidP="0087031A">
            <w:pPr>
              <w:numPr>
                <w:ilvl w:val="0"/>
                <w:numId w:val="13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Delinquency </w:t>
            </w:r>
          </w:p>
          <w:p w:rsidR="0087031A" w:rsidRPr="0087031A" w:rsidRDefault="0087031A" w:rsidP="0087031A">
            <w:pPr>
              <w:numPr>
                <w:ilvl w:val="0"/>
                <w:numId w:val="13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Significant new liabilities </w:t>
            </w:r>
          </w:p>
          <w:p w:rsidR="0087031A" w:rsidRPr="0087031A" w:rsidRDefault="0087031A" w:rsidP="0087031A">
            <w:pPr>
              <w:numPr>
                <w:ilvl w:val="0"/>
                <w:numId w:val="13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Judgments </w:t>
            </w:r>
          </w:p>
          <w:p w:rsidR="0087031A" w:rsidRPr="0087031A" w:rsidRDefault="0087031A" w:rsidP="0087031A">
            <w:pPr>
              <w:numPr>
                <w:ilvl w:val="0"/>
                <w:numId w:val="13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Collections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r w:rsidRPr="0087031A">
              <w:rPr>
                <w:rFonts w:ascii="Verdana" w:eastAsia="Times New Roman" w:hAnsi="Verdana" w:cs="Times New Roman"/>
                <w:color w:val="006699"/>
                <w:sz w:val="18"/>
                <w:szCs w:val="18"/>
              </w:rPr>
              <w:t>Derogatory Credit</w:t>
            </w:r>
            <w:r w:rsidRPr="0087031A">
              <w:rPr>
                <w:rFonts w:ascii="Verdana" w:eastAsia="Times New Roman" w:hAnsi="Verdana" w:cs="Times New Roman"/>
                <w:sz w:val="18"/>
                <w:szCs w:val="18"/>
              </w:rPr>
              <w:t xml:space="preserve"> for additional guidance.</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Borrower Profile</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To identify potential risk, carefully analyze the full borrower profile including, but not limited to:</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type (installment or revolving) and amount of outstanding credit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Age of accounts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Balance to account limit ratios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Recent changes in the number of open accounts or overall amount of credit outstanding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Recent inquires shown on credit report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Payment history of all accounts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Credit Risk Score Reason Factors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Transaction characteristics </w:t>
            </w:r>
          </w:p>
          <w:p w:rsidR="0087031A" w:rsidRPr="0087031A" w:rsidRDefault="0087031A" w:rsidP="0087031A">
            <w:pPr>
              <w:numPr>
                <w:ilvl w:val="0"/>
                <w:numId w:val="13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Collateral aspects </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Payment History</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Determine the borrower's willingness to repay. Review of payment history as well as other items on the credit bureau report for indications of the borrower's willingness to repay (collection accounts, charge-offs, judgments, liens, tax liens, bankruptcy, foreclosure, forgiveness of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If the Borrower's credit history includes </w:t>
            </w:r>
            <w:proofErr w:type="gramStart"/>
            <w:r w:rsidRPr="0087031A">
              <w:rPr>
                <w:rFonts w:ascii="Verdana" w:eastAsia="Times New Roman" w:hAnsi="Verdana" w:cs="Times New Roman"/>
                <w:sz w:val="18"/>
                <w:szCs w:val="18"/>
              </w:rPr>
              <w:t xml:space="preserve">both </w:t>
            </w:r>
            <w:proofErr w:type="spellStart"/>
            <w:r w:rsidRPr="0087031A">
              <w:rPr>
                <w:rFonts w:ascii="Verdana" w:eastAsia="Times New Roman" w:hAnsi="Verdana" w:cs="Times New Roman"/>
                <w:sz w:val="18"/>
                <w:szCs w:val="18"/>
              </w:rPr>
              <w:t>tradelines</w:t>
            </w:r>
            <w:proofErr w:type="spellEnd"/>
            <w:proofErr w:type="gramEnd"/>
            <w:r w:rsidRPr="0087031A">
              <w:rPr>
                <w:rFonts w:ascii="Verdana" w:eastAsia="Times New Roman" w:hAnsi="Verdana" w:cs="Times New Roman"/>
                <w:sz w:val="18"/>
                <w:szCs w:val="18"/>
              </w:rPr>
              <w:t xml:space="preserve"> and noncredit payment references, place more weight on the </w:t>
            </w:r>
            <w:proofErr w:type="spellStart"/>
            <w:r w:rsidRPr="0087031A">
              <w:rPr>
                <w:rFonts w:ascii="Verdana" w:eastAsia="Times New Roman" w:hAnsi="Verdana" w:cs="Times New Roman"/>
                <w:sz w:val="18"/>
                <w:szCs w:val="18"/>
              </w:rPr>
              <w:t>tradelines</w:t>
            </w:r>
            <w:proofErr w:type="spellEnd"/>
            <w:r w:rsidRPr="0087031A">
              <w:rPr>
                <w:rFonts w:ascii="Verdana" w:eastAsia="Times New Roman" w:hAnsi="Verdana" w:cs="Times New Roman"/>
                <w:sz w:val="18"/>
                <w:szCs w:val="18"/>
              </w:rPr>
              <w:t>. In addition, do not use noncredit payment references to offset derogatory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borrower's credit history includes housing obligations, place more weight on how the borrower made housing payments as opposed to non-housing payments, but do not ignore any derogatory information in the credit history.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Weigh any derogatory information against the rest of the credit history to decide whether it is significant. In making the determination, do not ignore any derogatory credit; however, give more weight to late housing payments and to derogatory information or late payments occurring within the past two (2) years. Generally, the more recent the adverse or derogatory credit information, the more likely it is significant.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These are some aspects to consider:</w:t>
            </w:r>
          </w:p>
          <w:p w:rsidR="0087031A" w:rsidRPr="0087031A" w:rsidRDefault="0087031A" w:rsidP="0087031A">
            <w:pPr>
              <w:numPr>
                <w:ilvl w:val="0"/>
                <w:numId w:val="13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number, timing and extent of the adverse or derogatory credit information </w:t>
            </w:r>
          </w:p>
          <w:p w:rsidR="0087031A" w:rsidRPr="0087031A" w:rsidRDefault="0087031A" w:rsidP="0087031A">
            <w:pPr>
              <w:numPr>
                <w:ilvl w:val="0"/>
                <w:numId w:val="13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number, type and size of accounts with adverse or derogatory credit information </w:t>
            </w:r>
          </w:p>
          <w:p w:rsidR="0087031A" w:rsidRPr="0087031A" w:rsidRDefault="0087031A" w:rsidP="0087031A">
            <w:pPr>
              <w:numPr>
                <w:ilvl w:val="0"/>
                <w:numId w:val="13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Public record information, such as judgments and collection accounts </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Score Less Than Minimum Required</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Credit </w:t>
            </w:r>
            <w:proofErr w:type="gramStart"/>
            <w:r w:rsidRPr="0087031A">
              <w:rPr>
                <w:rFonts w:ascii="Verdana" w:eastAsia="Times New Roman" w:hAnsi="Verdana" w:cs="Times New Roman"/>
                <w:sz w:val="18"/>
                <w:szCs w:val="18"/>
              </w:rPr>
              <w:t>risk</w:t>
            </w:r>
            <w:proofErr w:type="gramEnd"/>
            <w:r w:rsidRPr="0087031A">
              <w:rPr>
                <w:rFonts w:ascii="Verdana" w:eastAsia="Times New Roman" w:hAnsi="Verdana" w:cs="Times New Roman"/>
                <w:sz w:val="18"/>
                <w:szCs w:val="18"/>
              </w:rPr>
              <w:t xml:space="preserve"> scores lower than product or program minimum requirements are exceptions to policy; therefore, compensating factors must offset them. Compensating factors and/or extenuating circumstances may offset a lower score when no additional layering of risk exists. In all cases, the reviewer must document any offsetting compensating factors to negative trends. See </w:t>
            </w:r>
            <w:r w:rsidRPr="0087031A">
              <w:rPr>
                <w:rFonts w:ascii="Verdana" w:eastAsia="Times New Roman" w:hAnsi="Verdana" w:cs="Times New Roman"/>
                <w:color w:val="006699"/>
                <w:sz w:val="18"/>
                <w:szCs w:val="18"/>
              </w:rPr>
              <w:t>Derogatory Credit</w:t>
            </w:r>
            <w:r w:rsidRPr="0087031A">
              <w:rPr>
                <w:rFonts w:ascii="Verdana" w:eastAsia="Times New Roman" w:hAnsi="Verdana" w:cs="Times New Roman"/>
                <w:sz w:val="18"/>
                <w:szCs w:val="18"/>
              </w:rPr>
              <w:t xml:space="preserve"> for additional guidance.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Manager or Exceptions Desk approval may be necessary.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 more information, see </w:t>
            </w:r>
            <w:r w:rsidRPr="0087031A">
              <w:rPr>
                <w:rFonts w:ascii="Verdana" w:eastAsia="Times New Roman" w:hAnsi="Verdana" w:cs="Times New Roman"/>
                <w:color w:val="006699"/>
                <w:sz w:val="18"/>
                <w:szCs w:val="18"/>
              </w:rPr>
              <w:t>Exceptions</w:t>
            </w:r>
            <w:r w:rsidRPr="0087031A">
              <w:rPr>
                <w:rFonts w:ascii="Verdana" w:eastAsia="Times New Roman" w:hAnsi="Verdana" w:cs="Times New Roman"/>
                <w:sz w:val="18"/>
                <w:szCs w:val="18"/>
              </w:rPr>
              <w:t>.</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Score Reason Factors</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Analyze the score factors used in calculating the score. Compare those codes with data on the credit report to identify if any adverse trends exist, such as the accumulation of debts as they provide meaningful insight into primary risk factors behind the credit risk score.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Although borrowers with low credit scores represent a relatively small percentage of all applicants, findings validate that they account for a disproportionate percentage of eventual default.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View low scores as a strong indication that the borrower's credit reputation may not be acceptable.</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Serious Derogatory Credit</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Adverse credit information in and of itself does not mean the Borrower's credit reputation is unacceptable. When there is adverse or derogatory information in the Borrower's credit history, it must be determined whether the derogatory information is significant.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Although many situations involving derogatory credit information may be unclear, especially when they involve disputes about obligations,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w:t>
            </w:r>
            <w:r w:rsidRPr="0087031A">
              <w:rPr>
                <w:rFonts w:ascii="Verdana" w:eastAsia="Times New Roman" w:hAnsi="Verdana" w:cs="Times New Roman"/>
                <w:sz w:val="18"/>
                <w:szCs w:val="18"/>
              </w:rPr>
              <w:lastRenderedPageBreak/>
              <w:t>generally does not consider the derogatory credit information significant when it consists only of isolated late payments, even if several accounts show sporadic late payments, provided all of these conditions exist:</w:t>
            </w:r>
          </w:p>
          <w:p w:rsidR="0087031A" w:rsidRPr="0087031A" w:rsidRDefault="0087031A" w:rsidP="0087031A">
            <w:pPr>
              <w:numPr>
                <w:ilvl w:val="0"/>
                <w:numId w:val="13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late payments were not recent </w:t>
            </w:r>
          </w:p>
          <w:p w:rsidR="0087031A" w:rsidRPr="0087031A" w:rsidRDefault="0087031A" w:rsidP="0087031A">
            <w:pPr>
              <w:numPr>
                <w:ilvl w:val="0"/>
                <w:numId w:val="13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late payments did not extend beyond one month </w:t>
            </w:r>
          </w:p>
          <w:p w:rsidR="0087031A" w:rsidRPr="0087031A" w:rsidRDefault="0087031A" w:rsidP="0087031A">
            <w:pPr>
              <w:numPr>
                <w:ilvl w:val="0"/>
                <w:numId w:val="13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number and size of delinquent accounts is not large in relation to the overall credit </w:t>
            </w:r>
          </w:p>
          <w:p w:rsidR="0087031A" w:rsidRPr="0087031A" w:rsidRDefault="0087031A" w:rsidP="0087031A">
            <w:pPr>
              <w:numPr>
                <w:ilvl w:val="0"/>
                <w:numId w:val="13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credit history does not show multiple revolving accounts with high balances-to-limits or high overall utilization of revolving credit </w:t>
            </w:r>
          </w:p>
          <w:p w:rsidR="0087031A" w:rsidRPr="0087031A" w:rsidRDefault="0087031A" w:rsidP="0087031A">
            <w:pPr>
              <w:numPr>
                <w:ilvl w:val="0"/>
                <w:numId w:val="13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has paid all other credit as agreed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To consider a borrower with any serious derogatory credit, or a credit score less than product or program minimum requirements, the transaction must meet additional guidelines found in the </w:t>
            </w:r>
            <w:r w:rsidRPr="0087031A">
              <w:rPr>
                <w:rFonts w:ascii="Verdana" w:eastAsia="Times New Roman" w:hAnsi="Verdana" w:cs="Times New Roman"/>
                <w:color w:val="006699"/>
                <w:sz w:val="18"/>
                <w:szCs w:val="18"/>
              </w:rPr>
              <w:t>Derogatory Credit</w:t>
            </w:r>
            <w:r w:rsidRPr="0087031A">
              <w:rPr>
                <w:rFonts w:ascii="Verdana" w:eastAsia="Times New Roman" w:hAnsi="Verdana" w:cs="Times New Roman"/>
                <w:sz w:val="18"/>
                <w:szCs w:val="18"/>
              </w:rPr>
              <w:t xml:space="preserve"> topic.</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spellStart"/>
            <w:r w:rsidRPr="0087031A">
              <w:rPr>
                <w:rFonts w:ascii="Verdana" w:eastAsia="Times New Roman" w:hAnsi="Verdana" w:cs="Times New Roman"/>
                <w:sz w:val="18"/>
                <w:szCs w:val="18"/>
              </w:rPr>
              <w:lastRenderedPageBreak/>
              <w:t>Tradelines</w:t>
            </w:r>
            <w:proofErr w:type="spellEnd"/>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Confirm the borrower(s) meet the </w:t>
            </w:r>
            <w:r w:rsidRPr="0087031A">
              <w:rPr>
                <w:rFonts w:ascii="Verdana" w:eastAsia="Times New Roman" w:hAnsi="Verdana" w:cs="Times New Roman"/>
                <w:color w:val="006699"/>
                <w:sz w:val="18"/>
                <w:szCs w:val="18"/>
              </w:rPr>
              <w:t xml:space="preserve">minimum </w:t>
            </w:r>
            <w:proofErr w:type="spellStart"/>
            <w:r w:rsidRPr="0087031A">
              <w:rPr>
                <w:rFonts w:ascii="Verdana" w:eastAsia="Times New Roman" w:hAnsi="Verdana" w:cs="Times New Roman"/>
                <w:color w:val="006699"/>
                <w:sz w:val="18"/>
                <w:szCs w:val="18"/>
              </w:rPr>
              <w:t>tradeline</w:t>
            </w:r>
            <w:proofErr w:type="spellEnd"/>
            <w:r w:rsidRPr="0087031A">
              <w:rPr>
                <w:rFonts w:ascii="Verdana" w:eastAsia="Times New Roman" w:hAnsi="Verdana" w:cs="Times New Roman"/>
                <w:color w:val="006699"/>
                <w:sz w:val="18"/>
                <w:szCs w:val="18"/>
              </w:rPr>
              <w:t xml:space="preserve"> requirements</w:t>
            </w:r>
            <w:r w:rsidRPr="0087031A">
              <w:rPr>
                <w:rFonts w:ascii="Verdana" w:eastAsia="Times New Roman" w:hAnsi="Verdana" w:cs="Times New Roman"/>
                <w:sz w:val="18"/>
                <w:szCs w:val="18"/>
              </w:rPr>
              <w:t xml:space="preserve"> above.</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Unstated Derogatory/ Delinquent Credit Bureau Amounts</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credit bureau report does not state a balance for charge-offs, judgments, or collection accounts, obtain and document the balance.</w:t>
            </w:r>
          </w:p>
        </w:tc>
      </w:tr>
      <w:tr w:rsidR="0087031A" w:rsidRPr="0087031A" w:rsidTr="0087031A">
        <w:trPr>
          <w:tblCellSpacing w:w="0" w:type="dxa"/>
        </w:trPr>
        <w:tc>
          <w:tcPr>
            <w:tcW w:w="1379" w:type="pc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Layering of Risk</w:t>
            </w:r>
          </w:p>
        </w:tc>
        <w:tc>
          <w:tcPr>
            <w:tcW w:w="3620" w:type="pct"/>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Consider the layering of risk when evaluating the borrower's credit reputation. Require a stronger credit reputation if capacity or collateral is weak.</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8" w:name="Other_Credit_Review_Considerations"/>
      <w:bookmarkEnd w:id="68"/>
      <w:r w:rsidRPr="0087031A">
        <w:rPr>
          <w:rFonts w:ascii="Verdana" w:eastAsia="Times New Roman" w:hAnsi="Verdana" w:cs="Times New Roman"/>
          <w:b/>
          <w:bCs/>
          <w:sz w:val="21"/>
          <w:szCs w:val="21"/>
        </w:rPr>
        <w:t>Other Credit Review Considerations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Also Known As (AKA)</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Request credit bureau reports when the applicant discloses, or the file otherwise notes AKAs (Also Known As). Review them appropriately according to the assigned credit risk score and review level.                                                                                                                                                                                                                                                                                                                                                                                                                                                                                                             </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Authorized User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a creditor allows an "Authorized User," they give permission to the obligor on the account to allow a spouse or other designated person to make charges to the account. Generally, the authorized user is not under contractual obligation to repay, unless the creditor or state law requires repayment under specific terms.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When evaluating credit worthiness,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employees must consider accounts that the borrower (either individually or jointly with another party) is obligated to pay by contractual arrangement with a creditor.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Additionally, consider other accounts where the borrower is a permitted user or non-obligor on a spousal or ex-spousal account when evaluating the borrower(s)' creditworthiness under the specific circumstances outlined below.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 some circumstances, a borrower may be an authorized user only on a revolving account. If the authorized user is not a spouse or former spouse, at the borrower's request,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will consider the account in the evaluation, provided the borrower can provide evidence that he or she has been paying the debt.</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847"/>
        <w:gridCol w:w="3244"/>
        <w:gridCol w:w="2521"/>
        <w:gridCol w:w="2942"/>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 the authorized borrower is a...</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AND...</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AND...</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3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spouse, or </w:t>
            </w:r>
          </w:p>
          <w:p w:rsidR="0087031A" w:rsidRPr="0087031A" w:rsidRDefault="0087031A" w:rsidP="0087031A">
            <w:pPr>
              <w:numPr>
                <w:ilvl w:val="0"/>
                <w:numId w:val="13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former </w:t>
            </w:r>
            <w:r w:rsidRPr="0087031A">
              <w:rPr>
                <w:rFonts w:ascii="Verdana" w:eastAsia="Times New Roman" w:hAnsi="Verdana" w:cs="Times New Roman"/>
                <w:sz w:val="18"/>
                <w:szCs w:val="18"/>
              </w:rPr>
              <w:lastRenderedPageBreak/>
              <w:t xml:space="preserve">spouse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the borrower requests that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consider an account in the name of the </w:t>
            </w:r>
            <w:r w:rsidRPr="0087031A">
              <w:rPr>
                <w:rFonts w:ascii="Verdana" w:eastAsia="Times New Roman" w:hAnsi="Verdana" w:cs="Times New Roman"/>
                <w:sz w:val="18"/>
                <w:szCs w:val="18"/>
              </w:rPr>
              <w:lastRenderedPageBreak/>
              <w:t>borrower's spouse or former spouse when evaluating their loan,</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the credit report or direct verification has verified the account,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include</w:t>
            </w:r>
            <w:proofErr w:type="gramEnd"/>
            <w:r w:rsidRPr="0087031A">
              <w:rPr>
                <w:rFonts w:ascii="Verdana" w:eastAsia="Times New Roman" w:hAnsi="Verdana" w:cs="Times New Roman"/>
                <w:sz w:val="18"/>
                <w:szCs w:val="18"/>
              </w:rPr>
              <w:t xml:space="preserve"> the payment in the debt ratio and use the account(s) to help develop a </w:t>
            </w:r>
            <w:r w:rsidRPr="0087031A">
              <w:rPr>
                <w:rFonts w:ascii="Verdana" w:eastAsia="Times New Roman" w:hAnsi="Verdana" w:cs="Times New Roman"/>
                <w:sz w:val="18"/>
                <w:szCs w:val="18"/>
              </w:rPr>
              <w:lastRenderedPageBreak/>
              <w:t xml:space="preserve">credit history when  the borrower has a </w:t>
            </w:r>
            <w:r w:rsidRPr="0087031A">
              <w:rPr>
                <w:rFonts w:ascii="Verdana" w:eastAsia="Times New Roman" w:hAnsi="Verdana" w:cs="Times New Roman"/>
                <w:color w:val="006699"/>
                <w:sz w:val="18"/>
              </w:rPr>
              <w:t>thin file</w:t>
            </w:r>
            <w:r w:rsidRPr="0087031A">
              <w:rPr>
                <w:rFonts w:ascii="Verdana" w:eastAsia="Times New Roman" w:hAnsi="Verdana" w:cs="Times New Roman"/>
                <w:sz w:val="18"/>
                <w:szCs w:val="18"/>
              </w:rPr>
              <w:t>.</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non-spouse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requests that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consider an account in the name of another party when evaluating their loan,</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 can evidence that they have been paying the debt for the preceding 12 months,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include</w:t>
            </w:r>
            <w:proofErr w:type="gramEnd"/>
            <w:r w:rsidRPr="0087031A">
              <w:rPr>
                <w:rFonts w:ascii="Verdana" w:eastAsia="Times New Roman" w:hAnsi="Verdana" w:cs="Times New Roman"/>
                <w:sz w:val="18"/>
                <w:szCs w:val="18"/>
              </w:rPr>
              <w:t xml:space="preserve"> the payment in the debt ratio and use the account(s) to help develop a credit history when the borrower has a </w:t>
            </w:r>
            <w:r w:rsidRPr="0087031A">
              <w:rPr>
                <w:rFonts w:ascii="Verdana" w:eastAsia="Times New Roman" w:hAnsi="Verdana" w:cs="Times New Roman"/>
                <w:color w:val="006699"/>
                <w:sz w:val="18"/>
              </w:rPr>
              <w:t>thin file</w:t>
            </w:r>
            <w:r w:rsidRPr="0087031A">
              <w:rPr>
                <w:rFonts w:ascii="Verdana" w:eastAsia="Times New Roman" w:hAnsi="Verdana" w:cs="Times New Roman"/>
                <w:sz w:val="18"/>
                <w:szCs w:val="18"/>
              </w:rPr>
              <w:t>.</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4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spouse, </w:t>
            </w:r>
          </w:p>
          <w:p w:rsidR="0087031A" w:rsidRPr="0087031A" w:rsidRDefault="0087031A" w:rsidP="0087031A">
            <w:pPr>
              <w:numPr>
                <w:ilvl w:val="0"/>
                <w:numId w:val="14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former spouse, or </w:t>
            </w:r>
          </w:p>
          <w:p w:rsidR="0087031A" w:rsidRPr="0087031A" w:rsidRDefault="0087031A" w:rsidP="0087031A">
            <w:pPr>
              <w:numPr>
                <w:ilvl w:val="0"/>
                <w:numId w:val="14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non-spouse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 indicates they are not responsible for the payment,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credit report verifies that the borrower is an "authorized user" only,</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exclude</w:t>
            </w:r>
            <w:proofErr w:type="gramEnd"/>
            <w:r w:rsidRPr="0087031A">
              <w:rPr>
                <w:rFonts w:ascii="Verdana" w:eastAsia="Times New Roman" w:hAnsi="Verdana" w:cs="Times New Roman"/>
                <w:sz w:val="18"/>
                <w:szCs w:val="18"/>
              </w:rPr>
              <w:t xml:space="preserve"> the payment from the debt-to-income ratio and do not consider the payment history in the loan analysis.</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Defendant in a Lawsuit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Borrowers involved as defendants in a lawsuit with pending litigation may not be eligible for extension of credit. To determine the borrower's eligibility, the borrower's attorney must provide a letter explaining the lawsuit with supporting documentation. Give careful consideration to these factors:</w:t>
      </w:r>
    </w:p>
    <w:p w:rsidR="0087031A" w:rsidRPr="0087031A" w:rsidRDefault="0087031A" w:rsidP="0087031A">
      <w:pPr>
        <w:numPr>
          <w:ilvl w:val="0"/>
          <w:numId w:val="14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Determine the impact of the lawsuit on the borrower's ability to repay the mortgage if it levies additional financial obligations against the borrower. </w:t>
      </w:r>
    </w:p>
    <w:p w:rsidR="0087031A" w:rsidRPr="0087031A" w:rsidRDefault="0087031A" w:rsidP="0087031A">
      <w:pPr>
        <w:numPr>
          <w:ilvl w:val="0"/>
          <w:numId w:val="14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Analyze supporting documentation to determine the extent of potential income or asset interruption. </w:t>
      </w:r>
    </w:p>
    <w:p w:rsidR="0087031A" w:rsidRPr="0087031A" w:rsidRDefault="0087031A" w:rsidP="0087031A">
      <w:pPr>
        <w:numPr>
          <w:ilvl w:val="0"/>
          <w:numId w:val="14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Determine whether an insurance policy or established escrow fund will cover the potential obligation. </w:t>
      </w:r>
    </w:p>
    <w:p w:rsidR="0087031A" w:rsidRPr="0087031A" w:rsidRDefault="0087031A" w:rsidP="0087031A">
      <w:pPr>
        <w:numPr>
          <w:ilvl w:val="0"/>
          <w:numId w:val="14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Determine whether the title company will take exception to the pending litigation and decline to insure our first lien position. </w:t>
      </w:r>
    </w:p>
    <w:p w:rsidR="0087031A" w:rsidRPr="0087031A" w:rsidRDefault="0087031A" w:rsidP="0087031A">
      <w:pPr>
        <w:numPr>
          <w:ilvl w:val="0"/>
          <w:numId w:val="14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When the amount of the potential obligation is minimal (less than $10,000), determine whether the borrower has sufficient assets to establish an escrow account for 1.5 times the amount of the proposed damages. The attorney representing the borrower in the litigation must hold the assets.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Title and Lien Position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Regardless of the level of review indicated, the borrower must pay in full and clear any item that may impact either of these:</w:t>
      </w:r>
    </w:p>
    <w:p w:rsidR="0087031A" w:rsidRPr="0087031A" w:rsidRDefault="0087031A" w:rsidP="0087031A">
      <w:pPr>
        <w:numPr>
          <w:ilvl w:val="0"/>
          <w:numId w:val="14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Title of the subject property </w:t>
      </w:r>
    </w:p>
    <w:p w:rsidR="0087031A" w:rsidRPr="0087031A" w:rsidRDefault="0087031A" w:rsidP="0087031A">
      <w:pPr>
        <w:numPr>
          <w:ilvl w:val="0"/>
          <w:numId w:val="14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Lien position of the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extended first or second mortgage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Sufficient funds to pay any such amounts must be available to the borrower from cash, cash-like assets, or loan proceeds. Account for such funds in reserve calculations and requirements.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Treatment of Medical Information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Medical information can be in any form or medium (paper, electronic, spoken, etc.) and can be provided directly or indirectly. Never solicit information regarding the nature of illness or disability, course of treatment, or the future health expectations of the individual related to incursion of the debt. Any medical information, even if unsolicited, should not result in any less favorable treatment than any other credit information.</w:t>
      </w:r>
    </w:p>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Derogatory Credit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9" w:name="Overview"/>
      <w:bookmarkEnd w:id="69"/>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Derogatory credit is an obligation(s) that has not been repaid according to original terms. It may be reflected in the delinquent manner in which a borrower repays the obligation or in how the borrower is relieved of the debt through legal recourse by the creditor.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The manner in which the borrower(s) have managed their previous credit is a strong indicator of future performance. A history of derogatory credit and / or an instance of a major derogatory credit item increases the risk associated with the loan request.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 these reasons, all derogatory credit occurrences, including more recent occurrences not listed on a credit </w:t>
      </w:r>
      <w:proofErr w:type="gramStart"/>
      <w:r w:rsidRPr="0087031A">
        <w:rPr>
          <w:rFonts w:ascii="Verdana" w:eastAsia="Times New Roman" w:hAnsi="Verdana" w:cs="Times New Roman"/>
          <w:sz w:val="18"/>
          <w:szCs w:val="18"/>
        </w:rPr>
        <w:t>report,</w:t>
      </w:r>
      <w:proofErr w:type="gramEnd"/>
      <w:r w:rsidRPr="0087031A">
        <w:rPr>
          <w:rFonts w:ascii="Verdana" w:eastAsia="Times New Roman" w:hAnsi="Verdana" w:cs="Times New Roman"/>
          <w:sz w:val="18"/>
          <w:szCs w:val="18"/>
        </w:rPr>
        <w:t xml:space="preserve"> must be carefully considered in the analysis of the loan request.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Although Automated Underwriting (AU) decisions provide guidance and messaging which must be followed on all loan requests, this topic helps the analyst identify derogatory credit and the associated actions to take in specific situations. If a manual underwrite is required, follow the additional guidance provided in this topic.</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Policy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following list of occurrences indicates areas of a </w:t>
      </w:r>
      <w:proofErr w:type="gramStart"/>
      <w:r w:rsidRPr="0087031A">
        <w:rPr>
          <w:rFonts w:ascii="Verdana" w:eastAsia="Times New Roman" w:hAnsi="Verdana" w:cs="Times New Roman"/>
          <w:sz w:val="18"/>
          <w:szCs w:val="18"/>
        </w:rPr>
        <w:t>borrower(s)' credit history</w:t>
      </w:r>
      <w:proofErr w:type="gramEnd"/>
      <w:r w:rsidRPr="0087031A">
        <w:rPr>
          <w:rFonts w:ascii="Verdana" w:eastAsia="Times New Roman" w:hAnsi="Verdana" w:cs="Times New Roman"/>
          <w:sz w:val="18"/>
          <w:szCs w:val="18"/>
        </w:rPr>
        <w:t xml:space="preserve"> that are defined as serious derogatory credit, regardless of the credit risk score, and requires a thorough review.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consideration, a loan request from borrowers with serious derogatory credit history must meet all the guidelines detailed below and provide:</w:t>
      </w:r>
    </w:p>
    <w:p w:rsidR="0087031A" w:rsidRPr="0087031A" w:rsidRDefault="0087031A" w:rsidP="0087031A">
      <w:pPr>
        <w:numPr>
          <w:ilvl w:val="0"/>
          <w:numId w:val="14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Satisfactory written explanation accompanied by supporting documentation, and </w:t>
      </w:r>
    </w:p>
    <w:p w:rsidR="0087031A" w:rsidRPr="0087031A" w:rsidRDefault="0087031A" w:rsidP="0087031A">
      <w:pPr>
        <w:numPr>
          <w:ilvl w:val="0"/>
          <w:numId w:val="14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Compensating factors to offset the layers of risk. See </w:t>
      </w:r>
      <w:r w:rsidRPr="0087031A">
        <w:rPr>
          <w:rFonts w:ascii="Verdana" w:eastAsia="Times New Roman" w:hAnsi="Verdana" w:cs="Times New Roman"/>
          <w:color w:val="006699"/>
          <w:sz w:val="18"/>
        </w:rPr>
        <w:t>Exceptions</w:t>
      </w:r>
      <w:r w:rsidRPr="0087031A">
        <w:rPr>
          <w:rFonts w:ascii="Verdana" w:eastAsia="Times New Roman" w:hAnsi="Verdana" w:cs="Times New Roman"/>
          <w:sz w:val="18"/>
          <w:szCs w:val="18"/>
        </w:rPr>
        <w:t xml:space="preserve"> for information on compensating factors. </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Serious Derogatory Items (disclosed or reported):</w:t>
      </w:r>
    </w:p>
    <w:p w:rsidR="0087031A" w:rsidRPr="0087031A" w:rsidRDefault="0087031A" w:rsidP="0087031A">
      <w:pPr>
        <w:numPr>
          <w:ilvl w:val="0"/>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Bankruptcy </w:t>
      </w:r>
    </w:p>
    <w:p w:rsidR="0087031A" w:rsidRPr="0087031A" w:rsidRDefault="0087031A" w:rsidP="0087031A">
      <w:pPr>
        <w:numPr>
          <w:ilvl w:val="0"/>
          <w:numId w:val="144"/>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7 </w:t>
      </w: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11 </w:t>
      </w: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12 </w:t>
      </w: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13 </w:t>
      </w:r>
    </w:p>
    <w:p w:rsidR="0087031A" w:rsidRPr="0087031A" w:rsidRDefault="0087031A" w:rsidP="0087031A">
      <w:pPr>
        <w:numPr>
          <w:ilvl w:val="0"/>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Foreclosure </w:t>
      </w:r>
    </w:p>
    <w:p w:rsidR="0087031A" w:rsidRPr="0087031A" w:rsidRDefault="0087031A" w:rsidP="0087031A">
      <w:pPr>
        <w:numPr>
          <w:ilvl w:val="0"/>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Deed-in-Lieu of Foreclosure </w:t>
      </w:r>
    </w:p>
    <w:p w:rsidR="0087031A" w:rsidRPr="0087031A" w:rsidRDefault="0087031A" w:rsidP="0087031A">
      <w:pPr>
        <w:numPr>
          <w:ilvl w:val="0"/>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Forgiveness of Debt </w:t>
      </w:r>
    </w:p>
    <w:p w:rsidR="0087031A" w:rsidRPr="0087031A" w:rsidRDefault="0087031A" w:rsidP="0087031A">
      <w:pPr>
        <w:numPr>
          <w:ilvl w:val="0"/>
          <w:numId w:val="144"/>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Short Sale </w:t>
      </w: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Short Payoff </w:t>
      </w:r>
    </w:p>
    <w:p w:rsidR="0087031A" w:rsidRPr="0087031A" w:rsidRDefault="0087031A" w:rsidP="0087031A">
      <w:pPr>
        <w:numPr>
          <w:ilvl w:val="1"/>
          <w:numId w:val="14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Modification (which included principal forgiveness)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Collection account in excess of $1,000 within the last 24 months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Charge-off in excess of $1,000 within the last 24 months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Judgment in excess of $1,000 within the last 24 months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Tax lien in excess of $1,000 within the last 24 months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Repossession within the last 24 months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Consumer Credit Counseling </w:t>
      </w:r>
    </w:p>
    <w:p w:rsidR="0087031A" w:rsidRPr="0087031A" w:rsidRDefault="0087031A" w:rsidP="0087031A">
      <w:pPr>
        <w:numPr>
          <w:ilvl w:val="0"/>
          <w:numId w:val="14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Mortgage Delinquency / Housing Debt </w:t>
      </w:r>
    </w:p>
    <w:p w:rsidR="0087031A" w:rsidRPr="0087031A" w:rsidRDefault="0087031A" w:rsidP="0087031A">
      <w:pPr>
        <w:numPr>
          <w:ilvl w:val="0"/>
          <w:numId w:val="145"/>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4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payment 30 days or more past due for any housing debt within the last 12 months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Refer to the </w:t>
      </w:r>
      <w:r w:rsidRPr="0087031A">
        <w:rPr>
          <w:rFonts w:ascii="Verdana" w:eastAsia="Times New Roman" w:hAnsi="Verdana" w:cs="Times New Roman"/>
          <w:color w:val="006699"/>
          <w:sz w:val="18"/>
          <w:szCs w:val="18"/>
        </w:rPr>
        <w:t>Mortgage/Housing Payment History</w:t>
      </w:r>
      <w:r w:rsidRPr="0087031A">
        <w:rPr>
          <w:rFonts w:ascii="Verdana" w:eastAsia="Times New Roman" w:hAnsi="Verdana" w:cs="Times New Roman"/>
          <w:sz w:val="18"/>
          <w:szCs w:val="18"/>
        </w:rPr>
        <w:t xml:space="preserve"> section for additional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For additional information regarding the requirements for payoffs of delinquent credit accounts, refer to the </w:t>
      </w:r>
      <w:r w:rsidRPr="0087031A">
        <w:rPr>
          <w:rFonts w:ascii="Verdana" w:eastAsia="Times New Roman" w:hAnsi="Verdana" w:cs="Times New Roman"/>
          <w:color w:val="006699"/>
          <w:sz w:val="18"/>
          <w:szCs w:val="18"/>
        </w:rPr>
        <w:t>Payoff of Liens and Delinquent Credit Accounts</w:t>
      </w:r>
      <w:r w:rsidRPr="0087031A">
        <w:rPr>
          <w:rFonts w:ascii="Verdana" w:eastAsia="Times New Roman" w:hAnsi="Verdana" w:cs="Times New Roman"/>
          <w:sz w:val="18"/>
          <w:szCs w:val="18"/>
        </w:rPr>
        <w:t xml:space="preserve"> section below.</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0" w:name="Mortgage_Housing_Payment_History"/>
      <w:bookmarkEnd w:id="70"/>
      <w:r w:rsidRPr="0087031A">
        <w:rPr>
          <w:rFonts w:ascii="Verdana" w:eastAsia="Times New Roman" w:hAnsi="Verdana" w:cs="Times New Roman"/>
          <w:b/>
          <w:bCs/>
          <w:sz w:val="21"/>
          <w:szCs w:val="21"/>
        </w:rPr>
        <w:t>Mortgage/Housing Payment History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It is generally necessary to verify the applicant's primary housing payment history, if the applicant has rented or owned a primary residence in the most recent 24 months.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borrower's payment history is considered to be unacceptable if, on any mortgage or primary housing debt, any of the following apply:</w:t>
      </w:r>
    </w:p>
    <w:p w:rsidR="0087031A" w:rsidRPr="0087031A" w:rsidRDefault="0087031A" w:rsidP="0087031A">
      <w:pPr>
        <w:numPr>
          <w:ilvl w:val="0"/>
          <w:numId w:val="14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Two or more 30 day delinquencies in the past 12 months; </w:t>
      </w:r>
    </w:p>
    <w:p w:rsidR="0087031A" w:rsidRPr="0087031A" w:rsidRDefault="0087031A" w:rsidP="0087031A">
      <w:pPr>
        <w:numPr>
          <w:ilvl w:val="0"/>
          <w:numId w:val="14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One or more 60 PLUS delinquency (60 or greater days delinquent) in the past 12 months; </w:t>
      </w:r>
    </w:p>
    <w:p w:rsidR="0087031A" w:rsidRPr="0087031A" w:rsidRDefault="0087031A" w:rsidP="0087031A">
      <w:pPr>
        <w:numPr>
          <w:ilvl w:val="0"/>
          <w:numId w:val="14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Three or more 30 day delinquencies in the past 24 months; </w:t>
      </w:r>
    </w:p>
    <w:p w:rsidR="0087031A" w:rsidRPr="0087031A" w:rsidRDefault="0087031A" w:rsidP="0087031A">
      <w:pPr>
        <w:numPr>
          <w:ilvl w:val="0"/>
          <w:numId w:val="14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Two or more 60 day delinquencies in the past 24 months; </w:t>
      </w:r>
    </w:p>
    <w:p w:rsidR="0087031A" w:rsidRPr="0087031A" w:rsidRDefault="0087031A" w:rsidP="0087031A">
      <w:pPr>
        <w:numPr>
          <w:ilvl w:val="0"/>
          <w:numId w:val="14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One or more 90 PLUS delinquency (90 or greater days delinquent) the past 24 months.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Home Equity Lines of Credit (HELOCs) are often reported as Revolving Lines or Unsecured Lines on credit bureau reports. Any Revolving Line or Unsecured line in the amount of $50,000 or more with a repayment term of more than or equal to 120 months shall be considered a mortgage trade line for credit review purposes (unless documentation is in file to indicate otherwise).</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Consumer Credit Counseling/Debt Management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borrower who experiences credit or financial management problems may elect to participate in consumer counseling sessions to learn how to correct or avoid such credit problems in the future. However, regardless of participation in the program, it is the borrower's current credit history that is of primary importance in the overall evaluation. Additionally, all re-established credit must be current.</w:t>
      </w:r>
    </w:p>
    <w:p w:rsidR="0087031A" w:rsidRPr="0087031A" w:rsidRDefault="0087031A" w:rsidP="0087031A">
      <w:pPr>
        <w:shd w:val="clear" w:color="auto" w:fill="CBD9E4"/>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Even when there is an acceptable Automated Underwriting System (AUS) response, the presence of Consumer Credit Counseling necessitates the need for Underwriting to perform an appropriate level of due diligence in reviewing the borrower’s overall credit profile and to evaluate the Consumer Credit Counseling utilized by the borrower to determine if the Consumer Credit Counseling is a positive or negative risk factor.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There are two types of consumer credit counseling:</w:t>
      </w:r>
    </w:p>
    <w:p w:rsidR="0087031A" w:rsidRPr="0087031A" w:rsidRDefault="0087031A" w:rsidP="0087031A">
      <w:pPr>
        <w:numPr>
          <w:ilvl w:val="0"/>
          <w:numId w:val="148"/>
        </w:numPr>
        <w:shd w:val="clear" w:color="auto" w:fill="CBD9E4"/>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Homebuyer Education - designed to help first time homebuyers prepare for the financial responsibilities of homeownership.</w:t>
      </w:r>
    </w:p>
    <w:p w:rsidR="0087031A" w:rsidRPr="0087031A" w:rsidRDefault="0087031A" w:rsidP="0087031A">
      <w:pPr>
        <w:numPr>
          <w:ilvl w:val="0"/>
          <w:numId w:val="148"/>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48"/>
        </w:numPr>
        <w:shd w:val="clear" w:color="auto" w:fill="CBD9E4"/>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borrower has an acceptable history of managing credit and has participated in counseling to prepare for homeownership, this should be considered a positive risk factor.</w:t>
      </w:r>
    </w:p>
    <w:p w:rsidR="0087031A" w:rsidRPr="0087031A" w:rsidRDefault="0087031A" w:rsidP="0087031A">
      <w:pPr>
        <w:numPr>
          <w:ilvl w:val="0"/>
          <w:numId w:val="149"/>
        </w:numPr>
        <w:shd w:val="clear" w:color="auto" w:fill="CBD9E4"/>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Credit Mismanagement – designed to assist borrowers who have had problems managing their debts.  If the credit report shows the borrower</w:t>
      </w:r>
    </w:p>
    <w:p w:rsidR="0087031A" w:rsidRPr="0087031A" w:rsidRDefault="0087031A" w:rsidP="0087031A">
      <w:pPr>
        <w:numPr>
          <w:ilvl w:val="0"/>
          <w:numId w:val="149"/>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49"/>
        </w:numPr>
        <w:shd w:val="clear" w:color="auto" w:fill="CBD9E4"/>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Has completed the counseling and has re-established acceptable credit by repaying the creditors directly, the loan may be considered a positive risk factor.</w:t>
      </w:r>
    </w:p>
    <w:p w:rsidR="0087031A" w:rsidRPr="0087031A" w:rsidRDefault="0087031A" w:rsidP="0087031A">
      <w:pPr>
        <w:numPr>
          <w:ilvl w:val="1"/>
          <w:numId w:val="149"/>
        </w:numPr>
        <w:shd w:val="clear" w:color="auto" w:fill="CBD9E4"/>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Is currently in credit counseling due to debt mismanagement and has not re-established acceptable credit, the loan is not an acceptable risk.</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Disputed Derogatory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 some circumstances, the borrower may be disputing the reported derogatory credit occurrence with the creditor. In those cases, to verify there is a dispute, the borrower must provide documentation such as:</w:t>
      </w:r>
    </w:p>
    <w:p w:rsidR="0087031A" w:rsidRPr="0087031A" w:rsidRDefault="0087031A" w:rsidP="0087031A">
      <w:pPr>
        <w:numPr>
          <w:ilvl w:val="0"/>
          <w:numId w:val="15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Legal documents, </w:t>
      </w:r>
    </w:p>
    <w:p w:rsidR="0087031A" w:rsidRPr="0087031A" w:rsidRDefault="0087031A" w:rsidP="0087031A">
      <w:pPr>
        <w:numPr>
          <w:ilvl w:val="0"/>
          <w:numId w:val="15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Contractual documents, </w:t>
      </w:r>
    </w:p>
    <w:p w:rsidR="0087031A" w:rsidRPr="0087031A" w:rsidRDefault="0087031A" w:rsidP="0087031A">
      <w:pPr>
        <w:numPr>
          <w:ilvl w:val="0"/>
          <w:numId w:val="15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Insurance papers, or </w:t>
      </w:r>
    </w:p>
    <w:p w:rsidR="0087031A" w:rsidRPr="0087031A" w:rsidRDefault="0087031A" w:rsidP="0087031A">
      <w:pPr>
        <w:numPr>
          <w:ilvl w:val="0"/>
          <w:numId w:val="15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Correspondence between the parties.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an Automated Underwriting System (AUS) provides an approval with the inclusion of the disputed derogatory credit item(s), the AUS findings will indicate if further action is necessary. If an AUS approval is not received and/or the approval terms were affected by the disputed credit, follow the below guidance.</w:t>
      </w:r>
    </w:p>
    <w:p w:rsidR="0087031A" w:rsidRPr="0087031A" w:rsidRDefault="0087031A" w:rsidP="0087031A">
      <w:pPr>
        <w:spacing w:before="100" w:beforeAutospacing="1" w:after="100" w:afterAutospacing="1" w:line="240" w:lineRule="auto"/>
        <w:ind w:left="600"/>
        <w:outlineLvl w:val="3"/>
        <w:rPr>
          <w:rFonts w:ascii="Verdana" w:eastAsia="Times New Roman" w:hAnsi="Verdana" w:cs="Times New Roman"/>
          <w:b/>
          <w:bCs/>
          <w:sz w:val="18"/>
          <w:szCs w:val="18"/>
        </w:rPr>
      </w:pPr>
      <w:r w:rsidRPr="0087031A">
        <w:rPr>
          <w:rFonts w:ascii="Verdana" w:eastAsia="Times New Roman" w:hAnsi="Verdana" w:cs="Times New Roman"/>
          <w:b/>
          <w:bCs/>
          <w:sz w:val="18"/>
          <w:szCs w:val="18"/>
        </w:rPr>
        <w:lastRenderedPageBreak/>
        <w:t>Non-Agency loans:</w:t>
      </w:r>
    </w:p>
    <w:p w:rsidR="0087031A" w:rsidRPr="0087031A" w:rsidRDefault="0087031A" w:rsidP="0087031A">
      <w:pPr>
        <w:numPr>
          <w:ilvl w:val="0"/>
          <w:numId w:val="151"/>
        </w:numPr>
        <w:spacing w:before="100" w:beforeAutospacing="1" w:after="100" w:afterAutospacing="1" w:line="240" w:lineRule="auto"/>
        <w:ind w:left="1320"/>
        <w:rPr>
          <w:rFonts w:ascii="Verdana" w:eastAsia="Times New Roman" w:hAnsi="Verdana" w:cs="Times New Roman"/>
          <w:sz w:val="18"/>
          <w:szCs w:val="18"/>
        </w:rPr>
      </w:pPr>
      <w:r w:rsidRPr="0087031A">
        <w:rPr>
          <w:rFonts w:ascii="Verdana" w:eastAsia="Times New Roman" w:hAnsi="Verdana" w:cs="Times New Roman"/>
          <w:sz w:val="18"/>
          <w:szCs w:val="18"/>
        </w:rPr>
        <w:t xml:space="preserve">The loan must be manually reviewed and </w:t>
      </w:r>
      <w:proofErr w:type="spellStart"/>
      <w:r w:rsidRPr="0087031A">
        <w:rPr>
          <w:rFonts w:ascii="Verdana" w:eastAsia="Times New Roman" w:hAnsi="Verdana" w:cs="Times New Roman"/>
          <w:sz w:val="18"/>
          <w:szCs w:val="18"/>
        </w:rPr>
        <w:t>decisioned</w:t>
      </w:r>
      <w:proofErr w:type="spellEnd"/>
      <w:r w:rsidRPr="0087031A">
        <w:rPr>
          <w:rFonts w:ascii="Verdana" w:eastAsia="Times New Roman" w:hAnsi="Verdana" w:cs="Times New Roman"/>
          <w:sz w:val="18"/>
          <w:szCs w:val="18"/>
        </w:rPr>
        <w:t xml:space="preserve"> without the use of the borrower(s)' credit scores (and taking the disputed derogatory item(s) into consideration), or</w:t>
      </w:r>
    </w:p>
    <w:p w:rsidR="0087031A" w:rsidRPr="0087031A" w:rsidRDefault="0087031A" w:rsidP="0087031A">
      <w:pPr>
        <w:numPr>
          <w:ilvl w:val="0"/>
          <w:numId w:val="151"/>
        </w:numPr>
        <w:spacing w:before="100" w:beforeAutospacing="1" w:after="100" w:afterAutospacing="1" w:line="240" w:lineRule="auto"/>
        <w:ind w:left="1320"/>
        <w:rPr>
          <w:rFonts w:ascii="Verdana" w:eastAsia="Times New Roman" w:hAnsi="Verdana" w:cs="Times New Roman"/>
          <w:sz w:val="18"/>
          <w:szCs w:val="18"/>
        </w:rPr>
      </w:pPr>
      <w:r w:rsidRPr="0087031A">
        <w:rPr>
          <w:rFonts w:ascii="Verdana" w:eastAsia="Times New Roman" w:hAnsi="Verdana" w:cs="Times New Roman"/>
          <w:sz w:val="18"/>
          <w:szCs w:val="18"/>
        </w:rPr>
        <w:t>Resolution to the disputed item is required and a new credit report confirming the resolution must be obtained.</w:t>
      </w:r>
    </w:p>
    <w:p w:rsidR="0087031A" w:rsidRPr="0087031A" w:rsidRDefault="0087031A" w:rsidP="0087031A">
      <w:pPr>
        <w:spacing w:before="100" w:beforeAutospacing="1" w:after="100" w:afterAutospacing="1" w:line="240" w:lineRule="auto"/>
        <w:ind w:left="600"/>
        <w:outlineLvl w:val="3"/>
        <w:rPr>
          <w:rFonts w:ascii="Verdana" w:eastAsia="Times New Roman" w:hAnsi="Verdana" w:cs="Times New Roman"/>
          <w:b/>
          <w:bCs/>
          <w:sz w:val="18"/>
          <w:szCs w:val="18"/>
        </w:rPr>
      </w:pPr>
      <w:r w:rsidRPr="0087031A">
        <w:rPr>
          <w:rFonts w:ascii="Verdana" w:eastAsia="Times New Roman" w:hAnsi="Verdana" w:cs="Times New Roman"/>
          <w:b/>
          <w:bCs/>
          <w:sz w:val="18"/>
          <w:szCs w:val="18"/>
        </w:rPr>
        <w:t>Agency loans:  </w:t>
      </w:r>
    </w:p>
    <w:p w:rsidR="0087031A" w:rsidRPr="0087031A" w:rsidRDefault="0087031A" w:rsidP="0087031A">
      <w:pPr>
        <w:numPr>
          <w:ilvl w:val="0"/>
          <w:numId w:val="152"/>
        </w:numPr>
        <w:spacing w:before="100" w:beforeAutospacing="1" w:after="100" w:afterAutospacing="1" w:line="240" w:lineRule="auto"/>
        <w:ind w:left="1320"/>
        <w:rPr>
          <w:rFonts w:ascii="Verdana" w:eastAsia="Times New Roman" w:hAnsi="Verdana" w:cs="Times New Roman"/>
          <w:sz w:val="18"/>
          <w:szCs w:val="18"/>
        </w:rPr>
      </w:pPr>
      <w:r w:rsidRPr="0087031A">
        <w:rPr>
          <w:rFonts w:ascii="Verdana" w:eastAsia="Times New Roman" w:hAnsi="Verdana" w:cs="Times New Roman"/>
          <w:sz w:val="18"/>
          <w:szCs w:val="18"/>
        </w:rPr>
        <w:t>Resolution to the disputed item is required and a new credit report confirming the resolution must be obtained. A manual underwrite is not permitted.</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Underwriting must:</w:t>
      </w:r>
    </w:p>
    <w:p w:rsidR="0087031A" w:rsidRPr="0087031A" w:rsidRDefault="0087031A" w:rsidP="0087031A">
      <w:pPr>
        <w:numPr>
          <w:ilvl w:val="0"/>
          <w:numId w:val="15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Evaluate the impact the disputed derogatory credit item may have on the borrower(s)’ ability to manage the mortgage debt and how other debts have been managed in the past.</w:t>
      </w:r>
    </w:p>
    <w:p w:rsidR="0087031A" w:rsidRPr="0087031A" w:rsidRDefault="0087031A" w:rsidP="0087031A">
      <w:pPr>
        <w:numPr>
          <w:ilvl w:val="0"/>
          <w:numId w:val="15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Take into consideration the equity investment in the property, amount of the disputed credit item, the borrower's asset position, credit risk score, and repayment history with respect to other debts.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If these areas are acceptable, the serious or major derogatory credit may be considered an isolated incident, with no material impact in the underwriting analysis.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1" w:name="Serious_Derogatory_Event_Seasoning_Requi"/>
      <w:bookmarkEnd w:id="71"/>
      <w:r w:rsidRPr="0087031A">
        <w:rPr>
          <w:rFonts w:ascii="Verdana" w:eastAsia="Times New Roman" w:hAnsi="Verdana" w:cs="Times New Roman"/>
          <w:b/>
          <w:bCs/>
          <w:sz w:val="21"/>
          <w:szCs w:val="21"/>
        </w:rPr>
        <w:t>Serious Derogatory Event Seasoning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Select credit events that generate severe negative impact to a borrower's credit history are defined as serious derogatory credit, and these events must reach minimum seasoning requirements (waiting period) since completion as illustrated in the following table.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109"/>
        <w:gridCol w:w="3939"/>
        <w:gridCol w:w="3506"/>
      </w:tblGrid>
      <w:tr w:rsidR="0087031A" w:rsidRPr="0087031A" w:rsidTr="0087031A">
        <w:trPr>
          <w:trHeight w:val="270"/>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Serious Derogatory Event</w:t>
            </w:r>
          </w:p>
        </w:tc>
        <w:tc>
          <w:tcPr>
            <w:tcW w:w="0" w:type="auto"/>
            <w:gridSpan w:val="2"/>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Seasoning Requirement - Months since Event Completion</w:t>
            </w:r>
          </w:p>
        </w:tc>
      </w:tr>
      <w:tr w:rsidR="0087031A" w:rsidRPr="0087031A" w:rsidTr="0087031A">
        <w:trPr>
          <w:trHeight w:val="240"/>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7031A" w:rsidRPr="0087031A" w:rsidRDefault="0087031A" w:rsidP="0087031A">
            <w:pPr>
              <w:spacing w:after="0" w:line="240" w:lineRule="auto"/>
              <w:rPr>
                <w:rFonts w:ascii="Verdana" w:eastAsia="Times New Roman" w:hAnsi="Verdana" w:cs="Times New Roman"/>
                <w:b/>
                <w:bCs/>
                <w:sz w:val="18"/>
                <w:szCs w:val="18"/>
              </w:rPr>
            </w:pP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If due to Extenuating Circumstances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If due to Financial Mismanagement</w:t>
            </w:r>
          </w:p>
        </w:tc>
      </w:tr>
      <w:tr w:rsidR="0087031A" w:rsidRPr="0087031A" w:rsidTr="0087031A">
        <w:trPr>
          <w:trHeight w:val="165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Single Bankruptcy</w:t>
            </w:r>
          </w:p>
          <w:p w:rsidR="0087031A" w:rsidRPr="0087031A" w:rsidRDefault="0087031A" w:rsidP="0087031A">
            <w:pPr>
              <w:numPr>
                <w:ilvl w:val="0"/>
                <w:numId w:val="154"/>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Chapter   7</w:t>
            </w:r>
          </w:p>
          <w:p w:rsidR="0087031A" w:rsidRPr="0087031A" w:rsidRDefault="0087031A" w:rsidP="0087031A">
            <w:pPr>
              <w:numPr>
                <w:ilvl w:val="0"/>
                <w:numId w:val="154"/>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Chapter 11</w:t>
            </w:r>
          </w:p>
          <w:p w:rsidR="0087031A" w:rsidRPr="0087031A" w:rsidRDefault="0087031A" w:rsidP="0087031A">
            <w:pPr>
              <w:numPr>
                <w:ilvl w:val="0"/>
                <w:numId w:val="154"/>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Chapter 12</w:t>
            </w:r>
          </w:p>
          <w:p w:rsidR="0087031A" w:rsidRPr="0087031A" w:rsidRDefault="0087031A" w:rsidP="0087031A">
            <w:pPr>
              <w:numPr>
                <w:ilvl w:val="0"/>
                <w:numId w:val="154"/>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Chapter 13</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24</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48</w:t>
            </w:r>
          </w:p>
        </w:tc>
      </w:tr>
      <w:tr w:rsidR="0087031A" w:rsidRPr="0087031A" w:rsidTr="0087031A">
        <w:trPr>
          <w:trHeight w:val="23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Multiple Bankruptcy Filings</w:t>
            </w:r>
            <w:r w:rsidRPr="0087031A">
              <w:rPr>
                <w:rFonts w:ascii="Verdana" w:eastAsia="Times New Roman" w:hAnsi="Verdana" w:cs="Times New Roman"/>
                <w:b/>
                <w:bCs/>
                <w:sz w:val="12"/>
                <w:vertAlign w:val="superscript"/>
              </w:rPr>
              <w:t>3</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(Same Borrower)</w:t>
            </w:r>
          </w:p>
          <w:p w:rsidR="0087031A" w:rsidRPr="0087031A" w:rsidRDefault="0087031A" w:rsidP="0087031A">
            <w:pPr>
              <w:numPr>
                <w:ilvl w:val="0"/>
                <w:numId w:val="15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7 </w:t>
            </w:r>
          </w:p>
          <w:p w:rsidR="0087031A" w:rsidRPr="0087031A" w:rsidRDefault="0087031A" w:rsidP="0087031A">
            <w:pPr>
              <w:numPr>
                <w:ilvl w:val="0"/>
                <w:numId w:val="15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11 </w:t>
            </w:r>
          </w:p>
          <w:p w:rsidR="0087031A" w:rsidRPr="0087031A" w:rsidRDefault="0087031A" w:rsidP="0087031A">
            <w:pPr>
              <w:numPr>
                <w:ilvl w:val="0"/>
                <w:numId w:val="15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12 </w:t>
            </w:r>
          </w:p>
          <w:p w:rsidR="0087031A" w:rsidRPr="0087031A" w:rsidRDefault="0087031A" w:rsidP="0087031A">
            <w:pPr>
              <w:numPr>
                <w:ilvl w:val="0"/>
                <w:numId w:val="15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13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36</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60</w:t>
            </w:r>
          </w:p>
        </w:tc>
      </w:tr>
      <w:tr w:rsidR="0087031A" w:rsidRPr="0087031A" w:rsidTr="0087031A">
        <w:trPr>
          <w:trHeight w:val="306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Foreclosure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36 Months:</w:t>
            </w:r>
          </w:p>
          <w:p w:rsidR="0087031A" w:rsidRPr="0087031A" w:rsidRDefault="0087031A" w:rsidP="0087031A">
            <w:pPr>
              <w:numPr>
                <w:ilvl w:val="0"/>
                <w:numId w:val="15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With max. 90%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4256B" w:rsidP="0087031A">
            <w:pPr>
              <w:numPr>
                <w:ilvl w:val="0"/>
                <w:numId w:val="156"/>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Primary Residence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5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Cash-out Refinance (all property types)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Months:</w:t>
            </w:r>
          </w:p>
          <w:p w:rsidR="0087031A" w:rsidRPr="0087031A" w:rsidRDefault="0087031A" w:rsidP="0087031A">
            <w:pPr>
              <w:numPr>
                <w:ilvl w:val="0"/>
                <w:numId w:val="15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Max.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is greater than 90% </w:t>
            </w:r>
            <w:r w:rsidRPr="0087031A">
              <w:rPr>
                <w:rFonts w:ascii="Verdana" w:eastAsia="Times New Roman" w:hAnsi="Verdana" w:cs="Times New Roman"/>
                <w:b/>
                <w:bCs/>
                <w:sz w:val="18"/>
                <w:szCs w:val="18"/>
              </w:rPr>
              <w:t>or</w:t>
            </w:r>
            <w:r w:rsidRPr="0087031A">
              <w:rPr>
                <w:rFonts w:ascii="Verdana" w:eastAsia="Times New Roman" w:hAnsi="Verdana" w:cs="Times New Roman"/>
                <w:sz w:val="18"/>
                <w:szCs w:val="18"/>
              </w:rPr>
              <w:t xml:space="preserve"> </w:t>
            </w:r>
          </w:p>
          <w:p w:rsidR="0087031A" w:rsidRPr="0087031A" w:rsidRDefault="0084256B" w:rsidP="0087031A">
            <w:pPr>
              <w:numPr>
                <w:ilvl w:val="0"/>
                <w:numId w:val="157"/>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Second Home or Non Owner Occupied Property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5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Cash-out Refinance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84 Months</w:t>
            </w:r>
          </w:p>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84 Months Seasoning Required Regardless of AUS Decision</w:t>
            </w:r>
          </w:p>
        </w:tc>
      </w:tr>
      <w:tr w:rsidR="0087031A" w:rsidRPr="0087031A" w:rsidTr="0087031A">
        <w:trPr>
          <w:trHeight w:val="306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Deed-in-Lieu of Foreclosure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36 Months:</w:t>
            </w:r>
          </w:p>
          <w:p w:rsidR="0087031A" w:rsidRPr="0087031A" w:rsidRDefault="0087031A" w:rsidP="0087031A">
            <w:pPr>
              <w:numPr>
                <w:ilvl w:val="0"/>
                <w:numId w:val="15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With max. 90%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4256B" w:rsidP="0087031A">
            <w:pPr>
              <w:numPr>
                <w:ilvl w:val="0"/>
                <w:numId w:val="158"/>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Primary Residence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5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Cash-out Refinance (all property types)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Months:</w:t>
            </w:r>
          </w:p>
          <w:p w:rsidR="0087031A" w:rsidRPr="0087031A" w:rsidRDefault="0087031A" w:rsidP="0087031A">
            <w:pPr>
              <w:numPr>
                <w:ilvl w:val="0"/>
                <w:numId w:val="15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Max.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is greater than 90% </w:t>
            </w:r>
            <w:r w:rsidRPr="0087031A">
              <w:rPr>
                <w:rFonts w:ascii="Verdana" w:eastAsia="Times New Roman" w:hAnsi="Verdana" w:cs="Times New Roman"/>
                <w:b/>
                <w:bCs/>
                <w:sz w:val="18"/>
                <w:szCs w:val="18"/>
              </w:rPr>
              <w:t>or</w:t>
            </w:r>
            <w:r w:rsidRPr="0087031A">
              <w:rPr>
                <w:rFonts w:ascii="Verdana" w:eastAsia="Times New Roman" w:hAnsi="Verdana" w:cs="Times New Roman"/>
                <w:sz w:val="18"/>
                <w:szCs w:val="18"/>
              </w:rPr>
              <w:t xml:space="preserve"> </w:t>
            </w:r>
          </w:p>
          <w:p w:rsidR="0087031A" w:rsidRPr="0087031A" w:rsidRDefault="0084256B" w:rsidP="0087031A">
            <w:pPr>
              <w:numPr>
                <w:ilvl w:val="0"/>
                <w:numId w:val="159"/>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Second Home or Non Owner Occupied Property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5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Cash-out Refinance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60"/>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48 – with max. 90% LTV/CLTV</w:t>
            </w:r>
            <w:r w:rsidRPr="0087031A">
              <w:rPr>
                <w:rFonts w:ascii="Verdana" w:eastAsia="Times New Roman" w:hAnsi="Verdana" w:cs="Times New Roman"/>
                <w:b/>
                <w:bCs/>
                <w:sz w:val="12"/>
                <w:vertAlign w:val="superscript"/>
              </w:rPr>
              <w:t>1</w:t>
            </w:r>
          </w:p>
          <w:p w:rsidR="0087031A" w:rsidRPr="0087031A" w:rsidRDefault="0087031A" w:rsidP="0087031A">
            <w:pPr>
              <w:numPr>
                <w:ilvl w:val="0"/>
                <w:numId w:val="160"/>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 greater than 90% LTV/CLTV</w:t>
            </w:r>
            <w:r w:rsidRPr="0087031A">
              <w:rPr>
                <w:rFonts w:ascii="Verdana" w:eastAsia="Times New Roman" w:hAnsi="Verdana" w:cs="Times New Roman"/>
                <w:b/>
                <w:bCs/>
                <w:sz w:val="12"/>
                <w:vertAlign w:val="superscript"/>
              </w:rPr>
              <w:t>1</w:t>
            </w:r>
          </w:p>
        </w:tc>
      </w:tr>
      <w:tr w:rsidR="0087031A" w:rsidRPr="0087031A" w:rsidTr="0087031A">
        <w:trPr>
          <w:trHeight w:val="255"/>
          <w:tblCellSpacing w:w="0" w:type="dxa"/>
        </w:trPr>
        <w:tc>
          <w:tcPr>
            <w:tcW w:w="0" w:type="auto"/>
            <w:gridSpan w:val="3"/>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Forgiveness of Debt</w:t>
            </w:r>
            <w:r w:rsidRPr="0087031A">
              <w:rPr>
                <w:rFonts w:ascii="Verdana" w:eastAsia="Times New Roman" w:hAnsi="Verdana" w:cs="Times New Roman"/>
                <w:sz w:val="18"/>
                <w:szCs w:val="18"/>
              </w:rPr>
              <w:t xml:space="preserve"> </w:t>
            </w:r>
            <w:r w:rsidRPr="0087031A">
              <w:rPr>
                <w:rFonts w:ascii="Verdana" w:eastAsia="Times New Roman" w:hAnsi="Verdana" w:cs="Times New Roman"/>
                <w:b/>
                <w:bCs/>
                <w:sz w:val="12"/>
                <w:vertAlign w:val="superscript"/>
              </w:rPr>
              <w:t>2</w:t>
            </w:r>
          </w:p>
        </w:tc>
      </w:tr>
      <w:tr w:rsidR="0087031A" w:rsidRPr="0087031A" w:rsidTr="0087031A">
        <w:trPr>
          <w:trHeight w:val="306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Short Sale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36 Months:</w:t>
            </w:r>
          </w:p>
          <w:p w:rsidR="0087031A" w:rsidRPr="0087031A" w:rsidRDefault="0087031A" w:rsidP="0087031A">
            <w:pPr>
              <w:numPr>
                <w:ilvl w:val="0"/>
                <w:numId w:val="16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With max. 90%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4256B" w:rsidP="0087031A">
            <w:pPr>
              <w:numPr>
                <w:ilvl w:val="0"/>
                <w:numId w:val="161"/>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Primary Residence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6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Cash-out Refinance (all property types)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Months:</w:t>
            </w:r>
          </w:p>
          <w:p w:rsidR="0087031A" w:rsidRPr="0087031A" w:rsidRDefault="0087031A" w:rsidP="0087031A">
            <w:pPr>
              <w:numPr>
                <w:ilvl w:val="0"/>
                <w:numId w:val="16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Max.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is greater than 90% </w:t>
            </w:r>
            <w:r w:rsidRPr="0087031A">
              <w:rPr>
                <w:rFonts w:ascii="Verdana" w:eastAsia="Times New Roman" w:hAnsi="Verdana" w:cs="Times New Roman"/>
                <w:b/>
                <w:bCs/>
                <w:sz w:val="18"/>
                <w:szCs w:val="18"/>
              </w:rPr>
              <w:t>or</w:t>
            </w:r>
            <w:r w:rsidRPr="0087031A">
              <w:rPr>
                <w:rFonts w:ascii="Verdana" w:eastAsia="Times New Roman" w:hAnsi="Verdana" w:cs="Times New Roman"/>
                <w:sz w:val="18"/>
                <w:szCs w:val="18"/>
              </w:rPr>
              <w:t xml:space="preserve"> </w:t>
            </w:r>
          </w:p>
          <w:p w:rsidR="0087031A" w:rsidRPr="0087031A" w:rsidRDefault="0084256B" w:rsidP="0087031A">
            <w:pPr>
              <w:numPr>
                <w:ilvl w:val="0"/>
                <w:numId w:val="162"/>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Second Home or Non Owner Occupied Property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6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Cash-out Refinance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63"/>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48 – with max. 90% LTV/CLTV</w:t>
            </w:r>
            <w:r w:rsidRPr="0087031A">
              <w:rPr>
                <w:rFonts w:ascii="Verdana" w:eastAsia="Times New Roman" w:hAnsi="Verdana" w:cs="Times New Roman"/>
                <w:b/>
                <w:bCs/>
                <w:sz w:val="12"/>
                <w:vertAlign w:val="superscript"/>
              </w:rPr>
              <w:t>1</w:t>
            </w:r>
          </w:p>
          <w:p w:rsidR="0087031A" w:rsidRPr="0087031A" w:rsidRDefault="0087031A" w:rsidP="0087031A">
            <w:pPr>
              <w:numPr>
                <w:ilvl w:val="0"/>
                <w:numId w:val="163"/>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 greater than 90% LTV/CLTV</w:t>
            </w:r>
            <w:r w:rsidRPr="0087031A">
              <w:rPr>
                <w:rFonts w:ascii="Verdana" w:eastAsia="Times New Roman" w:hAnsi="Verdana" w:cs="Times New Roman"/>
                <w:b/>
                <w:bCs/>
                <w:sz w:val="12"/>
                <w:vertAlign w:val="superscript"/>
              </w:rPr>
              <w:t>1</w:t>
            </w:r>
          </w:p>
        </w:tc>
      </w:tr>
      <w:tr w:rsidR="0087031A" w:rsidRPr="0087031A" w:rsidTr="0087031A">
        <w:trPr>
          <w:trHeight w:val="3060"/>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Short Payoff</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36 Months:</w:t>
            </w:r>
          </w:p>
          <w:p w:rsidR="0087031A" w:rsidRPr="0087031A" w:rsidRDefault="0087031A" w:rsidP="0087031A">
            <w:pPr>
              <w:numPr>
                <w:ilvl w:val="0"/>
                <w:numId w:val="16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With max. 90%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4256B" w:rsidP="0087031A">
            <w:pPr>
              <w:numPr>
                <w:ilvl w:val="0"/>
                <w:numId w:val="164"/>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Primary Residence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6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Cash-out Refinance (all property types)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Months:</w:t>
            </w:r>
          </w:p>
          <w:p w:rsidR="0087031A" w:rsidRPr="0087031A" w:rsidRDefault="0087031A" w:rsidP="0087031A">
            <w:pPr>
              <w:numPr>
                <w:ilvl w:val="0"/>
                <w:numId w:val="16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Max. LTV/CLTV</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is greater than 90% </w:t>
            </w:r>
            <w:r w:rsidRPr="0087031A">
              <w:rPr>
                <w:rFonts w:ascii="Verdana" w:eastAsia="Times New Roman" w:hAnsi="Verdana" w:cs="Times New Roman"/>
                <w:b/>
                <w:bCs/>
                <w:sz w:val="18"/>
                <w:szCs w:val="18"/>
              </w:rPr>
              <w:t>or</w:t>
            </w:r>
            <w:r w:rsidRPr="0087031A">
              <w:rPr>
                <w:rFonts w:ascii="Verdana" w:eastAsia="Times New Roman" w:hAnsi="Verdana" w:cs="Times New Roman"/>
                <w:sz w:val="18"/>
                <w:szCs w:val="18"/>
              </w:rPr>
              <w:t xml:space="preserve"> </w:t>
            </w:r>
          </w:p>
          <w:p w:rsidR="0087031A" w:rsidRPr="0087031A" w:rsidRDefault="0084256B" w:rsidP="0087031A">
            <w:pPr>
              <w:numPr>
                <w:ilvl w:val="0"/>
                <w:numId w:val="165"/>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Purchase</w:t>
            </w:r>
            <w:r w:rsidR="0087031A" w:rsidRPr="0087031A">
              <w:rPr>
                <w:rFonts w:ascii="Verdana" w:eastAsia="Times New Roman" w:hAnsi="Verdana" w:cs="Times New Roman"/>
                <w:sz w:val="18"/>
                <w:szCs w:val="18"/>
              </w:rPr>
              <w:t xml:space="preserve"> of Second Home or Non Owner Occupied Property </w:t>
            </w:r>
            <w:r w:rsidR="0087031A" w:rsidRPr="0087031A">
              <w:rPr>
                <w:rFonts w:ascii="Verdana" w:eastAsia="Times New Roman" w:hAnsi="Verdana" w:cs="Times New Roman"/>
                <w:b/>
                <w:bCs/>
                <w:sz w:val="18"/>
                <w:szCs w:val="18"/>
              </w:rPr>
              <w:t>or</w:t>
            </w:r>
            <w:r w:rsidR="0087031A" w:rsidRPr="0087031A">
              <w:rPr>
                <w:rFonts w:ascii="Verdana" w:eastAsia="Times New Roman" w:hAnsi="Verdana" w:cs="Times New Roman"/>
                <w:sz w:val="18"/>
                <w:szCs w:val="18"/>
              </w:rPr>
              <w:t xml:space="preserve"> </w:t>
            </w:r>
          </w:p>
          <w:p w:rsidR="0087031A" w:rsidRPr="0087031A" w:rsidRDefault="0087031A" w:rsidP="0087031A">
            <w:pPr>
              <w:numPr>
                <w:ilvl w:val="0"/>
                <w:numId w:val="16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Cash-out Refinance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66"/>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48 – with max. 90% LTV/CLTV</w:t>
            </w:r>
            <w:r w:rsidRPr="0087031A">
              <w:rPr>
                <w:rFonts w:ascii="Verdana" w:eastAsia="Times New Roman" w:hAnsi="Verdana" w:cs="Times New Roman"/>
                <w:b/>
                <w:bCs/>
                <w:sz w:val="12"/>
                <w:vertAlign w:val="superscript"/>
              </w:rPr>
              <w:t>1</w:t>
            </w:r>
          </w:p>
          <w:p w:rsidR="0087031A" w:rsidRPr="0087031A" w:rsidRDefault="0087031A" w:rsidP="0087031A">
            <w:pPr>
              <w:numPr>
                <w:ilvl w:val="0"/>
                <w:numId w:val="166"/>
              </w:num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84 – greater than 90% LTV/CLTV</w:t>
            </w:r>
            <w:r w:rsidRPr="0087031A">
              <w:rPr>
                <w:rFonts w:ascii="Verdana" w:eastAsia="Times New Roman" w:hAnsi="Verdana" w:cs="Times New Roman"/>
                <w:b/>
                <w:bCs/>
                <w:sz w:val="12"/>
                <w:vertAlign w:val="superscript"/>
              </w:rPr>
              <w:t>1</w:t>
            </w:r>
          </w:p>
        </w:tc>
      </w:tr>
      <w:tr w:rsidR="0087031A" w:rsidRPr="0087031A" w:rsidTr="0087031A">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Modification (which included principal forgiveness)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36</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48</w:t>
            </w:r>
          </w:p>
        </w:tc>
      </w:tr>
    </w:tbl>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7"/>
          <w:szCs w:val="17"/>
        </w:rPr>
        <w:t>Important Note: LTV/CLTV limits in the above chart are for Derogatory Credit Policy purposes only and are not reflective of actual allowable limits of any specific product or program.  Please see applicable Product Guide for maximum allowable LTV/CLTV limits.</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2</w:t>
      </w:r>
      <w:r w:rsidRPr="0087031A">
        <w:rPr>
          <w:rFonts w:ascii="Verdana" w:eastAsia="Times New Roman" w:hAnsi="Verdana" w:cs="Times New Roman"/>
          <w:sz w:val="17"/>
          <w:szCs w:val="17"/>
        </w:rPr>
        <w:t>The new loan must not be contingent on a concurrent Forgiveness of Debt transaction</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3</w:t>
      </w:r>
      <w:r w:rsidRPr="0087031A">
        <w:rPr>
          <w:rFonts w:ascii="Verdana" w:eastAsia="Times New Roman" w:hAnsi="Verdana" w:cs="Times New Roman"/>
          <w:sz w:val="17"/>
          <w:szCs w:val="17"/>
        </w:rPr>
        <w:t>See Multiple Bankruptcy Filings Section (below) for more information and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In addition to the above seasoning requirements, the borrower is also subject to the </w:t>
      </w:r>
      <w:r w:rsidRPr="0087031A">
        <w:rPr>
          <w:rFonts w:ascii="Verdana" w:eastAsia="Times New Roman" w:hAnsi="Verdana" w:cs="Times New Roman"/>
          <w:color w:val="006699"/>
          <w:sz w:val="18"/>
          <w:szCs w:val="18"/>
        </w:rPr>
        <w:t>Requirements for Re-establishing Credit</w:t>
      </w:r>
      <w:r w:rsidRPr="0087031A">
        <w:rPr>
          <w:rFonts w:ascii="Verdana" w:eastAsia="Times New Roman" w:hAnsi="Verdana" w:cs="Times New Roman"/>
          <w:sz w:val="18"/>
          <w:szCs w:val="18"/>
        </w:rPr>
        <w:t xml:space="preserve"> as reflected below within this topic.</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 xml:space="preserve">HARP - </w:t>
      </w:r>
      <w:proofErr w:type="spellStart"/>
      <w:r w:rsidRPr="0087031A">
        <w:rPr>
          <w:rFonts w:ascii="Verdana" w:eastAsia="Times New Roman" w:hAnsi="Verdana" w:cs="Times New Roman"/>
          <w:b/>
          <w:bCs/>
          <w:sz w:val="18"/>
          <w:szCs w:val="18"/>
        </w:rPr>
        <w:t>Refi</w:t>
      </w:r>
      <w:proofErr w:type="spellEnd"/>
      <w:r w:rsidRPr="0087031A">
        <w:rPr>
          <w:rFonts w:ascii="Verdana" w:eastAsia="Times New Roman" w:hAnsi="Verdana" w:cs="Times New Roman"/>
          <w:b/>
          <w:bCs/>
          <w:sz w:val="18"/>
          <w:szCs w:val="18"/>
        </w:rPr>
        <w:t xml:space="preserve"> Plus and Relief Refinance Derogatory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seasoning requirements for serious derogatory events detailed above do not apply to the FNMA </w:t>
      </w:r>
      <w:proofErr w:type="spellStart"/>
      <w:r w:rsidRPr="0087031A">
        <w:rPr>
          <w:rFonts w:ascii="Verdana" w:eastAsia="Times New Roman" w:hAnsi="Verdana" w:cs="Times New Roman"/>
          <w:sz w:val="18"/>
          <w:szCs w:val="18"/>
        </w:rPr>
        <w:t>Refi</w:t>
      </w:r>
      <w:proofErr w:type="spellEnd"/>
      <w:r w:rsidRPr="0087031A">
        <w:rPr>
          <w:rFonts w:ascii="Verdana" w:eastAsia="Times New Roman" w:hAnsi="Verdana" w:cs="Times New Roman"/>
          <w:sz w:val="18"/>
          <w:szCs w:val="18"/>
        </w:rPr>
        <w:t xml:space="preserve"> Plus and the FHLMC Relief </w:t>
      </w:r>
      <w:proofErr w:type="spellStart"/>
      <w:r w:rsidRPr="0087031A">
        <w:rPr>
          <w:rFonts w:ascii="Verdana" w:eastAsia="Times New Roman" w:hAnsi="Verdana" w:cs="Times New Roman"/>
          <w:sz w:val="18"/>
          <w:szCs w:val="18"/>
        </w:rPr>
        <w:t>Refi</w:t>
      </w:r>
      <w:proofErr w:type="spellEnd"/>
      <w:r w:rsidRPr="0087031A">
        <w:rPr>
          <w:rFonts w:ascii="Verdana" w:eastAsia="Times New Roman" w:hAnsi="Verdana" w:cs="Times New Roman"/>
          <w:sz w:val="18"/>
          <w:szCs w:val="18"/>
        </w:rPr>
        <w:t xml:space="preserve"> products.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 addition, Delinquent/Past-Due accounts do not need to be brought current or satisfied except as follows:</w:t>
      </w:r>
    </w:p>
    <w:p w:rsidR="0087031A" w:rsidRPr="0087031A" w:rsidRDefault="0087031A" w:rsidP="0087031A">
      <w:pPr>
        <w:numPr>
          <w:ilvl w:val="0"/>
          <w:numId w:val="16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derogatory credit item impacting title and/or </w:t>
      </w:r>
      <w:r w:rsidR="009B3752">
        <w:rPr>
          <w:rFonts w:ascii="Verdana" w:eastAsia="Times New Roman" w:hAnsi="Verdana" w:cs="Times New Roman"/>
          <w:sz w:val="18"/>
          <w:szCs w:val="18"/>
        </w:rPr>
        <w:t>Underwriting Institute</w:t>
      </w:r>
      <w:r w:rsidRPr="0087031A">
        <w:rPr>
          <w:rFonts w:ascii="Verdana" w:eastAsia="Times New Roman" w:hAnsi="Verdana" w:cs="Times New Roman"/>
          <w:sz w:val="18"/>
          <w:szCs w:val="18"/>
        </w:rPr>
        <w:t xml:space="preserve">’s lien position must be satisfied or the lien must be subordinated to the new </w:t>
      </w:r>
      <w:r w:rsidR="009B3752">
        <w:rPr>
          <w:rFonts w:ascii="Verdana" w:eastAsia="Times New Roman" w:hAnsi="Verdana" w:cs="Times New Roman"/>
          <w:sz w:val="18"/>
          <w:szCs w:val="18"/>
        </w:rPr>
        <w:t>Underwriting Institute</w:t>
      </w:r>
      <w:r w:rsidRPr="0087031A">
        <w:rPr>
          <w:rFonts w:ascii="Verdana" w:eastAsia="Times New Roman" w:hAnsi="Verdana" w:cs="Times New Roman"/>
          <w:sz w:val="18"/>
          <w:szCs w:val="18"/>
        </w:rPr>
        <w:t xml:space="preserve"> Mortgage and the title company must insure our first lien position.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the </w:t>
      </w:r>
      <w:r w:rsidRPr="0087031A">
        <w:rPr>
          <w:rFonts w:ascii="Verdana" w:eastAsia="Times New Roman" w:hAnsi="Verdana" w:cs="Times New Roman"/>
          <w:color w:val="006699"/>
          <w:sz w:val="18"/>
          <w:szCs w:val="18"/>
        </w:rPr>
        <w:t xml:space="preserve">HARP Fannie Mae </w:t>
      </w:r>
      <w:proofErr w:type="spellStart"/>
      <w:r w:rsidRPr="0087031A">
        <w:rPr>
          <w:rFonts w:ascii="Verdana" w:eastAsia="Times New Roman" w:hAnsi="Verdana" w:cs="Times New Roman"/>
          <w:color w:val="006699"/>
          <w:sz w:val="18"/>
          <w:szCs w:val="18"/>
        </w:rPr>
        <w:t>Refi</w:t>
      </w:r>
      <w:proofErr w:type="spellEnd"/>
      <w:r w:rsidRPr="0087031A">
        <w:rPr>
          <w:rFonts w:ascii="Verdana" w:eastAsia="Times New Roman" w:hAnsi="Verdana" w:cs="Times New Roman"/>
          <w:color w:val="006699"/>
          <w:sz w:val="18"/>
          <w:szCs w:val="18"/>
        </w:rPr>
        <w:t xml:space="preserve"> Plus</w:t>
      </w:r>
      <w:r w:rsidRPr="0087031A">
        <w:rPr>
          <w:rFonts w:ascii="Verdana" w:eastAsia="Times New Roman" w:hAnsi="Verdana" w:cs="Times New Roman"/>
          <w:sz w:val="18"/>
          <w:szCs w:val="18"/>
        </w:rPr>
        <w:t xml:space="preserve"> and </w:t>
      </w:r>
      <w:r w:rsidRPr="0087031A">
        <w:rPr>
          <w:rFonts w:ascii="Verdana" w:eastAsia="Times New Roman" w:hAnsi="Verdana" w:cs="Times New Roman"/>
          <w:color w:val="006699"/>
          <w:sz w:val="18"/>
          <w:szCs w:val="18"/>
        </w:rPr>
        <w:t xml:space="preserve">HARP Freddie Mac Relief </w:t>
      </w:r>
      <w:proofErr w:type="spellStart"/>
      <w:r w:rsidRPr="0087031A">
        <w:rPr>
          <w:rFonts w:ascii="Verdana" w:eastAsia="Times New Roman" w:hAnsi="Verdana" w:cs="Times New Roman"/>
          <w:color w:val="006699"/>
          <w:sz w:val="18"/>
          <w:szCs w:val="18"/>
        </w:rPr>
        <w:t>Refi</w:t>
      </w:r>
      <w:proofErr w:type="spellEnd"/>
      <w:r w:rsidRPr="0087031A">
        <w:rPr>
          <w:rFonts w:ascii="Verdana" w:eastAsia="Times New Roman" w:hAnsi="Verdana" w:cs="Times New Roman"/>
          <w:color w:val="006699"/>
          <w:sz w:val="18"/>
          <w:szCs w:val="18"/>
        </w:rPr>
        <w:t xml:space="preserve"> Underwriting Specs</w:t>
      </w:r>
      <w:r w:rsidRPr="0087031A">
        <w:rPr>
          <w:rFonts w:ascii="Verdana" w:eastAsia="Times New Roman" w:hAnsi="Verdana" w:cs="Times New Roman"/>
          <w:sz w:val="18"/>
          <w:szCs w:val="18"/>
        </w:rPr>
        <w:t xml:space="preserve"> for additional information.</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Completion Date Definition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definition of completion date varies based on the event type. Please refer to the table below for completion dates.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868"/>
        <w:gridCol w:w="2938"/>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Event</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Completion Date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Bankruptcy</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Discharge or Dismissal Date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Foreclosure, Deed-in-Lieu of Foreclosure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Transaction completion date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Forgiveness of Debt (Short Sale)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Sale Date</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Forgiveness of Debt (Short Payoff or Modification)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Transaction Completion Date</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2" w:name="Extenuating_Circumstances"/>
      <w:bookmarkEnd w:id="72"/>
      <w:r w:rsidRPr="0087031A">
        <w:rPr>
          <w:rFonts w:ascii="Verdana" w:eastAsia="Times New Roman" w:hAnsi="Verdana" w:cs="Times New Roman"/>
          <w:b/>
          <w:bCs/>
          <w:sz w:val="21"/>
          <w:szCs w:val="21"/>
        </w:rPr>
        <w:lastRenderedPageBreak/>
        <w:t>Extenuating Circumstances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Extenuating circumstances are isolated nonrecurring events that are beyond the borrower’s control that result in a sudden, significant, and prolonged reduction in income or a catastrophic increase in financial obligations which rendered the Borrower unable to repay as agreed.</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the </w:t>
      </w:r>
      <w:r w:rsidRPr="0087031A">
        <w:rPr>
          <w:rFonts w:ascii="Verdana" w:eastAsia="Times New Roman" w:hAnsi="Verdana" w:cs="Times New Roman"/>
          <w:color w:val="006699"/>
          <w:sz w:val="18"/>
          <w:szCs w:val="18"/>
        </w:rPr>
        <w:t>Extenuating Circumstances</w:t>
      </w:r>
      <w:r w:rsidRPr="0087031A">
        <w:rPr>
          <w:rFonts w:ascii="Verdana" w:eastAsia="Times New Roman" w:hAnsi="Verdana" w:cs="Times New Roman"/>
          <w:sz w:val="18"/>
          <w:szCs w:val="18"/>
        </w:rPr>
        <w:t xml:space="preserve"> topic in the </w:t>
      </w:r>
      <w:r w:rsidR="00F9512F">
        <w:rPr>
          <w:rFonts w:ascii="Verdana" w:eastAsia="Times New Roman" w:hAnsi="Verdana" w:cs="Times New Roman"/>
          <w:color w:val="006699"/>
          <w:sz w:val="18"/>
          <w:szCs w:val="18"/>
        </w:rPr>
        <w:t>Lender Underwriting Policy</w:t>
      </w:r>
      <w:r w:rsidRPr="0087031A">
        <w:rPr>
          <w:rFonts w:ascii="Verdana" w:eastAsia="Times New Roman" w:hAnsi="Verdana" w:cs="Times New Roman"/>
          <w:sz w:val="18"/>
          <w:szCs w:val="18"/>
        </w:rPr>
        <w:t xml:space="preserve"> for additional information, including documentation requirements and detailed calculation methods.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Follow the guidelines below when any of the following events were a result of extenuating circumstances:</w:t>
      </w:r>
    </w:p>
    <w:p w:rsidR="0087031A" w:rsidRPr="0087031A" w:rsidRDefault="0087031A" w:rsidP="0087031A">
      <w:pPr>
        <w:numPr>
          <w:ilvl w:val="0"/>
          <w:numId w:val="16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13 Bankruptcy (regardless of the reason for the filing); </w:t>
      </w:r>
    </w:p>
    <w:p w:rsidR="0087031A" w:rsidRPr="0087031A" w:rsidRDefault="0087031A" w:rsidP="0087031A">
      <w:pPr>
        <w:numPr>
          <w:ilvl w:val="0"/>
          <w:numId w:val="16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7, 11, or 12 Bankruptcy, </w:t>
      </w:r>
    </w:p>
    <w:p w:rsidR="0087031A" w:rsidRPr="0087031A" w:rsidRDefault="0087031A" w:rsidP="0087031A">
      <w:pPr>
        <w:numPr>
          <w:ilvl w:val="0"/>
          <w:numId w:val="16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Foreclosure, </w:t>
      </w:r>
    </w:p>
    <w:p w:rsidR="0087031A" w:rsidRPr="0087031A" w:rsidRDefault="0087031A" w:rsidP="0087031A">
      <w:pPr>
        <w:numPr>
          <w:ilvl w:val="0"/>
          <w:numId w:val="16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Deed-in-Lieu of Foreclosure, or </w:t>
      </w:r>
    </w:p>
    <w:p w:rsidR="0087031A" w:rsidRPr="0087031A" w:rsidRDefault="0087031A" w:rsidP="0087031A">
      <w:pPr>
        <w:numPr>
          <w:ilvl w:val="0"/>
          <w:numId w:val="16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Forgiveness of Debt: Short Sale, Short-Payoff, or Modification of a mortgage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guidelines below must be met for the circumstances outlined above:</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provide a letter of explanation and documentation evidencing the derogatory credit incident was not due to financial mismanagement, but was the result of extenuating circumstances beyond their control. </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provide copies of full documentation verifying completion (e.g., bankruptcy petition and discharge papers and list of creditors) when Underwriting is unable to determine the completion date on the credit bureau or when required by specific guidelines. </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Underwriting must review all aspects of the file that evidence the borrower's recovery from the circumstance to determine that the circumstances and events leading to the incident are not likely to recur. </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file must be documented with evidence that the borrower had an acceptable credit history prior to the extenuating circumstances, and </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Underwriting must have sufficient documentation to support their conclusion that: </w:t>
      </w:r>
    </w:p>
    <w:p w:rsidR="0087031A" w:rsidRPr="0087031A" w:rsidRDefault="0087031A" w:rsidP="0087031A">
      <w:pPr>
        <w:numPr>
          <w:ilvl w:val="0"/>
          <w:numId w:val="169"/>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is now creditworthy, </w:t>
      </w:r>
    </w:p>
    <w:p w:rsidR="0087031A" w:rsidRPr="0087031A" w:rsidRDefault="0087031A" w:rsidP="0087031A">
      <w:pPr>
        <w:numPr>
          <w:ilvl w:val="1"/>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has the capacity to repay the obligation, and </w:t>
      </w:r>
    </w:p>
    <w:p w:rsidR="0087031A" w:rsidRPr="0087031A" w:rsidRDefault="0087031A" w:rsidP="0087031A">
      <w:pPr>
        <w:numPr>
          <w:ilvl w:val="1"/>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There is no additional or potential overlaying of risks. </w:t>
      </w:r>
    </w:p>
    <w:p w:rsidR="0087031A" w:rsidRPr="0087031A" w:rsidRDefault="0087031A" w:rsidP="0087031A">
      <w:pPr>
        <w:numPr>
          <w:ilvl w:val="0"/>
          <w:numId w:val="16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meet the criteria contained within the </w:t>
      </w:r>
      <w:r w:rsidRPr="0087031A">
        <w:rPr>
          <w:rFonts w:ascii="Verdana" w:eastAsia="Times New Roman" w:hAnsi="Verdana" w:cs="Times New Roman"/>
          <w:color w:val="006699"/>
          <w:sz w:val="18"/>
        </w:rPr>
        <w:t>Requirements for Re-establishing Credit</w:t>
      </w:r>
      <w:r w:rsidRPr="0087031A">
        <w:rPr>
          <w:rFonts w:ascii="Verdana" w:eastAsia="Times New Roman" w:hAnsi="Verdana" w:cs="Times New Roman"/>
          <w:sz w:val="18"/>
          <w:szCs w:val="18"/>
        </w:rPr>
        <w:t xml:space="preserve"> Section of this topic.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3" w:name="Financial_Mismanagement"/>
      <w:bookmarkEnd w:id="73"/>
      <w:r w:rsidRPr="0087031A">
        <w:rPr>
          <w:rFonts w:ascii="Verdana" w:eastAsia="Times New Roman" w:hAnsi="Verdana" w:cs="Times New Roman"/>
          <w:b/>
          <w:bCs/>
          <w:sz w:val="21"/>
          <w:szCs w:val="21"/>
        </w:rPr>
        <w:t>Financial Mismanagement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Guidelines are provided below for extenuating circumstances that cannot be documented or supported, including any of the following that were a result of financial mismanagement (rather than extenuating circumstances):</w:t>
      </w:r>
    </w:p>
    <w:p w:rsidR="0087031A" w:rsidRPr="0087031A" w:rsidRDefault="0087031A" w:rsidP="0087031A">
      <w:pPr>
        <w:numPr>
          <w:ilvl w:val="0"/>
          <w:numId w:val="17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13 Bankruptcy (regardless of the reason for the filing), </w:t>
      </w:r>
    </w:p>
    <w:p w:rsidR="0087031A" w:rsidRPr="0087031A" w:rsidRDefault="0087031A" w:rsidP="0087031A">
      <w:pPr>
        <w:numPr>
          <w:ilvl w:val="0"/>
          <w:numId w:val="17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Chapter 7, 11, or 12 Bankruptcy, </w:t>
      </w:r>
    </w:p>
    <w:p w:rsidR="0087031A" w:rsidRPr="0087031A" w:rsidRDefault="0087031A" w:rsidP="0087031A">
      <w:pPr>
        <w:numPr>
          <w:ilvl w:val="0"/>
          <w:numId w:val="17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Foreclosure, </w:t>
      </w:r>
    </w:p>
    <w:p w:rsidR="0087031A" w:rsidRPr="0087031A" w:rsidRDefault="0087031A" w:rsidP="0087031A">
      <w:pPr>
        <w:numPr>
          <w:ilvl w:val="0"/>
          <w:numId w:val="17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Deed-in-Lieu of Foreclosure, or </w:t>
      </w:r>
    </w:p>
    <w:p w:rsidR="0087031A" w:rsidRPr="0087031A" w:rsidRDefault="0087031A" w:rsidP="0087031A">
      <w:pPr>
        <w:numPr>
          <w:ilvl w:val="0"/>
          <w:numId w:val="17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Forgiveness of Debt: Short Sale, Short-Payoff, or Modification of a mortgage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guidelines below must be met for the circumstances outlined above:</w:t>
      </w:r>
    </w:p>
    <w:p w:rsidR="0087031A" w:rsidRPr="0087031A" w:rsidRDefault="0087031A" w:rsidP="0087031A">
      <w:pPr>
        <w:numPr>
          <w:ilvl w:val="0"/>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provide a letter of explanation. </w:t>
      </w:r>
    </w:p>
    <w:p w:rsidR="0087031A" w:rsidRPr="0087031A" w:rsidRDefault="0087031A" w:rsidP="0087031A">
      <w:pPr>
        <w:numPr>
          <w:ilvl w:val="0"/>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provide copies of full documentation verifying completion (e.g., bankruptcy petition and discharge papers and list of creditors) when Underwriting is unable to determine the completion date on the credit bureau or when required by specific guidelines. </w:t>
      </w:r>
    </w:p>
    <w:p w:rsidR="0087031A" w:rsidRPr="0087031A" w:rsidRDefault="0087031A" w:rsidP="0087031A">
      <w:pPr>
        <w:numPr>
          <w:ilvl w:val="0"/>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Underwriting must review all aspects of the file that evidence the borrower's recovery from the circumstance to determine that the circumstances and events leading to the event are not likely to recur. </w:t>
      </w:r>
    </w:p>
    <w:p w:rsidR="0087031A" w:rsidRPr="0087031A" w:rsidRDefault="0087031A" w:rsidP="0087031A">
      <w:pPr>
        <w:numPr>
          <w:ilvl w:val="0"/>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Underwriting must review all aspects of the file paying particular attention to risk score factor reason codes that accompany the credit risk score, notably: </w:t>
      </w:r>
    </w:p>
    <w:p w:rsidR="0087031A" w:rsidRPr="0087031A" w:rsidRDefault="0087031A" w:rsidP="0087031A">
      <w:pPr>
        <w:numPr>
          <w:ilvl w:val="0"/>
          <w:numId w:val="171"/>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Inquiries, </w:t>
      </w:r>
    </w:p>
    <w:p w:rsidR="0087031A" w:rsidRPr="0087031A" w:rsidRDefault="0087031A" w:rsidP="0087031A">
      <w:pPr>
        <w:numPr>
          <w:ilvl w:val="1"/>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Age of accounts, </w:t>
      </w:r>
    </w:p>
    <w:p w:rsidR="0087031A" w:rsidRPr="0087031A" w:rsidRDefault="0087031A" w:rsidP="0087031A">
      <w:pPr>
        <w:numPr>
          <w:ilvl w:val="1"/>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Balance-to-limits, and </w:t>
      </w:r>
    </w:p>
    <w:p w:rsidR="0087031A" w:rsidRPr="0087031A" w:rsidRDefault="0087031A" w:rsidP="0087031A">
      <w:pPr>
        <w:numPr>
          <w:ilvl w:val="1"/>
          <w:numId w:val="17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adverse or derogatory information. </w:t>
      </w:r>
    </w:p>
    <w:p w:rsidR="0087031A" w:rsidRPr="0087031A" w:rsidRDefault="0087031A" w:rsidP="0087031A">
      <w:pPr>
        <w:spacing w:before="100" w:beforeAutospacing="1" w:after="100" w:afterAutospacing="1" w:line="240" w:lineRule="auto"/>
        <w:ind w:left="600"/>
        <w:rPr>
          <w:rFonts w:ascii="Verdana" w:eastAsia="Times New Roman" w:hAnsi="Verdana" w:cs="Times New Roman"/>
          <w:sz w:val="18"/>
          <w:szCs w:val="18"/>
        </w:rPr>
      </w:pPr>
      <w:r w:rsidRPr="0087031A">
        <w:rPr>
          <w:rFonts w:ascii="Verdana" w:eastAsia="Times New Roman" w:hAnsi="Verdana" w:cs="Times New Roman"/>
          <w:sz w:val="18"/>
          <w:szCs w:val="18"/>
        </w:rPr>
        <w:t>Underwriting must have sufficient documentation to support their conclusion that:</w:t>
      </w:r>
    </w:p>
    <w:p w:rsidR="0087031A" w:rsidRPr="0087031A" w:rsidRDefault="0087031A" w:rsidP="0087031A">
      <w:pPr>
        <w:numPr>
          <w:ilvl w:val="0"/>
          <w:numId w:val="172"/>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87031A" w:rsidP="0087031A">
      <w:pPr>
        <w:numPr>
          <w:ilvl w:val="1"/>
          <w:numId w:val="173"/>
        </w:numPr>
        <w:spacing w:before="100" w:beforeAutospacing="1" w:after="100" w:afterAutospacing="1" w:line="240" w:lineRule="auto"/>
        <w:ind w:left="1440" w:hanging="360"/>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is now creditworthy, </w:t>
      </w:r>
    </w:p>
    <w:p w:rsidR="0087031A" w:rsidRPr="0087031A" w:rsidRDefault="0087031A" w:rsidP="0087031A">
      <w:pPr>
        <w:numPr>
          <w:ilvl w:val="1"/>
          <w:numId w:val="173"/>
        </w:numPr>
        <w:spacing w:before="100" w:beforeAutospacing="1" w:after="100" w:afterAutospacing="1" w:line="240" w:lineRule="auto"/>
        <w:ind w:left="1440" w:hanging="360"/>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has the capacity to repay the obligation, and </w:t>
      </w:r>
    </w:p>
    <w:p w:rsidR="0087031A" w:rsidRPr="0087031A" w:rsidRDefault="0087031A" w:rsidP="0087031A">
      <w:pPr>
        <w:numPr>
          <w:ilvl w:val="1"/>
          <w:numId w:val="173"/>
        </w:numPr>
        <w:spacing w:before="100" w:beforeAutospacing="1" w:after="100" w:afterAutospacing="1" w:line="240" w:lineRule="auto"/>
        <w:ind w:left="1440" w:hanging="360"/>
        <w:rPr>
          <w:rFonts w:ascii="Verdana" w:eastAsia="Times New Roman" w:hAnsi="Verdana" w:cs="Times New Roman"/>
          <w:sz w:val="18"/>
          <w:szCs w:val="18"/>
        </w:rPr>
      </w:pPr>
      <w:r w:rsidRPr="0087031A">
        <w:rPr>
          <w:rFonts w:ascii="Verdana" w:eastAsia="Times New Roman" w:hAnsi="Verdana" w:cs="Times New Roman"/>
          <w:sz w:val="18"/>
          <w:szCs w:val="18"/>
        </w:rPr>
        <w:t xml:space="preserve">There is no additional or potential overlaying of risks.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must meet the criteria contained within the </w:t>
      </w:r>
      <w:r w:rsidRPr="0087031A">
        <w:rPr>
          <w:rFonts w:ascii="Verdana" w:eastAsia="Times New Roman" w:hAnsi="Verdana" w:cs="Times New Roman"/>
          <w:color w:val="006699"/>
          <w:sz w:val="18"/>
          <w:szCs w:val="18"/>
        </w:rPr>
        <w:t>Requirements for Re-establishing Credit</w:t>
      </w:r>
      <w:r w:rsidRPr="0087031A">
        <w:rPr>
          <w:rFonts w:ascii="Verdana" w:eastAsia="Times New Roman" w:hAnsi="Verdana" w:cs="Times New Roman"/>
          <w:sz w:val="18"/>
          <w:szCs w:val="18"/>
        </w:rPr>
        <w:t xml:space="preserve"> Section of this topic.</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4" w:name="Requirements_for_Re-establishing_Credit:"/>
      <w:bookmarkEnd w:id="74"/>
      <w:r w:rsidRPr="0087031A">
        <w:rPr>
          <w:rFonts w:ascii="Verdana" w:eastAsia="Times New Roman" w:hAnsi="Verdana" w:cs="Times New Roman"/>
          <w:b/>
          <w:bCs/>
          <w:sz w:val="21"/>
          <w:szCs w:val="21"/>
        </w:rPr>
        <w:t>Requirements for Re-establishing Credit:</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All re-established credit must be current;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Borrower(s) must have re-established credit for a minimum length of time equivalent to at least the </w:t>
      </w:r>
      <w:r w:rsidRPr="0087031A">
        <w:rPr>
          <w:rFonts w:ascii="Verdana" w:eastAsia="Times New Roman" w:hAnsi="Verdana" w:cs="Times New Roman"/>
          <w:color w:val="006699"/>
          <w:sz w:val="18"/>
        </w:rPr>
        <w:t>Derogatory Credit Event’s Seasoning Requirements</w:t>
      </w:r>
      <w:r w:rsidRPr="0087031A">
        <w:rPr>
          <w:rFonts w:ascii="Verdana" w:eastAsia="Times New Roman" w:hAnsi="Verdana" w:cs="Times New Roman"/>
          <w:sz w:val="18"/>
          <w:szCs w:val="18"/>
        </w:rPr>
        <w:t xml:space="preserve"> (Waiting Period) as reflected in this Credit Policy topic and should be "like" sources of previous credit;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minimum of 4 </w:t>
      </w:r>
      <w:proofErr w:type="spellStart"/>
      <w:r w:rsidRPr="0087031A">
        <w:rPr>
          <w:rFonts w:ascii="Verdana" w:eastAsia="Times New Roman" w:hAnsi="Verdana" w:cs="Times New Roman"/>
          <w:sz w:val="18"/>
          <w:szCs w:val="18"/>
        </w:rPr>
        <w:t>tradelines</w:t>
      </w:r>
      <w:proofErr w:type="spellEnd"/>
      <w:r w:rsidRPr="0087031A">
        <w:rPr>
          <w:rFonts w:ascii="Verdana" w:eastAsia="Times New Roman" w:hAnsi="Verdana" w:cs="Times New Roman"/>
          <w:sz w:val="18"/>
          <w:szCs w:val="18"/>
        </w:rPr>
        <w:t xml:space="preserve"> are required, of which at least one must be a traditional source of credit and one rating must be housing related. If housing related debt is not reported on the credit report, provide evidence to support timely payments (i.e., canceled checks, money orders, bank statements);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new public records (e.g., foreclosure, unpaid judgments, collections, liens, garnishments);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more than two 30 days past due notices in the last 2 years on installment or revolving lines;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60-day past due notices since the date of event completion;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 late payments on housing since the date of event completion; </w:t>
      </w:r>
    </w:p>
    <w:p w:rsidR="0087031A" w:rsidRPr="0087031A" w:rsidRDefault="0087031A" w:rsidP="0087031A">
      <w:pPr>
        <w:numPr>
          <w:ilvl w:val="0"/>
          <w:numId w:val="17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borrower(s)’ credit history should reflect evidence of stability and control in the use, management, and repayment of credit obligations.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Multiple Bankruptcy Filings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a borrower with more than one bankruptcy filing within the past seven years, a five-year waiting period is required, measured from the most recent dismissal or discharge date.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Two or more borrowers with individual bankruptcies are not cumulative, and do not constitute multiple bankruptcies. For example, if the borrower has one bankruptcy and the co-borrower has one bankruptcy this is not considered a multiple bankruptcy.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i/>
          <w:iCs/>
          <w:sz w:val="18"/>
          <w:szCs w:val="18"/>
        </w:rPr>
        <w:t>Exceptions for Extenuating Circumstances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three-year waiting period is permitted if extenuating circumstances can be documented, and is measured from the most recent bankruptcy discharge or dismissal date. The most recent bankruptcy filing must have been the result of extenuating circumstances.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5" w:name="Payoff_of_Delinquent_Credit_Accounts"/>
      <w:bookmarkEnd w:id="75"/>
      <w:r w:rsidRPr="0087031A">
        <w:rPr>
          <w:rFonts w:ascii="Verdana" w:eastAsia="Times New Roman" w:hAnsi="Verdana" w:cs="Times New Roman"/>
          <w:b/>
          <w:bCs/>
          <w:sz w:val="21"/>
          <w:szCs w:val="21"/>
        </w:rPr>
        <w:t>Payoff of Liens and Delinquent Credit Accounts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All Agency &amp; Non Agency Loan Products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Certain accounts that reflect past due balances or reported as delinquent credit may be required to be paid off or brought current. Use the following chart to help determine the requirements: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858"/>
        <w:gridCol w:w="2134"/>
        <w:gridCol w:w="1586"/>
        <w:gridCol w:w="1447"/>
        <w:gridCol w:w="1236"/>
        <w:gridCol w:w="1293"/>
      </w:tblGrid>
      <w:tr w:rsidR="0087031A" w:rsidRPr="0087031A" w:rsidTr="0087031A">
        <w:trPr>
          <w:tblCellSpacing w:w="0" w:type="dxa"/>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vAlign w:val="center"/>
            <w:hideMark/>
          </w:tcPr>
          <w:p w:rsidR="0087031A" w:rsidRPr="0087031A" w:rsidRDefault="0087031A" w:rsidP="0087031A">
            <w:pPr>
              <w:spacing w:after="0" w:line="0" w:lineRule="atLeast"/>
              <w:jc w:val="center"/>
              <w:rPr>
                <w:rFonts w:ascii="Verdana" w:eastAsia="Times New Roman" w:hAnsi="Verdana" w:cs="Times New Roman"/>
                <w:b/>
                <w:bCs/>
                <w:sz w:val="24"/>
                <w:szCs w:val="24"/>
              </w:rPr>
            </w:pPr>
            <w:r w:rsidRPr="0087031A">
              <w:rPr>
                <w:rFonts w:ascii="Verdana" w:eastAsia="Times New Roman" w:hAnsi="Verdana" w:cs="Times New Roman"/>
                <w:b/>
                <w:bCs/>
                <w:sz w:val="24"/>
                <w:szCs w:val="24"/>
              </w:rPr>
              <w:t> </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0" w:lineRule="atLeast"/>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Streamline HARP (</w:t>
            </w:r>
            <w:proofErr w:type="spellStart"/>
            <w:r w:rsidRPr="0087031A">
              <w:rPr>
                <w:rFonts w:ascii="Verdana" w:eastAsia="Times New Roman" w:hAnsi="Verdana" w:cs="Times New Roman"/>
                <w:b/>
                <w:bCs/>
                <w:sz w:val="18"/>
                <w:szCs w:val="18"/>
              </w:rPr>
              <w:t>Refi</w:t>
            </w:r>
            <w:proofErr w:type="spellEnd"/>
            <w:r w:rsidRPr="0087031A">
              <w:rPr>
                <w:rFonts w:ascii="Verdana" w:eastAsia="Times New Roman" w:hAnsi="Verdana" w:cs="Times New Roman"/>
                <w:b/>
                <w:bCs/>
                <w:sz w:val="18"/>
                <w:szCs w:val="18"/>
              </w:rPr>
              <w:t xml:space="preserve"> Plus/Relief </w:t>
            </w:r>
            <w:proofErr w:type="spellStart"/>
            <w:r w:rsidRPr="0087031A">
              <w:rPr>
                <w:rFonts w:ascii="Verdana" w:eastAsia="Times New Roman" w:hAnsi="Verdana" w:cs="Times New Roman"/>
                <w:b/>
                <w:bCs/>
                <w:sz w:val="18"/>
                <w:szCs w:val="18"/>
              </w:rPr>
              <w:t>Refi</w:t>
            </w:r>
            <w:proofErr w:type="spellEnd"/>
            <w:r w:rsidRPr="0087031A">
              <w:rPr>
                <w:rFonts w:ascii="Verdana" w:eastAsia="Times New Roman" w:hAnsi="Verdana" w:cs="Times New Roman"/>
                <w:b/>
                <w:bCs/>
                <w:sz w:val="18"/>
                <w:szCs w:val="18"/>
              </w:rPr>
              <w:t>)</w:t>
            </w:r>
          </w:p>
        </w:tc>
        <w:tc>
          <w:tcPr>
            <w:tcW w:w="0" w:type="auto"/>
            <w:tcBorders>
              <w:top w:val="single" w:sz="6" w:space="0" w:color="000000"/>
              <w:bottom w:val="single" w:sz="6" w:space="0" w:color="000000"/>
              <w:right w:val="single" w:sz="6" w:space="0" w:color="000000"/>
            </w:tcBorders>
            <w:shd w:val="clear" w:color="auto" w:fill="FFFFCC"/>
            <w:hideMark/>
          </w:tcPr>
          <w:p w:rsidR="0087031A" w:rsidRPr="0087031A" w:rsidRDefault="0087031A" w:rsidP="0087031A">
            <w:pPr>
              <w:spacing w:before="100" w:beforeAutospacing="1" w:after="100" w:afterAutospacing="1" w:line="0" w:lineRule="atLeast"/>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 xml:space="preserve">Non-Streamline HARP (DU </w:t>
            </w:r>
            <w:proofErr w:type="spellStart"/>
            <w:r w:rsidRPr="0087031A">
              <w:rPr>
                <w:rFonts w:ascii="Verdana" w:eastAsia="Times New Roman" w:hAnsi="Verdana" w:cs="Times New Roman"/>
                <w:b/>
                <w:bCs/>
                <w:sz w:val="18"/>
                <w:szCs w:val="18"/>
              </w:rPr>
              <w:t>Refi</w:t>
            </w:r>
            <w:proofErr w:type="spellEnd"/>
            <w:r w:rsidRPr="0087031A">
              <w:rPr>
                <w:rFonts w:ascii="Verdana" w:eastAsia="Times New Roman" w:hAnsi="Verdana" w:cs="Times New Roman"/>
                <w:b/>
                <w:bCs/>
                <w:sz w:val="18"/>
                <w:szCs w:val="18"/>
              </w:rPr>
              <w:t xml:space="preserve"> Plus &amp; LP Open Access)</w:t>
            </w:r>
          </w:p>
        </w:tc>
        <w:tc>
          <w:tcPr>
            <w:tcW w:w="0" w:type="auto"/>
            <w:gridSpan w:val="2"/>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Non-HARP</w:t>
            </w:r>
          </w:p>
          <w:p w:rsidR="0087031A" w:rsidRPr="0087031A" w:rsidRDefault="0087031A" w:rsidP="0087031A">
            <w:pPr>
              <w:spacing w:before="100" w:beforeAutospacing="1" w:after="100" w:afterAutospacing="1" w:line="0" w:lineRule="atLeast"/>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Agency/Non-Agency</w:t>
            </w:r>
          </w:p>
        </w:tc>
      </w:tr>
      <w:tr w:rsidR="0087031A" w:rsidRPr="0087031A" w:rsidTr="0087031A">
        <w:trPr>
          <w:tblCellSpacing w:w="0" w:type="dxa"/>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7031A" w:rsidRPr="0087031A" w:rsidRDefault="0087031A" w:rsidP="0087031A">
            <w:pPr>
              <w:spacing w:after="0" w:line="240" w:lineRule="auto"/>
              <w:rPr>
                <w:rFonts w:ascii="Verdana" w:eastAsia="Times New Roman" w:hAnsi="Verdana" w:cs="Times New Roman"/>
                <w:b/>
                <w:bCs/>
                <w:sz w:val="24"/>
                <w:szCs w:val="24"/>
              </w:rPr>
            </w:pP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Accounts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5779BF">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Accounts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Accounts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Accounts</w:t>
            </w:r>
            <w:r w:rsidRPr="0087031A">
              <w:rPr>
                <w:rFonts w:ascii="Verdana" w:eastAsia="Times New Roman" w:hAnsi="Verdana" w:cs="Times New Roman"/>
                <w:b/>
                <w:bCs/>
                <w:sz w:val="12"/>
                <w:vertAlign w:val="superscript"/>
              </w:rPr>
              <w:t>3</w:t>
            </w:r>
          </w:p>
        </w:tc>
      </w:tr>
      <w:tr w:rsidR="0087031A" w:rsidRPr="0087031A" w:rsidTr="0087031A">
        <w:trPr>
          <w:tblCellSpacing w:w="0" w:type="dxa"/>
        </w:trPr>
        <w:tc>
          <w:tcPr>
            <w:tcW w:w="0" w:type="auto"/>
            <w:gridSpan w:val="2"/>
            <w:tcBorders>
              <w:left w:val="single" w:sz="6" w:space="0" w:color="000000"/>
              <w:bottom w:val="single" w:sz="6" w:space="0" w:color="000000"/>
              <w:right w:val="single" w:sz="6" w:space="0" w:color="000000"/>
            </w:tcBorders>
            <w:shd w:val="clear" w:color="auto" w:fill="EFEFEF"/>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Follow AUS Findings?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N/A</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Yes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Yes</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No</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shd w:val="clear" w:color="auto" w:fill="D6D6D6"/>
            <w:tcMar>
              <w:top w:w="15" w:type="dxa"/>
              <w:left w:w="150" w:type="dxa"/>
              <w:bottom w:w="15" w:type="dxa"/>
              <w:right w:w="150" w:type="dxa"/>
            </w:tcMar>
            <w:vAlign w:val="cente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Account Type</w:t>
            </w:r>
          </w:p>
        </w:tc>
        <w:tc>
          <w:tcPr>
            <w:tcW w:w="0" w:type="auto"/>
            <w:tcBorders>
              <w:bottom w:val="single" w:sz="6" w:space="0" w:color="000000"/>
              <w:right w:val="single" w:sz="6" w:space="0" w:color="000000"/>
            </w:tcBorders>
            <w:shd w:val="clear" w:color="auto" w:fill="D6D6D6"/>
            <w:tcMar>
              <w:top w:w="15" w:type="dxa"/>
              <w:left w:w="150" w:type="dxa"/>
              <w:bottom w:w="15" w:type="dxa"/>
              <w:right w:w="150" w:type="dxa"/>
            </w:tcMar>
            <w:vAlign w:val="cente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Property</w:t>
            </w:r>
            <w:r w:rsidRPr="0087031A">
              <w:rPr>
                <w:rFonts w:ascii="Verdana" w:eastAsia="Times New Roman" w:hAnsi="Verdana" w:cs="Times New Roman"/>
                <w:sz w:val="18"/>
                <w:szCs w:val="18"/>
              </w:rPr>
              <w:t xml:space="preserve"> </w:t>
            </w:r>
            <w:r w:rsidRPr="0087031A">
              <w:rPr>
                <w:rFonts w:ascii="Verdana" w:eastAsia="Times New Roman" w:hAnsi="Verdana" w:cs="Times New Roman"/>
                <w:sz w:val="18"/>
                <w:szCs w:val="18"/>
              </w:rPr>
              <w:br/>
            </w:r>
            <w:r w:rsidRPr="0087031A">
              <w:rPr>
                <w:rFonts w:ascii="Verdana" w:eastAsia="Times New Roman" w:hAnsi="Verdana" w:cs="Times New Roman"/>
                <w:b/>
                <w:bCs/>
                <w:sz w:val="18"/>
                <w:szCs w:val="18"/>
              </w:rPr>
              <w:t>Type/Occupancy</w:t>
            </w:r>
          </w:p>
        </w:tc>
        <w:tc>
          <w:tcPr>
            <w:tcW w:w="0" w:type="auto"/>
            <w:gridSpan w:val="4"/>
            <w:tcBorders>
              <w:bottom w:val="single" w:sz="6" w:space="0" w:color="000000"/>
              <w:right w:val="single" w:sz="6" w:space="0" w:color="000000"/>
            </w:tcBorders>
            <w:shd w:val="clear" w:color="auto" w:fill="D6D6D6"/>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Require Payoff/Brought Current</w:t>
            </w:r>
          </w:p>
          <w:p w:rsidR="0087031A" w:rsidRPr="0087031A" w:rsidRDefault="0087031A" w:rsidP="0087031A">
            <w:pPr>
              <w:spacing w:after="0"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 </w:t>
            </w:r>
          </w:p>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Yes/No</w:t>
            </w:r>
          </w:p>
        </w:tc>
      </w:tr>
      <w:tr w:rsidR="0087031A" w:rsidRPr="0087031A" w:rsidTr="0087031A">
        <w:trPr>
          <w:tblCellSpacing w:w="0" w:type="dxa"/>
        </w:trPr>
        <w:tc>
          <w:tcPr>
            <w:tcW w:w="0" w:type="auto"/>
            <w:gridSpan w:val="6"/>
            <w:tcBorders>
              <w:bottom w:val="single" w:sz="6" w:space="0" w:color="000000"/>
              <w:right w:val="single" w:sz="6" w:space="0" w:color="000000"/>
            </w:tcBorders>
            <w:shd w:val="clear" w:color="auto" w:fill="D6D6D6"/>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Charge Offs &amp; Collections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Any amount: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1 Unit Primary Residences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Individual OR Total balance of all accounts is greater than $5,000</w:t>
            </w:r>
            <w:r w:rsidRPr="0087031A">
              <w:rPr>
                <w:rFonts w:ascii="Verdana" w:eastAsia="Times New Roman" w:hAnsi="Verdana" w:cs="Times New Roman"/>
                <w:b/>
                <w:bCs/>
                <w:sz w:val="12"/>
                <w:vertAlign w:val="superscript"/>
              </w:rPr>
              <w:t>2</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2-4 Unit Primary Residences &amp; Second Homes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Individual OR Total balance of all accounts is less than or equal to $5,000</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2-4 Unit Primary Residences &amp; Second Homes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Individual account greater than or equal to $250 OR Total balance of all accounts is greater than $1,000</w:t>
            </w:r>
            <w:r w:rsidRPr="0087031A">
              <w:rPr>
                <w:rFonts w:ascii="Verdana" w:eastAsia="Times New Roman" w:hAnsi="Verdana" w:cs="Times New Roman"/>
                <w:b/>
                <w:bCs/>
                <w:sz w:val="12"/>
                <w:vertAlign w:val="superscript"/>
              </w:rPr>
              <w:t>2</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Non Owner Occupied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Individual account less than $250 OR Total balance of all accounts is less than or equal to $1,000</w:t>
            </w:r>
            <w:r w:rsidRPr="0087031A">
              <w:rPr>
                <w:rFonts w:ascii="Verdana" w:eastAsia="Times New Roman" w:hAnsi="Verdana" w:cs="Times New Roman"/>
                <w:b/>
                <w:bCs/>
                <w:sz w:val="12"/>
                <w:vertAlign w:val="superscript"/>
              </w:rPr>
              <w:t>2</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Non Owner Occupied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Garnishments: Regardless of amount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IRS/Federal/State/Local (city/county) Tax Liens</w:t>
            </w:r>
            <w:r w:rsidRPr="0087031A">
              <w:rPr>
                <w:rFonts w:ascii="Verdana" w:eastAsia="Times New Roman" w:hAnsi="Verdana" w:cs="Times New Roman"/>
                <w:b/>
                <w:bCs/>
                <w:sz w:val="12"/>
                <w:vertAlign w:val="superscript"/>
              </w:rPr>
              <w:t>4</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Judgments: Regardless of amount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Liens (other): Regardless of amount</w:t>
            </w:r>
            <w:r w:rsidRPr="0087031A">
              <w:rPr>
                <w:rFonts w:ascii="Verdana" w:eastAsia="Times New Roman" w:hAnsi="Verdana" w:cs="Times New Roman"/>
                <w:b/>
                <w:bCs/>
                <w:sz w:val="12"/>
                <w:vertAlign w:val="superscript"/>
              </w:rPr>
              <w:t>4</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Past Due Accounts: Any Type regardless of amount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AUS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Tax Liens: Regardless of amount</w:t>
            </w:r>
            <w:r w:rsidRPr="0087031A">
              <w:rPr>
                <w:rFonts w:ascii="Verdana" w:eastAsia="Times New Roman" w:hAnsi="Verdana" w:cs="Times New Roman"/>
                <w:b/>
                <w:bCs/>
                <w:sz w:val="12"/>
                <w:vertAlign w:val="superscript"/>
              </w:rPr>
              <w:t>4</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after="0"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Property Tax Liens (Subject Property) regardless of amount</w:t>
            </w:r>
            <w:r w:rsidRPr="0087031A">
              <w:rPr>
                <w:rFonts w:ascii="Verdana" w:eastAsia="Times New Roman" w:hAnsi="Verdana" w:cs="Times New Roman"/>
                <w:b/>
                <w:bCs/>
                <w:sz w:val="12"/>
                <w:vertAlign w:val="superscript"/>
              </w:rPr>
              <w:t>4</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Property Tax Liens (Non-Subject Property) regardless of amount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All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No</w:t>
            </w:r>
            <w:r w:rsidRPr="0087031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sz w:val="18"/>
                <w:szCs w:val="18"/>
              </w:rPr>
            </w:pPr>
            <w:r w:rsidRPr="0087031A">
              <w:rPr>
                <w:rFonts w:ascii="Verdana" w:eastAsia="Times New Roman" w:hAnsi="Verdana" w:cs="Times New Roman"/>
                <w:sz w:val="18"/>
                <w:szCs w:val="18"/>
              </w:rPr>
              <w:t>Yes</w:t>
            </w:r>
          </w:p>
        </w:tc>
      </w:tr>
    </w:tbl>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7"/>
          <w:szCs w:val="17"/>
        </w:rPr>
        <w:t xml:space="preserve">These accounts will only require payoff if the title company will not insure </w:t>
      </w:r>
      <w:r w:rsidR="009B3752">
        <w:rPr>
          <w:rFonts w:ascii="Verdana" w:eastAsia="Times New Roman" w:hAnsi="Verdana" w:cs="Times New Roman"/>
          <w:sz w:val="17"/>
          <w:szCs w:val="17"/>
        </w:rPr>
        <w:t>Underwriting Institute</w:t>
      </w:r>
      <w:r w:rsidRPr="0087031A">
        <w:rPr>
          <w:rFonts w:ascii="Verdana" w:eastAsia="Times New Roman" w:hAnsi="Verdana" w:cs="Times New Roman"/>
          <w:sz w:val="17"/>
          <w:szCs w:val="17"/>
        </w:rPr>
        <w:t>’s first lien position on the subject property.</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2</w:t>
      </w:r>
      <w:r w:rsidRPr="0087031A">
        <w:rPr>
          <w:rFonts w:ascii="Verdana" w:eastAsia="Times New Roman" w:hAnsi="Verdana" w:cs="Times New Roman"/>
          <w:sz w:val="17"/>
          <w:szCs w:val="17"/>
        </w:rPr>
        <w:t>If either individual or total limits are exceeded, all collection &amp; charge-off accounts must be paid in full at or prior to closing, unless otherwise noted in the table above.</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lastRenderedPageBreak/>
        <w:t>3</w:t>
      </w:r>
      <w:r w:rsidRPr="0087031A">
        <w:rPr>
          <w:rFonts w:ascii="Verdana" w:eastAsia="Times New Roman" w:hAnsi="Verdana" w:cs="Times New Roman"/>
          <w:sz w:val="17"/>
          <w:szCs w:val="17"/>
        </w:rPr>
        <w:t xml:space="preserve">For all products and programs, any delinquent/past due </w:t>
      </w:r>
      <w:r w:rsidR="009B3752">
        <w:rPr>
          <w:rFonts w:ascii="Verdana" w:eastAsia="Times New Roman" w:hAnsi="Verdana" w:cs="Times New Roman"/>
          <w:sz w:val="17"/>
          <w:szCs w:val="17"/>
        </w:rPr>
        <w:t>Underwriting Institute</w:t>
      </w:r>
      <w:r w:rsidRPr="0087031A">
        <w:rPr>
          <w:rFonts w:ascii="Verdana" w:eastAsia="Times New Roman" w:hAnsi="Verdana" w:cs="Times New Roman"/>
          <w:sz w:val="17"/>
          <w:szCs w:val="17"/>
        </w:rPr>
        <w:t xml:space="preserve"> accounts must be brought current or satisfied prior to or at closing, regardless of AUS decision.</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4</w:t>
      </w:r>
      <w:r w:rsidRPr="0087031A">
        <w:rPr>
          <w:rFonts w:ascii="Verdana" w:eastAsia="Times New Roman" w:hAnsi="Verdana" w:cs="Times New Roman"/>
          <w:sz w:val="17"/>
          <w:szCs w:val="17"/>
        </w:rPr>
        <w:t xml:space="preserve">To protect the </w:t>
      </w:r>
      <w:r w:rsidR="004A6B98">
        <w:rPr>
          <w:rFonts w:ascii="Verdana" w:eastAsia="Times New Roman" w:hAnsi="Verdana" w:cs="Times New Roman"/>
          <w:sz w:val="17"/>
          <w:szCs w:val="17"/>
        </w:rPr>
        <w:t>Lender</w:t>
      </w:r>
      <w:r w:rsidRPr="0087031A">
        <w:rPr>
          <w:rFonts w:ascii="Verdana" w:eastAsia="Times New Roman" w:hAnsi="Verdana" w:cs="Times New Roman"/>
          <w:sz w:val="17"/>
          <w:szCs w:val="17"/>
        </w:rPr>
        <w:t xml:space="preserve"> first lien position against current or future claims, these liens will be required to be paid off. In addition, </w:t>
      </w:r>
      <w:r w:rsidR="004A6B98">
        <w:rPr>
          <w:rFonts w:ascii="Verdana" w:eastAsia="Times New Roman" w:hAnsi="Verdana" w:cs="Times New Roman"/>
          <w:sz w:val="17"/>
          <w:szCs w:val="17"/>
        </w:rPr>
        <w:t>Lender</w:t>
      </w:r>
      <w:r w:rsidRPr="0087031A">
        <w:rPr>
          <w:rFonts w:ascii="Verdana" w:eastAsia="Times New Roman" w:hAnsi="Verdana" w:cs="Times New Roman"/>
          <w:sz w:val="17"/>
          <w:szCs w:val="17"/>
        </w:rPr>
        <w:t xml:space="preserve"> must receive acceptable documentation from (as issued by) the creditor or the Federal/State or local Municipality to confirm lien satisfaction. If the debt will be paid off at time of closing, it must be reflected on the HUD 1 Settlement Statement.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 addition to the requirements reflected in the above chart:</w:t>
      </w:r>
    </w:p>
    <w:p w:rsidR="0087031A" w:rsidRPr="0087031A" w:rsidRDefault="0087031A" w:rsidP="0087031A">
      <w:pPr>
        <w:numPr>
          <w:ilvl w:val="0"/>
          <w:numId w:val="17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rPr>
        <w:t>The borrower must pay in full and clear any derogatory item as outlined in this Policy and any derogatory item that is revealed as an exception on our title commitment.</w:t>
      </w:r>
      <w:r w:rsidRPr="0087031A">
        <w:rPr>
          <w:rFonts w:ascii="Verdana" w:eastAsia="Times New Roman" w:hAnsi="Verdana" w:cs="Times New Roman"/>
          <w:sz w:val="18"/>
          <w:szCs w:val="18"/>
        </w:rPr>
        <w:t xml:space="preserve">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an account is required to be brought current or paid in full, the borrower must have sufficient funds to pay any such amounts from cash/cash like assets, or loan proceeds, and the use of those funds must be deducted from reserve calculations and requirements.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Automated Underwriting Approvals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Bankruptcy and Foreclosure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loan with a Bankruptcy or Foreclosure has been approved by an Automated Underwriting System (AUS) (Internal AUS, DU, or LP), the following conditions must be met:</w:t>
      </w:r>
    </w:p>
    <w:p w:rsidR="0087031A" w:rsidRPr="0087031A" w:rsidRDefault="0087031A" w:rsidP="0087031A">
      <w:pPr>
        <w:numPr>
          <w:ilvl w:val="0"/>
          <w:numId w:val="17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Condition 1: The Bankruptcy or Foreclosure has been recognized by the AUS as evidenced by response findings statement or messages; and, </w:t>
      </w:r>
    </w:p>
    <w:p w:rsidR="0087031A" w:rsidRPr="0087031A" w:rsidRDefault="0087031A" w:rsidP="0087031A">
      <w:pPr>
        <w:numPr>
          <w:ilvl w:val="0"/>
          <w:numId w:val="17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Condition 2: Any additional documentation required by the AUS response findings statement or messages must be followed.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conditions above cannot be met, follow the additional documentation requirements listed under:</w:t>
      </w:r>
    </w:p>
    <w:p w:rsidR="0087031A" w:rsidRPr="0087031A" w:rsidRDefault="0087031A" w:rsidP="0087031A">
      <w:pPr>
        <w:numPr>
          <w:ilvl w:val="0"/>
          <w:numId w:val="17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color w:val="006699"/>
          <w:sz w:val="18"/>
        </w:rPr>
        <w:t>Extenuating Circumstances</w:t>
      </w:r>
      <w:r w:rsidRPr="0087031A">
        <w:rPr>
          <w:rFonts w:ascii="Verdana" w:eastAsia="Times New Roman" w:hAnsi="Verdana" w:cs="Times New Roman"/>
          <w:sz w:val="18"/>
          <w:szCs w:val="18"/>
        </w:rPr>
        <w:t xml:space="preserve">, or </w:t>
      </w:r>
    </w:p>
    <w:p w:rsidR="0087031A" w:rsidRPr="0087031A" w:rsidRDefault="0087031A" w:rsidP="0087031A">
      <w:pPr>
        <w:numPr>
          <w:ilvl w:val="0"/>
          <w:numId w:val="17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color w:val="006699"/>
          <w:sz w:val="18"/>
        </w:rPr>
        <w:t>Financial Mismanagement</w:t>
      </w:r>
      <w:r w:rsidRPr="0087031A">
        <w:rPr>
          <w:rFonts w:ascii="Verdana" w:eastAsia="Times New Roman" w:hAnsi="Verdana" w:cs="Times New Roman"/>
          <w:sz w:val="18"/>
          <w:szCs w:val="18"/>
        </w:rPr>
        <w:t xml:space="preserve">, and </w:t>
      </w:r>
    </w:p>
    <w:p w:rsidR="0087031A" w:rsidRPr="0087031A" w:rsidRDefault="0087031A" w:rsidP="0087031A">
      <w:pPr>
        <w:numPr>
          <w:ilvl w:val="0"/>
          <w:numId w:val="17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color w:val="006699"/>
          <w:sz w:val="18"/>
        </w:rPr>
        <w:t>Requirements for Re-establishing Credit in Extenuating Circumstances</w:t>
      </w:r>
      <w:r w:rsidRPr="0087031A">
        <w:rPr>
          <w:rFonts w:ascii="Verdana" w:eastAsia="Times New Roman" w:hAnsi="Verdana" w:cs="Times New Roman"/>
          <w:sz w:val="18"/>
          <w:szCs w:val="18"/>
        </w:rPr>
        <w:t xml:space="preserve"> and </w:t>
      </w:r>
      <w:hyperlink r:id="rId14" w:anchor="Financial_Mismanagement" w:history="1">
        <w:r w:rsidRPr="0087031A">
          <w:rPr>
            <w:rFonts w:ascii="Verdana" w:eastAsia="Times New Roman" w:hAnsi="Verdana" w:cs="Times New Roman"/>
            <w:color w:val="006699"/>
            <w:sz w:val="18"/>
          </w:rPr>
          <w:t>Financial Mismanagement</w:t>
        </w:r>
      </w:hyperlink>
      <w:r w:rsidRPr="0087031A">
        <w:rPr>
          <w:rFonts w:ascii="Verdana" w:eastAsia="Times New Roman" w:hAnsi="Verdana" w:cs="Times New Roman"/>
          <w:sz w:val="18"/>
          <w:szCs w:val="18"/>
        </w:rPr>
        <w:t xml:space="preserve"> sections above. </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Forgiveness of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If the loan has been approved by an Automated Underwriting System (AUS) (Internal AUS, DU or LP) for a borrower with history or incident of Forgiveness of Debt, the more restrictive of the requirements contained in the response findings or messages, and the requirements contained within this Policy must be followed, </w:t>
      </w:r>
      <w:r w:rsidRPr="0087031A">
        <w:rPr>
          <w:rFonts w:ascii="Verdana" w:eastAsia="Times New Roman" w:hAnsi="Verdana" w:cs="Times New Roman"/>
          <w:b/>
          <w:bCs/>
          <w:sz w:val="18"/>
          <w:szCs w:val="18"/>
        </w:rPr>
        <w:t>regardless of AUS decision</w:t>
      </w:r>
      <w:r w:rsidRPr="0087031A">
        <w:rPr>
          <w:rFonts w:ascii="Verdana" w:eastAsia="Times New Roman" w:hAnsi="Verdana" w:cs="Times New Roman"/>
          <w:sz w:val="18"/>
          <w:szCs w:val="18"/>
        </w:rPr>
        <w: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Manual Underwriting and Derogatory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Certain credit factors including situations involving derogatory credit may trigger the need for a manual underwrite. Please see </w:t>
      </w:r>
      <w:r w:rsidRPr="0087031A">
        <w:rPr>
          <w:rFonts w:ascii="Verdana" w:eastAsia="Times New Roman" w:hAnsi="Verdana" w:cs="Times New Roman"/>
          <w:color w:val="006699"/>
          <w:sz w:val="18"/>
          <w:szCs w:val="18"/>
        </w:rPr>
        <w:t>Credit Bureau Analysis for Manually Underwritten Loans</w:t>
      </w:r>
      <w:r w:rsidRPr="0087031A">
        <w:rPr>
          <w:rFonts w:ascii="Verdana" w:eastAsia="Times New Roman" w:hAnsi="Verdana" w:cs="Times New Roman"/>
          <w:sz w:val="18"/>
          <w:szCs w:val="18"/>
        </w:rPr>
        <w:t xml:space="preserve"> in this guide for additional details and review requirements.</w:t>
      </w:r>
    </w:p>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Limited Credit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borrower with a limited credit history (aka "thin file") or no credit history may be considered if a reasonable and satisfactory credit history can be documented. A reasonable credit history can be established by obtaining Non-Traditional verifications or a hybrid of traditional and Non-Traditional credit references.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Non-Traditional sources cannot be used to offset negative credit history, only to support limited good credit.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Non-Traditional credit, where permitted by channel, must be submitted to obtain appropriate level of approval.</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If the borrower indicates at the time of application they have no credit or limited credit, information on Non-Traditional sources of credit must be obtained. If this applies to all borrowers on the loan transaction, then Homebuyer Education is required.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using a hybrid of traditional and Non-Traditional credit references, or only non-traditional credit references: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497"/>
        <w:gridCol w:w="8057"/>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 a residential reference is...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 the required number of additional credit references that have been active and paid as agreed for at least 12 months is...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available,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3.</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not available,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4.</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Only credit arrangements that require the borrower to make periodic payments on a regular basis may be considered. When used to establish a minimum payment history, traditional and non-traditional credit references must:</w:t>
      </w:r>
    </w:p>
    <w:p w:rsidR="0087031A" w:rsidRPr="0087031A" w:rsidRDefault="0087031A" w:rsidP="0087031A">
      <w:pPr>
        <w:numPr>
          <w:ilvl w:val="0"/>
          <w:numId w:val="17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Have existed for at least 12 months,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7031A" w:rsidP="0087031A">
      <w:pPr>
        <w:numPr>
          <w:ilvl w:val="0"/>
          <w:numId w:val="17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Have been paid as agreed, </w:t>
      </w:r>
      <w:r w:rsidRPr="0087031A">
        <w:rPr>
          <w:rFonts w:ascii="Verdana" w:eastAsia="Times New Roman" w:hAnsi="Verdana" w:cs="Times New Roman"/>
          <w:b/>
          <w:bCs/>
          <w:sz w:val="18"/>
          <w:szCs w:val="18"/>
        </w:rPr>
        <w:t>and</w:t>
      </w:r>
      <w:r w:rsidRPr="0087031A">
        <w:rPr>
          <w:rFonts w:ascii="Verdana" w:eastAsia="Times New Roman" w:hAnsi="Verdana" w:cs="Times New Roman"/>
          <w:sz w:val="18"/>
          <w:szCs w:val="18"/>
        </w:rPr>
        <w:t xml:space="preserve"> </w:t>
      </w:r>
    </w:p>
    <w:p w:rsidR="0087031A" w:rsidRPr="0087031A" w:rsidRDefault="0087031A" w:rsidP="0087031A">
      <w:pPr>
        <w:numPr>
          <w:ilvl w:val="0"/>
          <w:numId w:val="17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Appear on a credit report or be directly verified.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documented savings history of at least 12 months may be included as one of the noncredit payment references if the history shows periodic deposits (at least quarterly) resulting in a growing balance over the year.</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Non-Traditional Mortgage Credit Report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borrowers with limited credit, a Non-Traditional Mortgage Credit Report (NMCR) aka Non-Traditional Mortgage Report (NTMR) is preferred on all programs/products when the credit repositories or credit reporting agencies are unable to develop a Residential Mortgage Credit Report (RMCR) on a borrower.</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NMCR is designed to be a substitute or supplement to the RMCR in those cases in which the borrower has insufficient or no credit references.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NMCR cannot be used to offset a poor payment history reported on a traditional credit report.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format of the NMCR is similar to that of a traditional credit report and will specify that it meets the required criteria</w:t>
      </w:r>
      <w:proofErr w:type="gramStart"/>
      <w:r w:rsidRPr="0087031A">
        <w:rPr>
          <w:rFonts w:ascii="Verdana" w:eastAsia="Times New Roman" w:hAnsi="Verdana" w:cs="Times New Roman"/>
          <w:sz w:val="18"/>
          <w:szCs w:val="18"/>
        </w:rPr>
        <w:t>..</w:t>
      </w:r>
      <w:proofErr w:type="gramEnd"/>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types of credit that can be used are categorized into three different tiers, which are ranked numerically by their importance. Payment references in consecutive order beginning with Level I should be used.</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092"/>
        <w:gridCol w:w="5006"/>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Level</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Item</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Level I</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Rental/Housing </w:t>
            </w:r>
          </w:p>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Electricity </w:t>
            </w:r>
          </w:p>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Gas </w:t>
            </w:r>
          </w:p>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Water </w:t>
            </w:r>
          </w:p>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Telephone </w:t>
            </w:r>
          </w:p>
          <w:p w:rsidR="0087031A" w:rsidRPr="0087031A" w:rsidRDefault="0087031A" w:rsidP="0087031A">
            <w:pPr>
              <w:numPr>
                <w:ilvl w:val="0"/>
                <w:numId w:val="179"/>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Cable TV </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Level II</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Insurance premiums not payroll deducted, such as:</w:t>
            </w:r>
          </w:p>
          <w:p w:rsidR="0087031A" w:rsidRPr="0087031A" w:rsidRDefault="0087031A" w:rsidP="0087031A">
            <w:pPr>
              <w:numPr>
                <w:ilvl w:val="0"/>
                <w:numId w:val="18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Medical </w:t>
            </w:r>
          </w:p>
          <w:p w:rsidR="0087031A" w:rsidRPr="0087031A" w:rsidRDefault="0087031A" w:rsidP="0087031A">
            <w:pPr>
              <w:numPr>
                <w:ilvl w:val="0"/>
                <w:numId w:val="18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Life </w:t>
            </w:r>
          </w:p>
          <w:p w:rsidR="0087031A" w:rsidRPr="0087031A" w:rsidRDefault="0087031A" w:rsidP="0087031A">
            <w:pPr>
              <w:numPr>
                <w:ilvl w:val="0"/>
                <w:numId w:val="18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Automobile </w:t>
            </w:r>
          </w:p>
          <w:p w:rsidR="0087031A" w:rsidRPr="0087031A" w:rsidRDefault="0087031A" w:rsidP="0087031A">
            <w:pPr>
              <w:numPr>
                <w:ilvl w:val="0"/>
                <w:numId w:val="180"/>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Renters insurance </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Level III</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Miscellaneous accounts, such as:</w:t>
            </w:r>
          </w:p>
          <w:p w:rsidR="0087031A" w:rsidRPr="0087031A" w:rsidRDefault="0087031A" w:rsidP="0087031A">
            <w:pPr>
              <w:numPr>
                <w:ilvl w:val="0"/>
                <w:numId w:val="181"/>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Childcare </w:t>
            </w:r>
          </w:p>
          <w:p w:rsidR="0087031A" w:rsidRPr="0087031A" w:rsidRDefault="0087031A" w:rsidP="0087031A">
            <w:pPr>
              <w:numPr>
                <w:ilvl w:val="0"/>
                <w:numId w:val="181"/>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Local grocer </w:t>
            </w:r>
          </w:p>
          <w:p w:rsidR="0087031A" w:rsidRPr="0087031A" w:rsidRDefault="0087031A" w:rsidP="0087031A">
            <w:pPr>
              <w:numPr>
                <w:ilvl w:val="0"/>
                <w:numId w:val="181"/>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Furniture or appliance stores </w:t>
            </w:r>
          </w:p>
          <w:p w:rsidR="0087031A" w:rsidRPr="0087031A" w:rsidRDefault="0087031A" w:rsidP="0087031A">
            <w:pPr>
              <w:numPr>
                <w:ilvl w:val="0"/>
                <w:numId w:val="181"/>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School tuition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Loans from individuals are acceptable if verified by:</w:t>
            </w:r>
          </w:p>
          <w:p w:rsidR="0087031A" w:rsidRPr="0087031A" w:rsidRDefault="0087031A" w:rsidP="0087031A">
            <w:pPr>
              <w:numPr>
                <w:ilvl w:val="0"/>
                <w:numId w:val="182"/>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Written agreement and </w:t>
            </w:r>
          </w:p>
          <w:p w:rsidR="0087031A" w:rsidRPr="0087031A" w:rsidRDefault="0087031A" w:rsidP="0087031A">
            <w:pPr>
              <w:numPr>
                <w:ilvl w:val="0"/>
                <w:numId w:val="182"/>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Canceled checks </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Using a combination of traditional and Tier I non-traditional credit sources, the credit bureau will attempt to obtain a 12-month payment history on four to six sources.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Rental / housing payments will be verified by the bureau on the NMCR, when possible.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32"/>
        <w:gridCol w:w="2071"/>
        <w:gridCol w:w="5851"/>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IF rental/housing payments are made to a...</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AND...</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professional property management company,</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12-month payment history is provided to the bureau,</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no</w:t>
            </w:r>
            <w:proofErr w:type="gramEnd"/>
            <w:r w:rsidRPr="0087031A">
              <w:rPr>
                <w:rFonts w:ascii="Verdana" w:eastAsia="Times New Roman" w:hAnsi="Verdana" w:cs="Times New Roman"/>
                <w:sz w:val="18"/>
                <w:szCs w:val="18"/>
              </w:rPr>
              <w:t xml:space="preserve"> additional documentation is required.</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party other than a professional property management company,</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regardless of the history being reported on the credit report,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 must provide:</w:t>
            </w:r>
          </w:p>
          <w:p w:rsidR="0087031A" w:rsidRPr="0087031A" w:rsidRDefault="0087031A" w:rsidP="0087031A">
            <w:pPr>
              <w:numPr>
                <w:ilvl w:val="0"/>
                <w:numId w:val="183"/>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12 months of canceled checks or bank statements to evidence timely payments, and </w:t>
            </w:r>
          </w:p>
          <w:p w:rsidR="0087031A" w:rsidRPr="0087031A" w:rsidRDefault="0087031A" w:rsidP="0087031A">
            <w:pPr>
              <w:numPr>
                <w:ilvl w:val="0"/>
                <w:numId w:val="183"/>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 A copy of the lease.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these documents are not available, public landlord-tenant records for court filings, judgments, or evictions (or dismissal of such action) must be checked for the last 24 months. The bureau will attempt to do this, or will retain a third party vendor who offers this service.</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If fewer than four credit references have been verified at this point, the agency will contact Tier II and Tier III sources. If the reporting agency is not able to collect sufficient information to prepare the NMCR, the credit information gathered will be provided to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for their evaluation of the borrower's credit worthiness and to obtain additional direct credit references as needed.</w:t>
      </w:r>
    </w:p>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Residence Reference</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Overview</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Borrower(s) must list all residences for the last two years, for all transactions.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Note: Specific mortgage products, programs, or processing methods may require the use of a specific Residence Reference verification method.</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Mortgage Reference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satisfactory Verification of Mortgage payment history (VOM) is required for all mortgages secured by real estate owned by the borrower(s) during the past 12 months regardless of the borrower(s)’ credit score.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Payment history is verified by one of the following methods: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408"/>
        <w:gridCol w:w="7146"/>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When...</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Acceptable Method...</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mortgage Note is held by a lender or mortgage servicer,</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84"/>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Direct written VOM from the mortgagee or servicer, or </w:t>
            </w:r>
          </w:p>
          <w:p w:rsidR="0087031A" w:rsidRPr="0087031A" w:rsidRDefault="0087031A" w:rsidP="0087031A">
            <w:pPr>
              <w:numPr>
                <w:ilvl w:val="0"/>
                <w:numId w:val="184"/>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Review of the last 12 months payment history on the current credit bureau (or the entire mortgage history when open for &lt; 12 months), or </w:t>
            </w:r>
          </w:p>
          <w:p w:rsidR="0087031A" w:rsidRPr="0087031A" w:rsidRDefault="0087031A" w:rsidP="0087031A">
            <w:pPr>
              <w:numPr>
                <w:ilvl w:val="0"/>
                <w:numId w:val="184"/>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Review of copies of canceled checks (front and back) for the last 12 months' payments. </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mortgage Note is held by a private individual,</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85"/>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Review copies of canceled checks, or equivalent substitute, (front and back) for the last 12 months' payments, and </w:t>
            </w:r>
          </w:p>
          <w:p w:rsidR="0087031A" w:rsidRPr="0087031A" w:rsidRDefault="0087031A" w:rsidP="0087031A">
            <w:pPr>
              <w:numPr>
                <w:ilvl w:val="0"/>
                <w:numId w:val="185"/>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Copy of the note </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Rental Reference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satisfactory Verification of Rent payment history (VOR) is required for all renters for the past 12 months regardless of the borrower's credit score.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Payment history is verified by one of the following methods: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096"/>
        <w:gridCol w:w="7458"/>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When renting from...</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jc w:val="center"/>
              <w:rPr>
                <w:rFonts w:ascii="Verdana" w:eastAsia="Times New Roman" w:hAnsi="Verdana" w:cs="Times New Roman"/>
                <w:b/>
                <w:bCs/>
                <w:sz w:val="18"/>
                <w:szCs w:val="18"/>
              </w:rPr>
            </w:pPr>
            <w:r w:rsidRPr="0087031A">
              <w:rPr>
                <w:rFonts w:ascii="Verdana" w:eastAsia="Times New Roman" w:hAnsi="Verdana" w:cs="Times New Roman"/>
                <w:b/>
                <w:bCs/>
                <w:sz w:val="18"/>
                <w:szCs w:val="18"/>
              </w:rPr>
              <w:t>Acceptable Method...</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professional property management company,</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86"/>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Direct written (VOR) from the management company that includes: </w:t>
            </w:r>
          </w:p>
          <w:p w:rsidR="0087031A" w:rsidRPr="0087031A" w:rsidRDefault="0087031A" w:rsidP="0087031A">
            <w:pPr>
              <w:numPr>
                <w:ilvl w:val="0"/>
                <w:numId w:val="18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Rental amount </w:t>
            </w:r>
          </w:p>
          <w:p w:rsidR="0087031A" w:rsidRPr="0087031A" w:rsidRDefault="0087031A" w:rsidP="0087031A">
            <w:pPr>
              <w:numPr>
                <w:ilvl w:val="0"/>
                <w:numId w:val="18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Payment history </w:t>
            </w:r>
          </w:p>
          <w:p w:rsidR="0087031A" w:rsidRPr="0087031A" w:rsidRDefault="0087031A" w:rsidP="0087031A">
            <w:pPr>
              <w:numPr>
                <w:ilvl w:val="0"/>
                <w:numId w:val="18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Length of payment history </w:t>
            </w:r>
          </w:p>
          <w:p w:rsidR="0087031A" w:rsidRPr="0087031A" w:rsidRDefault="0087031A" w:rsidP="0087031A">
            <w:pPr>
              <w:numPr>
                <w:ilvl w:val="0"/>
                <w:numId w:val="19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Landlord's contact information (name, address, and phone number) </w:t>
            </w:r>
          </w:p>
          <w:p w:rsidR="0087031A" w:rsidRPr="0087031A" w:rsidRDefault="0087031A" w:rsidP="0087031A">
            <w:pPr>
              <w:numPr>
                <w:ilvl w:val="0"/>
                <w:numId w:val="191"/>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Verification on an RMCR; the credit-reporting agency must verify rental history directly with the landlord's management agency. </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an individual owner,</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numPr>
                <w:ilvl w:val="0"/>
                <w:numId w:val="192"/>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Review copies of canceled checks, or equivalent substitute, (front and back) for the last 12 months' payments, and </w:t>
            </w:r>
          </w:p>
          <w:p w:rsidR="0087031A" w:rsidRPr="0087031A" w:rsidRDefault="0087031A" w:rsidP="0087031A">
            <w:pPr>
              <w:numPr>
                <w:ilvl w:val="0"/>
                <w:numId w:val="192"/>
              </w:numPr>
              <w:spacing w:before="100" w:beforeAutospacing="1" w:after="100" w:afterAutospacing="1" w:line="240" w:lineRule="auto"/>
              <w:ind w:left="420"/>
              <w:rPr>
                <w:rFonts w:ascii="Verdana" w:eastAsia="Times New Roman" w:hAnsi="Verdana" w:cs="Times New Roman"/>
                <w:sz w:val="18"/>
                <w:szCs w:val="18"/>
              </w:rPr>
            </w:pPr>
            <w:r w:rsidRPr="0087031A">
              <w:rPr>
                <w:rFonts w:ascii="Verdana" w:eastAsia="Times New Roman" w:hAnsi="Verdana" w:cs="Times New Roman"/>
                <w:sz w:val="18"/>
                <w:szCs w:val="18"/>
              </w:rPr>
              <w:t xml:space="preserve">Copy of the lease </w:t>
            </w:r>
          </w:p>
        </w:tc>
      </w:tr>
    </w:tbl>
    <w:p w:rsidR="00005AA3" w:rsidRDefault="00005AA3" w:rsidP="00005AA3"/>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Debt Analysis Guidelines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Debt-to-Income Ratio</w:t>
      </w:r>
    </w:p>
    <w:p w:rsidR="0087031A" w:rsidRPr="0087031A" w:rsidRDefault="009B3752" w:rsidP="0087031A">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Lending Book</w:t>
      </w:r>
      <w:r w:rsidR="0087031A" w:rsidRPr="0087031A">
        <w:rPr>
          <w:rFonts w:ascii="Verdana" w:eastAsia="Times New Roman" w:hAnsi="Verdana" w:cs="Times New Roman"/>
          <w:sz w:val="18"/>
          <w:szCs w:val="18"/>
        </w:rPr>
        <w:t xml:space="preserve"> requires calculation and analysis </w:t>
      </w:r>
      <w:proofErr w:type="gramStart"/>
      <w:r w:rsidR="0087031A" w:rsidRPr="0087031A">
        <w:rPr>
          <w:rFonts w:ascii="Verdana" w:eastAsia="Times New Roman" w:hAnsi="Verdana" w:cs="Times New Roman"/>
          <w:sz w:val="18"/>
          <w:szCs w:val="18"/>
        </w:rPr>
        <w:t>of  the</w:t>
      </w:r>
      <w:proofErr w:type="gramEnd"/>
      <w:r w:rsidR="0087031A" w:rsidRPr="0087031A">
        <w:rPr>
          <w:rFonts w:ascii="Verdana" w:eastAsia="Times New Roman" w:hAnsi="Verdana" w:cs="Times New Roman"/>
          <w:sz w:val="18"/>
          <w:szCs w:val="18"/>
        </w:rPr>
        <w:t xml:space="preserve"> debt-to-income (DTI) ratio, which establishes a borrower's capacity to service all monthly obligations based on representations and/or documentation, for all requests unless a specific program exempts 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These guidelines provide standards, ensure uniform treatment of other debt instruments, and help Underwriting determine the borrower's recurring debt total.</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obligations which may need to be considered as recurring debts can be found via many sources, such as but not limited to: credit report, application, pay stubs, divorce decree and/or separation agreement.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Underwriting may request additional documentation verification, beyond the designated minimums, when the situation warrants it.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Debts for which the borrower is not the primary obligor but is instead an authorized user on another obligor's account may or may not be included in the borrower's recurring debt total. See the </w:t>
      </w:r>
      <w:r w:rsidRPr="0087031A">
        <w:rPr>
          <w:rFonts w:ascii="Verdana" w:eastAsia="Times New Roman" w:hAnsi="Verdana" w:cs="Times New Roman"/>
          <w:color w:val="006699"/>
          <w:sz w:val="18"/>
          <w:szCs w:val="18"/>
        </w:rPr>
        <w:t>Authorized User</w:t>
      </w:r>
      <w:r w:rsidRPr="0087031A">
        <w:rPr>
          <w:rFonts w:ascii="Verdana" w:eastAsia="Times New Roman" w:hAnsi="Verdana" w:cs="Times New Roman"/>
          <w:sz w:val="18"/>
          <w:szCs w:val="18"/>
        </w:rPr>
        <w:t xml:space="preserve"> section of the </w:t>
      </w:r>
      <w:r w:rsidRPr="0087031A">
        <w:rPr>
          <w:rFonts w:ascii="Verdana" w:eastAsia="Times New Roman" w:hAnsi="Verdana" w:cs="Times New Roman"/>
          <w:color w:val="006699"/>
          <w:sz w:val="18"/>
          <w:szCs w:val="18"/>
        </w:rPr>
        <w:t>Credit Requirements and Analysis</w:t>
      </w:r>
      <w:r w:rsidRPr="0087031A">
        <w:rPr>
          <w:rFonts w:ascii="Verdana" w:eastAsia="Times New Roman" w:hAnsi="Verdana" w:cs="Times New Roman"/>
          <w:sz w:val="18"/>
          <w:szCs w:val="18"/>
        </w:rPr>
        <w:t xml:space="preserve"> policy chapter for additional information.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Specific product or program standards may differ; see the Product Guides in this manual for specific guidelines.</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r w:rsidRPr="0087031A">
        <w:rPr>
          <w:rFonts w:ascii="Verdana" w:eastAsia="Times New Roman" w:hAnsi="Verdana" w:cs="Times New Roman"/>
          <w:b/>
          <w:bCs/>
          <w:sz w:val="18"/>
          <w:szCs w:val="18"/>
        </w:rPr>
        <w:t>Housing Debt (PITI)</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Determining the borrowers' debt-to-income ratio begins with calculating the proposed housing debt (aka principal, interest, taxes and insurance, or PITI) which includes:</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proposed mortgage payment </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Real estate taxes not included in the mortgage payment </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insurance premiums (hazard, flood, and/or mortgage) not included in the mortgage payment </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Homeowner association fees </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home equity loan or HELOC payment(s), if applicable </w:t>
      </w:r>
    </w:p>
    <w:p w:rsidR="0087031A" w:rsidRPr="0087031A" w:rsidRDefault="0087031A" w:rsidP="0087031A">
      <w:pPr>
        <w:numPr>
          <w:ilvl w:val="0"/>
          <w:numId w:val="19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Any other special housing assessment fees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Alimony, Child Support, and Separate Maintenance Payments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alimony, child support, and separate maintenance payments, regardless of the number of monthly payments remaining, in the recurring debt total. Obtain and document file with verification that clearly defines the borrower's payment responsibility.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copy of one of the following is an acceptable source:</w:t>
      </w:r>
    </w:p>
    <w:p w:rsidR="0087031A" w:rsidRPr="0087031A" w:rsidRDefault="0087031A" w:rsidP="0087031A">
      <w:pPr>
        <w:numPr>
          <w:ilvl w:val="0"/>
          <w:numId w:val="19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Divorce decree </w:t>
      </w:r>
    </w:p>
    <w:p w:rsidR="0087031A" w:rsidRPr="0087031A" w:rsidRDefault="0087031A" w:rsidP="0087031A">
      <w:pPr>
        <w:numPr>
          <w:ilvl w:val="0"/>
          <w:numId w:val="19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Signed separation agreement </w:t>
      </w:r>
    </w:p>
    <w:p w:rsidR="0087031A" w:rsidRPr="0087031A" w:rsidRDefault="0087031A" w:rsidP="0087031A">
      <w:pPr>
        <w:numPr>
          <w:ilvl w:val="0"/>
          <w:numId w:val="19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Notarized agreement signed by all parties and their respective attorney </w:t>
      </w:r>
    </w:p>
    <w:p w:rsidR="0087031A" w:rsidRPr="0087031A" w:rsidRDefault="0087031A" w:rsidP="0087031A">
      <w:pPr>
        <w:numPr>
          <w:ilvl w:val="0"/>
          <w:numId w:val="19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Court order </w:t>
      </w:r>
    </w:p>
    <w:p w:rsidR="0087031A" w:rsidRPr="0087031A" w:rsidRDefault="0087031A" w:rsidP="0087031A">
      <w:pPr>
        <w:numPr>
          <w:ilvl w:val="0"/>
          <w:numId w:val="19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Other legally accepted evidence dictated by local custom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Consideration of alimony may differ for some products; see the specific product and program.</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6" w:name="Asset-secured_Loans"/>
      <w:bookmarkEnd w:id="76"/>
      <w:r w:rsidRPr="0087031A">
        <w:rPr>
          <w:rFonts w:ascii="Verdana" w:eastAsia="Times New Roman" w:hAnsi="Verdana" w:cs="Times New Roman"/>
          <w:b/>
          <w:bCs/>
          <w:sz w:val="21"/>
          <w:szCs w:val="21"/>
        </w:rPr>
        <w:t>Asset-secured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Exclude payments on loans secured by a borrower's liquid financial assets, such as life insurance policies, 401K/IRA accounts, CDs, stocks, bonds, marketable securities, etc., from the DTI when repayment of the loan rebuilds the financial asset, and the current verified balance in the account (or value of the financial asset) is sufficient to pay off the loan.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Always include payments on loans secured by real estate or other personal property in the DTI.</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Obtain a copy of documentation showing all of the following:</w:t>
      </w:r>
    </w:p>
    <w:p w:rsidR="0087031A" w:rsidRPr="0087031A" w:rsidRDefault="0087031A" w:rsidP="0087031A">
      <w:pPr>
        <w:numPr>
          <w:ilvl w:val="0"/>
          <w:numId w:val="19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asset used as collateral for the loan </w:t>
      </w:r>
    </w:p>
    <w:p w:rsidR="0087031A" w:rsidRPr="0087031A" w:rsidRDefault="0087031A" w:rsidP="0087031A">
      <w:pPr>
        <w:numPr>
          <w:ilvl w:val="0"/>
          <w:numId w:val="19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 xml:space="preserve">The interest rate and payment </w:t>
      </w:r>
    </w:p>
    <w:p w:rsidR="0087031A" w:rsidRPr="0087031A" w:rsidRDefault="0087031A" w:rsidP="0087031A">
      <w:pPr>
        <w:numPr>
          <w:ilvl w:val="0"/>
          <w:numId w:val="19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loan amount </w:t>
      </w:r>
    </w:p>
    <w:p w:rsidR="0087031A" w:rsidRPr="0087031A" w:rsidRDefault="0087031A" w:rsidP="0087031A">
      <w:pPr>
        <w:numPr>
          <w:ilvl w:val="0"/>
          <w:numId w:val="19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loan secured by the financial asset was made by a financial institution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 requirements on how to treat this liability type from an asset perspective, see </w:t>
      </w:r>
      <w:r w:rsidRPr="0087031A">
        <w:rPr>
          <w:rFonts w:ascii="Verdana" w:eastAsia="Times New Roman" w:hAnsi="Verdana" w:cs="Times New Roman"/>
          <w:color w:val="006699"/>
          <w:sz w:val="18"/>
          <w:szCs w:val="18"/>
        </w:rPr>
        <w:t>Borrowed Funds - Secured</w:t>
      </w:r>
      <w:r w:rsidRPr="0087031A">
        <w:rPr>
          <w:rFonts w:ascii="Verdana" w:eastAsia="Times New Roman" w:hAnsi="Verdana" w:cs="Times New Roman"/>
          <w:sz w:val="18"/>
          <w:szCs w:val="18"/>
        </w:rPr>
        <w:t xml:space="preserve"> in the "Asset Types" topic.</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7" w:name="Bridge"/>
      <w:bookmarkEnd w:id="77"/>
      <w:r w:rsidRPr="0087031A">
        <w:rPr>
          <w:rFonts w:ascii="Verdana" w:eastAsia="Times New Roman" w:hAnsi="Verdana" w:cs="Times New Roman"/>
          <w:b/>
          <w:bCs/>
          <w:sz w:val="21"/>
          <w:szCs w:val="21"/>
        </w:rPr>
        <w:t>Bridge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bridge loan payments in the borrower's DTI. If payments are not scheduled on a monthly basis, at a minimum, use monthly interest payments.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xml:space="preserve">: The bridge loan cannot be cross-collateralized on the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-financed property.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r w:rsidRPr="0087031A">
        <w:rPr>
          <w:rFonts w:ascii="Verdana" w:eastAsia="Times New Roman" w:hAnsi="Verdana" w:cs="Times New Roman"/>
          <w:color w:val="006699"/>
          <w:sz w:val="18"/>
          <w:szCs w:val="18"/>
        </w:rPr>
        <w:t>Bridge Loans Proceeds</w:t>
      </w:r>
      <w:r w:rsidRPr="0087031A">
        <w:rPr>
          <w:rFonts w:ascii="Verdana" w:eastAsia="Times New Roman" w:hAnsi="Verdana" w:cs="Times New Roman"/>
          <w:sz w:val="18"/>
          <w:szCs w:val="18"/>
        </w:rPr>
        <w:t xml:space="preserve"> in the "Asset Types" topic for requirements.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Contractual Payments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Underwriting must consider contractual obligations on certain investments or other business ventures (e.g., partnerships) that could impact the borrower's cash flow and debt service. Examples of obligations to consider that the credit bureau may not reflect, include, but are not limited to:</w:t>
      </w:r>
    </w:p>
    <w:p w:rsidR="0087031A" w:rsidRPr="0087031A" w:rsidRDefault="0087031A" w:rsidP="0087031A">
      <w:pPr>
        <w:numPr>
          <w:ilvl w:val="0"/>
          <w:numId w:val="19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Required capital contributions </w:t>
      </w:r>
    </w:p>
    <w:p w:rsidR="0087031A" w:rsidRPr="0087031A" w:rsidRDefault="0087031A" w:rsidP="0087031A">
      <w:pPr>
        <w:numPr>
          <w:ilvl w:val="0"/>
          <w:numId w:val="19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Negative capital account </w:t>
      </w:r>
    </w:p>
    <w:p w:rsidR="0087031A" w:rsidRPr="0087031A" w:rsidRDefault="0087031A" w:rsidP="0087031A">
      <w:pPr>
        <w:numPr>
          <w:ilvl w:val="0"/>
          <w:numId w:val="19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Loans to an owner or stockholder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8" w:name="CoSigned"/>
      <w:bookmarkEnd w:id="78"/>
      <w:r w:rsidRPr="0087031A">
        <w:rPr>
          <w:rFonts w:ascii="Verdana" w:eastAsia="Times New Roman" w:hAnsi="Verdana" w:cs="Times New Roman"/>
          <w:b/>
          <w:bCs/>
          <w:sz w:val="21"/>
          <w:szCs w:val="21"/>
        </w:rPr>
        <w:t>Co-signed Loan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the outstanding balance of a co-signed loan as a contingent liability. Exclude the monthly payment on a non-mortgage related obligation from the qualifying DTI calculation if all of these conditions are met:</w:t>
      </w:r>
    </w:p>
    <w:p w:rsidR="0087031A" w:rsidRPr="0087031A" w:rsidRDefault="0087031A" w:rsidP="0087031A">
      <w:pPr>
        <w:numPr>
          <w:ilvl w:val="0"/>
          <w:numId w:val="19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is not the primary obligor on the co-signed loan. </w:t>
      </w:r>
    </w:p>
    <w:p w:rsidR="0087031A" w:rsidRPr="0087031A" w:rsidRDefault="0087031A" w:rsidP="0087031A">
      <w:pPr>
        <w:numPr>
          <w:ilvl w:val="0"/>
          <w:numId w:val="19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primary obligor on the co-signed loan has a history of making payments and provides 12 months' canceled checks evidencing payment. </w:t>
      </w:r>
    </w:p>
    <w:p w:rsidR="0087031A" w:rsidRPr="0087031A" w:rsidRDefault="0087031A" w:rsidP="0087031A">
      <w:pPr>
        <w:numPr>
          <w:ilvl w:val="0"/>
          <w:numId w:val="19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co-signed loan reflects a timely payment history. </w:t>
      </w:r>
    </w:p>
    <w:p w:rsidR="0087031A" w:rsidRPr="0087031A" w:rsidRDefault="0087031A" w:rsidP="0087031A">
      <w:pPr>
        <w:shd w:val="clear" w:color="auto" w:fill="CBD9E4"/>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xml:space="preserve">: Mortgage or real estate secured obligations must be included in the DTI calculation unless the borrower has been released from liability by the creditor or the loan has been assigned by a court order. See </w:t>
      </w:r>
      <w:r w:rsidRPr="0087031A">
        <w:rPr>
          <w:rFonts w:ascii="Verdana" w:eastAsia="Times New Roman" w:hAnsi="Verdana" w:cs="Times New Roman"/>
          <w:color w:val="006699"/>
          <w:sz w:val="18"/>
          <w:szCs w:val="18"/>
        </w:rPr>
        <w:t>Court-ordered Assignment of Debt</w:t>
      </w:r>
      <w:r w:rsidRPr="0087031A">
        <w:rPr>
          <w:rFonts w:ascii="Verdana" w:eastAsia="Times New Roman" w:hAnsi="Verdana" w:cs="Times New Roman"/>
          <w:sz w:val="18"/>
          <w:szCs w:val="18"/>
        </w:rPr>
        <w:t xml:space="preserve"> topic below for additional information.</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9" w:name="Court-ordered_Assignment_of_Debt"/>
      <w:bookmarkEnd w:id="79"/>
      <w:r w:rsidRPr="0087031A">
        <w:rPr>
          <w:rFonts w:ascii="Verdana" w:eastAsia="Times New Roman" w:hAnsi="Verdana" w:cs="Times New Roman"/>
          <w:b/>
          <w:bCs/>
          <w:sz w:val="21"/>
          <w:szCs w:val="21"/>
        </w:rPr>
        <w:t>Court-ordered Assignment of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Exclude an obligation (including a mortgage or real estate secured loan) assigned by a court order from the qualifying debt ratio calculation if all of these requirements are met:</w:t>
      </w:r>
    </w:p>
    <w:p w:rsidR="0087031A" w:rsidRPr="0087031A" w:rsidRDefault="0087031A" w:rsidP="0087031A">
      <w:pPr>
        <w:numPr>
          <w:ilvl w:val="0"/>
          <w:numId w:val="19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borrower provides a copy of the court order, divorce decree or separation agreement, evidencing the assignment of the obligation to another party. </w:t>
      </w:r>
    </w:p>
    <w:p w:rsidR="0087031A" w:rsidRPr="0087031A" w:rsidRDefault="0087031A" w:rsidP="0087031A">
      <w:pPr>
        <w:numPr>
          <w:ilvl w:val="0"/>
          <w:numId w:val="19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Documentation is provided evidencing that the borrower has been removed from title (for a real estate secured obligation.) </w:t>
      </w:r>
    </w:p>
    <w:p w:rsidR="0087031A" w:rsidRPr="0087031A" w:rsidRDefault="0087031A" w:rsidP="0087031A">
      <w:pPr>
        <w:numPr>
          <w:ilvl w:val="0"/>
          <w:numId w:val="19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Payment history prior to the date of the assignment cannot be ignored.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Credit Cards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Use the payments and balances on the credit report for credit cards and revolving accounts: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If no payment amount appears on the credit report, include an estimated payment of 5% of the outstanding balance in the DTI.</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credit report includes a borrower's business expense account, one of these is required:</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880"/>
        <w:gridCol w:w="7674"/>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 business...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makes all payments,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obtain</w:t>
            </w:r>
            <w:proofErr w:type="gramEnd"/>
            <w:r w:rsidRPr="0087031A">
              <w:rPr>
                <w:rFonts w:ascii="Verdana" w:eastAsia="Times New Roman" w:hAnsi="Verdana" w:cs="Times New Roman"/>
                <w:sz w:val="18"/>
                <w:szCs w:val="18"/>
              </w:rPr>
              <w:t xml:space="preserve"> a statement from the employer that the company pays all business expenses.</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does not make all payments,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include</w:t>
            </w:r>
            <w:proofErr w:type="gramEnd"/>
            <w:r w:rsidRPr="0087031A">
              <w:rPr>
                <w:rFonts w:ascii="Verdana" w:eastAsia="Times New Roman" w:hAnsi="Verdana" w:cs="Times New Roman"/>
                <w:sz w:val="18"/>
                <w:szCs w:val="18"/>
              </w:rPr>
              <w:t xml:space="preserve"> the monthly payment in the DTI.</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open 30-day charge accounts with the total outstanding balance due monthly, the borrower must have verified liquid assets exceeding the balance and meeting the reserve requirements for the loan program.</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892"/>
        <w:gridCol w:w="7662"/>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 sufficient liquid assets are...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verified,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exclude</w:t>
            </w:r>
            <w:proofErr w:type="gramEnd"/>
            <w:r w:rsidRPr="0087031A">
              <w:rPr>
                <w:rFonts w:ascii="Verdana" w:eastAsia="Times New Roman" w:hAnsi="Verdana" w:cs="Times New Roman"/>
                <w:sz w:val="18"/>
                <w:szCs w:val="18"/>
              </w:rPr>
              <w:t xml:space="preserve"> the reported monthly payment from the DTI.</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not verified,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obtain</w:t>
            </w:r>
            <w:proofErr w:type="gramEnd"/>
            <w:r w:rsidRPr="0087031A">
              <w:rPr>
                <w:rFonts w:ascii="Verdana" w:eastAsia="Times New Roman" w:hAnsi="Verdana" w:cs="Times New Roman"/>
                <w:sz w:val="18"/>
                <w:szCs w:val="18"/>
              </w:rPr>
              <w:t xml:space="preserve"> evidence that the account has been paid in full and exclude the reported monthly payment from the DTI.</w:t>
            </w:r>
          </w:p>
        </w:tc>
      </w:tr>
    </w:tbl>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Incorporate any revolving accounts listed on the application that are not on the credit bureau report into the analysis.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Employee - Business Expenses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Subtract from the borrower's qualifying income any business expenses that an employer does not reimburse, and average the amounts over the past two years, unless they are increasing. Find these expenses on:</w:t>
      </w:r>
    </w:p>
    <w:p w:rsidR="0087031A" w:rsidRPr="0087031A" w:rsidRDefault="0087031A" w:rsidP="0087031A">
      <w:pPr>
        <w:numPr>
          <w:ilvl w:val="0"/>
          <w:numId w:val="19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"Schedule A" (Form 1040 or Form 1040NR) </w:t>
      </w:r>
    </w:p>
    <w:p w:rsidR="0087031A" w:rsidRPr="0087031A" w:rsidRDefault="0087031A" w:rsidP="0087031A">
      <w:pPr>
        <w:numPr>
          <w:ilvl w:val="0"/>
          <w:numId w:val="19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Form 2106 </w:t>
      </w:r>
    </w:p>
    <w:p w:rsidR="0087031A" w:rsidRPr="0087031A" w:rsidRDefault="0087031A" w:rsidP="0087031A">
      <w:pPr>
        <w:numPr>
          <w:ilvl w:val="0"/>
          <w:numId w:val="19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Form 2555 (Foreign Earned Income), or </w:t>
      </w:r>
    </w:p>
    <w:p w:rsidR="0087031A" w:rsidRPr="0087031A" w:rsidRDefault="0087031A" w:rsidP="0087031A">
      <w:pPr>
        <w:numPr>
          <w:ilvl w:val="0"/>
          <w:numId w:val="199"/>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Other comparable Federal Tax form of the borrower's personal tax returns.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0" w:name="HELOC"/>
      <w:bookmarkEnd w:id="80"/>
      <w:r w:rsidRPr="0087031A">
        <w:rPr>
          <w:rFonts w:ascii="Verdana" w:eastAsia="Times New Roman" w:hAnsi="Verdana" w:cs="Times New Roman"/>
          <w:b/>
          <w:bCs/>
          <w:sz w:val="21"/>
          <w:szCs w:val="21"/>
        </w:rPr>
        <w:t>Home Equity Lines of Credit (HELOC)</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Use the higher of the payment reported by the creditor on the CBR or 1% of the full line amount in the DTI.</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r w:rsidRPr="0087031A">
        <w:rPr>
          <w:rFonts w:ascii="Verdana" w:eastAsia="Times New Roman" w:hAnsi="Verdana" w:cs="Times New Roman"/>
          <w:color w:val="006699"/>
          <w:sz w:val="18"/>
          <w:szCs w:val="18"/>
        </w:rPr>
        <w:t>Subordinate Financing</w:t>
      </w:r>
      <w:r w:rsidRPr="0087031A">
        <w:rPr>
          <w:rFonts w:ascii="Verdana" w:eastAsia="Times New Roman" w:hAnsi="Verdana" w:cs="Times New Roman"/>
          <w:sz w:val="18"/>
          <w:szCs w:val="18"/>
        </w:rPr>
        <w:t xml:space="preserve"> for additional Credit Policy requirements.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Home Equity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Include any second mortgages with </w:t>
      </w:r>
      <w:r w:rsidR="009B3752">
        <w:rPr>
          <w:rFonts w:ascii="Verdana" w:eastAsia="Times New Roman" w:hAnsi="Verdana" w:cs="Times New Roman"/>
          <w:sz w:val="18"/>
          <w:szCs w:val="18"/>
        </w:rPr>
        <w:t>Underwriting Institute</w:t>
      </w:r>
      <w:r w:rsidRPr="0087031A">
        <w:rPr>
          <w:rFonts w:ascii="Verdana" w:eastAsia="Times New Roman" w:hAnsi="Verdana" w:cs="Times New Roman"/>
          <w:sz w:val="18"/>
          <w:szCs w:val="18"/>
        </w:rPr>
        <w:t>, or any other lender, financial or otherwise, in the DTI; use the actual loan payments.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Explain and justify any variance from this requirement in the approval document.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r w:rsidRPr="0087031A">
        <w:rPr>
          <w:rFonts w:ascii="Verdana" w:eastAsia="Times New Roman" w:hAnsi="Verdana" w:cs="Times New Roman"/>
          <w:color w:val="006699"/>
          <w:sz w:val="18"/>
          <w:szCs w:val="18"/>
        </w:rPr>
        <w:t>Subordinate Financing</w:t>
      </w:r>
      <w:r w:rsidRPr="0087031A">
        <w:rPr>
          <w:rFonts w:ascii="Verdana" w:eastAsia="Times New Roman" w:hAnsi="Verdana" w:cs="Times New Roman"/>
          <w:sz w:val="18"/>
          <w:szCs w:val="18"/>
        </w:rPr>
        <w:t xml:space="preserve"> for additional Credit Policy requirements.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Installment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installment debt in the DTI regardless of the number of monthly payments remaining.</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Investment Gains and Losses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Average and include any net recurring loss on a cash investment or an investment property as an expense in the DTI.</w:t>
      </w:r>
      <w:bookmarkStart w:id="81" w:name="_GoBack"/>
      <w:bookmarkEnd w:id="81"/>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any net recurring cash gain as qualifying income, as appropriate.</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Lease Payments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lease payments regardless of the remaining term because the borrower will be subject to either of these at the end of the lease term:</w:t>
      </w:r>
    </w:p>
    <w:p w:rsidR="0087031A" w:rsidRPr="0087031A" w:rsidRDefault="0087031A" w:rsidP="0087031A">
      <w:pPr>
        <w:numPr>
          <w:ilvl w:val="0"/>
          <w:numId w:val="20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buyout of the lease (e.g., </w:t>
      </w:r>
      <w:r w:rsidR="0084256B">
        <w:rPr>
          <w:rFonts w:ascii="Verdana" w:eastAsia="Times New Roman" w:hAnsi="Verdana" w:cs="Times New Roman"/>
          <w:sz w:val="18"/>
          <w:szCs w:val="18"/>
        </w:rPr>
        <w:t>purchase</w:t>
      </w:r>
      <w:r w:rsidRPr="0087031A">
        <w:rPr>
          <w:rFonts w:ascii="Verdana" w:eastAsia="Times New Roman" w:hAnsi="Verdana" w:cs="Times New Roman"/>
          <w:sz w:val="18"/>
          <w:szCs w:val="18"/>
        </w:rPr>
        <w:t xml:space="preserve"> of the car) </w:t>
      </w:r>
    </w:p>
    <w:p w:rsidR="0087031A" w:rsidRPr="0087031A" w:rsidRDefault="0087031A" w:rsidP="0087031A">
      <w:pPr>
        <w:numPr>
          <w:ilvl w:val="0"/>
          <w:numId w:val="20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new lease obligation </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Non-Real Estate Lines of Credit, Balloon Loans and Interest-Only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verified monthly payments in the DTI, regardless of the number of payments remaining.</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Margin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Borrowers who have stock portfolios often have loans secured by the marketable securities in their brokerage accounts. Do not include the margin account in the DTI when all of these are true:</w:t>
      </w:r>
    </w:p>
    <w:p w:rsidR="0087031A" w:rsidRPr="0087031A" w:rsidRDefault="0087031A" w:rsidP="0087031A">
      <w:pPr>
        <w:numPr>
          <w:ilvl w:val="0"/>
          <w:numId w:val="20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margin loan matches with a specific asset conversion. </w:t>
      </w:r>
    </w:p>
    <w:p w:rsidR="0087031A" w:rsidRPr="0087031A" w:rsidRDefault="0087031A" w:rsidP="0087031A">
      <w:pPr>
        <w:numPr>
          <w:ilvl w:val="0"/>
          <w:numId w:val="20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approval document reports the margin loan separately. </w:t>
      </w:r>
    </w:p>
    <w:p w:rsidR="0087031A" w:rsidRPr="0087031A" w:rsidRDefault="0087031A" w:rsidP="0087031A">
      <w:pPr>
        <w:numPr>
          <w:ilvl w:val="0"/>
          <w:numId w:val="20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You subtract an amount equal to the margin loan balance from the borrower's marketable security total. </w:t>
      </w:r>
    </w:p>
    <w:p w:rsidR="0087031A" w:rsidRPr="0087031A" w:rsidRDefault="0087031A" w:rsidP="0087031A">
      <w:pPr>
        <w:numPr>
          <w:ilvl w:val="0"/>
          <w:numId w:val="20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You exclude an amount equal to the margin loan balance from the borrower's cash reserves and income calculations.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To properly reflect the borrower's net worth, report the excluded amount separately on the approval document as a non-liquid asset.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Mortgage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Exercise prudent judgment in evaluating the debt service of first and second mortgage payments on all real estate holdings.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When a payment appears to be for interest-only or a below-market ARM, obtain a verification of mortgage or comparable alternate documentation to confirm whether the DTI </w:t>
      </w:r>
      <w:proofErr w:type="gramStart"/>
      <w:r w:rsidRPr="0087031A">
        <w:rPr>
          <w:rFonts w:ascii="Verdana" w:eastAsia="Times New Roman" w:hAnsi="Verdana" w:cs="Times New Roman"/>
          <w:sz w:val="18"/>
          <w:szCs w:val="18"/>
        </w:rPr>
        <w:t>calculation  includes</w:t>
      </w:r>
      <w:proofErr w:type="gramEnd"/>
      <w:r w:rsidRPr="0087031A">
        <w:rPr>
          <w:rFonts w:ascii="Verdana" w:eastAsia="Times New Roman" w:hAnsi="Verdana" w:cs="Times New Roman"/>
          <w:sz w:val="18"/>
          <w:szCs w:val="18"/>
        </w:rPr>
        <w:t xml:space="preserve"> adequate debt service.</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2" w:name="Payoff_of_Debt"/>
      <w:bookmarkEnd w:id="82"/>
      <w:r w:rsidRPr="0087031A">
        <w:rPr>
          <w:rFonts w:ascii="Verdana" w:eastAsia="Times New Roman" w:hAnsi="Verdana" w:cs="Times New Roman"/>
          <w:b/>
          <w:bCs/>
          <w:sz w:val="21"/>
          <w:szCs w:val="21"/>
        </w:rPr>
        <w:t>Payoff of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borrower may wish to pay in full a debt reported on the application or credit report, and have that payment excluded from the qualifying parameters.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To pay the debt off prior to or at closing, and exclude the payment:</w:t>
      </w:r>
    </w:p>
    <w:p w:rsidR="0087031A" w:rsidRPr="0087031A" w:rsidRDefault="0087031A" w:rsidP="0087031A">
      <w:pPr>
        <w:numPr>
          <w:ilvl w:val="0"/>
          <w:numId w:val="20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Verify the borrower has the assets or sufficient equity to pay off the debt. </w:t>
      </w:r>
    </w:p>
    <w:p w:rsidR="0087031A" w:rsidRPr="0087031A" w:rsidRDefault="0087031A" w:rsidP="0087031A">
      <w:pPr>
        <w:numPr>
          <w:ilvl w:val="0"/>
          <w:numId w:val="202"/>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Verify that the debt has been paid prior to, or at, closing.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If the debt being paid-off is a revolving or open-end account, verify it has been closed.</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Reduction of Debt Balance (Paying Down a Balance)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A borrower may choose to reduce the balance on a debt by paying a principal sum towards the balance. Regardless of the "paid-down" amount, or number of monthly payments remaining, consider the monthly payment a recurring obligation and include it in the qualifying DTI calculation.</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Relocation Benefits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Eliminate the PITI on an existing residence from the debt-to-income ratio analysis when a borrower is relocating, and the loan file includes both of these:</w:t>
      </w:r>
    </w:p>
    <w:p w:rsidR="0087031A" w:rsidRPr="0087031A" w:rsidRDefault="0087031A" w:rsidP="0087031A">
      <w:pPr>
        <w:numPr>
          <w:ilvl w:val="0"/>
          <w:numId w:val="20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copy of the offer to </w:t>
      </w:r>
      <w:r w:rsidR="0084256B">
        <w:rPr>
          <w:rFonts w:ascii="Verdana" w:eastAsia="Times New Roman" w:hAnsi="Verdana" w:cs="Times New Roman"/>
          <w:sz w:val="18"/>
          <w:szCs w:val="18"/>
        </w:rPr>
        <w:t>purchase</w:t>
      </w:r>
      <w:r w:rsidRPr="0087031A">
        <w:rPr>
          <w:rFonts w:ascii="Verdana" w:eastAsia="Times New Roman" w:hAnsi="Verdana" w:cs="Times New Roman"/>
          <w:sz w:val="18"/>
          <w:szCs w:val="18"/>
        </w:rPr>
        <w:t xml:space="preserve"> the existing residence. </w:t>
      </w:r>
    </w:p>
    <w:p w:rsidR="0087031A" w:rsidRPr="0087031A" w:rsidRDefault="0087031A" w:rsidP="0087031A">
      <w:pPr>
        <w:numPr>
          <w:ilvl w:val="0"/>
          <w:numId w:val="203"/>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At loan closing, a copy of the equity advance or a settlement statement evidences the sale and release from liability.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Any closing costs and points included in the relocation package are eligible for use as closing funds; however, the borrower must provide funds for prepaid items unless the relocation package specifically includes them.</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hyperlink r:id="rId15" w:history="1">
        <w:r w:rsidRPr="0087031A">
          <w:rPr>
            <w:rFonts w:ascii="Verdana" w:eastAsia="Times New Roman" w:hAnsi="Verdana" w:cs="Times New Roman"/>
            <w:color w:val="006699"/>
            <w:sz w:val="18"/>
            <w:szCs w:val="18"/>
          </w:rPr>
          <w:t>Corporate Relocation</w:t>
        </w:r>
      </w:hyperlink>
      <w:r w:rsidRPr="0087031A">
        <w:rPr>
          <w:rFonts w:ascii="Verdana" w:eastAsia="Times New Roman" w:hAnsi="Verdana" w:cs="Times New Roman"/>
          <w:sz w:val="18"/>
          <w:szCs w:val="18"/>
        </w:rPr>
        <w:t xml:space="preserve"> for additional information.</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Sole-proprietor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a sole proprietor, "business" debts are generally indistinguishable from personal debts. For example, sole proprietors may use automobiles as business vehicles and write off the corresponding debt as a business expense.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Because no corporate legal entity shields the borrower from having to pay this expense, include sole-proprietor business debts in the analysis.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borrower's personal financial statement or 1003 application should reflect the outstanding balance(s) of the sole-proprietor's business debts. Address the business debt payments (principal and interest) as follows: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6493"/>
        <w:gridCol w:w="4061"/>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borrower has not provided proof the business is paying the debt,</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include</w:t>
            </w:r>
            <w:proofErr w:type="gramEnd"/>
            <w:r w:rsidRPr="0087031A">
              <w:rPr>
                <w:rFonts w:ascii="Verdana" w:eastAsia="Times New Roman" w:hAnsi="Verdana" w:cs="Times New Roman"/>
                <w:sz w:val="18"/>
                <w:szCs w:val="18"/>
              </w:rPr>
              <w:t xml:space="preserve"> the debt in the borrowers recurring monthly debt obligation.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evidence shows the business is paying the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Example</w:t>
            </w:r>
            <w:r w:rsidRPr="0087031A">
              <w:rPr>
                <w:rFonts w:ascii="Verdana" w:eastAsia="Times New Roman" w:hAnsi="Verdana" w:cs="Times New Roman"/>
                <w:sz w:val="18"/>
                <w:szCs w:val="18"/>
              </w:rPr>
              <w:t>: The loan file includes all of these:</w:t>
            </w:r>
          </w:p>
          <w:p w:rsidR="0087031A" w:rsidRPr="0087031A" w:rsidRDefault="0087031A" w:rsidP="0087031A">
            <w:pPr>
              <w:numPr>
                <w:ilvl w:val="0"/>
                <w:numId w:val="20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minimum of the most recent 12 months of canceled checks from the business checking account</w:t>
            </w:r>
          </w:p>
          <w:p w:rsidR="0087031A" w:rsidRPr="0087031A" w:rsidRDefault="0087031A" w:rsidP="0087031A">
            <w:pPr>
              <w:numPr>
                <w:ilvl w:val="0"/>
                <w:numId w:val="20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Schedule C (from the tax returns) showing related business expense deductions</w:t>
            </w:r>
          </w:p>
          <w:p w:rsidR="0087031A" w:rsidRPr="0087031A" w:rsidRDefault="0087031A" w:rsidP="0087031A">
            <w:pPr>
              <w:numPr>
                <w:ilvl w:val="0"/>
                <w:numId w:val="20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 history of delinquency on the account in question</w:t>
            </w:r>
          </w:p>
          <w:p w:rsidR="0087031A" w:rsidRPr="0087031A" w:rsidRDefault="0087031A" w:rsidP="0087031A">
            <w:pPr>
              <w:numPr>
                <w:ilvl w:val="0"/>
                <w:numId w:val="204"/>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Underwriting's business cash flow analysis including payment of the obligation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exclude</w:t>
            </w:r>
            <w:proofErr w:type="gramEnd"/>
            <w:r w:rsidRPr="0087031A">
              <w:rPr>
                <w:rFonts w:ascii="Verdana" w:eastAsia="Times New Roman" w:hAnsi="Verdana" w:cs="Times New Roman"/>
                <w:sz w:val="18"/>
                <w:szCs w:val="18"/>
              </w:rPr>
              <w:t xml:space="preserve"> the debt from the borrower's recurring monthly debt obligation.</w:t>
            </w:r>
          </w:p>
        </w:tc>
      </w:tr>
    </w:tbl>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Student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Include all student loans in the DTI regardless of deferment status or number of monthly payments remaining. When the credit report does not indicate a monthly payment, obtain documentation to support the payment amount.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Taxes and Insurance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Include the actual monthly amount of taxes</w:t>
      </w: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8"/>
          <w:szCs w:val="18"/>
        </w:rPr>
        <w:t xml:space="preserve">, insurance, any </w:t>
      </w:r>
      <w:proofErr w:type="gramStart"/>
      <w:r w:rsidRPr="0087031A">
        <w:rPr>
          <w:rFonts w:ascii="Verdana" w:eastAsia="Times New Roman" w:hAnsi="Verdana" w:cs="Times New Roman"/>
          <w:sz w:val="18"/>
          <w:szCs w:val="18"/>
        </w:rPr>
        <w:t>homeowners</w:t>
      </w:r>
      <w:proofErr w:type="gramEnd"/>
      <w:r w:rsidRPr="0087031A">
        <w:rPr>
          <w:rFonts w:ascii="Verdana" w:eastAsia="Times New Roman" w:hAnsi="Verdana" w:cs="Times New Roman"/>
          <w:sz w:val="18"/>
          <w:szCs w:val="18"/>
        </w:rPr>
        <w:t xml:space="preserve"> association (HOA) fees, and special assessment fees in the DTI.</w:t>
      </w:r>
    </w:p>
    <w:p w:rsidR="0087031A" w:rsidRPr="0087031A" w:rsidRDefault="0087031A" w:rsidP="0087031A">
      <w:pPr>
        <w:spacing w:before="100" w:beforeAutospacing="1" w:after="210" w:line="240" w:lineRule="auto"/>
        <w:rPr>
          <w:rFonts w:ascii="Verdana" w:eastAsia="Times New Roman" w:hAnsi="Verdana" w:cs="Times New Roman"/>
          <w:sz w:val="17"/>
          <w:szCs w:val="17"/>
        </w:rPr>
      </w:pPr>
      <w:r w:rsidRPr="0087031A">
        <w:rPr>
          <w:rFonts w:ascii="Verdana" w:eastAsia="Times New Roman" w:hAnsi="Verdana" w:cs="Times New Roman"/>
          <w:b/>
          <w:bCs/>
          <w:sz w:val="12"/>
          <w:vertAlign w:val="superscript"/>
        </w:rPr>
        <w:t>1</w:t>
      </w:r>
      <w:r w:rsidRPr="0087031A">
        <w:rPr>
          <w:rFonts w:ascii="Verdana" w:eastAsia="Times New Roman" w:hAnsi="Verdana" w:cs="Times New Roman"/>
          <w:sz w:val="17"/>
          <w:szCs w:val="17"/>
        </w:rPr>
        <w:t xml:space="preserve"> See </w:t>
      </w:r>
      <w:hyperlink r:id="rId16" w:anchor="Tax_Abatements" w:history="1">
        <w:r w:rsidRPr="0087031A">
          <w:rPr>
            <w:rFonts w:ascii="Verdana" w:eastAsia="Times New Roman" w:hAnsi="Verdana" w:cs="Times New Roman"/>
            <w:color w:val="006699"/>
            <w:sz w:val="17"/>
            <w:szCs w:val="17"/>
          </w:rPr>
          <w:t>Tax Abatements</w:t>
        </w:r>
      </w:hyperlink>
      <w:r w:rsidRPr="0087031A">
        <w:rPr>
          <w:rFonts w:ascii="Verdana" w:eastAsia="Times New Roman" w:hAnsi="Verdana" w:cs="Times New Roman"/>
          <w:sz w:val="17"/>
          <w:szCs w:val="17"/>
        </w:rPr>
        <w:t xml:space="preserve"> below for more information.</w:t>
      </w:r>
    </w:p>
    <w:p w:rsidR="0087031A" w:rsidRPr="0087031A" w:rsidRDefault="0087031A" w:rsidP="0087031A">
      <w:pPr>
        <w:spacing w:before="100" w:beforeAutospacing="1" w:after="100" w:afterAutospacing="1" w:line="240" w:lineRule="auto"/>
        <w:outlineLvl w:val="2"/>
        <w:rPr>
          <w:rFonts w:ascii="Verdana" w:eastAsia="Times New Roman" w:hAnsi="Verdana" w:cs="Times New Roman"/>
          <w:b/>
          <w:bCs/>
          <w:sz w:val="18"/>
          <w:szCs w:val="18"/>
        </w:rPr>
      </w:pPr>
      <w:bookmarkStart w:id="83" w:name="Tax_Abatements"/>
      <w:bookmarkEnd w:id="83"/>
      <w:r w:rsidRPr="0087031A">
        <w:rPr>
          <w:rFonts w:ascii="Verdana" w:eastAsia="Times New Roman" w:hAnsi="Verdana" w:cs="Times New Roman"/>
          <w:b/>
          <w:bCs/>
          <w:sz w:val="18"/>
          <w:szCs w:val="18"/>
        </w:rPr>
        <w:t>Tax Abatements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Tax abatements are a temporary reduction in the actual amount of taxes that the owner(s) of a property must pay. Use the abated (reduced) amount of taxes in the qualifying DTI, when all of these requirements are met:</w:t>
      </w:r>
    </w:p>
    <w:p w:rsidR="0087031A" w:rsidRPr="0087031A" w:rsidRDefault="0087031A" w:rsidP="0087031A">
      <w:pPr>
        <w:numPr>
          <w:ilvl w:val="0"/>
          <w:numId w:val="20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A government municipality offers the abatement.</w:t>
      </w:r>
    </w:p>
    <w:p w:rsidR="0087031A" w:rsidRPr="0087031A" w:rsidRDefault="0087031A" w:rsidP="0087031A">
      <w:pPr>
        <w:numPr>
          <w:ilvl w:val="0"/>
          <w:numId w:val="20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Neither the seller, nor any other interested party, pays the abatement to the borrower.</w:t>
      </w:r>
    </w:p>
    <w:p w:rsidR="0087031A" w:rsidRPr="0087031A" w:rsidRDefault="0087031A" w:rsidP="0087031A">
      <w:pPr>
        <w:numPr>
          <w:ilvl w:val="0"/>
          <w:numId w:val="20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full amount of the abatement is in effect for a minimum of three (3) years from the loan closing date and cannot terminate partially or fully within that period of time.</w:t>
      </w:r>
    </w:p>
    <w:p w:rsidR="0087031A" w:rsidRPr="0087031A" w:rsidRDefault="0087031A" w:rsidP="0087031A">
      <w:pPr>
        <w:numPr>
          <w:ilvl w:val="0"/>
          <w:numId w:val="205"/>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Documentation supporting the amount and term of the abatement is in the loan file.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Alert</w:t>
      </w:r>
      <w:r w:rsidRPr="0087031A">
        <w:rPr>
          <w:rFonts w:ascii="Verdana" w:eastAsia="Times New Roman" w:hAnsi="Verdana" w:cs="Times New Roman"/>
          <w:sz w:val="18"/>
          <w:szCs w:val="18"/>
        </w:rPr>
        <w:t>: Never use tax abatements as a source qualifying income.</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hyperlink r:id="rId17" w:history="1">
        <w:r w:rsidRPr="0087031A">
          <w:rPr>
            <w:rFonts w:ascii="Verdana" w:eastAsia="Times New Roman" w:hAnsi="Verdana" w:cs="Times New Roman"/>
            <w:color w:val="006699"/>
            <w:sz w:val="18"/>
            <w:szCs w:val="18"/>
          </w:rPr>
          <w:t>Appraisals</w:t>
        </w:r>
      </w:hyperlink>
      <w:r w:rsidRPr="0087031A">
        <w:rPr>
          <w:rFonts w:ascii="Verdana" w:eastAsia="Times New Roman" w:hAnsi="Verdana" w:cs="Times New Roman"/>
          <w:sz w:val="18"/>
          <w:szCs w:val="18"/>
        </w:rPr>
        <w:t xml:space="preserve"> for tax abatement requirements related to Collateral policy.</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Travel and Entertainment (T &amp; E) Credit Cards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Exclude debt payments for travel and entertainment (T&amp;E) credit cards if the borrower can provide verification that the borrower's employer reimburses 100% of these travel and entertainment expenses. Generally, two months of T&amp;E card monthly billing statements showing prior balances paid in full meets this verification requirement.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Without this verification:</w:t>
      </w:r>
    </w:p>
    <w:p w:rsidR="0087031A" w:rsidRPr="0087031A" w:rsidRDefault="0087031A" w:rsidP="0087031A">
      <w:pPr>
        <w:numPr>
          <w:ilvl w:val="0"/>
          <w:numId w:val="20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Use the payment reflected on the credit report, or 5% of the outstanding balance reported on the credit report if the payment is absent.</w:t>
      </w:r>
    </w:p>
    <w:p w:rsidR="0087031A" w:rsidRPr="0087031A" w:rsidRDefault="0087031A" w:rsidP="0087031A">
      <w:pPr>
        <w:numPr>
          <w:ilvl w:val="0"/>
          <w:numId w:val="206"/>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For open 30-day charge accounts with the total outstanding balance due monthly, the borrower(s) must have verified liquid assets exceeding the balance and meeting the reserve requirements for the loan program.</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816"/>
        <w:gridCol w:w="7738"/>
      </w:tblGrid>
      <w:tr w:rsidR="0087031A" w:rsidRPr="0087031A" w:rsidTr="0087031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IF sufficient liquid assets are...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b/>
                <w:bCs/>
                <w:sz w:val="18"/>
                <w:szCs w:val="18"/>
              </w:rPr>
            </w:pPr>
            <w:r w:rsidRPr="0087031A">
              <w:rPr>
                <w:rFonts w:ascii="Verdana" w:eastAsia="Times New Roman" w:hAnsi="Verdana" w:cs="Times New Roman"/>
                <w:b/>
                <w:bCs/>
                <w:sz w:val="18"/>
                <w:szCs w:val="18"/>
              </w:rPr>
              <w:t>THEN...</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verified,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exclude the reported monthly payment from the DTI</w:t>
            </w:r>
          </w:p>
        </w:tc>
      </w:tr>
      <w:tr w:rsidR="0087031A" w:rsidRPr="0087031A" w:rsidTr="0087031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not verified,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proofErr w:type="gramStart"/>
            <w:r w:rsidRPr="0087031A">
              <w:rPr>
                <w:rFonts w:ascii="Verdana" w:eastAsia="Times New Roman" w:hAnsi="Verdana" w:cs="Times New Roman"/>
                <w:sz w:val="18"/>
                <w:szCs w:val="18"/>
              </w:rPr>
              <w:t>obtain</w:t>
            </w:r>
            <w:proofErr w:type="gramEnd"/>
            <w:r w:rsidRPr="0087031A">
              <w:rPr>
                <w:rFonts w:ascii="Verdana" w:eastAsia="Times New Roman" w:hAnsi="Verdana" w:cs="Times New Roman"/>
                <w:sz w:val="18"/>
                <w:szCs w:val="18"/>
              </w:rPr>
              <w:t xml:space="preserve"> evidence that the account has been paid in full, and exclude the reported monthly payment from the DTI.</w:t>
            </w:r>
          </w:p>
        </w:tc>
      </w:tr>
    </w:tbl>
    <w:p w:rsidR="0087031A" w:rsidRDefault="0087031A" w:rsidP="00005AA3"/>
    <w:p w:rsidR="0087031A" w:rsidRPr="0087031A" w:rsidRDefault="0087031A" w:rsidP="0087031A">
      <w:pPr>
        <w:spacing w:before="100" w:beforeAutospacing="1" w:after="100" w:afterAutospacing="1" w:line="240" w:lineRule="auto"/>
        <w:outlineLvl w:val="0"/>
        <w:rPr>
          <w:rFonts w:ascii="Arial" w:eastAsia="Times New Roman" w:hAnsi="Arial" w:cs="Arial"/>
          <w:b/>
          <w:bCs/>
          <w:spacing w:val="-15"/>
          <w:kern w:val="36"/>
          <w:sz w:val="30"/>
          <w:szCs w:val="30"/>
        </w:rPr>
      </w:pPr>
      <w:r w:rsidRPr="0087031A">
        <w:rPr>
          <w:rFonts w:ascii="Arial" w:eastAsia="Times New Roman" w:hAnsi="Arial" w:cs="Arial"/>
          <w:b/>
          <w:bCs/>
          <w:spacing w:val="-15"/>
          <w:kern w:val="36"/>
          <w:sz w:val="30"/>
          <w:szCs w:val="30"/>
        </w:rPr>
        <w:t>Subordinate Financing</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Policy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Subordinate financing is any mortgage that is in a secondary or "junior lien" position on title. Recorded subordinate financing must meet specific repayment terms.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Agency and Non-Agency Loan Eligibility Requirements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Subordinate financing may not be eligible on all products, property, or occupancy types. Refer to the specific product guides to determine eligibility.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Additionally, there may be specific loan-to-value (LTV) and combined loan-to-value (CLTV) limitations associated with the seasoning of the subordinate financing.</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following restrictions apply:</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No negative amortization on the subordinate financing. The repayment terms of the subordinate loan must provide for regular payments that cover no less than interest due.</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interest rate on the subordinate loan should generally be at market rate, but may be less if seller financed (no less than 2 percent below the market rate if not an equity line of credit).</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maturity date of the subordinate loan must be five years or greater if the terms contain a balloon or call option.</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Variable payments are acceptable unless the first mortgage has an interest rate </w:t>
      </w:r>
      <w:proofErr w:type="spellStart"/>
      <w:r w:rsidRPr="0087031A">
        <w:rPr>
          <w:rFonts w:ascii="Verdana" w:eastAsia="Times New Roman" w:hAnsi="Verdana" w:cs="Times New Roman"/>
          <w:sz w:val="18"/>
          <w:szCs w:val="18"/>
        </w:rPr>
        <w:t>buydown</w:t>
      </w:r>
      <w:proofErr w:type="spellEnd"/>
      <w:r w:rsidRPr="0087031A">
        <w:rPr>
          <w:rFonts w:ascii="Verdana" w:eastAsia="Times New Roman" w:hAnsi="Verdana" w:cs="Times New Roman"/>
          <w:sz w:val="18"/>
          <w:szCs w:val="18"/>
        </w:rPr>
        <w:t>, in which case, the subordinate financing must be a fixed amount. Unless the variable rate subordinate loan is an equity line of credit, the monthly payment must remain the same for each 12-month period and the interest rate may adjust no more than 1% each 12 months. If the subordinate loan does not fully amortize, it cannot mature or balloon in less than five years.</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The payment for the subordinate financing must be included in the total monthly housing expense and the P/I and D/I ratios.</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If the subordinate loan is an equity line of credit, use the line limit to calculate the LTV/CLTV.</w:t>
      </w:r>
    </w:p>
    <w:p w:rsidR="0087031A" w:rsidRPr="0087031A" w:rsidRDefault="0087031A" w:rsidP="0087031A">
      <w:pPr>
        <w:numPr>
          <w:ilvl w:val="0"/>
          <w:numId w:val="207"/>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To be eligible, subordinate financing cannot have payment terms that restrict prepayment (i.e., prepayment penalties).</w:t>
      </w:r>
    </w:p>
    <w:p w:rsidR="0087031A" w:rsidRPr="0087031A" w:rsidRDefault="0087031A" w:rsidP="0087031A">
      <w:pPr>
        <w:spacing w:before="100" w:beforeAutospacing="1" w:after="100" w:afterAutospacing="1" w:line="240" w:lineRule="auto"/>
        <w:ind w:left="600"/>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Subordinate financing that allows lenders to recoup closing costs is not considered to be a prepayment penalty for the purpose of subordinate financing eligibility.</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When the subordinate financing is not being paid off with proceeds of the refinance transaction, and remains subordinate to our first mortgage lien:</w:t>
      </w:r>
    </w:p>
    <w:p w:rsidR="0087031A" w:rsidRPr="0087031A" w:rsidRDefault="0087031A" w:rsidP="0087031A">
      <w:pPr>
        <w:numPr>
          <w:ilvl w:val="0"/>
          <w:numId w:val="20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subordinate loan has no seasoning requirement (unless defined by the product guide). </w:t>
      </w:r>
    </w:p>
    <w:p w:rsidR="0087031A" w:rsidRPr="0087031A" w:rsidRDefault="0087031A" w:rsidP="0087031A">
      <w:pPr>
        <w:numPr>
          <w:ilvl w:val="0"/>
          <w:numId w:val="20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subordinate financing must re-subordinate to our first mortgage and remain on the books. </w:t>
      </w:r>
    </w:p>
    <w:p w:rsidR="0087031A" w:rsidRPr="0087031A" w:rsidRDefault="0087031A" w:rsidP="0087031A">
      <w:pPr>
        <w:numPr>
          <w:ilvl w:val="0"/>
          <w:numId w:val="20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subordinate financing must meet all product specific eligibility requirements. </w:t>
      </w:r>
    </w:p>
    <w:p w:rsidR="0087031A" w:rsidRPr="0087031A" w:rsidRDefault="0087031A" w:rsidP="0087031A">
      <w:pPr>
        <w:numPr>
          <w:ilvl w:val="0"/>
          <w:numId w:val="208"/>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copy of the Note reflecting the terms must be obtained in all cases regardless of lender (non-Streamline HARP). </w:t>
      </w:r>
    </w:p>
    <w:p w:rsidR="0087031A" w:rsidRPr="0087031A" w:rsidRDefault="0087031A" w:rsidP="0087031A">
      <w:pPr>
        <w:numPr>
          <w:ilvl w:val="0"/>
          <w:numId w:val="208"/>
        </w:numPr>
        <w:spacing w:before="100" w:beforeAutospacing="1" w:after="100" w:afterAutospacing="1" w:line="240" w:lineRule="auto"/>
        <w:ind w:left="1440"/>
        <w:rPr>
          <w:rFonts w:ascii="Verdana" w:eastAsia="Times New Roman" w:hAnsi="Verdana" w:cs="Times New Roman"/>
          <w:sz w:val="18"/>
          <w:szCs w:val="18"/>
        </w:rPr>
      </w:pPr>
    </w:p>
    <w:p w:rsidR="0087031A" w:rsidRPr="0087031A" w:rsidRDefault="009B3752" w:rsidP="0087031A">
      <w:pPr>
        <w:numPr>
          <w:ilvl w:val="1"/>
          <w:numId w:val="209"/>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Underwriting Institute</w:t>
      </w:r>
      <w:r w:rsidR="0087031A" w:rsidRPr="0087031A">
        <w:rPr>
          <w:rFonts w:ascii="Verdana" w:eastAsia="Times New Roman" w:hAnsi="Verdana" w:cs="Times New Roman"/>
          <w:sz w:val="18"/>
          <w:szCs w:val="18"/>
        </w:rPr>
        <w:t xml:space="preserve"> subordinate financing complies with the above guidelines. However, all non-</w:t>
      </w:r>
      <w:r>
        <w:rPr>
          <w:rFonts w:ascii="Verdana" w:eastAsia="Times New Roman" w:hAnsi="Verdana" w:cs="Times New Roman"/>
          <w:sz w:val="18"/>
          <w:szCs w:val="18"/>
        </w:rPr>
        <w:t>Underwriting Institute</w:t>
      </w:r>
      <w:r w:rsidR="0087031A" w:rsidRPr="0087031A">
        <w:rPr>
          <w:rFonts w:ascii="Verdana" w:eastAsia="Times New Roman" w:hAnsi="Verdana" w:cs="Times New Roman"/>
          <w:sz w:val="18"/>
          <w:szCs w:val="18"/>
        </w:rPr>
        <w:t xml:space="preserve"> subordinate financing documentation must be reviewed to ensure our first lien priority and eligibility of the loan for sale in the secondary or securities market.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See </w:t>
      </w:r>
      <w:hyperlink r:id="rId18" w:history="1">
        <w:r w:rsidRPr="0087031A">
          <w:rPr>
            <w:rFonts w:ascii="Verdana" w:eastAsia="Times New Roman" w:hAnsi="Verdana" w:cs="Times New Roman"/>
            <w:color w:val="006699"/>
            <w:sz w:val="18"/>
            <w:szCs w:val="18"/>
          </w:rPr>
          <w:t>Subordinate Financing Guidelines – Agency Loans</w:t>
        </w:r>
      </w:hyperlink>
      <w:r w:rsidRPr="0087031A">
        <w:rPr>
          <w:rFonts w:ascii="Verdana" w:eastAsia="Times New Roman" w:hAnsi="Verdana" w:cs="Times New Roman"/>
          <w:sz w:val="18"/>
          <w:szCs w:val="18"/>
        </w:rPr>
        <w:t xml:space="preserve"> for complete details.</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Re-subordination</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Requests for </w:t>
      </w:r>
      <w:r w:rsidR="009B3752">
        <w:rPr>
          <w:rFonts w:ascii="Verdana" w:eastAsia="Times New Roman" w:hAnsi="Verdana" w:cs="Times New Roman"/>
          <w:sz w:val="18"/>
          <w:szCs w:val="18"/>
        </w:rPr>
        <w:t>Lending Book</w:t>
      </w:r>
      <w:r w:rsidRPr="0087031A">
        <w:rPr>
          <w:rFonts w:ascii="Verdana" w:eastAsia="Times New Roman" w:hAnsi="Verdana" w:cs="Times New Roman"/>
          <w:sz w:val="18"/>
          <w:szCs w:val="18"/>
        </w:rPr>
        <w:t xml:space="preserve"> to re-subordinate a loan in its servicing portfolio should be referred to the Servicing Department.</w:t>
      </w:r>
    </w:p>
    <w:p w:rsidR="0087031A" w:rsidRPr="0087031A" w:rsidRDefault="0087031A" w:rsidP="0087031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87031A">
        <w:rPr>
          <w:rFonts w:ascii="Verdana" w:eastAsia="Times New Roman" w:hAnsi="Verdana" w:cs="Times New Roman"/>
          <w:b/>
          <w:bCs/>
          <w:sz w:val="21"/>
          <w:szCs w:val="21"/>
        </w:rPr>
        <w:t>Small Business Administration (SBA) Liens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Small Business Administration (SBA) liens must be included in the CLTV calculation for both Agency and Non-Agency loans.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SBA's lien against an individual's personal residence is typically additional collateral for a business loan and not the primary collateral nor the primary source of repayment. However, the business must be analyzed to determine its ability to service the business debt as well as provide sufficient income for the borrower to service their debt.</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SBA lien should be entered as subordinate financing in any of the Automated Underwriting (AU) systems. The loan should reflect the subordination of the SBA lien to all </w:t>
      </w:r>
      <w:r w:rsidR="009B3752">
        <w:rPr>
          <w:rFonts w:ascii="Verdana" w:eastAsia="Times New Roman" w:hAnsi="Verdana" w:cs="Times New Roman"/>
          <w:sz w:val="18"/>
          <w:szCs w:val="18"/>
        </w:rPr>
        <w:t>Underwriting Institute</w:t>
      </w:r>
      <w:r w:rsidRPr="0087031A">
        <w:rPr>
          <w:rFonts w:ascii="Verdana" w:eastAsia="Times New Roman" w:hAnsi="Verdana" w:cs="Times New Roman"/>
          <w:sz w:val="18"/>
          <w:szCs w:val="18"/>
        </w:rPr>
        <w:t xml:space="preserve"> liens.</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lastRenderedPageBreak/>
        <w:t>In addition, monthly payments on the SBA Loan must be included in the DTI ratio unless proof is provided that the business is paying the debt in both of the following manners:</w:t>
      </w:r>
    </w:p>
    <w:p w:rsidR="0087031A" w:rsidRPr="0087031A" w:rsidRDefault="0087031A" w:rsidP="0087031A">
      <w:pPr>
        <w:numPr>
          <w:ilvl w:val="0"/>
          <w:numId w:val="21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A minimum of the most recent 12 months canceled checks from business' checking account. </w:t>
      </w:r>
    </w:p>
    <w:p w:rsidR="0087031A" w:rsidRPr="0087031A" w:rsidRDefault="0087031A" w:rsidP="0087031A">
      <w:pPr>
        <w:numPr>
          <w:ilvl w:val="0"/>
          <w:numId w:val="210"/>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Business tax returns reflecting the related business expense deductions. </w:t>
      </w:r>
    </w:p>
    <w:p w:rsidR="0087031A" w:rsidRPr="0087031A" w:rsidRDefault="0087031A" w:rsidP="0087031A">
      <w:p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b/>
          <w:bCs/>
          <w:sz w:val="18"/>
          <w:szCs w:val="18"/>
        </w:rPr>
        <w:t>Note</w:t>
      </w:r>
      <w:r w:rsidRPr="0087031A">
        <w:rPr>
          <w:rFonts w:ascii="Verdana" w:eastAsia="Times New Roman" w:hAnsi="Verdana" w:cs="Times New Roman"/>
          <w:sz w:val="18"/>
          <w:szCs w:val="18"/>
        </w:rPr>
        <w:t>: the following conditions must be met:</w:t>
      </w:r>
    </w:p>
    <w:p w:rsidR="0087031A" w:rsidRPr="0087031A" w:rsidRDefault="0087031A" w:rsidP="0087031A">
      <w:pPr>
        <w:numPr>
          <w:ilvl w:val="0"/>
          <w:numId w:val="21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The account in question does not have a history of delinquency. </w:t>
      </w:r>
    </w:p>
    <w:p w:rsidR="0087031A" w:rsidRPr="0087031A" w:rsidRDefault="0087031A" w:rsidP="0087031A">
      <w:pPr>
        <w:numPr>
          <w:ilvl w:val="0"/>
          <w:numId w:val="211"/>
        </w:numPr>
        <w:spacing w:before="100" w:beforeAutospacing="1" w:after="100" w:afterAutospacing="1" w:line="240" w:lineRule="auto"/>
        <w:rPr>
          <w:rFonts w:ascii="Verdana" w:eastAsia="Times New Roman" w:hAnsi="Verdana" w:cs="Times New Roman"/>
          <w:sz w:val="18"/>
          <w:szCs w:val="18"/>
        </w:rPr>
      </w:pPr>
      <w:r w:rsidRPr="0087031A">
        <w:rPr>
          <w:rFonts w:ascii="Verdana" w:eastAsia="Times New Roman" w:hAnsi="Verdana" w:cs="Times New Roman"/>
          <w:sz w:val="18"/>
          <w:szCs w:val="18"/>
        </w:rPr>
        <w:t xml:space="preserve">Underwriting's analysis of the business took the payment of the obligation into consideration </w:t>
      </w:r>
    </w:p>
    <w:p w:rsidR="0087031A" w:rsidRDefault="0087031A" w:rsidP="00005AA3"/>
    <w:sectPr w:rsidR="0087031A" w:rsidSect="0087031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8F9"/>
    <w:multiLevelType w:val="multilevel"/>
    <w:tmpl w:val="BAB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4B5093"/>
    <w:multiLevelType w:val="multilevel"/>
    <w:tmpl w:val="C07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163224"/>
    <w:multiLevelType w:val="multilevel"/>
    <w:tmpl w:val="7ADA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801493"/>
    <w:multiLevelType w:val="multilevel"/>
    <w:tmpl w:val="DB8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DF66CE"/>
    <w:multiLevelType w:val="multilevel"/>
    <w:tmpl w:val="7E8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77268B"/>
    <w:multiLevelType w:val="multilevel"/>
    <w:tmpl w:val="BA98F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3F1973"/>
    <w:multiLevelType w:val="multilevel"/>
    <w:tmpl w:val="2598A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4EF7819"/>
    <w:multiLevelType w:val="multilevel"/>
    <w:tmpl w:val="474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8B1B01"/>
    <w:multiLevelType w:val="multilevel"/>
    <w:tmpl w:val="5FA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5D4135"/>
    <w:multiLevelType w:val="multilevel"/>
    <w:tmpl w:val="A08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461C0C"/>
    <w:multiLevelType w:val="multilevel"/>
    <w:tmpl w:val="47D8A7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D4D6570"/>
    <w:multiLevelType w:val="multilevel"/>
    <w:tmpl w:val="7D3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6224AE"/>
    <w:multiLevelType w:val="multilevel"/>
    <w:tmpl w:val="AC4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924A73"/>
    <w:multiLevelType w:val="multilevel"/>
    <w:tmpl w:val="C9A2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04619D"/>
    <w:multiLevelType w:val="multilevel"/>
    <w:tmpl w:val="0E5C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632588"/>
    <w:multiLevelType w:val="multilevel"/>
    <w:tmpl w:val="1AC66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EF44B60"/>
    <w:multiLevelType w:val="multilevel"/>
    <w:tmpl w:val="B29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FA2D74"/>
    <w:multiLevelType w:val="multilevel"/>
    <w:tmpl w:val="09484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0F6128CC"/>
    <w:multiLevelType w:val="multilevel"/>
    <w:tmpl w:val="99E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765BB5"/>
    <w:multiLevelType w:val="multilevel"/>
    <w:tmpl w:val="E77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C45772"/>
    <w:multiLevelType w:val="multilevel"/>
    <w:tmpl w:val="D19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21C714A"/>
    <w:multiLevelType w:val="multilevel"/>
    <w:tmpl w:val="D1F2E5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231224E"/>
    <w:multiLevelType w:val="multilevel"/>
    <w:tmpl w:val="9EC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3E73FD7"/>
    <w:multiLevelType w:val="multilevel"/>
    <w:tmpl w:val="A2E24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13EE3E5D"/>
    <w:multiLevelType w:val="multilevel"/>
    <w:tmpl w:val="6DB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4BF2185"/>
    <w:multiLevelType w:val="multilevel"/>
    <w:tmpl w:val="27E62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4CC0E4A"/>
    <w:multiLevelType w:val="multilevel"/>
    <w:tmpl w:val="B698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4F37216"/>
    <w:multiLevelType w:val="multilevel"/>
    <w:tmpl w:val="2642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5941392"/>
    <w:multiLevelType w:val="multilevel"/>
    <w:tmpl w:val="E7C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6D46C14"/>
    <w:multiLevelType w:val="multilevel"/>
    <w:tmpl w:val="1AD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7524A07"/>
    <w:multiLevelType w:val="multilevel"/>
    <w:tmpl w:val="72D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78A3360"/>
    <w:multiLevelType w:val="multilevel"/>
    <w:tmpl w:val="6FE2D4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830300D"/>
    <w:multiLevelType w:val="multilevel"/>
    <w:tmpl w:val="40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9515DCF"/>
    <w:multiLevelType w:val="multilevel"/>
    <w:tmpl w:val="3E3C0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9797334"/>
    <w:multiLevelType w:val="multilevel"/>
    <w:tmpl w:val="DA0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B1B1B03"/>
    <w:multiLevelType w:val="multilevel"/>
    <w:tmpl w:val="DCF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B263A6F"/>
    <w:multiLevelType w:val="multilevel"/>
    <w:tmpl w:val="EE6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B9A1C13"/>
    <w:multiLevelType w:val="multilevel"/>
    <w:tmpl w:val="82D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CC60A04"/>
    <w:multiLevelType w:val="multilevel"/>
    <w:tmpl w:val="D49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E3B6BE2"/>
    <w:multiLevelType w:val="multilevel"/>
    <w:tmpl w:val="336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EC82446"/>
    <w:multiLevelType w:val="multilevel"/>
    <w:tmpl w:val="B2C6D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1F0B1574"/>
    <w:multiLevelType w:val="multilevel"/>
    <w:tmpl w:val="79507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1F34442E"/>
    <w:multiLevelType w:val="multilevel"/>
    <w:tmpl w:val="C47EC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1F565A14"/>
    <w:multiLevelType w:val="multilevel"/>
    <w:tmpl w:val="F02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09370B3"/>
    <w:multiLevelType w:val="multilevel"/>
    <w:tmpl w:val="B97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FE1043"/>
    <w:multiLevelType w:val="multilevel"/>
    <w:tmpl w:val="264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3535FCD"/>
    <w:multiLevelType w:val="multilevel"/>
    <w:tmpl w:val="27E03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249B075C"/>
    <w:multiLevelType w:val="multilevel"/>
    <w:tmpl w:val="27A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4E11196"/>
    <w:multiLevelType w:val="multilevel"/>
    <w:tmpl w:val="D5468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4F4613A"/>
    <w:multiLevelType w:val="multilevel"/>
    <w:tmpl w:val="5AB2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51E2856"/>
    <w:multiLevelType w:val="multilevel"/>
    <w:tmpl w:val="5A6C4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25806403"/>
    <w:multiLevelType w:val="multilevel"/>
    <w:tmpl w:val="4B7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5D109DF"/>
    <w:multiLevelType w:val="multilevel"/>
    <w:tmpl w:val="C70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6B77EDE"/>
    <w:multiLevelType w:val="multilevel"/>
    <w:tmpl w:val="E30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7B3313E"/>
    <w:multiLevelType w:val="multilevel"/>
    <w:tmpl w:val="A03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82E2E62"/>
    <w:multiLevelType w:val="multilevel"/>
    <w:tmpl w:val="3868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87016F3"/>
    <w:multiLevelType w:val="multilevel"/>
    <w:tmpl w:val="2C2CD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8772520"/>
    <w:multiLevelType w:val="multilevel"/>
    <w:tmpl w:val="EAC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9515580"/>
    <w:multiLevelType w:val="multilevel"/>
    <w:tmpl w:val="BE6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97231FA"/>
    <w:multiLevelType w:val="multilevel"/>
    <w:tmpl w:val="121AD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B0C1F42"/>
    <w:multiLevelType w:val="multilevel"/>
    <w:tmpl w:val="B53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B7F6CDE"/>
    <w:multiLevelType w:val="multilevel"/>
    <w:tmpl w:val="7E9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C7E09C8"/>
    <w:multiLevelType w:val="multilevel"/>
    <w:tmpl w:val="EC4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D1B2A78"/>
    <w:multiLevelType w:val="multilevel"/>
    <w:tmpl w:val="E55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D3D38B8"/>
    <w:multiLevelType w:val="multilevel"/>
    <w:tmpl w:val="47201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2D68324F"/>
    <w:multiLevelType w:val="multilevel"/>
    <w:tmpl w:val="7D8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E1C36FE"/>
    <w:multiLevelType w:val="multilevel"/>
    <w:tmpl w:val="DE0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F75650A"/>
    <w:multiLevelType w:val="multilevel"/>
    <w:tmpl w:val="D7A44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315D08C8"/>
    <w:multiLevelType w:val="multilevel"/>
    <w:tmpl w:val="3C4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28F5530"/>
    <w:multiLevelType w:val="multilevel"/>
    <w:tmpl w:val="D25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2A93DBF"/>
    <w:multiLevelType w:val="multilevel"/>
    <w:tmpl w:val="F5B6C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33D36461"/>
    <w:multiLevelType w:val="multilevel"/>
    <w:tmpl w:val="762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3F449A7"/>
    <w:multiLevelType w:val="multilevel"/>
    <w:tmpl w:val="A1C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48C2FCB"/>
    <w:multiLevelType w:val="multilevel"/>
    <w:tmpl w:val="889E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49F7DAD"/>
    <w:multiLevelType w:val="multilevel"/>
    <w:tmpl w:val="708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4D340C4"/>
    <w:multiLevelType w:val="multilevel"/>
    <w:tmpl w:val="9C9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4EF7E61"/>
    <w:multiLevelType w:val="multilevel"/>
    <w:tmpl w:val="2F0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55838D0"/>
    <w:multiLevelType w:val="multilevel"/>
    <w:tmpl w:val="60D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71B521B"/>
    <w:multiLevelType w:val="multilevel"/>
    <w:tmpl w:val="409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7C25888"/>
    <w:multiLevelType w:val="multilevel"/>
    <w:tmpl w:val="5F2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7F917BB"/>
    <w:multiLevelType w:val="multilevel"/>
    <w:tmpl w:val="223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9511F13"/>
    <w:multiLevelType w:val="multilevel"/>
    <w:tmpl w:val="9106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AD00C89"/>
    <w:multiLevelType w:val="multilevel"/>
    <w:tmpl w:val="2E6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B4B68E0"/>
    <w:multiLevelType w:val="multilevel"/>
    <w:tmpl w:val="3430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B835600"/>
    <w:multiLevelType w:val="multilevel"/>
    <w:tmpl w:val="21B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C61252D"/>
    <w:multiLevelType w:val="multilevel"/>
    <w:tmpl w:val="C71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CF003B3"/>
    <w:multiLevelType w:val="multilevel"/>
    <w:tmpl w:val="4C7A3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3D4114C9"/>
    <w:multiLevelType w:val="multilevel"/>
    <w:tmpl w:val="4266D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3EB86CE7"/>
    <w:multiLevelType w:val="multilevel"/>
    <w:tmpl w:val="2DD83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F2120C3"/>
    <w:multiLevelType w:val="multilevel"/>
    <w:tmpl w:val="0A8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F4B6CB9"/>
    <w:multiLevelType w:val="multilevel"/>
    <w:tmpl w:val="7D9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FD04E0B"/>
    <w:multiLevelType w:val="multilevel"/>
    <w:tmpl w:val="805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0C5781F"/>
    <w:multiLevelType w:val="multilevel"/>
    <w:tmpl w:val="108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14C3DB2"/>
    <w:multiLevelType w:val="multilevel"/>
    <w:tmpl w:val="4FA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39F7D8F"/>
    <w:multiLevelType w:val="multilevel"/>
    <w:tmpl w:val="6C7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44664C6"/>
    <w:multiLevelType w:val="multilevel"/>
    <w:tmpl w:val="8B7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50212F9"/>
    <w:multiLevelType w:val="multilevel"/>
    <w:tmpl w:val="2AD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682196D"/>
    <w:multiLevelType w:val="multilevel"/>
    <w:tmpl w:val="614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84D045B"/>
    <w:multiLevelType w:val="multilevel"/>
    <w:tmpl w:val="907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9450E96"/>
    <w:multiLevelType w:val="multilevel"/>
    <w:tmpl w:val="6B4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A9D274A"/>
    <w:multiLevelType w:val="multilevel"/>
    <w:tmpl w:val="D8C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B4D0288"/>
    <w:multiLevelType w:val="multilevel"/>
    <w:tmpl w:val="952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C645261"/>
    <w:multiLevelType w:val="multilevel"/>
    <w:tmpl w:val="3C0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C8B43D5"/>
    <w:multiLevelType w:val="multilevel"/>
    <w:tmpl w:val="1CD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CAD4647"/>
    <w:multiLevelType w:val="multilevel"/>
    <w:tmpl w:val="AB1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4F250D34"/>
    <w:multiLevelType w:val="multilevel"/>
    <w:tmpl w:val="6B062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4F5A7425"/>
    <w:multiLevelType w:val="multilevel"/>
    <w:tmpl w:val="25A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4F6A5176"/>
    <w:multiLevelType w:val="multilevel"/>
    <w:tmpl w:val="EB06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0173C92"/>
    <w:multiLevelType w:val="multilevel"/>
    <w:tmpl w:val="C012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03A7793"/>
    <w:multiLevelType w:val="multilevel"/>
    <w:tmpl w:val="0C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2BA63AD"/>
    <w:multiLevelType w:val="multilevel"/>
    <w:tmpl w:val="56E04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3C73435"/>
    <w:multiLevelType w:val="multilevel"/>
    <w:tmpl w:val="46267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4464443"/>
    <w:multiLevelType w:val="multilevel"/>
    <w:tmpl w:val="1F2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6CD4D66"/>
    <w:multiLevelType w:val="multilevel"/>
    <w:tmpl w:val="259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56D852D3"/>
    <w:multiLevelType w:val="multilevel"/>
    <w:tmpl w:val="3D6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7790DF6"/>
    <w:multiLevelType w:val="multilevel"/>
    <w:tmpl w:val="A56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78E1DFC"/>
    <w:multiLevelType w:val="multilevel"/>
    <w:tmpl w:val="E68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8101B62"/>
    <w:multiLevelType w:val="multilevel"/>
    <w:tmpl w:val="5E3EF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8BE2F7A"/>
    <w:multiLevelType w:val="multilevel"/>
    <w:tmpl w:val="35B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94151E6"/>
    <w:multiLevelType w:val="multilevel"/>
    <w:tmpl w:val="7A0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A3F6DCF"/>
    <w:multiLevelType w:val="multilevel"/>
    <w:tmpl w:val="BA8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A460B77"/>
    <w:multiLevelType w:val="multilevel"/>
    <w:tmpl w:val="ED902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5BAC248B"/>
    <w:multiLevelType w:val="multilevel"/>
    <w:tmpl w:val="5F3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BB20D5A"/>
    <w:multiLevelType w:val="multilevel"/>
    <w:tmpl w:val="CAD62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D1073E6"/>
    <w:multiLevelType w:val="multilevel"/>
    <w:tmpl w:val="11AA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DDB6467"/>
    <w:multiLevelType w:val="multilevel"/>
    <w:tmpl w:val="112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E7503F8"/>
    <w:multiLevelType w:val="multilevel"/>
    <w:tmpl w:val="EA6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F116121"/>
    <w:multiLevelType w:val="multilevel"/>
    <w:tmpl w:val="E37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F201288"/>
    <w:multiLevelType w:val="multilevel"/>
    <w:tmpl w:val="3296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FA220FD"/>
    <w:multiLevelType w:val="multilevel"/>
    <w:tmpl w:val="61240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5FE80FA1"/>
    <w:multiLevelType w:val="multilevel"/>
    <w:tmpl w:val="75D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046398F"/>
    <w:multiLevelType w:val="multilevel"/>
    <w:tmpl w:val="DF0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0A84D09"/>
    <w:multiLevelType w:val="multilevel"/>
    <w:tmpl w:val="478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0EA374E"/>
    <w:multiLevelType w:val="multilevel"/>
    <w:tmpl w:val="AE687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612631DC"/>
    <w:multiLevelType w:val="multilevel"/>
    <w:tmpl w:val="0D0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18A287B"/>
    <w:multiLevelType w:val="multilevel"/>
    <w:tmpl w:val="4F8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1A076A1"/>
    <w:multiLevelType w:val="multilevel"/>
    <w:tmpl w:val="A7F04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2DC6AE1"/>
    <w:multiLevelType w:val="multilevel"/>
    <w:tmpl w:val="F47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30633F4"/>
    <w:multiLevelType w:val="multilevel"/>
    <w:tmpl w:val="BD4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3A86EF1"/>
    <w:multiLevelType w:val="multilevel"/>
    <w:tmpl w:val="B6A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3FA49FD"/>
    <w:multiLevelType w:val="multilevel"/>
    <w:tmpl w:val="44DE7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64F4446"/>
    <w:multiLevelType w:val="multilevel"/>
    <w:tmpl w:val="CAE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6A04F79"/>
    <w:multiLevelType w:val="multilevel"/>
    <w:tmpl w:val="576E87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nsid w:val="66E47492"/>
    <w:multiLevelType w:val="multilevel"/>
    <w:tmpl w:val="8D5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67991EBE"/>
    <w:multiLevelType w:val="multilevel"/>
    <w:tmpl w:val="4A3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68277CB3"/>
    <w:multiLevelType w:val="multilevel"/>
    <w:tmpl w:val="6CA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688E6C1C"/>
    <w:multiLevelType w:val="multilevel"/>
    <w:tmpl w:val="76A6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697879F3"/>
    <w:multiLevelType w:val="multilevel"/>
    <w:tmpl w:val="4E9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69E94C22"/>
    <w:multiLevelType w:val="multilevel"/>
    <w:tmpl w:val="DF3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6A407542"/>
    <w:multiLevelType w:val="multilevel"/>
    <w:tmpl w:val="5BE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6B02752E"/>
    <w:multiLevelType w:val="multilevel"/>
    <w:tmpl w:val="74D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6C0950C4"/>
    <w:multiLevelType w:val="multilevel"/>
    <w:tmpl w:val="65F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6CC7634D"/>
    <w:multiLevelType w:val="multilevel"/>
    <w:tmpl w:val="B3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6CD21084"/>
    <w:multiLevelType w:val="multilevel"/>
    <w:tmpl w:val="B34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6D261F45"/>
    <w:multiLevelType w:val="multilevel"/>
    <w:tmpl w:val="B5C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6F974F49"/>
    <w:multiLevelType w:val="multilevel"/>
    <w:tmpl w:val="E5A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05C515D"/>
    <w:multiLevelType w:val="multilevel"/>
    <w:tmpl w:val="2A383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7092588C"/>
    <w:multiLevelType w:val="multilevel"/>
    <w:tmpl w:val="6E8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1010218"/>
    <w:multiLevelType w:val="multilevel"/>
    <w:tmpl w:val="0212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169275D"/>
    <w:multiLevelType w:val="multilevel"/>
    <w:tmpl w:val="C42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3B10D99"/>
    <w:multiLevelType w:val="multilevel"/>
    <w:tmpl w:val="B27E1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nsid w:val="73B776E9"/>
    <w:multiLevelType w:val="multilevel"/>
    <w:tmpl w:val="405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48A316C"/>
    <w:multiLevelType w:val="multilevel"/>
    <w:tmpl w:val="5BF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5575394"/>
    <w:multiLevelType w:val="multilevel"/>
    <w:tmpl w:val="5244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75A049EC"/>
    <w:multiLevelType w:val="multilevel"/>
    <w:tmpl w:val="4F2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5D956C8"/>
    <w:multiLevelType w:val="multilevel"/>
    <w:tmpl w:val="00C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75F33F53"/>
    <w:multiLevelType w:val="multilevel"/>
    <w:tmpl w:val="3D2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76712024"/>
    <w:multiLevelType w:val="multilevel"/>
    <w:tmpl w:val="7BB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6AD10E3"/>
    <w:multiLevelType w:val="multilevel"/>
    <w:tmpl w:val="26C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76BE3A91"/>
    <w:multiLevelType w:val="multilevel"/>
    <w:tmpl w:val="FFD8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770C63AA"/>
    <w:multiLevelType w:val="multilevel"/>
    <w:tmpl w:val="6DD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795C131D"/>
    <w:multiLevelType w:val="multilevel"/>
    <w:tmpl w:val="F4FCF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79E35CE5"/>
    <w:multiLevelType w:val="multilevel"/>
    <w:tmpl w:val="0374E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7A60080E"/>
    <w:multiLevelType w:val="multilevel"/>
    <w:tmpl w:val="58F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7A9612C9"/>
    <w:multiLevelType w:val="multilevel"/>
    <w:tmpl w:val="9ED4DA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nsid w:val="7BDC7505"/>
    <w:multiLevelType w:val="multilevel"/>
    <w:tmpl w:val="3D0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7CBE50EE"/>
    <w:multiLevelType w:val="multilevel"/>
    <w:tmpl w:val="0F0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7DE21532"/>
    <w:multiLevelType w:val="multilevel"/>
    <w:tmpl w:val="8F5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7E030E4C"/>
    <w:multiLevelType w:val="multilevel"/>
    <w:tmpl w:val="440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7EB12496"/>
    <w:multiLevelType w:val="multilevel"/>
    <w:tmpl w:val="76DE9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7EE90DB0"/>
    <w:multiLevelType w:val="multilevel"/>
    <w:tmpl w:val="7E9E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7F7C0A6B"/>
    <w:multiLevelType w:val="multilevel"/>
    <w:tmpl w:val="D1F05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5"/>
  </w:num>
  <w:num w:numId="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76"/>
  </w:num>
  <w:num w:numId="5">
    <w:abstractNumId w:val="52"/>
  </w:num>
  <w:num w:numId="6">
    <w:abstractNumId w:val="84"/>
  </w:num>
  <w:num w:numId="7">
    <w:abstractNumId w:val="161"/>
  </w:num>
  <w:num w:numId="8">
    <w:abstractNumId w:val="9"/>
  </w:num>
  <w:num w:numId="9">
    <w:abstractNumId w:val="171"/>
  </w:num>
  <w:num w:numId="10">
    <w:abstractNumId w:val="17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7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91"/>
  </w:num>
  <w:num w:numId="13">
    <w:abstractNumId w:val="70"/>
    <w:lvlOverride w:ilvl="0">
      <w:lvl w:ilvl="0">
        <w:numFmt w:val="bullet"/>
        <w:lvlText w:val=""/>
        <w:lvlJc w:val="left"/>
        <w:pPr>
          <w:tabs>
            <w:tab w:val="num" w:pos="720"/>
          </w:tabs>
          <w:ind w:left="720" w:hanging="360"/>
        </w:pPr>
        <w:rPr>
          <w:rFonts w:ascii="Symbol" w:hAnsi="Symbol" w:hint="default"/>
          <w:sz w:val="20"/>
        </w:rPr>
      </w:lvl>
    </w:lvlOverride>
  </w:num>
  <w:num w:numId="14">
    <w:abstractNumId w:val="62"/>
  </w:num>
  <w:num w:numId="15">
    <w:abstractNumId w:val="14"/>
  </w:num>
  <w:num w:numId="1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67"/>
    <w:lvlOverride w:ilvl="0">
      <w:lvl w:ilvl="0">
        <w:numFmt w:val="bullet"/>
        <w:lvlText w:val=""/>
        <w:lvlJc w:val="left"/>
        <w:pPr>
          <w:tabs>
            <w:tab w:val="num" w:pos="720"/>
          </w:tabs>
          <w:ind w:left="720" w:hanging="360"/>
        </w:pPr>
        <w:rPr>
          <w:rFonts w:ascii="Symbol" w:hAnsi="Symbol" w:hint="default"/>
          <w:sz w:val="20"/>
        </w:rPr>
      </w:lvl>
    </w:lvlOverride>
  </w:num>
  <w:num w:numId="18">
    <w:abstractNumId w:val="181"/>
    <w:lvlOverride w:ilvl="0">
      <w:lvl w:ilvl="0">
        <w:numFmt w:val="bullet"/>
        <w:lvlText w:val=""/>
        <w:lvlJc w:val="left"/>
        <w:pPr>
          <w:tabs>
            <w:tab w:val="num" w:pos="720"/>
          </w:tabs>
          <w:ind w:left="720" w:hanging="360"/>
        </w:pPr>
        <w:rPr>
          <w:rFonts w:ascii="Symbol" w:hAnsi="Symbol" w:hint="default"/>
          <w:sz w:val="20"/>
        </w:rPr>
      </w:lvl>
    </w:lvlOverride>
  </w:num>
  <w:num w:numId="19">
    <w:abstractNumId w:val="120"/>
  </w:num>
  <w:num w:numId="20">
    <w:abstractNumId w:val="23"/>
    <w:lvlOverride w:ilvl="0">
      <w:lvl w:ilvl="0">
        <w:numFmt w:val="bullet"/>
        <w:lvlText w:val=""/>
        <w:lvlJc w:val="left"/>
        <w:pPr>
          <w:tabs>
            <w:tab w:val="num" w:pos="720"/>
          </w:tabs>
          <w:ind w:left="720" w:hanging="360"/>
        </w:pPr>
        <w:rPr>
          <w:rFonts w:ascii="Symbol" w:hAnsi="Symbol" w:hint="default"/>
          <w:sz w:val="20"/>
        </w:rPr>
      </w:lvl>
    </w:lvlOverride>
  </w:num>
  <w:num w:numId="21">
    <w:abstractNumId w:val="65"/>
  </w:num>
  <w:num w:numId="22">
    <w:abstractNumId w:val="39"/>
  </w:num>
  <w:num w:numId="23">
    <w:abstractNumId w:val="118"/>
  </w:num>
  <w:num w:numId="24">
    <w:abstractNumId w:val="21"/>
    <w:lvlOverride w:ilvl="0">
      <w:lvl w:ilvl="0">
        <w:numFmt w:val="bullet"/>
        <w:lvlText w:val=""/>
        <w:lvlJc w:val="left"/>
        <w:pPr>
          <w:tabs>
            <w:tab w:val="num" w:pos="720"/>
          </w:tabs>
          <w:ind w:left="720" w:hanging="360"/>
        </w:pPr>
        <w:rPr>
          <w:rFonts w:ascii="Symbol" w:hAnsi="Symbol" w:hint="default"/>
          <w:sz w:val="20"/>
        </w:rPr>
      </w:lvl>
    </w:lvlOverride>
  </w:num>
  <w:num w:numId="25">
    <w:abstractNumId w:val="31"/>
    <w:lvlOverride w:ilvl="0">
      <w:lvl w:ilvl="0">
        <w:numFmt w:val="bullet"/>
        <w:lvlText w:val=""/>
        <w:lvlJc w:val="left"/>
        <w:pPr>
          <w:tabs>
            <w:tab w:val="num" w:pos="720"/>
          </w:tabs>
          <w:ind w:left="720" w:hanging="360"/>
        </w:pPr>
        <w:rPr>
          <w:rFonts w:ascii="Symbol" w:hAnsi="Symbol" w:hint="default"/>
          <w:sz w:val="20"/>
        </w:rPr>
      </w:lvl>
    </w:lvlOverride>
  </w:num>
  <w:num w:numId="26">
    <w:abstractNumId w:val="172"/>
    <w:lvlOverride w:ilvl="0">
      <w:lvl w:ilvl="0">
        <w:numFmt w:val="bullet"/>
        <w:lvlText w:val=""/>
        <w:lvlJc w:val="left"/>
        <w:pPr>
          <w:tabs>
            <w:tab w:val="num" w:pos="720"/>
          </w:tabs>
          <w:ind w:left="720" w:hanging="360"/>
        </w:pPr>
        <w:rPr>
          <w:rFonts w:ascii="Symbol" w:hAnsi="Symbol" w:hint="default"/>
          <w:sz w:val="20"/>
        </w:rPr>
      </w:lvl>
    </w:lvlOverride>
  </w:num>
  <w:num w:numId="27">
    <w:abstractNumId w:val="50"/>
    <w:lvlOverride w:ilvl="0">
      <w:lvl w:ilvl="0">
        <w:numFmt w:val="bullet"/>
        <w:lvlText w:val=""/>
        <w:lvlJc w:val="left"/>
        <w:pPr>
          <w:tabs>
            <w:tab w:val="num" w:pos="720"/>
          </w:tabs>
          <w:ind w:left="720" w:hanging="360"/>
        </w:pPr>
        <w:rPr>
          <w:rFonts w:ascii="Symbol" w:hAnsi="Symbol" w:hint="default"/>
          <w:sz w:val="20"/>
        </w:rPr>
      </w:lvl>
    </w:lvlOverride>
  </w:num>
  <w:num w:numId="28">
    <w:abstractNumId w:val="17"/>
    <w:lvlOverride w:ilvl="0">
      <w:lvl w:ilvl="0">
        <w:numFmt w:val="bullet"/>
        <w:lvlText w:val=""/>
        <w:lvlJc w:val="left"/>
        <w:pPr>
          <w:tabs>
            <w:tab w:val="num" w:pos="720"/>
          </w:tabs>
          <w:ind w:left="720" w:hanging="360"/>
        </w:pPr>
        <w:rPr>
          <w:rFonts w:ascii="Symbol" w:hAnsi="Symbol" w:hint="default"/>
          <w:sz w:val="20"/>
        </w:rPr>
      </w:lvl>
    </w:lvlOverride>
  </w:num>
  <w:num w:numId="29">
    <w:abstractNumId w:val="42"/>
    <w:lvlOverride w:ilvl="0">
      <w:lvl w:ilvl="0">
        <w:numFmt w:val="bullet"/>
        <w:lvlText w:val=""/>
        <w:lvlJc w:val="left"/>
        <w:pPr>
          <w:tabs>
            <w:tab w:val="num" w:pos="720"/>
          </w:tabs>
          <w:ind w:left="720" w:hanging="360"/>
        </w:pPr>
        <w:rPr>
          <w:rFonts w:ascii="Symbol" w:hAnsi="Symbol" w:hint="default"/>
          <w:sz w:val="20"/>
        </w:rPr>
      </w:lvl>
    </w:lvlOverride>
  </w:num>
  <w:num w:numId="30">
    <w:abstractNumId w:val="19"/>
  </w:num>
  <w:num w:numId="31">
    <w:abstractNumId w:val="92"/>
  </w:num>
  <w:num w:numId="32">
    <w:abstractNumId w:val="176"/>
  </w:num>
  <w:num w:numId="33">
    <w:abstractNumId w:val="129"/>
  </w:num>
  <w:num w:numId="34">
    <w:abstractNumId w:val="129"/>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60"/>
  </w:num>
  <w:num w:numId="36">
    <w:abstractNumId w:val="1"/>
  </w:num>
  <w:num w:numId="37">
    <w:abstractNumId w:val="88"/>
  </w:num>
  <w:num w:numId="38">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119"/>
  </w:num>
  <w:num w:numId="40">
    <w:abstractNumId w:val="124"/>
  </w:num>
  <w:num w:numId="41">
    <w:abstractNumId w:val="114"/>
  </w:num>
  <w:num w:numId="42">
    <w:abstractNumId w:val="138"/>
  </w:num>
  <w:num w:numId="43">
    <w:abstractNumId w:val="78"/>
  </w:num>
  <w:num w:numId="44">
    <w:abstractNumId w:val="48"/>
    <w:lvlOverride w:ilvl="0">
      <w:lvl w:ilvl="0">
        <w:numFmt w:val="bullet"/>
        <w:lvlText w:val=""/>
        <w:lvlJc w:val="left"/>
        <w:pPr>
          <w:tabs>
            <w:tab w:val="num" w:pos="720"/>
          </w:tabs>
          <w:ind w:left="720" w:hanging="360"/>
        </w:pPr>
        <w:rPr>
          <w:rFonts w:ascii="Symbol" w:hAnsi="Symbol" w:hint="default"/>
          <w:sz w:val="20"/>
        </w:rPr>
      </w:lvl>
    </w:lvlOverride>
  </w:num>
  <w:num w:numId="45">
    <w:abstractNumId w:val="47"/>
  </w:num>
  <w:num w:numId="46">
    <w:abstractNumId w:val="41"/>
    <w:lvlOverride w:ilvl="0">
      <w:lvl w:ilvl="0">
        <w:numFmt w:val="bullet"/>
        <w:lvlText w:val=""/>
        <w:lvlJc w:val="left"/>
        <w:pPr>
          <w:tabs>
            <w:tab w:val="num" w:pos="720"/>
          </w:tabs>
          <w:ind w:left="720" w:hanging="360"/>
        </w:pPr>
        <w:rPr>
          <w:rFonts w:ascii="Symbol" w:hAnsi="Symbol" w:hint="default"/>
          <w:sz w:val="20"/>
        </w:rPr>
      </w:lvl>
    </w:lvlOverride>
  </w:num>
  <w:num w:numId="47">
    <w:abstractNumId w:val="149"/>
  </w:num>
  <w:num w:numId="48">
    <w:abstractNumId w:val="49"/>
  </w:num>
  <w:num w:numId="49">
    <w:abstractNumId w:val="79"/>
  </w:num>
  <w:num w:numId="50">
    <w:abstractNumId w:val="80"/>
  </w:num>
  <w:num w:numId="51">
    <w:abstractNumId w:val="57"/>
  </w:num>
  <w:num w:numId="52">
    <w:abstractNumId w:val="98"/>
  </w:num>
  <w:num w:numId="53">
    <w:abstractNumId w:val="44"/>
  </w:num>
  <w:num w:numId="54">
    <w:abstractNumId w:val="146"/>
  </w:num>
  <w:num w:numId="55">
    <w:abstractNumId w:val="54"/>
  </w:num>
  <w:num w:numId="56">
    <w:abstractNumId w:val="45"/>
  </w:num>
  <w:num w:numId="57">
    <w:abstractNumId w:val="132"/>
  </w:num>
  <w:num w:numId="58">
    <w:abstractNumId w:val="151"/>
  </w:num>
  <w:num w:numId="59">
    <w:abstractNumId w:val="35"/>
  </w:num>
  <w:num w:numId="60">
    <w:abstractNumId w:val="71"/>
  </w:num>
  <w:num w:numId="61">
    <w:abstractNumId w:val="110"/>
  </w:num>
  <w:num w:numId="62">
    <w:abstractNumId w:val="110"/>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56"/>
  </w:num>
  <w:num w:numId="64">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65">
    <w:abstractNumId w:val="128"/>
  </w:num>
  <w:num w:numId="66">
    <w:abstractNumId w:val="111"/>
  </w:num>
  <w:num w:numId="67">
    <w:abstractNumId w:val="111"/>
    <w:lvlOverride w:ilvl="1">
      <w:lvl w:ilvl="1">
        <w:numFmt w:val="bullet"/>
        <w:lvlText w:val="o"/>
        <w:lvlJc w:val="left"/>
        <w:pPr>
          <w:tabs>
            <w:tab w:val="num" w:pos="1440"/>
          </w:tabs>
          <w:ind w:left="1440" w:hanging="360"/>
        </w:pPr>
        <w:rPr>
          <w:rFonts w:ascii="Courier New" w:hAnsi="Courier New" w:hint="default"/>
          <w:sz w:val="20"/>
        </w:rPr>
      </w:lvl>
    </w:lvlOverride>
  </w:num>
  <w:num w:numId="68">
    <w:abstractNumId w:val="111"/>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1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0">
    <w:abstractNumId w:val="123"/>
  </w:num>
  <w:num w:numId="71">
    <w:abstractNumId w:val="123"/>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12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3">
    <w:abstractNumId w:val="158"/>
  </w:num>
  <w:num w:numId="74">
    <w:abstractNumId w:val="158"/>
    <w:lvlOverride w:ilvl="1">
      <w:lvl w:ilvl="1">
        <w:numFmt w:val="bullet"/>
        <w:lvlText w:val="o"/>
        <w:lvlJc w:val="left"/>
        <w:pPr>
          <w:tabs>
            <w:tab w:val="num" w:pos="1440"/>
          </w:tabs>
          <w:ind w:left="1440" w:hanging="360"/>
        </w:pPr>
        <w:rPr>
          <w:rFonts w:ascii="Courier New" w:hAnsi="Courier New" w:hint="default"/>
          <w:sz w:val="20"/>
        </w:rPr>
      </w:lvl>
    </w:lvlOverride>
  </w:num>
  <w:num w:numId="75">
    <w:abstractNumId w:val="94"/>
  </w:num>
  <w:num w:numId="76">
    <w:abstractNumId w:val="168"/>
  </w:num>
  <w:num w:numId="77">
    <w:abstractNumId w:val="139"/>
  </w:num>
  <w:num w:numId="78">
    <w:abstractNumId w:val="169"/>
  </w:num>
  <w:num w:numId="79">
    <w:abstractNumId w:val="169"/>
    <w:lvlOverride w:ilvl="1">
      <w:lvl w:ilvl="1">
        <w:numFmt w:val="bullet"/>
        <w:lvlText w:val="o"/>
        <w:lvlJc w:val="left"/>
        <w:pPr>
          <w:tabs>
            <w:tab w:val="num" w:pos="1440"/>
          </w:tabs>
          <w:ind w:left="1440" w:hanging="360"/>
        </w:pPr>
        <w:rPr>
          <w:rFonts w:ascii="Courier New" w:hAnsi="Courier New" w:hint="default"/>
          <w:sz w:val="20"/>
        </w:rPr>
      </w:lvl>
    </w:lvlOverride>
  </w:num>
  <w:num w:numId="80">
    <w:abstractNumId w:val="117"/>
  </w:num>
  <w:num w:numId="81">
    <w:abstractNumId w:val="117"/>
    <w:lvlOverride w:ilvl="1">
      <w:lvl w:ilvl="1">
        <w:numFmt w:val="bullet"/>
        <w:lvlText w:val="o"/>
        <w:lvlJc w:val="left"/>
        <w:pPr>
          <w:tabs>
            <w:tab w:val="num" w:pos="1440"/>
          </w:tabs>
          <w:ind w:left="1440" w:hanging="360"/>
        </w:pPr>
        <w:rPr>
          <w:rFonts w:ascii="Courier New" w:hAnsi="Courier New" w:hint="default"/>
          <w:sz w:val="20"/>
        </w:rPr>
      </w:lvl>
    </w:lvlOverride>
  </w:num>
  <w:num w:numId="82">
    <w:abstractNumId w:val="180"/>
  </w:num>
  <w:num w:numId="83">
    <w:abstractNumId w:val="180"/>
    <w:lvlOverride w:ilvl="1">
      <w:lvl w:ilvl="1">
        <w:numFmt w:val="bullet"/>
        <w:lvlText w:val="o"/>
        <w:lvlJc w:val="left"/>
        <w:pPr>
          <w:tabs>
            <w:tab w:val="num" w:pos="1440"/>
          </w:tabs>
          <w:ind w:left="1440" w:hanging="360"/>
        </w:pPr>
        <w:rPr>
          <w:rFonts w:ascii="Courier New" w:hAnsi="Courier New" w:hint="default"/>
          <w:sz w:val="20"/>
        </w:rPr>
      </w:lvl>
    </w:lvlOverride>
  </w:num>
  <w:num w:numId="84">
    <w:abstractNumId w:val="66"/>
  </w:num>
  <w:num w:numId="85">
    <w:abstractNumId w:val="34"/>
  </w:num>
  <w:num w:numId="86">
    <w:abstractNumId w:val="125"/>
  </w:num>
  <w:num w:numId="87">
    <w:abstractNumId w:val="58"/>
  </w:num>
  <w:num w:numId="88">
    <w:abstractNumId w:val="68"/>
  </w:num>
  <w:num w:numId="89">
    <w:abstractNumId w:val="133"/>
    <w:lvlOverride w:ilvl="0">
      <w:lvl w:ilvl="0">
        <w:numFmt w:val="bullet"/>
        <w:lvlText w:val=""/>
        <w:lvlJc w:val="left"/>
        <w:pPr>
          <w:tabs>
            <w:tab w:val="num" w:pos="720"/>
          </w:tabs>
          <w:ind w:left="720" w:hanging="360"/>
        </w:pPr>
        <w:rPr>
          <w:rFonts w:ascii="Symbol" w:hAnsi="Symbol" w:hint="default"/>
          <w:sz w:val="20"/>
        </w:rPr>
      </w:lvl>
    </w:lvlOverride>
  </w:num>
  <w:num w:numId="90">
    <w:abstractNumId w:val="179"/>
    <w:lvlOverride w:ilvl="0">
      <w:lvl w:ilvl="0">
        <w:numFmt w:val="bullet"/>
        <w:lvlText w:val=""/>
        <w:lvlJc w:val="left"/>
        <w:pPr>
          <w:tabs>
            <w:tab w:val="num" w:pos="720"/>
          </w:tabs>
          <w:ind w:left="720" w:hanging="360"/>
        </w:pPr>
        <w:rPr>
          <w:rFonts w:ascii="Symbol" w:hAnsi="Symbol" w:hint="default"/>
          <w:sz w:val="20"/>
        </w:rPr>
      </w:lvl>
    </w:lvlOverride>
  </w:num>
  <w:num w:numId="91">
    <w:abstractNumId w:val="40"/>
    <w:lvlOverride w:ilvl="0">
      <w:lvl w:ilvl="0">
        <w:numFmt w:val="bullet"/>
        <w:lvlText w:val=""/>
        <w:lvlJc w:val="left"/>
        <w:pPr>
          <w:tabs>
            <w:tab w:val="num" w:pos="720"/>
          </w:tabs>
          <w:ind w:left="720" w:hanging="360"/>
        </w:pPr>
        <w:rPr>
          <w:rFonts w:ascii="Symbol" w:hAnsi="Symbol" w:hint="default"/>
          <w:sz w:val="20"/>
        </w:rPr>
      </w:lvl>
    </w:lvlOverride>
  </w:num>
  <w:num w:numId="92">
    <w:abstractNumId w:val="46"/>
    <w:lvlOverride w:ilvl="0">
      <w:lvl w:ilvl="0">
        <w:numFmt w:val="bullet"/>
        <w:lvlText w:val=""/>
        <w:lvlJc w:val="left"/>
        <w:pPr>
          <w:tabs>
            <w:tab w:val="num" w:pos="720"/>
          </w:tabs>
          <w:ind w:left="720" w:hanging="360"/>
        </w:pPr>
        <w:rPr>
          <w:rFonts w:ascii="Symbol" w:hAnsi="Symbol" w:hint="default"/>
          <w:sz w:val="20"/>
        </w:rPr>
      </w:lvl>
    </w:lvlOverride>
  </w:num>
  <w:num w:numId="93">
    <w:abstractNumId w:val="74"/>
  </w:num>
  <w:num w:numId="94">
    <w:abstractNumId w:val="29"/>
  </w:num>
  <w:num w:numId="95">
    <w:abstractNumId w:val="101"/>
  </w:num>
  <w:num w:numId="96">
    <w:abstractNumId w:val="131"/>
  </w:num>
  <w:num w:numId="97">
    <w:abstractNumId w:val="18"/>
  </w:num>
  <w:num w:numId="98">
    <w:abstractNumId w:val="0"/>
  </w:num>
  <w:num w:numId="99">
    <w:abstractNumId w:val="53"/>
  </w:num>
  <w:num w:numId="100">
    <w:abstractNumId w:val="175"/>
  </w:num>
  <w:num w:numId="101">
    <w:abstractNumId w:val="112"/>
  </w:num>
  <w:num w:numId="102">
    <w:abstractNumId w:val="81"/>
  </w:num>
  <w:num w:numId="103">
    <w:abstractNumId w:val="81"/>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170"/>
  </w:num>
  <w:num w:numId="105">
    <w:abstractNumId w:val="55"/>
  </w:num>
  <w:num w:numId="106">
    <w:abstractNumId w:val="8"/>
  </w:num>
  <w:num w:numId="107">
    <w:abstractNumId w:val="106"/>
  </w:num>
  <w:num w:numId="108">
    <w:abstractNumId w:val="2"/>
  </w:num>
  <w:num w:numId="109">
    <w:abstractNumId w:val="24"/>
  </w:num>
  <w:num w:numId="110">
    <w:abstractNumId w:val="90"/>
  </w:num>
  <w:num w:numId="111">
    <w:abstractNumId w:val="59"/>
  </w:num>
  <w:num w:numId="112">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113">
    <w:abstractNumId w:val="136"/>
  </w:num>
  <w:num w:numId="114">
    <w:abstractNumId w:val="136"/>
    <w:lvlOverride w:ilvl="1">
      <w:lvl w:ilvl="1">
        <w:numFmt w:val="bullet"/>
        <w:lvlText w:val="o"/>
        <w:lvlJc w:val="left"/>
        <w:pPr>
          <w:tabs>
            <w:tab w:val="num" w:pos="1440"/>
          </w:tabs>
          <w:ind w:left="1440" w:hanging="360"/>
        </w:pPr>
        <w:rPr>
          <w:rFonts w:ascii="Courier New" w:hAnsi="Courier New" w:hint="default"/>
          <w:sz w:val="20"/>
        </w:rPr>
      </w:lvl>
    </w:lvlOverride>
  </w:num>
  <w:num w:numId="115">
    <w:abstractNumId w:val="155"/>
  </w:num>
  <w:num w:numId="116">
    <w:abstractNumId w:val="86"/>
  </w:num>
  <w:num w:numId="117">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118">
    <w:abstractNumId w:val="177"/>
  </w:num>
  <w:num w:numId="119">
    <w:abstractNumId w:val="143"/>
  </w:num>
  <w:num w:numId="120">
    <w:abstractNumId w:val="69"/>
  </w:num>
  <w:num w:numId="121">
    <w:abstractNumId w:val="145"/>
  </w:num>
  <w:num w:numId="122">
    <w:abstractNumId w:val="121"/>
    <w:lvlOverride w:ilvl="0">
      <w:lvl w:ilvl="0">
        <w:numFmt w:val="bullet"/>
        <w:lvlText w:val=""/>
        <w:lvlJc w:val="left"/>
        <w:pPr>
          <w:tabs>
            <w:tab w:val="num" w:pos="720"/>
          </w:tabs>
          <w:ind w:left="720" w:hanging="360"/>
        </w:pPr>
        <w:rPr>
          <w:rFonts w:ascii="Symbol" w:hAnsi="Symbol" w:hint="default"/>
          <w:sz w:val="20"/>
        </w:rPr>
      </w:lvl>
    </w:lvlOverride>
  </w:num>
  <w:num w:numId="123">
    <w:abstractNumId w:val="15"/>
    <w:lvlOverride w:ilvl="0">
      <w:lvl w:ilvl="0">
        <w:numFmt w:val="bullet"/>
        <w:lvlText w:val=""/>
        <w:lvlJc w:val="left"/>
        <w:pPr>
          <w:tabs>
            <w:tab w:val="num" w:pos="720"/>
          </w:tabs>
          <w:ind w:left="720" w:hanging="360"/>
        </w:pPr>
        <w:rPr>
          <w:rFonts w:ascii="Symbol" w:hAnsi="Symbol" w:hint="default"/>
          <w:sz w:val="20"/>
        </w:rPr>
      </w:lvl>
    </w:lvlOverride>
  </w:num>
  <w:num w:numId="124">
    <w:abstractNumId w:val="25"/>
    <w:lvlOverride w:ilvl="0">
      <w:lvl w:ilvl="0">
        <w:numFmt w:val="bullet"/>
        <w:lvlText w:val=""/>
        <w:lvlJc w:val="left"/>
        <w:pPr>
          <w:tabs>
            <w:tab w:val="num" w:pos="720"/>
          </w:tabs>
          <w:ind w:left="720" w:hanging="360"/>
        </w:pPr>
        <w:rPr>
          <w:rFonts w:ascii="Symbol" w:hAnsi="Symbol" w:hint="default"/>
          <w:sz w:val="20"/>
        </w:rPr>
      </w:lvl>
    </w:lvlOverride>
  </w:num>
  <w:num w:numId="125">
    <w:abstractNumId w:val="105"/>
    <w:lvlOverride w:ilvl="0">
      <w:lvl w:ilvl="0">
        <w:numFmt w:val="bullet"/>
        <w:lvlText w:val=""/>
        <w:lvlJc w:val="left"/>
        <w:pPr>
          <w:tabs>
            <w:tab w:val="num" w:pos="720"/>
          </w:tabs>
          <w:ind w:left="720" w:hanging="360"/>
        </w:pPr>
        <w:rPr>
          <w:rFonts w:ascii="Symbol" w:hAnsi="Symbol" w:hint="default"/>
          <w:sz w:val="20"/>
        </w:rPr>
      </w:lvl>
    </w:lvlOverride>
  </w:num>
  <w:num w:numId="126">
    <w:abstractNumId w:val="33"/>
    <w:lvlOverride w:ilvl="0">
      <w:lvl w:ilvl="0">
        <w:numFmt w:val="bullet"/>
        <w:lvlText w:val=""/>
        <w:lvlJc w:val="left"/>
        <w:pPr>
          <w:tabs>
            <w:tab w:val="num" w:pos="720"/>
          </w:tabs>
          <w:ind w:left="720" w:hanging="360"/>
        </w:pPr>
        <w:rPr>
          <w:rFonts w:ascii="Symbol" w:hAnsi="Symbol" w:hint="default"/>
          <w:sz w:val="20"/>
        </w:rPr>
      </w:lvl>
    </w:lvlOverride>
  </w:num>
  <w:num w:numId="127">
    <w:abstractNumId w:val="156"/>
    <w:lvlOverride w:ilvl="0">
      <w:lvl w:ilvl="0">
        <w:numFmt w:val="bullet"/>
        <w:lvlText w:val=""/>
        <w:lvlJc w:val="left"/>
        <w:pPr>
          <w:tabs>
            <w:tab w:val="num" w:pos="720"/>
          </w:tabs>
          <w:ind w:left="720" w:hanging="360"/>
        </w:pPr>
        <w:rPr>
          <w:rFonts w:ascii="Symbol" w:hAnsi="Symbol" w:hint="default"/>
          <w:sz w:val="20"/>
        </w:rPr>
      </w:lvl>
    </w:lvlOverride>
  </w:num>
  <w:num w:numId="128">
    <w:abstractNumId w:val="87"/>
    <w:lvlOverride w:ilvl="0">
      <w:lvl w:ilvl="0">
        <w:numFmt w:val="bullet"/>
        <w:lvlText w:val=""/>
        <w:lvlJc w:val="left"/>
        <w:pPr>
          <w:tabs>
            <w:tab w:val="num" w:pos="720"/>
          </w:tabs>
          <w:ind w:left="720" w:hanging="360"/>
        </w:pPr>
        <w:rPr>
          <w:rFonts w:ascii="Symbol" w:hAnsi="Symbol" w:hint="default"/>
          <w:sz w:val="20"/>
        </w:rPr>
      </w:lvl>
    </w:lvlOverride>
  </w:num>
  <w:num w:numId="129">
    <w:abstractNumId w:val="134"/>
  </w:num>
  <w:num w:numId="130">
    <w:abstractNumId w:val="93"/>
  </w:num>
  <w:num w:numId="131">
    <w:abstractNumId w:val="20"/>
  </w:num>
  <w:num w:numId="132">
    <w:abstractNumId w:val="108"/>
  </w:num>
  <w:num w:numId="133">
    <w:abstractNumId w:val="95"/>
  </w:num>
  <w:num w:numId="134">
    <w:abstractNumId w:val="63"/>
  </w:num>
  <w:num w:numId="135">
    <w:abstractNumId w:val="89"/>
  </w:num>
  <w:num w:numId="136">
    <w:abstractNumId w:val="51"/>
  </w:num>
  <w:num w:numId="137">
    <w:abstractNumId w:val="157"/>
  </w:num>
  <w:num w:numId="138">
    <w:abstractNumId w:val="77"/>
  </w:num>
  <w:num w:numId="139">
    <w:abstractNumId w:val="166"/>
  </w:num>
  <w:num w:numId="140">
    <w:abstractNumId w:val="148"/>
  </w:num>
  <w:num w:numId="141">
    <w:abstractNumId w:val="16"/>
  </w:num>
  <w:num w:numId="142">
    <w:abstractNumId w:val="7"/>
  </w:num>
  <w:num w:numId="143">
    <w:abstractNumId w:val="27"/>
  </w:num>
  <w:num w:numId="144">
    <w:abstractNumId w:val="163"/>
  </w:num>
  <w:num w:numId="145">
    <w:abstractNumId w:val="140"/>
  </w:num>
  <w:num w:numId="146">
    <w:abstractNumId w:val="140"/>
    <w:lvlOverride w:ilvl="1">
      <w:lvl w:ilvl="1">
        <w:numFmt w:val="bullet"/>
        <w:lvlText w:val="o"/>
        <w:lvlJc w:val="left"/>
        <w:pPr>
          <w:tabs>
            <w:tab w:val="num" w:pos="1440"/>
          </w:tabs>
          <w:ind w:left="1440" w:hanging="360"/>
        </w:pPr>
        <w:rPr>
          <w:rFonts w:ascii="Courier New" w:hAnsi="Courier New" w:hint="default"/>
          <w:sz w:val="20"/>
        </w:rPr>
      </w:lvl>
    </w:lvlOverride>
  </w:num>
  <w:num w:numId="147">
    <w:abstractNumId w:val="159"/>
  </w:num>
  <w:num w:numId="148">
    <w:abstractNumId w:val="10"/>
    <w:lvlOverride w:ilvl="0">
      <w:lvl w:ilvl="0">
        <w:numFmt w:val="bullet"/>
        <w:lvlText w:val=""/>
        <w:lvlJc w:val="left"/>
        <w:pPr>
          <w:tabs>
            <w:tab w:val="num" w:pos="720"/>
          </w:tabs>
          <w:ind w:left="720" w:hanging="360"/>
        </w:pPr>
        <w:rPr>
          <w:rFonts w:ascii="Symbol" w:hAnsi="Symbol" w:hint="default"/>
          <w:sz w:val="20"/>
        </w:rPr>
      </w:lvl>
    </w:lvlOverride>
  </w:num>
  <w:num w:numId="149">
    <w:abstractNumId w:val="174"/>
    <w:lvlOverride w:ilvl="0">
      <w:lvl w:ilvl="0">
        <w:numFmt w:val="bullet"/>
        <w:lvlText w:val=""/>
        <w:lvlJc w:val="left"/>
        <w:pPr>
          <w:tabs>
            <w:tab w:val="num" w:pos="720"/>
          </w:tabs>
          <w:ind w:left="720" w:hanging="360"/>
        </w:pPr>
        <w:rPr>
          <w:rFonts w:ascii="Symbol" w:hAnsi="Symbol" w:hint="default"/>
          <w:sz w:val="20"/>
        </w:rPr>
      </w:lvl>
    </w:lvlOverride>
  </w:num>
  <w:num w:numId="150">
    <w:abstractNumId w:val="100"/>
  </w:num>
  <w:num w:numId="151">
    <w:abstractNumId w:val="96"/>
  </w:num>
  <w:num w:numId="152">
    <w:abstractNumId w:val="36"/>
  </w:num>
  <w:num w:numId="153">
    <w:abstractNumId w:val="104"/>
  </w:num>
  <w:num w:numId="154">
    <w:abstractNumId w:val="115"/>
  </w:num>
  <w:num w:numId="155">
    <w:abstractNumId w:val="38"/>
  </w:num>
  <w:num w:numId="156">
    <w:abstractNumId w:val="61"/>
  </w:num>
  <w:num w:numId="157">
    <w:abstractNumId w:val="165"/>
  </w:num>
  <w:num w:numId="158">
    <w:abstractNumId w:val="26"/>
  </w:num>
  <w:num w:numId="159">
    <w:abstractNumId w:val="72"/>
  </w:num>
  <w:num w:numId="160">
    <w:abstractNumId w:val="173"/>
  </w:num>
  <w:num w:numId="161">
    <w:abstractNumId w:val="97"/>
  </w:num>
  <w:num w:numId="162">
    <w:abstractNumId w:val="154"/>
  </w:num>
  <w:num w:numId="163">
    <w:abstractNumId w:val="130"/>
  </w:num>
  <w:num w:numId="164">
    <w:abstractNumId w:val="11"/>
  </w:num>
  <w:num w:numId="165">
    <w:abstractNumId w:val="85"/>
  </w:num>
  <w:num w:numId="166">
    <w:abstractNumId w:val="147"/>
  </w:num>
  <w:num w:numId="167">
    <w:abstractNumId w:val="28"/>
  </w:num>
  <w:num w:numId="168">
    <w:abstractNumId w:val="164"/>
  </w:num>
  <w:num w:numId="169">
    <w:abstractNumId w:val="13"/>
  </w:num>
  <w:num w:numId="170">
    <w:abstractNumId w:val="152"/>
  </w:num>
  <w:num w:numId="171">
    <w:abstractNumId w:val="107"/>
  </w:num>
  <w:num w:numId="172">
    <w:abstractNumId w:val="142"/>
    <w:lvlOverride w:ilvl="0">
      <w:lvl w:ilvl="0">
        <w:numFmt w:val="decimal"/>
        <w:lvlText w:val="%1."/>
        <w:lvlJc w:val="left"/>
      </w:lvl>
    </w:lvlOverride>
  </w:num>
  <w:num w:numId="173">
    <w:abstractNumId w:val="142"/>
    <w:lvlOverride w:ilvl="0">
      <w:lvl w:ilvl="0">
        <w:numFmt w:val="decimal"/>
        <w:lvlText w:val="%1."/>
        <w:lvlJc w:val="left"/>
      </w:lvl>
    </w:lvlOverride>
    <w:lvlOverride w:ilvl="1">
      <w:lvl w:ilvl="1">
        <w:numFmt w:val="decimal"/>
        <w:lvlText w:val="%2."/>
        <w:lvlJc w:val="left"/>
      </w:lvl>
    </w:lvlOverride>
  </w:num>
  <w:num w:numId="174">
    <w:abstractNumId w:val="32"/>
  </w:num>
  <w:num w:numId="175">
    <w:abstractNumId w:val="12"/>
  </w:num>
  <w:num w:numId="176">
    <w:abstractNumId w:val="99"/>
  </w:num>
  <w:num w:numId="177">
    <w:abstractNumId w:val="113"/>
  </w:num>
  <w:num w:numId="178">
    <w:abstractNumId w:val="116"/>
  </w:num>
  <w:num w:numId="179">
    <w:abstractNumId w:val="75"/>
  </w:num>
  <w:num w:numId="180">
    <w:abstractNumId w:val="126"/>
  </w:num>
  <w:num w:numId="181">
    <w:abstractNumId w:val="127"/>
  </w:num>
  <w:num w:numId="182">
    <w:abstractNumId w:val="135"/>
  </w:num>
  <w:num w:numId="183">
    <w:abstractNumId w:val="4"/>
  </w:num>
  <w:num w:numId="184">
    <w:abstractNumId w:val="141"/>
  </w:num>
  <w:num w:numId="185">
    <w:abstractNumId w:val="82"/>
  </w:num>
  <w:num w:numId="186">
    <w:abstractNumId w:val="103"/>
  </w:num>
  <w:num w:numId="187">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88">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89">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90">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91">
    <w:abstractNumId w:val="103"/>
    <w:lvlOverride w:ilvl="0">
      <w:lvl w:ilvl="0">
        <w:numFmt w:val="bullet"/>
        <w:lvlText w:val=""/>
        <w:lvlJc w:val="left"/>
        <w:pPr>
          <w:tabs>
            <w:tab w:val="num" w:pos="720"/>
          </w:tabs>
          <w:ind w:left="720" w:hanging="360"/>
        </w:pPr>
        <w:rPr>
          <w:rFonts w:ascii="Symbol" w:hAnsi="Symbol" w:hint="default"/>
          <w:sz w:val="20"/>
        </w:rPr>
      </w:lvl>
    </w:lvlOverride>
  </w:num>
  <w:num w:numId="192">
    <w:abstractNumId w:val="150"/>
  </w:num>
  <w:num w:numId="193">
    <w:abstractNumId w:val="167"/>
  </w:num>
  <w:num w:numId="194">
    <w:abstractNumId w:val="162"/>
  </w:num>
  <w:num w:numId="195">
    <w:abstractNumId w:val="37"/>
  </w:num>
  <w:num w:numId="196">
    <w:abstractNumId w:val="144"/>
  </w:num>
  <w:num w:numId="197">
    <w:abstractNumId w:val="122"/>
  </w:num>
  <w:num w:numId="198">
    <w:abstractNumId w:val="30"/>
  </w:num>
  <w:num w:numId="199">
    <w:abstractNumId w:val="64"/>
    <w:lvlOverride w:ilvl="0">
      <w:lvl w:ilvl="0">
        <w:numFmt w:val="bullet"/>
        <w:lvlText w:val=""/>
        <w:lvlJc w:val="left"/>
        <w:pPr>
          <w:tabs>
            <w:tab w:val="num" w:pos="720"/>
          </w:tabs>
          <w:ind w:left="720" w:hanging="360"/>
        </w:pPr>
        <w:rPr>
          <w:rFonts w:ascii="Symbol" w:hAnsi="Symbol" w:hint="default"/>
          <w:sz w:val="20"/>
        </w:rPr>
      </w:lvl>
    </w:lvlOverride>
  </w:num>
  <w:num w:numId="200">
    <w:abstractNumId w:val="153"/>
  </w:num>
  <w:num w:numId="201">
    <w:abstractNumId w:val="3"/>
  </w:num>
  <w:num w:numId="202">
    <w:abstractNumId w:val="178"/>
  </w:num>
  <w:num w:numId="203">
    <w:abstractNumId w:val="83"/>
  </w:num>
  <w:num w:numId="204">
    <w:abstractNumId w:val="102"/>
  </w:num>
  <w:num w:numId="205">
    <w:abstractNumId w:val="109"/>
  </w:num>
  <w:num w:numId="206">
    <w:abstractNumId w:val="137"/>
  </w:num>
  <w:num w:numId="207">
    <w:abstractNumId w:val="43"/>
  </w:num>
  <w:num w:numId="208">
    <w:abstractNumId w:val="73"/>
  </w:num>
  <w:num w:numId="209">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210">
    <w:abstractNumId w:val="6"/>
    <w:lvlOverride w:ilvl="0">
      <w:lvl w:ilvl="0">
        <w:numFmt w:val="bullet"/>
        <w:lvlText w:val=""/>
        <w:lvlJc w:val="left"/>
        <w:pPr>
          <w:tabs>
            <w:tab w:val="num" w:pos="720"/>
          </w:tabs>
          <w:ind w:left="720" w:hanging="360"/>
        </w:pPr>
        <w:rPr>
          <w:rFonts w:ascii="Symbol" w:hAnsi="Symbol" w:hint="default"/>
          <w:sz w:val="20"/>
        </w:rPr>
      </w:lvl>
    </w:lvlOverride>
  </w:num>
  <w:num w:numId="211">
    <w:abstractNumId w:val="160"/>
    <w:lvlOverride w:ilvl="0">
      <w:lvl w:ilvl="0">
        <w:numFmt w:val="bullet"/>
        <w:lvlText w:val=""/>
        <w:lvlJc w:val="left"/>
        <w:pPr>
          <w:tabs>
            <w:tab w:val="num" w:pos="720"/>
          </w:tabs>
          <w:ind w:left="720" w:hanging="360"/>
        </w:pPr>
        <w:rPr>
          <w:rFonts w:ascii="Symbol" w:hAnsi="Symbol" w:hint="default"/>
          <w:sz w:val="20"/>
        </w:rPr>
      </w:lvl>
    </w:lvlOverride>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2"/>
  </w:compat>
  <w:rsids>
    <w:rsidRoot w:val="006B799F"/>
    <w:rsid w:val="00005AA3"/>
    <w:rsid w:val="00267184"/>
    <w:rsid w:val="004A6B98"/>
    <w:rsid w:val="005779BF"/>
    <w:rsid w:val="006B6724"/>
    <w:rsid w:val="006B799F"/>
    <w:rsid w:val="00760134"/>
    <w:rsid w:val="00841695"/>
    <w:rsid w:val="0084256B"/>
    <w:rsid w:val="0087031A"/>
    <w:rsid w:val="008742A2"/>
    <w:rsid w:val="008B3BDE"/>
    <w:rsid w:val="008E37B0"/>
    <w:rsid w:val="009B3752"/>
    <w:rsid w:val="009C130F"/>
    <w:rsid w:val="00AB3DFD"/>
    <w:rsid w:val="00BA0818"/>
    <w:rsid w:val="00DA0C51"/>
    <w:rsid w:val="00E32348"/>
    <w:rsid w:val="00F9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48"/>
  </w:style>
  <w:style w:type="paragraph" w:styleId="Heading1">
    <w:name w:val="heading 1"/>
    <w:basedOn w:val="Normal"/>
    <w:link w:val="Heading1Char"/>
    <w:uiPriority w:val="9"/>
    <w:qFormat/>
    <w:rsid w:val="006B799F"/>
    <w:pPr>
      <w:spacing w:before="100" w:beforeAutospacing="1" w:after="100" w:afterAutospacing="1" w:line="240" w:lineRule="auto"/>
      <w:outlineLvl w:val="0"/>
    </w:pPr>
    <w:rPr>
      <w:rFonts w:ascii="Arial" w:eastAsia="Times New Roman" w:hAnsi="Arial" w:cs="Arial"/>
      <w:b/>
      <w:bCs/>
      <w:spacing w:val="-15"/>
      <w:kern w:val="36"/>
      <w:sz w:val="30"/>
      <w:szCs w:val="30"/>
    </w:rPr>
  </w:style>
  <w:style w:type="paragraph" w:styleId="Heading2">
    <w:name w:val="heading 2"/>
    <w:basedOn w:val="Normal"/>
    <w:link w:val="Heading2Char"/>
    <w:uiPriority w:val="9"/>
    <w:qFormat/>
    <w:rsid w:val="006B799F"/>
    <w:pPr>
      <w:pBdr>
        <w:bottom w:val="single" w:sz="6" w:space="0" w:color="AAAAAA"/>
      </w:pBdr>
      <w:spacing w:before="100" w:beforeAutospacing="1" w:after="100" w:afterAutospacing="1" w:line="240" w:lineRule="auto"/>
      <w:outlineLvl w:val="1"/>
    </w:pPr>
    <w:rPr>
      <w:rFonts w:ascii="Verdana" w:eastAsia="Times New Roman" w:hAnsi="Verdana" w:cs="Times New Roman"/>
      <w:b/>
      <w:bCs/>
      <w:sz w:val="21"/>
      <w:szCs w:val="21"/>
    </w:rPr>
  </w:style>
  <w:style w:type="paragraph" w:styleId="Heading3">
    <w:name w:val="heading 3"/>
    <w:basedOn w:val="Normal"/>
    <w:link w:val="Heading3Char"/>
    <w:uiPriority w:val="9"/>
    <w:qFormat/>
    <w:rsid w:val="006B799F"/>
    <w:pPr>
      <w:spacing w:before="100" w:beforeAutospacing="1" w:after="100" w:afterAutospacing="1" w:line="240" w:lineRule="auto"/>
      <w:outlineLvl w:val="2"/>
    </w:pPr>
    <w:rPr>
      <w:rFonts w:ascii="Verdana" w:eastAsia="Times New Roman" w:hAnsi="Verdana" w:cs="Times New Roman"/>
      <w:b/>
      <w:bCs/>
      <w:sz w:val="18"/>
      <w:szCs w:val="18"/>
    </w:rPr>
  </w:style>
  <w:style w:type="paragraph" w:styleId="Heading4">
    <w:name w:val="heading 4"/>
    <w:basedOn w:val="Normal"/>
    <w:link w:val="Heading4Char"/>
    <w:uiPriority w:val="9"/>
    <w:qFormat/>
    <w:rsid w:val="006B799F"/>
    <w:pPr>
      <w:spacing w:before="100" w:beforeAutospacing="1" w:after="100" w:afterAutospacing="1" w:line="240" w:lineRule="auto"/>
      <w:ind w:left="600"/>
      <w:outlineLvl w:val="3"/>
    </w:pPr>
    <w:rPr>
      <w:rFonts w:ascii="Verdana" w:eastAsia="Times New Roman" w:hAnsi="Verdana"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9F"/>
    <w:rPr>
      <w:rFonts w:ascii="Arial" w:eastAsia="Times New Roman" w:hAnsi="Arial" w:cs="Arial"/>
      <w:b/>
      <w:bCs/>
      <w:spacing w:val="-15"/>
      <w:kern w:val="36"/>
      <w:sz w:val="30"/>
      <w:szCs w:val="30"/>
    </w:rPr>
  </w:style>
  <w:style w:type="character" w:customStyle="1" w:styleId="Heading2Char">
    <w:name w:val="Heading 2 Char"/>
    <w:basedOn w:val="DefaultParagraphFont"/>
    <w:link w:val="Heading2"/>
    <w:uiPriority w:val="9"/>
    <w:rsid w:val="006B799F"/>
    <w:rPr>
      <w:rFonts w:ascii="Verdana" w:eastAsia="Times New Roman" w:hAnsi="Verdana" w:cs="Times New Roman"/>
      <w:b/>
      <w:bCs/>
      <w:sz w:val="21"/>
      <w:szCs w:val="21"/>
    </w:rPr>
  </w:style>
  <w:style w:type="character" w:customStyle="1" w:styleId="Heading3Char">
    <w:name w:val="Heading 3 Char"/>
    <w:basedOn w:val="DefaultParagraphFont"/>
    <w:link w:val="Heading3"/>
    <w:uiPriority w:val="9"/>
    <w:rsid w:val="006B799F"/>
    <w:rPr>
      <w:rFonts w:ascii="Verdana" w:eastAsia="Times New Roman" w:hAnsi="Verdana" w:cs="Times New Roman"/>
      <w:b/>
      <w:bCs/>
      <w:sz w:val="18"/>
      <w:szCs w:val="18"/>
    </w:rPr>
  </w:style>
  <w:style w:type="character" w:customStyle="1" w:styleId="Heading4Char">
    <w:name w:val="Heading 4 Char"/>
    <w:basedOn w:val="DefaultParagraphFont"/>
    <w:link w:val="Heading4"/>
    <w:uiPriority w:val="9"/>
    <w:rsid w:val="006B799F"/>
    <w:rPr>
      <w:rFonts w:ascii="Verdana" w:eastAsia="Times New Roman" w:hAnsi="Verdana" w:cs="Times New Roman"/>
      <w:b/>
      <w:bCs/>
      <w:sz w:val="18"/>
      <w:szCs w:val="18"/>
    </w:rPr>
  </w:style>
  <w:style w:type="character" w:styleId="Hyperlink">
    <w:name w:val="Hyperlink"/>
    <w:basedOn w:val="DefaultParagraphFont"/>
    <w:uiPriority w:val="99"/>
    <w:semiHidden/>
    <w:unhideWhenUsed/>
    <w:rsid w:val="006B799F"/>
    <w:rPr>
      <w:strike w:val="0"/>
      <w:dstrike w:val="0"/>
      <w:color w:val="006699"/>
      <w:u w:val="none"/>
      <w:effect w:val="none"/>
    </w:rPr>
  </w:style>
  <w:style w:type="paragraph" w:styleId="NormalWeb">
    <w:name w:val="Normal (Web)"/>
    <w:basedOn w:val="Normal"/>
    <w:uiPriority w:val="99"/>
    <w:unhideWhenUsed/>
    <w:rsid w:val="006B799F"/>
    <w:pPr>
      <w:spacing w:before="100" w:beforeAutospacing="1" w:after="100" w:afterAutospacing="1" w:line="240" w:lineRule="auto"/>
    </w:pPr>
    <w:rPr>
      <w:rFonts w:ascii="Verdana" w:eastAsia="Times New Roman" w:hAnsi="Verdana" w:cs="Times New Roman"/>
      <w:sz w:val="18"/>
      <w:szCs w:val="18"/>
    </w:rPr>
  </w:style>
  <w:style w:type="paragraph" w:customStyle="1" w:styleId="footnote">
    <w:name w:val="footnote"/>
    <w:basedOn w:val="Normal"/>
    <w:rsid w:val="006B799F"/>
    <w:pPr>
      <w:spacing w:before="100" w:beforeAutospacing="1" w:after="210" w:line="240" w:lineRule="auto"/>
    </w:pPr>
    <w:rPr>
      <w:rFonts w:ascii="Verdana" w:eastAsia="Times New Roman" w:hAnsi="Verdana" w:cs="Times New Roman"/>
      <w:sz w:val="17"/>
      <w:szCs w:val="17"/>
    </w:rPr>
  </w:style>
  <w:style w:type="paragraph" w:customStyle="1" w:styleId="note">
    <w:name w:val="note"/>
    <w:basedOn w:val="Normal"/>
    <w:rsid w:val="006B799F"/>
    <w:pPr>
      <w:spacing w:before="100" w:beforeAutospacing="1" w:after="100" w:afterAutospacing="1" w:line="240" w:lineRule="auto"/>
    </w:pPr>
    <w:rPr>
      <w:rFonts w:ascii="Verdana" w:eastAsia="Times New Roman" w:hAnsi="Verdana" w:cs="Times New Roman"/>
      <w:sz w:val="18"/>
      <w:szCs w:val="18"/>
    </w:rPr>
  </w:style>
  <w:style w:type="character" w:customStyle="1" w:styleId="footnotetxt">
    <w:name w:val="footnotetxt"/>
    <w:basedOn w:val="DefaultParagraphFont"/>
    <w:rsid w:val="006B799F"/>
    <w:rPr>
      <w:b/>
      <w:bCs/>
      <w:sz w:val="12"/>
      <w:szCs w:val="12"/>
      <w:vertAlign w:val="superscript"/>
    </w:rPr>
  </w:style>
  <w:style w:type="character" w:customStyle="1" w:styleId="reviewspan">
    <w:name w:val="reviewspan"/>
    <w:basedOn w:val="DefaultParagraphFont"/>
    <w:rsid w:val="006B799F"/>
    <w:rPr>
      <w:shd w:val="clear" w:color="auto" w:fill="CBD9E4"/>
    </w:rPr>
  </w:style>
  <w:style w:type="paragraph" w:customStyle="1" w:styleId="alert">
    <w:name w:val="alert"/>
    <w:basedOn w:val="Normal"/>
    <w:rsid w:val="00AB3DFD"/>
    <w:pPr>
      <w:spacing w:before="100" w:beforeAutospacing="1" w:after="100" w:afterAutospacing="1" w:line="240" w:lineRule="auto"/>
    </w:pPr>
    <w:rPr>
      <w:rFonts w:ascii="Verdana" w:eastAsia="Times New Roman" w:hAnsi="Verdana" w:cs="Times New Roman"/>
      <w:sz w:val="18"/>
      <w:szCs w:val="18"/>
    </w:rPr>
  </w:style>
  <w:style w:type="paragraph" w:customStyle="1" w:styleId="reviewnormal">
    <w:name w:val="reviewnormal"/>
    <w:basedOn w:val="Normal"/>
    <w:rsid w:val="00AB3DFD"/>
    <w:pPr>
      <w:shd w:val="clear" w:color="auto" w:fill="CBD9E4"/>
      <w:spacing w:before="100" w:beforeAutospacing="1" w:after="100" w:afterAutospacing="1" w:line="240" w:lineRule="auto"/>
    </w:pPr>
    <w:rPr>
      <w:rFonts w:ascii="Verdana" w:eastAsia="Times New Roman" w:hAnsi="Verdana" w:cs="Times New Roman"/>
      <w:sz w:val="18"/>
      <w:szCs w:val="18"/>
    </w:rPr>
  </w:style>
  <w:style w:type="paragraph" w:customStyle="1" w:styleId="reviewalert">
    <w:name w:val="reviewalert"/>
    <w:basedOn w:val="Normal"/>
    <w:rsid w:val="00005AA3"/>
    <w:pPr>
      <w:shd w:val="clear" w:color="auto" w:fill="CBD9E4"/>
      <w:spacing w:before="100" w:beforeAutospacing="1" w:after="100" w:afterAutospacing="1" w:line="240" w:lineRule="auto"/>
    </w:pPr>
    <w:rPr>
      <w:rFonts w:ascii="Verdana" w:eastAsia="Times New Roman" w:hAnsi="Verdana" w:cs="Times New Roman"/>
      <w:sz w:val="18"/>
      <w:szCs w:val="18"/>
    </w:rPr>
  </w:style>
  <w:style w:type="paragraph" w:customStyle="1" w:styleId="reviewnone">
    <w:name w:val="reviewnone"/>
    <w:basedOn w:val="Normal"/>
    <w:rsid w:val="00005AA3"/>
    <w:pPr>
      <w:shd w:val="clear" w:color="auto" w:fill="CBD9E4"/>
      <w:spacing w:after="0" w:line="240" w:lineRule="auto"/>
    </w:pPr>
    <w:rPr>
      <w:rFonts w:ascii="Verdana" w:eastAsia="Times New Roman" w:hAnsi="Verdana" w:cs="Times New Roman"/>
      <w:sz w:val="18"/>
      <w:szCs w:val="18"/>
    </w:rPr>
  </w:style>
  <w:style w:type="paragraph" w:customStyle="1" w:styleId="h4text">
    <w:name w:val="h4text"/>
    <w:basedOn w:val="Normal"/>
    <w:rsid w:val="0087031A"/>
    <w:pPr>
      <w:spacing w:before="100" w:beforeAutospacing="1" w:after="100" w:afterAutospacing="1" w:line="240" w:lineRule="auto"/>
      <w:ind w:left="600"/>
    </w:pPr>
    <w:rPr>
      <w:rFonts w:ascii="Verdana" w:eastAsia="Times New Roman" w:hAnsi="Verdana" w:cs="Times New Roman"/>
      <w:sz w:val="18"/>
      <w:szCs w:val="18"/>
    </w:rPr>
  </w:style>
  <w:style w:type="paragraph" w:customStyle="1" w:styleId="reviewnote">
    <w:name w:val="reviewnote"/>
    <w:basedOn w:val="Normal"/>
    <w:rsid w:val="0087031A"/>
    <w:pPr>
      <w:shd w:val="clear" w:color="auto" w:fill="CBD9E4"/>
      <w:spacing w:before="100" w:beforeAutospacing="1" w:after="100" w:afterAutospacing="1" w:line="240" w:lineRule="auto"/>
    </w:pPr>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59622">
      <w:bodyDiv w:val="1"/>
      <w:marLeft w:val="0"/>
      <w:marRight w:val="0"/>
      <w:marTop w:val="0"/>
      <w:marBottom w:val="0"/>
      <w:divBdr>
        <w:top w:val="none" w:sz="0" w:space="0" w:color="auto"/>
        <w:left w:val="none" w:sz="0" w:space="0" w:color="auto"/>
        <w:bottom w:val="none" w:sz="0" w:space="0" w:color="auto"/>
        <w:right w:val="none" w:sz="0" w:space="0" w:color="auto"/>
      </w:divBdr>
      <w:divsChild>
        <w:div w:id="1607271810">
          <w:marLeft w:val="0"/>
          <w:marRight w:val="0"/>
          <w:marTop w:val="0"/>
          <w:marBottom w:val="0"/>
          <w:divBdr>
            <w:top w:val="none" w:sz="0" w:space="0" w:color="auto"/>
            <w:left w:val="none" w:sz="0" w:space="0" w:color="auto"/>
            <w:bottom w:val="none" w:sz="0" w:space="0" w:color="auto"/>
            <w:right w:val="none" w:sz="0" w:space="0" w:color="auto"/>
          </w:divBdr>
        </w:div>
        <w:div w:id="581648362">
          <w:marLeft w:val="0"/>
          <w:marRight w:val="0"/>
          <w:marTop w:val="0"/>
          <w:marBottom w:val="0"/>
          <w:divBdr>
            <w:top w:val="none" w:sz="0" w:space="0" w:color="auto"/>
            <w:left w:val="none" w:sz="0" w:space="0" w:color="auto"/>
            <w:bottom w:val="none" w:sz="0" w:space="0" w:color="auto"/>
            <w:right w:val="none" w:sz="0" w:space="0" w:color="auto"/>
          </w:divBdr>
        </w:div>
      </w:divsChild>
    </w:div>
    <w:div w:id="834565818">
      <w:bodyDiv w:val="1"/>
      <w:marLeft w:val="0"/>
      <w:marRight w:val="0"/>
      <w:marTop w:val="0"/>
      <w:marBottom w:val="0"/>
      <w:divBdr>
        <w:top w:val="none" w:sz="0" w:space="0" w:color="auto"/>
        <w:left w:val="none" w:sz="0" w:space="0" w:color="auto"/>
        <w:bottom w:val="none" w:sz="0" w:space="0" w:color="auto"/>
        <w:right w:val="none" w:sz="0" w:space="0" w:color="auto"/>
      </w:divBdr>
      <w:divsChild>
        <w:div w:id="1833983005">
          <w:marLeft w:val="0"/>
          <w:marRight w:val="0"/>
          <w:marTop w:val="0"/>
          <w:marBottom w:val="0"/>
          <w:divBdr>
            <w:top w:val="none" w:sz="0" w:space="0" w:color="auto"/>
            <w:left w:val="none" w:sz="0" w:space="0" w:color="auto"/>
            <w:bottom w:val="none" w:sz="0" w:space="0" w:color="auto"/>
            <w:right w:val="none" w:sz="0" w:space="0" w:color="auto"/>
          </w:divBdr>
        </w:div>
        <w:div w:id="1006977156">
          <w:marLeft w:val="0"/>
          <w:marRight w:val="0"/>
          <w:marTop w:val="0"/>
          <w:marBottom w:val="0"/>
          <w:divBdr>
            <w:top w:val="none" w:sz="0" w:space="0" w:color="auto"/>
            <w:left w:val="none" w:sz="0" w:space="0" w:color="auto"/>
            <w:bottom w:val="none" w:sz="0" w:space="0" w:color="auto"/>
            <w:right w:val="none" w:sz="0" w:space="0" w:color="auto"/>
          </w:divBdr>
        </w:div>
      </w:divsChild>
    </w:div>
    <w:div w:id="1134374122">
      <w:bodyDiv w:val="1"/>
      <w:marLeft w:val="0"/>
      <w:marRight w:val="0"/>
      <w:marTop w:val="0"/>
      <w:marBottom w:val="0"/>
      <w:divBdr>
        <w:top w:val="none" w:sz="0" w:space="0" w:color="auto"/>
        <w:left w:val="none" w:sz="0" w:space="0" w:color="auto"/>
        <w:bottom w:val="none" w:sz="0" w:space="0" w:color="auto"/>
        <w:right w:val="none" w:sz="0" w:space="0" w:color="auto"/>
      </w:divBdr>
      <w:divsChild>
        <w:div w:id="62068800">
          <w:marLeft w:val="0"/>
          <w:marRight w:val="0"/>
          <w:marTop w:val="0"/>
          <w:marBottom w:val="0"/>
          <w:divBdr>
            <w:top w:val="none" w:sz="0" w:space="0" w:color="auto"/>
            <w:left w:val="none" w:sz="0" w:space="0" w:color="auto"/>
            <w:bottom w:val="none" w:sz="0" w:space="0" w:color="auto"/>
            <w:right w:val="none" w:sz="0" w:space="0" w:color="auto"/>
          </w:divBdr>
        </w:div>
        <w:div w:id="2028209214">
          <w:marLeft w:val="0"/>
          <w:marRight w:val="0"/>
          <w:marTop w:val="0"/>
          <w:marBottom w:val="0"/>
          <w:divBdr>
            <w:top w:val="none" w:sz="0" w:space="0" w:color="auto"/>
            <w:left w:val="none" w:sz="0" w:space="0" w:color="auto"/>
            <w:bottom w:val="none" w:sz="0" w:space="0" w:color="auto"/>
            <w:right w:val="none" w:sz="0" w:space="0" w:color="auto"/>
          </w:divBdr>
        </w:div>
      </w:divsChild>
    </w:div>
    <w:div w:id="1172186111">
      <w:bodyDiv w:val="1"/>
      <w:marLeft w:val="0"/>
      <w:marRight w:val="0"/>
      <w:marTop w:val="0"/>
      <w:marBottom w:val="0"/>
      <w:divBdr>
        <w:top w:val="none" w:sz="0" w:space="0" w:color="auto"/>
        <w:left w:val="none" w:sz="0" w:space="0" w:color="auto"/>
        <w:bottom w:val="none" w:sz="0" w:space="0" w:color="auto"/>
        <w:right w:val="none" w:sz="0" w:space="0" w:color="auto"/>
      </w:divBdr>
      <w:divsChild>
        <w:div w:id="36051965">
          <w:marLeft w:val="0"/>
          <w:marRight w:val="0"/>
          <w:marTop w:val="0"/>
          <w:marBottom w:val="0"/>
          <w:divBdr>
            <w:top w:val="none" w:sz="0" w:space="0" w:color="auto"/>
            <w:left w:val="none" w:sz="0" w:space="0" w:color="auto"/>
            <w:bottom w:val="none" w:sz="0" w:space="0" w:color="auto"/>
            <w:right w:val="none" w:sz="0" w:space="0" w:color="auto"/>
          </w:divBdr>
        </w:div>
        <w:div w:id="31197960">
          <w:marLeft w:val="0"/>
          <w:marRight w:val="0"/>
          <w:marTop w:val="0"/>
          <w:marBottom w:val="0"/>
          <w:divBdr>
            <w:top w:val="none" w:sz="0" w:space="0" w:color="auto"/>
            <w:left w:val="none" w:sz="0" w:space="0" w:color="auto"/>
            <w:bottom w:val="none" w:sz="0" w:space="0" w:color="auto"/>
            <w:right w:val="none" w:sz="0" w:space="0" w:color="auto"/>
          </w:divBdr>
        </w:div>
      </w:divsChild>
    </w:div>
    <w:div w:id="1215045704">
      <w:bodyDiv w:val="1"/>
      <w:marLeft w:val="0"/>
      <w:marRight w:val="0"/>
      <w:marTop w:val="0"/>
      <w:marBottom w:val="0"/>
      <w:divBdr>
        <w:top w:val="none" w:sz="0" w:space="0" w:color="auto"/>
        <w:left w:val="none" w:sz="0" w:space="0" w:color="auto"/>
        <w:bottom w:val="none" w:sz="0" w:space="0" w:color="auto"/>
        <w:right w:val="none" w:sz="0" w:space="0" w:color="auto"/>
      </w:divBdr>
      <w:divsChild>
        <w:div w:id="1511793172">
          <w:marLeft w:val="0"/>
          <w:marRight w:val="0"/>
          <w:marTop w:val="0"/>
          <w:marBottom w:val="0"/>
          <w:divBdr>
            <w:top w:val="none" w:sz="0" w:space="0" w:color="auto"/>
            <w:left w:val="none" w:sz="0" w:space="0" w:color="auto"/>
            <w:bottom w:val="none" w:sz="0" w:space="0" w:color="auto"/>
            <w:right w:val="none" w:sz="0" w:space="0" w:color="auto"/>
          </w:divBdr>
        </w:div>
        <w:div w:id="316304950">
          <w:marLeft w:val="0"/>
          <w:marRight w:val="0"/>
          <w:marTop w:val="0"/>
          <w:marBottom w:val="0"/>
          <w:divBdr>
            <w:top w:val="none" w:sz="0" w:space="0" w:color="auto"/>
            <w:left w:val="none" w:sz="0" w:space="0" w:color="auto"/>
            <w:bottom w:val="none" w:sz="0" w:space="0" w:color="auto"/>
            <w:right w:val="none" w:sz="0" w:space="0" w:color="auto"/>
          </w:divBdr>
        </w:div>
      </w:divsChild>
    </w:div>
    <w:div w:id="1269921882">
      <w:bodyDiv w:val="1"/>
      <w:marLeft w:val="0"/>
      <w:marRight w:val="0"/>
      <w:marTop w:val="0"/>
      <w:marBottom w:val="0"/>
      <w:divBdr>
        <w:top w:val="none" w:sz="0" w:space="0" w:color="auto"/>
        <w:left w:val="none" w:sz="0" w:space="0" w:color="auto"/>
        <w:bottom w:val="none" w:sz="0" w:space="0" w:color="auto"/>
        <w:right w:val="none" w:sz="0" w:space="0" w:color="auto"/>
      </w:divBdr>
      <w:divsChild>
        <w:div w:id="634456302">
          <w:marLeft w:val="0"/>
          <w:marRight w:val="0"/>
          <w:marTop w:val="0"/>
          <w:marBottom w:val="0"/>
          <w:divBdr>
            <w:top w:val="none" w:sz="0" w:space="0" w:color="auto"/>
            <w:left w:val="none" w:sz="0" w:space="0" w:color="auto"/>
            <w:bottom w:val="none" w:sz="0" w:space="0" w:color="auto"/>
            <w:right w:val="none" w:sz="0" w:space="0" w:color="auto"/>
          </w:divBdr>
        </w:div>
        <w:div w:id="411200001">
          <w:marLeft w:val="0"/>
          <w:marRight w:val="0"/>
          <w:marTop w:val="0"/>
          <w:marBottom w:val="0"/>
          <w:divBdr>
            <w:top w:val="none" w:sz="0" w:space="0" w:color="auto"/>
            <w:left w:val="none" w:sz="0" w:space="0" w:color="auto"/>
            <w:bottom w:val="none" w:sz="0" w:space="0" w:color="auto"/>
            <w:right w:val="none" w:sz="0" w:space="0" w:color="auto"/>
          </w:divBdr>
        </w:div>
      </w:divsChild>
    </w:div>
    <w:div w:id="1300922226">
      <w:bodyDiv w:val="1"/>
      <w:marLeft w:val="0"/>
      <w:marRight w:val="0"/>
      <w:marTop w:val="0"/>
      <w:marBottom w:val="0"/>
      <w:divBdr>
        <w:top w:val="none" w:sz="0" w:space="0" w:color="auto"/>
        <w:left w:val="none" w:sz="0" w:space="0" w:color="auto"/>
        <w:bottom w:val="none" w:sz="0" w:space="0" w:color="auto"/>
        <w:right w:val="none" w:sz="0" w:space="0" w:color="auto"/>
      </w:divBdr>
      <w:divsChild>
        <w:div w:id="492990703">
          <w:marLeft w:val="0"/>
          <w:marRight w:val="0"/>
          <w:marTop w:val="0"/>
          <w:marBottom w:val="0"/>
          <w:divBdr>
            <w:top w:val="none" w:sz="0" w:space="0" w:color="auto"/>
            <w:left w:val="none" w:sz="0" w:space="0" w:color="auto"/>
            <w:bottom w:val="none" w:sz="0" w:space="0" w:color="auto"/>
            <w:right w:val="none" w:sz="0" w:space="0" w:color="auto"/>
          </w:divBdr>
        </w:div>
        <w:div w:id="2037193388">
          <w:marLeft w:val="0"/>
          <w:marRight w:val="0"/>
          <w:marTop w:val="0"/>
          <w:marBottom w:val="0"/>
          <w:divBdr>
            <w:top w:val="none" w:sz="0" w:space="0" w:color="auto"/>
            <w:left w:val="none" w:sz="0" w:space="0" w:color="auto"/>
            <w:bottom w:val="none" w:sz="0" w:space="0" w:color="auto"/>
            <w:right w:val="none" w:sz="0" w:space="0" w:color="auto"/>
          </w:divBdr>
        </w:div>
      </w:divsChild>
    </w:div>
    <w:div w:id="1431000446">
      <w:bodyDiv w:val="1"/>
      <w:marLeft w:val="0"/>
      <w:marRight w:val="0"/>
      <w:marTop w:val="0"/>
      <w:marBottom w:val="0"/>
      <w:divBdr>
        <w:top w:val="none" w:sz="0" w:space="0" w:color="auto"/>
        <w:left w:val="none" w:sz="0" w:space="0" w:color="auto"/>
        <w:bottom w:val="none" w:sz="0" w:space="0" w:color="auto"/>
        <w:right w:val="none" w:sz="0" w:space="0" w:color="auto"/>
      </w:divBdr>
      <w:divsChild>
        <w:div w:id="608582611">
          <w:marLeft w:val="0"/>
          <w:marRight w:val="0"/>
          <w:marTop w:val="0"/>
          <w:marBottom w:val="0"/>
          <w:divBdr>
            <w:top w:val="none" w:sz="0" w:space="0" w:color="auto"/>
            <w:left w:val="none" w:sz="0" w:space="0" w:color="auto"/>
            <w:bottom w:val="none" w:sz="0" w:space="0" w:color="auto"/>
            <w:right w:val="none" w:sz="0" w:space="0" w:color="auto"/>
          </w:divBdr>
        </w:div>
        <w:div w:id="299457067">
          <w:marLeft w:val="0"/>
          <w:marRight w:val="0"/>
          <w:marTop w:val="0"/>
          <w:marBottom w:val="0"/>
          <w:divBdr>
            <w:top w:val="none" w:sz="0" w:space="0" w:color="auto"/>
            <w:left w:val="none" w:sz="0" w:space="0" w:color="auto"/>
            <w:bottom w:val="none" w:sz="0" w:space="0" w:color="auto"/>
            <w:right w:val="none" w:sz="0" w:space="0" w:color="auto"/>
          </w:divBdr>
        </w:div>
      </w:divsChild>
    </w:div>
    <w:div w:id="1553880094">
      <w:bodyDiv w:val="1"/>
      <w:marLeft w:val="0"/>
      <w:marRight w:val="0"/>
      <w:marTop w:val="0"/>
      <w:marBottom w:val="0"/>
      <w:divBdr>
        <w:top w:val="none" w:sz="0" w:space="0" w:color="auto"/>
        <w:left w:val="none" w:sz="0" w:space="0" w:color="auto"/>
        <w:bottom w:val="none" w:sz="0" w:space="0" w:color="auto"/>
        <w:right w:val="none" w:sz="0" w:space="0" w:color="auto"/>
      </w:divBdr>
      <w:divsChild>
        <w:div w:id="489716177">
          <w:marLeft w:val="0"/>
          <w:marRight w:val="0"/>
          <w:marTop w:val="0"/>
          <w:marBottom w:val="0"/>
          <w:divBdr>
            <w:top w:val="none" w:sz="0" w:space="0" w:color="auto"/>
            <w:left w:val="none" w:sz="0" w:space="0" w:color="auto"/>
            <w:bottom w:val="none" w:sz="0" w:space="0" w:color="auto"/>
            <w:right w:val="none" w:sz="0" w:space="0" w:color="auto"/>
          </w:divBdr>
        </w:div>
        <w:div w:id="875384500">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1657494982">
          <w:marLeft w:val="0"/>
          <w:marRight w:val="0"/>
          <w:marTop w:val="0"/>
          <w:marBottom w:val="0"/>
          <w:divBdr>
            <w:top w:val="none" w:sz="0" w:space="0" w:color="auto"/>
            <w:left w:val="none" w:sz="0" w:space="0" w:color="auto"/>
            <w:bottom w:val="none" w:sz="0" w:space="0" w:color="auto"/>
            <w:right w:val="none" w:sz="0" w:space="0" w:color="auto"/>
          </w:divBdr>
        </w:div>
        <w:div w:id="696195713">
          <w:marLeft w:val="0"/>
          <w:marRight w:val="0"/>
          <w:marTop w:val="0"/>
          <w:marBottom w:val="0"/>
          <w:divBdr>
            <w:top w:val="none" w:sz="0" w:space="0" w:color="auto"/>
            <w:left w:val="none" w:sz="0" w:space="0" w:color="auto"/>
            <w:bottom w:val="none" w:sz="0" w:space="0" w:color="auto"/>
            <w:right w:val="none" w:sz="0" w:space="0" w:color="auto"/>
          </w:divBdr>
        </w:div>
      </w:divsChild>
    </w:div>
    <w:div w:id="1925186615">
      <w:bodyDiv w:val="1"/>
      <w:marLeft w:val="0"/>
      <w:marRight w:val="0"/>
      <w:marTop w:val="0"/>
      <w:marBottom w:val="0"/>
      <w:divBdr>
        <w:top w:val="none" w:sz="0" w:space="0" w:color="auto"/>
        <w:left w:val="none" w:sz="0" w:space="0" w:color="auto"/>
        <w:bottom w:val="none" w:sz="0" w:space="0" w:color="auto"/>
        <w:right w:val="none" w:sz="0" w:space="0" w:color="auto"/>
      </w:divBdr>
      <w:divsChild>
        <w:div w:id="1592665639">
          <w:marLeft w:val="0"/>
          <w:marRight w:val="0"/>
          <w:marTop w:val="0"/>
          <w:marBottom w:val="0"/>
          <w:divBdr>
            <w:top w:val="none" w:sz="0" w:space="0" w:color="auto"/>
            <w:left w:val="none" w:sz="0" w:space="0" w:color="auto"/>
            <w:bottom w:val="none" w:sz="0" w:space="0" w:color="auto"/>
            <w:right w:val="none" w:sz="0" w:space="0" w:color="auto"/>
          </w:divBdr>
        </w:div>
        <w:div w:id="1608659160">
          <w:marLeft w:val="0"/>
          <w:marRight w:val="0"/>
          <w:marTop w:val="0"/>
          <w:marBottom w:val="0"/>
          <w:divBdr>
            <w:top w:val="none" w:sz="0" w:space="0" w:color="auto"/>
            <w:left w:val="none" w:sz="0" w:space="0" w:color="auto"/>
            <w:bottom w:val="none" w:sz="0" w:space="0" w:color="auto"/>
            <w:right w:val="none" w:sz="0" w:space="0" w:color="auto"/>
          </w:divBdr>
        </w:div>
      </w:divsChild>
    </w:div>
    <w:div w:id="1941177709">
      <w:bodyDiv w:val="1"/>
      <w:marLeft w:val="0"/>
      <w:marRight w:val="0"/>
      <w:marTop w:val="0"/>
      <w:marBottom w:val="0"/>
      <w:divBdr>
        <w:top w:val="none" w:sz="0" w:space="0" w:color="auto"/>
        <w:left w:val="none" w:sz="0" w:space="0" w:color="auto"/>
        <w:bottom w:val="none" w:sz="0" w:space="0" w:color="auto"/>
        <w:right w:val="none" w:sz="0" w:space="0" w:color="auto"/>
      </w:divBdr>
      <w:divsChild>
        <w:div w:id="530922454">
          <w:marLeft w:val="0"/>
          <w:marRight w:val="0"/>
          <w:marTop w:val="0"/>
          <w:marBottom w:val="0"/>
          <w:divBdr>
            <w:top w:val="none" w:sz="0" w:space="0" w:color="auto"/>
            <w:left w:val="none" w:sz="0" w:space="0" w:color="auto"/>
            <w:bottom w:val="none" w:sz="0" w:space="0" w:color="auto"/>
            <w:right w:val="none" w:sz="0" w:space="0" w:color="auto"/>
          </w:divBdr>
        </w:div>
        <w:div w:id="516626260">
          <w:marLeft w:val="0"/>
          <w:marRight w:val="0"/>
          <w:marTop w:val="0"/>
          <w:marBottom w:val="0"/>
          <w:divBdr>
            <w:top w:val="none" w:sz="0" w:space="0" w:color="auto"/>
            <w:left w:val="none" w:sz="0" w:space="0" w:color="auto"/>
            <w:bottom w:val="none" w:sz="0" w:space="0" w:color="auto"/>
            <w:right w:val="none" w:sz="0" w:space="0" w:color="auto"/>
          </w:divBdr>
        </w:div>
      </w:divsChild>
    </w:div>
    <w:div w:id="2121798423">
      <w:bodyDiv w:val="1"/>
      <w:marLeft w:val="0"/>
      <w:marRight w:val="0"/>
      <w:marTop w:val="0"/>
      <w:marBottom w:val="0"/>
      <w:divBdr>
        <w:top w:val="none" w:sz="0" w:space="0" w:color="auto"/>
        <w:left w:val="none" w:sz="0" w:space="0" w:color="auto"/>
        <w:bottom w:val="none" w:sz="0" w:space="0" w:color="auto"/>
        <w:right w:val="none" w:sz="0" w:space="0" w:color="auto"/>
      </w:divBdr>
      <w:divsChild>
        <w:div w:id="714693347">
          <w:marLeft w:val="0"/>
          <w:marRight w:val="0"/>
          <w:marTop w:val="0"/>
          <w:marBottom w:val="0"/>
          <w:divBdr>
            <w:top w:val="none" w:sz="0" w:space="0" w:color="auto"/>
            <w:left w:val="none" w:sz="0" w:space="0" w:color="auto"/>
            <w:bottom w:val="none" w:sz="0" w:space="0" w:color="auto"/>
            <w:right w:val="none" w:sz="0" w:space="0" w:color="auto"/>
          </w:divBdr>
        </w:div>
        <w:div w:id="1513177820">
          <w:marLeft w:val="0"/>
          <w:marRight w:val="0"/>
          <w:marTop w:val="0"/>
          <w:marBottom w:val="0"/>
          <w:divBdr>
            <w:top w:val="none" w:sz="0" w:space="0" w:color="auto"/>
            <w:left w:val="none" w:sz="0" w:space="0" w:color="auto"/>
            <w:bottom w:val="none" w:sz="0" w:space="0" w:color="auto"/>
            <w:right w:val="none" w:sz="0" w:space="0" w:color="auto"/>
          </w:divBdr>
        </w:div>
      </w:divsChild>
    </w:div>
    <w:div w:id="2141725907">
      <w:bodyDiv w:val="1"/>
      <w:marLeft w:val="0"/>
      <w:marRight w:val="0"/>
      <w:marTop w:val="0"/>
      <w:marBottom w:val="0"/>
      <w:divBdr>
        <w:top w:val="none" w:sz="0" w:space="0" w:color="auto"/>
        <w:left w:val="none" w:sz="0" w:space="0" w:color="auto"/>
        <w:bottom w:val="none" w:sz="0" w:space="0" w:color="auto"/>
        <w:right w:val="none" w:sz="0" w:space="0" w:color="auto"/>
      </w:divBdr>
      <w:divsChild>
        <w:div w:id="2144107960">
          <w:marLeft w:val="0"/>
          <w:marRight w:val="0"/>
          <w:marTop w:val="0"/>
          <w:marBottom w:val="0"/>
          <w:divBdr>
            <w:top w:val="none" w:sz="0" w:space="0" w:color="auto"/>
            <w:left w:val="none" w:sz="0" w:space="0" w:color="auto"/>
            <w:bottom w:val="none" w:sz="0" w:space="0" w:color="auto"/>
            <w:right w:val="none" w:sz="0" w:space="0" w:color="auto"/>
          </w:divBdr>
        </w:div>
        <w:div w:id="324166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point.jpmchase.net/Sites1/SPggxlfh/Credit%20Policy%20%20Collateral%20Forms%20%20Job%20AIds/1084_schedules.xls" TargetMode="External"/><Relationship Id="rId13" Type="http://schemas.openxmlformats.org/officeDocument/2006/relationships/hyperlink" Target="http://mbpp.jpmchase.net:8090/Credit_Policy/Credit_History/Limited_Credit.htm" TargetMode="External"/><Relationship Id="rId18" Type="http://schemas.openxmlformats.org/officeDocument/2006/relationships/hyperlink" Target="http://mbpp.jpmchase.net:8090/Retail_Policies_and_Procedures/Subordinate_Financing_Guidelines_-_Agency_Guidelines.htm" TargetMode="External"/><Relationship Id="rId3" Type="http://schemas.microsoft.com/office/2007/relationships/stylesWithEffects" Target="stylesWithEffects.xml"/><Relationship Id="rId7" Type="http://schemas.openxmlformats.org/officeDocument/2006/relationships/hyperlink" Target="http://mbpp.jpmchase.net:8090/Retail_Policies_and_Procedures/BWG_Evaluation_Tool.htm" TargetMode="External"/><Relationship Id="rId12" Type="http://schemas.openxmlformats.org/officeDocument/2006/relationships/hyperlink" Target="http://mbpp.jpmchase.net:8090/Credit_Policy/Credit_History/Credit_Bureau_Reports_Prime.htm" TargetMode="External"/><Relationship Id="rId17" Type="http://schemas.openxmlformats.org/officeDocument/2006/relationships/hyperlink" Target="http://mbpp.jpmchase.net:8090/Collateral/Appraisals.htm" TargetMode="External"/><Relationship Id="rId2" Type="http://schemas.openxmlformats.org/officeDocument/2006/relationships/styles" Target="styles.xml"/><Relationship Id="rId16" Type="http://schemas.openxmlformats.org/officeDocument/2006/relationships/hyperlink" Target="http://mbpp.jpmchase.net:8090/Credit_Policy/Debt_Analysis_Guideline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bpp.jpmchase.net:8090/Credit_Policy/General_Income_Statement_Verification_Requirements.htm" TargetMode="External"/><Relationship Id="rId11" Type="http://schemas.openxmlformats.org/officeDocument/2006/relationships/hyperlink" Target="http://mbpp.jpmchase.net:8090/Credit_Policy/Conversion_of_Primary_Residence_PD_08_04.htm" TargetMode="External"/><Relationship Id="rId5" Type="http://schemas.openxmlformats.org/officeDocument/2006/relationships/webSettings" Target="webSettings.xml"/><Relationship Id="rId15" Type="http://schemas.openxmlformats.org/officeDocument/2006/relationships/hyperlink" Target="http://mbpp.jpmchase.net:8090/Credit_Policy/Employment/Corporate_Relocation.htm" TargetMode="External"/><Relationship Id="rId10" Type="http://schemas.openxmlformats.org/officeDocument/2006/relationships/hyperlink" Target="http://mbpp.jpmchase.net:8090/Credit_Policy/Other_Income.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bpp.jpmchase.net:8090/Credit_Policy/Other_Income.htm" TargetMode="External"/><Relationship Id="rId14" Type="http://schemas.openxmlformats.org/officeDocument/2006/relationships/hyperlink" Target="http://mbpp.jpmchase.net:8090/Credit_Policy/Credit_History/Deragotory_Credit_Pr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20729</Words>
  <Characters>118158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138610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Williamson</dc:creator>
  <cp:lastModifiedBy>Marvin</cp:lastModifiedBy>
  <cp:revision>13</cp:revision>
  <cp:lastPrinted>2013-01-29T23:14:00Z</cp:lastPrinted>
  <dcterms:created xsi:type="dcterms:W3CDTF">2013-01-29T23:12:00Z</dcterms:created>
  <dcterms:modified xsi:type="dcterms:W3CDTF">2013-02-02T01:32:00Z</dcterms:modified>
</cp:coreProperties>
</file>