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30"/>
          <w:szCs w:val="30"/>
        </w:rPr>
        <w:t xml:space="preserve">FUNCTIONAL REQUIREMENTS DOCUMENT</w:t>
      </w:r>
    </w:p>
    <w:p>
      <w:pPr>
        <w:spacing w:before="200"/>
        <w:jc w:val="center"/>
      </w:pPr>
      <w:r>
        <w:rPr>
          <w:b/>
          <w:bCs/>
          <w:color w:val="1F3864"/>
          <w:sz w:val="44"/>
          <w:szCs w:val="44"/>
        </w:rPr>
        <w:t xml:space="preserve">Household Accounting &amp; Inventory Management System</w:t>
      </w:r>
    </w:p>
    <w:p>
      <w:pPr>
        <w:spacing w:before="160"/>
        <w:jc w:val="center"/>
      </w:pPr>
      <w:r>
        <w:rPr>
          <w:i/>
          <w:iCs/>
          <w:color w:val="555555"/>
          <w:sz w:val="24"/>
          <w:szCs w:val="24"/>
        </w:rPr>
        <w:t xml:space="preserve">(An ERP-style ledger built on the Golden Rules of Accounting)</w:t>
      </w:r>
    </w:p>
    <w:p>
      <w:pPr>
        <w:spacing w:before="1000"/>
        <w:jc w:val="center"/>
      </w:pPr>
      <w:r>
        <w:rPr>
          <w:b/>
          <w:bCs/>
          <w:color w:val="2E74B5"/>
          <w:sz w:val="22"/>
          <w:szCs w:val="22"/>
        </w:rPr>
        <w:t xml:space="preserve">Phase 1 Scope: Household Module</w:t>
      </w:r>
    </w:p>
    <w:p>
      <w:pPr>
        <w:spacing w:before="900"/>
        <w:jc w:val="center"/>
      </w:pPr>
      <w:r>
        <w:rPr>
          <w:sz w:val="22"/>
          <w:szCs w:val="22"/>
        </w:rPr>
        <w:t xml:space="preserve">Version 1.0</w:t>
      </w:r>
    </w:p>
    <w:p>
      <w:pPr>
        <w:spacing w:before="80"/>
        <w:jc w:val="center"/>
      </w:pPr>
      <w:r>
        <w:rPr>
          <w:sz w:val="22"/>
          <w:szCs w:val="22"/>
        </w:rPr>
        <w:t xml:space="preserve">Prepared for: Development / Engineering Team</w:t>
      </w:r>
    </w:p>
    <w:p>
      <w:pPr>
        <w:spacing w:before="80"/>
        <w:jc w:val="center"/>
      </w:pPr>
      <w:r>
        <w:rPr>
          <w:sz w:val="22"/>
          <w:szCs w:val="22"/>
        </w:rPr>
        <w:t xml:space="preserve">Prepared by: Product Owner (Accountant)</w:t>
      </w:r>
    </w:p>
    <w:p>
      <w:pPr>
        <w:spacing w:before="80"/>
        <w:jc w:val="center"/>
      </w:pPr>
      <w:r>
        <w:rPr>
          <w:sz w:val="22"/>
          <w:szCs w:val="22"/>
        </w:rPr>
        <w:t xml:space="preserve">Date: July 2026</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Introduction</w:t>
      </w:r>
    </w:p>
    <w:p>
      <w:pPr>
        <w:pStyle w:val="Heading2"/>
        <w:spacing w:after="140" w:before="260"/>
      </w:pPr>
      <w:r>
        <w:t xml:space="preserve">1.1 Purpose</w:t>
      </w:r>
    </w:p>
    <w:p>
      <w:pPr>
        <w:spacing w:after="160" w:line="276"/>
      </w:pPr>
      <w:r>
        <w:t xml:space="preserve">This document specifies the functional requirements for a household accounting and inventory management system. The system is designed like a lightweight ERP: it uses formal double-entry bookkeeping, is built on the three classical types of accounts (Personal, Real, Nominal) and the Golden Rules of Accounting, and includes an inventory module for tracking groceries and household consumables. This document is written for an engineering audience with no assumed accounting background — Section 2 explains the underlying accounting logic before any feature is described, since every screen and data model in this system is a direct consequence of those rules.</w:t>
      </w:r>
    </w:p>
    <w:p>
      <w:pPr>
        <w:pStyle w:val="Heading2"/>
        <w:spacing w:after="140" w:before="260"/>
      </w:pPr>
      <w:r>
        <w:t xml:space="preserve">1.2 Background &amp; Vision</w:t>
      </w:r>
    </w:p>
    <w:p>
      <w:pPr>
        <w:spacing w:after="160" w:line="276"/>
      </w:pPr>
      <w:r>
        <w:t xml:space="preserve">The long-term vision is a system that can eventually manage both household finances and one or more companies within a single platform, similar to how commercial ERPs (e.g., Tally, Zoho Books) support multiple business entities. However, this phase is deliberately scoped to the household only. Company/multi-entity support, GST/tax handling, statutory compliance, and audit workflows are explicitly out of scope for this document and will be specified separately once the household module is stable. The engineer should not pre-build multi-entity abstractions now — see Section 12 for the brief forward-looking note.</w:t>
      </w:r>
    </w:p>
    <w:p>
      <w:pPr>
        <w:pStyle w:val="Heading2"/>
        <w:spacing w:after="140" w:before="260"/>
      </w:pPr>
      <w:r>
        <w:t xml:space="preserve">1.3 Scope of Phase 1</w:t>
      </w:r>
    </w:p>
    <w:p>
      <w:pPr>
        <w:spacing w:after="160" w:line="276"/>
      </w:pPr>
      <w:r>
        <w:t xml:space="preserve">In scope for this phase:</w:t>
      </w:r>
    </w:p>
    <w:p>
      <w:pPr>
        <w:pStyle w:val="ListParagraph"/>
        <w:numPr>
          <w:ilvl w:val="0"/>
          <w:numId w:val="1"/>
        </w:numPr>
        <w:spacing w:after="80" w:line="264"/>
      </w:pPr>
      <w:r>
        <w:t xml:space="preserve">A single household ledger ("book") containing multiple accounts.</w:t>
      </w:r>
    </w:p>
    <w:p>
      <w:pPr>
        <w:pStyle w:val="ListParagraph"/>
        <w:numPr>
          <w:ilvl w:val="0"/>
          <w:numId w:val="1"/>
        </w:numPr>
        <w:spacing w:after="80" w:line="264"/>
      </w:pPr>
      <w:r>
        <w:t xml:space="preserve">Multiple family members, each with their own login and role (Admin or Member).</w:t>
      </w:r>
    </w:p>
    <w:p>
      <w:pPr>
        <w:pStyle w:val="ListParagraph"/>
        <w:numPr>
          <w:ilvl w:val="0"/>
          <w:numId w:val="1"/>
        </w:numPr>
        <w:spacing w:after="80" w:line="264"/>
      </w:pPr>
      <w:r>
        <w:t xml:space="preserve">A fully flexible, user-defined Chart of Accounts, classified into the three account types.</w:t>
      </w:r>
    </w:p>
    <w:p>
      <w:pPr>
        <w:pStyle w:val="ListParagraph"/>
        <w:numPr>
          <w:ilvl w:val="0"/>
          <w:numId w:val="1"/>
        </w:numPr>
        <w:spacing w:after="80" w:line="264"/>
      </w:pPr>
      <w:r>
        <w:t xml:space="preserve">Two transaction entry modes: a simplified Income/Expense form and a full multi-line journal entry.</w:t>
      </w:r>
    </w:p>
    <w:p>
      <w:pPr>
        <w:pStyle w:val="ListParagraph"/>
        <w:numPr>
          <w:ilvl w:val="0"/>
          <w:numId w:val="1"/>
        </w:numPr>
        <w:spacing w:after="80" w:line="264"/>
      </w:pPr>
      <w:r>
        <w:t xml:space="preserve">An inventory module for groceries and household items, optionally linked to the accounting ledger.</w:t>
      </w:r>
    </w:p>
    <w:p>
      <w:pPr>
        <w:pStyle w:val="ListParagraph"/>
        <w:numPr>
          <w:ilvl w:val="0"/>
          <w:numId w:val="1"/>
        </w:numPr>
        <w:spacing w:after="80" w:line="264"/>
      </w:pPr>
      <w:r>
        <w:t xml:space="preserve">Bank reconciliation via CSV import.</w:t>
      </w:r>
    </w:p>
    <w:p>
      <w:pPr>
        <w:pStyle w:val="ListParagraph"/>
        <w:numPr>
          <w:ilvl w:val="0"/>
          <w:numId w:val="1"/>
        </w:numPr>
        <w:spacing w:after="80" w:line="264"/>
      </w:pPr>
      <w:r>
        <w:t xml:space="preserve">Standard financial reports and household-oriented dashboards.</w:t>
      </w:r>
    </w:p>
    <w:p>
      <w:pPr>
        <w:pStyle w:val="ListParagraph"/>
        <w:numPr>
          <w:ilvl w:val="0"/>
          <w:numId w:val="1"/>
        </w:numPr>
        <w:spacing w:after="80" w:line="264"/>
      </w:pPr>
      <w:r>
        <w:t xml:space="preserve">A formal Indian-financial-year (April–March) year-end closing process.</w:t>
      </w:r>
    </w:p>
    <w:p>
      <w:pPr>
        <w:spacing w:after="160" w:line="276"/>
      </w:pPr>
      <w:r>
        <w:t xml:space="preserve">Explicitly out of scope for this phase (noted only as future direction, not designed here):</w:t>
      </w:r>
    </w:p>
    <w:p>
      <w:pPr>
        <w:pStyle w:val="ListParagraph"/>
        <w:numPr>
          <w:ilvl w:val="0"/>
          <w:numId w:val="1"/>
        </w:numPr>
        <w:spacing w:after="80" w:line="264"/>
      </w:pPr>
      <w:r>
        <w:t xml:space="preserve">Multiple companies/business entities within the system.</w:t>
      </w:r>
    </w:p>
    <w:p>
      <w:pPr>
        <w:pStyle w:val="ListParagraph"/>
        <w:numPr>
          <w:ilvl w:val="0"/>
          <w:numId w:val="1"/>
        </w:numPr>
        <w:spacing w:after="80" w:line="264"/>
      </w:pPr>
      <w:r>
        <w:t xml:space="preserve">GST or other statutory tax computation.</w:t>
      </w:r>
    </w:p>
    <w:p>
      <w:pPr>
        <w:pStyle w:val="ListParagraph"/>
        <w:numPr>
          <w:ilvl w:val="0"/>
          <w:numId w:val="1"/>
        </w:numPr>
        <w:spacing w:after="80" w:line="264"/>
      </w:pPr>
      <w:r>
        <w:t xml:space="preserve">Formal audit trail / regulatory compliance features.</w:t>
      </w:r>
    </w:p>
    <w:p>
      <w:pPr>
        <w:pStyle w:val="ListParagraph"/>
        <w:numPr>
          <w:ilvl w:val="0"/>
          <w:numId w:val="1"/>
        </w:numPr>
        <w:spacing w:after="80" w:line="264"/>
      </w:pPr>
      <w:r>
        <w:t xml:space="preserve">Full multi-currency transaction support (schema provision only; INR is the only active currency).</w:t>
      </w:r>
    </w:p>
    <w:p>
      <w:pPr>
        <w:pStyle w:val="ListParagraph"/>
        <w:numPr>
          <w:ilvl w:val="0"/>
          <w:numId w:val="1"/>
        </w:numPr>
        <w:spacing w:after="80" w:line="264"/>
      </w:pPr>
      <w:r>
        <w:t xml:space="preserve">Receipt/bill photo attachments (schema provision only; not built this phase).</w:t>
      </w:r>
    </w:p>
    <w:p>
      <w:pPr>
        <w:pStyle w:val="ListParagraph"/>
        <w:numPr>
          <w:ilvl w:val="0"/>
          <w:numId w:val="1"/>
        </w:numPr>
        <w:spacing w:after="80" w:line="264"/>
      </w:pPr>
      <w:r>
        <w:t xml:space="preserve">Automated (no-confirmation) posting of inventory transactions to the ledger.</w:t>
      </w:r>
    </w:p>
    <w:p>
      <w:r>
        <w:br w:type="page"/>
      </w:r>
    </w:p>
    <w:p>
      <w:pPr>
        <w:pStyle w:val="Heading1"/>
        <w:spacing w:after="180" w:before="360"/>
      </w:pPr>
      <w:r>
        <w:t xml:space="preserve">2. Accounting Foundations (For Engineer Reference)</w:t>
      </w:r>
    </w:p>
    <w:p>
      <w:pPr>
        <w:spacing w:after="160" w:line="276"/>
      </w:pPr>
      <w:r>
        <w:t xml:space="preserve">This section explains the accounting theory the system is built on. Every data model and workflow described later refers back to these rules, so please read this section before Section 4 onward.</w:t>
      </w:r>
    </w:p>
    <w:p>
      <w:pPr>
        <w:pStyle w:val="Heading2"/>
        <w:spacing w:after="140" w:before="260"/>
      </w:pPr>
      <w:r>
        <w:t xml:space="preserve">2.1 Double-Entry Bookkeeping</w:t>
      </w:r>
    </w:p>
    <w:p>
      <w:pPr>
        <w:spacing w:after="160" w:line="276"/>
      </w:pPr>
      <w:r>
        <w:t xml:space="preserve">Every financial transaction affects at least two accounts, and is recorded as two equal and opposite entries: one account is Debited (Dr) and another is Credited (Cr), for the same amount. This is the fundamental rule that keeps the books "balanced" — total debits must always equal total credits, across the whole ledger, at all times. For example, if the household spends ₹500 cash on groceries, two things happen simultaneously: Cash decreases by ₹500, and Groceries Expense increases by ₹500. Neither can be recorded alone.</w:t>
      </w:r>
    </w:p>
    <w:p>
      <w:pPr>
        <w:pStyle w:val="Heading2"/>
        <w:spacing w:after="140" w:before="260"/>
      </w:pPr>
      <w:r>
        <w:t xml:space="preserve">2.2 The Three Types of Accounts</w:t>
      </w:r>
    </w:p>
    <w:p>
      <w:pPr>
        <w:spacing w:after="160" w:line="276"/>
      </w:pPr>
      <w:r>
        <w:t xml:space="preserve">Every account in the system must belong to exactly one of three types. This classification determines which "Golden Rule" (Section 2.3) applies when the account is debited or credited.</w:t>
      </w:r>
    </w:p>
    <w:p>
      <w:pPr>
        <w:pStyle w:val="Heading3"/>
        <w:spacing w:after="100" w:before="200"/>
      </w:pPr>
      <w:r>
        <w:t xml:space="preserve">Personal Accounts</w:t>
      </w:r>
    </w:p>
    <w:p>
      <w:pPr>
        <w:spacing w:after="160" w:line="276"/>
      </w:pPr>
      <w:r>
        <w:t xml:space="preserve">Accounts belonging to a person, group of persons, or organisation. In a household context, this includes each family member's Capital and Drawings accounts, and any account representing a person/entity the household owes money to or is owed money by (e.g., "Loan from Uncle Raj", "Amount Receivable from Landlord — Deposit").</w:t>
      </w:r>
    </w:p>
    <w:p>
      <w:pPr>
        <w:pStyle w:val="Heading3"/>
        <w:spacing w:after="100" w:before="200"/>
      </w:pPr>
      <w:r>
        <w:t xml:space="preserve">Real Accounts</w:t>
      </w:r>
    </w:p>
    <w:p>
      <w:pPr>
        <w:spacing w:after="160" w:line="276"/>
      </w:pPr>
      <w:r>
        <w:t xml:space="preserve">Accounts representing assets — things the household owns, which have a value that can be tracked. This includes Cash, every Bank Account, Inventory (groceries/household goods), Investments, Vehicles, and Property.</w:t>
      </w:r>
    </w:p>
    <w:p>
      <w:pPr>
        <w:pStyle w:val="Heading3"/>
        <w:spacing w:after="100" w:before="200"/>
      </w:pPr>
      <w:r>
        <w:t xml:space="preserve">Nominal Accounts</w:t>
      </w:r>
    </w:p>
    <w:p>
      <w:pPr>
        <w:spacing w:after="160" w:line="276"/>
      </w:pPr>
      <w:r>
        <w:t xml:space="preserve">Accounts representing incomes, gains, expenses, and losses for a period. These accounts do not carry a running balance forward indefinitely — they are measured over a financial year and closed out at year-end (see Section 8). Examples: Salary Income, Groceries Expense, Electricity Expense, Interest Income.</w:t>
      </w:r>
    </w:p>
    <w:p>
      <w:pPr>
        <w:pStyle w:val="Heading2"/>
        <w:spacing w:after="140" w:before="260"/>
      </w:pPr>
      <w:r>
        <w:t xml:space="preserve">2.3 The Golden Rules of Accounting</w:t>
      </w:r>
    </w:p>
    <w:p>
      <w:pPr>
        <w:spacing w:after="160" w:line="276"/>
      </w:pPr>
      <w:r>
        <w:t xml:space="preserve">These three rules decide whether an account is debited or credited in any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3182"/>
        <w:gridCol w:w="4118"/>
      </w:tblGrid>
      <w:tr>
        <w:trPr>
          <w:tblHeader/>
        </w:trPr>
        <w:tc>
          <w:tcPr>
            <w:tcW w:type="pct" w:w="22%"/>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Account Type</w:t>
            </w:r>
          </w:p>
        </w:tc>
        <w:tc>
          <w:tcPr>
            <w:tcW w:type="pct" w:w="34%"/>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Golden Rule</w:t>
            </w:r>
          </w:p>
        </w:tc>
        <w:tc>
          <w:tcPr>
            <w:tcW w:type="pct" w:w="44%"/>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Household Example</w:t>
            </w:r>
          </w:p>
        </w:tc>
      </w:tr>
      <w:tr>
        <w:tc>
          <w:tcPr>
            <w:tcW w:type="pct" w:w="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Personal Account</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Debit the Receiver, Credit the Giver</w:t>
            </w:r>
          </w:p>
        </w:tc>
        <w:tc>
          <w:tcPr>
            <w:tcW w:type="pct" w:w="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Dad gives ₹5,000 to Mom → Debit Mom's Capital/Cash, Credit Dad's Capital/Cash</w:t>
            </w:r>
          </w:p>
        </w:tc>
      </w:tr>
      <w:tr>
        <w:tc>
          <w:tcPr>
            <w:tcW w:type="pct" w:w="2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Real Account</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Debit what Comes In, Credit what Goes Out</w:t>
            </w:r>
          </w:p>
        </w:tc>
        <w:tc>
          <w:tcPr>
            <w:tcW w:type="pct" w:w="4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Cash comes into the house → Debit Cash. Groceries go out of stock when consumed → Credit Inventory</w:t>
            </w:r>
          </w:p>
        </w:tc>
      </w:tr>
      <w:tr>
        <w:tc>
          <w:tcPr>
            <w:tcW w:type="pct" w:w="2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Nominal Account</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Debit all Expenses &amp; Losses, Credit all Incomes &amp; Gains</w:t>
            </w:r>
          </w:p>
        </w:tc>
        <w:tc>
          <w:tcPr>
            <w:tcW w:type="pct" w:w="4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Electricity bill paid → Debit Electricity Expense. Salary received → Credit Salary Income</w:t>
            </w:r>
          </w:p>
        </w:tc>
      </w:tr>
    </w:tbl>
    <w:p>
      <w:pPr>
        <w:spacing w:after="120"/>
      </w:pPr>
    </w:p>
    <w:p>
      <w:pPr>
        <w:pStyle w:val="Heading2"/>
        <w:spacing w:after="140" w:before="260"/>
      </w:pPr>
      <w:r>
        <w:t xml:space="preserve">2.4 How This Drives the System Design</w:t>
      </w:r>
    </w:p>
    <w:p>
      <w:pPr>
        <w:spacing w:after="160" w:line="276"/>
      </w:pPr>
      <w:r>
        <w:t xml:space="preserve">Practically, this means every account record in the database needs an account_type field restricted to Personal / Real / Nominal (Section 4.2), and every transaction — however it is entered on screen — must resolve to one or more balanced Debit/Credit line pairs before it is saved (Section 6). The simplified entry screens ("Add Expense", "Add Income") are just a friendlier UI layer that auto-generates this Dr/Cr pair in the background; the full Journal Entry screen exposes it directly. Both must produce the exact same kind of ledger record underneath.</w:t>
      </w:r>
    </w:p>
    <w:p>
      <w:r>
        <w:br w:type="page"/>
      </w:r>
    </w:p>
    <w:p>
      <w:pPr>
        <w:pStyle w:val="Heading1"/>
        <w:spacing w:after="180" w:before="360"/>
      </w:pPr>
      <w:r>
        <w:t xml:space="preserve">3. Users, Roles &amp; Access</w:t>
      </w:r>
    </w:p>
    <w:p>
      <w:pPr>
        <w:pStyle w:val="Heading2"/>
        <w:spacing w:after="140" w:before="260"/>
      </w:pPr>
      <w:r>
        <w:t xml:space="preserve">3.1 User Accounts</w:t>
      </w:r>
    </w:p>
    <w:p>
      <w:pPr>
        <w:spacing w:after="160" w:line="276"/>
      </w:pPr>
      <w:r>
        <w:t xml:space="preserve">Each family member has an individual login (username/email + password). All users belong to a single household and share one underlying ledger — there is no separate "book" per person. What differs per person is which accounts and transactions they can see and edit (Section 3.3).</w:t>
      </w:r>
    </w:p>
    <w:p>
      <w:pPr>
        <w:pStyle w:val="Heading2"/>
        <w:spacing w:after="140" w:before="260"/>
      </w:pPr>
      <w:r>
        <w:t xml:space="preserve">3.2 Roles: Admin vs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3370"/>
      </w:tblGrid>
      <w:tr>
        <w:trPr>
          <w:tblHeader/>
        </w:trPr>
        <w:tc>
          <w:tcPr>
            <w:tcW w:type="pct" w:w="46%"/>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Capability</w:t>
            </w:r>
          </w:p>
        </w:tc>
        <w:tc>
          <w:tcPr>
            <w:tcW w:type="pct" w:w="18%"/>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Admin</w:t>
            </w:r>
          </w:p>
        </w:tc>
        <w:tc>
          <w:tcPr>
            <w:tcW w:type="pct" w:w="36%"/>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Member</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Create/edit/delete accounts in the Chart of Accounts</w:t>
            </w:r>
          </w:p>
        </w:tc>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Change an account's classification (Personal/Real/Nominal)</w:t>
            </w:r>
          </w:p>
        </w:tc>
        <w:tc>
          <w:tcPr>
            <w:tcW w:type="pct" w:w="1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Add/edit/delete other users, assign roles</w:t>
            </w:r>
          </w:p>
        </w:tc>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Enter transactions (simplified or journal)</w:t>
            </w:r>
          </w:p>
        </w:tc>
        <w:tc>
          <w:tcPr>
            <w:tcW w:type="pct" w:w="1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Yes (own scope, see 3.3)</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Edit or delete transactions entered by other members</w:t>
            </w:r>
          </w:p>
        </w:tc>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Run the year-end closing process</w:t>
            </w:r>
          </w:p>
        </w:tc>
        <w:tc>
          <w:tcPr>
            <w:tcW w:type="pct" w:w="1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View all household reports and dashboards</w:t>
            </w:r>
          </w:p>
        </w:tc>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Limited (see 3.3)</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Set up recurring transactions and reminders for own accounts</w:t>
            </w:r>
          </w:p>
        </w:tc>
        <w:tc>
          <w:tcPr>
            <w:tcW w:type="pct" w:w="1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Yes</w:t>
            </w:r>
          </w:p>
        </w:tc>
        <w:tc>
          <w:tcPr>
            <w:tcW w:type="pct" w:w="3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Yes</w:t>
            </w:r>
          </w:p>
        </w:tc>
      </w:tr>
    </w:tbl>
    <w:p>
      <w:pPr>
        <w:spacing w:after="120"/>
      </w:pPr>
    </w:p>
    <w:p>
      <w:pPr>
        <w:pBdr>
          <w:left w:val="single" w:color="2E74B5" w:sz="12" w:space="8"/>
        </w:pBdr>
        <w:spacing w:after="200" w:before="80"/>
        <w:ind w:left="360"/>
      </w:pPr>
      <w:r>
        <w:rPr>
          <w:i/>
          <w:iCs/>
          <w:color w:val="444444"/>
          <w:sz w:val="21"/>
          <w:szCs w:val="21"/>
        </w:rPr>
        <w:t xml:space="preserve">The Admin/Member split above is a reasonable default based on your requirement for two access levels. The engineer should keep role-permission checks in one central place (not scattered across screens) so additional roles/levels can be added later without a rewrite.</w:t>
      </w:r>
    </w:p>
    <w:p>
      <w:pPr>
        <w:pStyle w:val="Heading2"/>
        <w:spacing w:after="140" w:before="260"/>
      </w:pPr>
      <w:r>
        <w:t xml:space="preserve">3.3 Access Hierarchy / Visibility Rules</w:t>
      </w:r>
    </w:p>
    <w:p>
      <w:pPr>
        <w:spacing w:after="160" w:line="276"/>
      </w:pPr>
      <w:r>
        <w:t xml:space="preserve">Visibility follows a hierarchy rather than a flat "everyone sees everything" or "everyone sees only their own" model:</w:t>
      </w:r>
    </w:p>
    <w:p>
      <w:pPr>
        <w:pStyle w:val="ListParagraph"/>
        <w:numPr>
          <w:ilvl w:val="0"/>
          <w:numId w:val="1"/>
        </w:numPr>
        <w:spacing w:after="80" w:line="264"/>
      </w:pPr>
      <w:r>
        <w:t xml:space="preserve">Admin(s) can view every account and every transaction in the household book, with no restriction.</w:t>
      </w:r>
    </w:p>
    <w:p>
      <w:pPr>
        <w:pStyle w:val="ListParagraph"/>
        <w:numPr>
          <w:ilvl w:val="0"/>
          <w:numId w:val="1"/>
        </w:numPr>
        <w:spacing w:after="80" w:line="264"/>
      </w:pPr>
      <w:r>
        <w:t xml:space="preserve">A Member can view: (a) any account explicitly marked as shared/household-level (e.g., Household Cash, Rent Expense, Electricity Expense), and (b) their own personal accounts (their Capital, Drawings, and their individually-named bank/cash accounts).</w:t>
      </w:r>
    </w:p>
    <w:p>
      <w:pPr>
        <w:pStyle w:val="ListParagraph"/>
        <w:numPr>
          <w:ilvl w:val="0"/>
          <w:numId w:val="1"/>
        </w:numPr>
        <w:spacing w:after="80" w:line="264"/>
      </w:pPr>
      <w:r>
        <w:t xml:space="preserve">A Member cannot, by default, view another member's personal accounts (e.g., Dad cannot see Mom's personal bank account ledger) unless an Admin grants that visibility.</w:t>
      </w:r>
    </w:p>
    <w:p>
      <w:pPr>
        <w:pStyle w:val="ListParagraph"/>
        <w:numPr>
          <w:ilvl w:val="0"/>
          <w:numId w:val="1"/>
        </w:numPr>
        <w:spacing w:after="80" w:line="264"/>
      </w:pPr>
      <w:r>
        <w:t xml:space="preserve">Every account, when created, is tagged as either Shared (household-level) or Personal-to-a-member, which — combined with the role table above — determines who can see it.</w:t>
      </w:r>
    </w:p>
    <w:p>
      <w:pPr>
        <w:pStyle w:val="Heading2"/>
        <w:spacing w:after="140" w:before="260"/>
      </w:pPr>
      <w:r>
        <w:t xml:space="preserve">3.4 Household as a Single Book, Multiple Accounts</w:t>
      </w:r>
    </w:p>
    <w:p>
      <w:pPr>
        <w:spacing w:after="160" w:line="276"/>
      </w:pPr>
      <w:r>
        <w:t xml:space="preserve">There is one household ledger/journal. It contains many accounts (Cash, each person's Bank Account, each expense head, each income head, etc.). This is analogous to a single company's books containing many ledger accounts — the household is treated as one accounting entity for now, with individual members represented as Personal accounts inside it (see Section 4.4), not as separate books.</w:t>
      </w:r>
    </w:p>
    <w:p>
      <w:r>
        <w:br w:type="page"/>
      </w:r>
    </w:p>
    <w:p>
      <w:pPr>
        <w:pStyle w:val="Heading1"/>
        <w:spacing w:after="180" w:before="360"/>
      </w:pPr>
      <w:r>
        <w:t xml:space="preserve">4. Chart of Accounts (CoA)</w:t>
      </w:r>
    </w:p>
    <w:p>
      <w:pPr>
        <w:pStyle w:val="Heading2"/>
        <w:spacing w:after="140" w:before="260"/>
      </w:pPr>
      <w:r>
        <w:t xml:space="preserve">4.1 Flexible, User-Defined Accounts</w:t>
      </w:r>
    </w:p>
    <w:p>
      <w:pPr>
        <w:spacing w:after="160" w:line="276"/>
      </w:pPr>
      <w:r>
        <w:t xml:space="preserve">There is no fixed/locked list of accounts. Admin users can create as many accounts as needed, at any time. The system should ship with a starter Chart of Accounts (Section 4.6) so a new household isn't starting from a blank screen, but every account in that starter set is just a normal, editable/deletable record — not a hard-coded system value.</w:t>
      </w:r>
    </w:p>
    <w:p>
      <w:pPr>
        <w:pStyle w:val="Heading2"/>
        <w:spacing w:after="140" w:before="260"/>
      </w:pPr>
      <w:r>
        <w:t xml:space="preserve">4.2 Mandatory Classification into the Three Types</w:t>
      </w:r>
    </w:p>
    <w:p>
      <w:pPr>
        <w:spacing w:after="160" w:line="276"/>
      </w:pPr>
      <w:r>
        <w:t xml:space="preserve">Every account must be assigned exactly one type at creation: Personal, Real, or Nominal (Section 2.2). This field drives which Golden Rule the system applies when showing the user whether an entry increases or decreases that account.</w:t>
      </w:r>
    </w:p>
    <w:p>
      <w:pPr>
        <w:spacing w:after="160" w:line="276"/>
      </w:pPr>
      <w:r>
        <w:t xml:space="preserve">Admins may change an account's type later. Because this affects how historical transactions are interpreted, the system must warn the Admin clearly before allowing the change (e.g., "This account has 40 existing transactions. Changing its type does not alter past entries, but affects future ones and current reports. Continue?") and log the change with a timestamp and the user who made it.</w:t>
      </w:r>
    </w:p>
    <w:p>
      <w:pPr>
        <w:pStyle w:val="Heading2"/>
        <w:spacing w:after="140" w:before="260"/>
      </w:pPr>
      <w:r>
        <w:t xml:space="preserve">4.3 Account Groups &amp; Sub-Accounts</w:t>
      </w:r>
    </w:p>
    <w:p>
      <w:pPr>
        <w:spacing w:after="160" w:line="276"/>
      </w:pPr>
      <w:r>
        <w:t xml:space="preserve">Accounts can be organised into a parent/child hierarchy for reporting and browsing convenience — for example, a parent group "Utilities" containing child accounts "Electricity", "Water", and "Cooking Gas". Transactions are always posted to a specific (usually child/leaf) account; parent groups exist for rollup and reporting, and should sum their children's balances automatically. Example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5"/>
        <w:gridCol w:w="3931"/>
        <w:gridCol w:w="3744"/>
      </w:tblGrid>
      <w:tr>
        <w:trPr>
          <w:tblHeader/>
        </w:trPr>
        <w:tc>
          <w:tcPr>
            <w:tcW w:type="pct" w:w="18%"/>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Level</w:t>
            </w:r>
          </w:p>
        </w:tc>
        <w:tc>
          <w:tcPr>
            <w:tcW w:type="pct" w:w="42%"/>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Account</w:t>
            </w:r>
          </w:p>
        </w:tc>
        <w:tc>
          <w:tcPr>
            <w:tcW w:type="pct" w:w="4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Type</w:t>
            </w:r>
          </w:p>
        </w:tc>
      </w:tr>
      <w:tr>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Group</w:t>
            </w:r>
          </w:p>
        </w:tc>
        <w:tc>
          <w:tcPr>
            <w:tcW w:type="pct" w:w="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Utilities</w:t>
            </w:r>
          </w:p>
        </w:tc>
        <w:tc>
          <w:tcPr>
            <w:tcW w:type="pct" w:w="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Nominal (group)</w:t>
            </w:r>
          </w:p>
        </w:tc>
      </w:tr>
      <w:tr>
        <w:tc>
          <w:tcPr>
            <w:tcW w:type="pct" w:w="1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  – Child</w:t>
            </w:r>
          </w:p>
        </w:tc>
        <w:tc>
          <w:tcPr>
            <w:tcW w:type="pct" w:w="4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Electricity</w:t>
            </w:r>
          </w:p>
        </w:tc>
        <w:tc>
          <w:tcPr>
            <w:tcW w:type="pct" w:w="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Nominal</w:t>
            </w:r>
          </w:p>
        </w:tc>
      </w:tr>
      <w:tr>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  – Child</w:t>
            </w:r>
          </w:p>
        </w:tc>
        <w:tc>
          <w:tcPr>
            <w:tcW w:type="pct" w:w="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Water</w:t>
            </w:r>
          </w:p>
        </w:tc>
        <w:tc>
          <w:tcPr>
            <w:tcW w:type="pct" w:w="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Nominal</w:t>
            </w:r>
          </w:p>
        </w:tc>
      </w:tr>
      <w:tr>
        <w:tc>
          <w:tcPr>
            <w:tcW w:type="pct" w:w="1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  – Child</w:t>
            </w:r>
          </w:p>
        </w:tc>
        <w:tc>
          <w:tcPr>
            <w:tcW w:type="pct" w:w="4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Cooking Gas</w:t>
            </w:r>
          </w:p>
        </w:tc>
        <w:tc>
          <w:tcPr>
            <w:tcW w:type="pct" w:w="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Nominal</w:t>
            </w:r>
          </w:p>
        </w:tc>
      </w:tr>
      <w:tr>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Group</w:t>
            </w:r>
          </w:p>
        </w:tc>
        <w:tc>
          <w:tcPr>
            <w:tcW w:type="pct" w:w="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Bank Accounts</w:t>
            </w:r>
          </w:p>
        </w:tc>
        <w:tc>
          <w:tcPr>
            <w:tcW w:type="pct" w:w="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Real (group)</w:t>
            </w:r>
          </w:p>
        </w:tc>
      </w:tr>
      <w:tr>
        <w:tc>
          <w:tcPr>
            <w:tcW w:type="pct" w:w="1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  – Child</w:t>
            </w:r>
          </w:p>
        </w:tc>
        <w:tc>
          <w:tcPr>
            <w:tcW w:type="pct" w:w="4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Dad's SBI A/c</w:t>
            </w:r>
          </w:p>
        </w:tc>
        <w:tc>
          <w:tcPr>
            <w:tcW w:type="pct" w:w="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Real</w:t>
            </w:r>
          </w:p>
        </w:tc>
      </w:tr>
      <w:tr>
        <w:tc>
          <w:tcPr>
            <w:tcW w:type="pct" w:w="1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  – Child</w:t>
            </w:r>
          </w:p>
        </w:tc>
        <w:tc>
          <w:tcPr>
            <w:tcW w:type="pct" w:w="4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Mom's HDFC A/c</w:t>
            </w:r>
          </w:p>
        </w:tc>
        <w:tc>
          <w:tcPr>
            <w:tcW w:type="pct" w:w="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Real</w:t>
            </w:r>
          </w:p>
        </w:tc>
      </w:tr>
    </w:tbl>
    <w:p>
      <w:pPr>
        <w:spacing w:after="120"/>
      </w:pPr>
    </w:p>
    <w:p>
      <w:pPr>
        <w:pStyle w:val="Heading2"/>
        <w:spacing w:after="140" w:before="260"/>
      </w:pPr>
      <w:r>
        <w:t xml:space="preserve">4.4 Modeling the Household "Entity" — Capital &amp; Drawings</w:t>
      </w:r>
    </w:p>
    <w:p>
      <w:pPr>
        <w:spacing w:after="160" w:line="276"/>
      </w:pPr>
      <w:r>
        <w:t xml:space="preserve">A business has one proprietor with one Capital account. A household has several contributing members, so the system models it the way a partnership firm models its partners: each member gets their own Capital account (what they've put into the household pool) and Drawings account (what they've taken out for personal use).</w:t>
      </w:r>
    </w:p>
    <w:p>
      <w:pPr>
        <w:pStyle w:val="ListParagraph"/>
        <w:numPr>
          <w:ilvl w:val="0"/>
          <w:numId w:val="1"/>
        </w:numPr>
        <w:spacing w:after="80" w:line="264"/>
      </w:pPr>
      <w:r>
        <w:t xml:space="preserve">Household Capital (parent group, Personal type)</w:t>
      </w:r>
    </w:p>
    <w:p>
      <w:pPr>
        <w:pStyle w:val="ListParagraph"/>
        <w:numPr>
          <w:ilvl w:val="1"/>
          <w:numId w:val="1"/>
        </w:numPr>
        <w:spacing w:after="80" w:line="264"/>
      </w:pPr>
      <w:r>
        <w:t xml:space="preserve">Dad — Capital Account (increases when Dad contributes money/assets to the household)</w:t>
      </w:r>
    </w:p>
    <w:p>
      <w:pPr>
        <w:pStyle w:val="ListParagraph"/>
        <w:numPr>
          <w:ilvl w:val="1"/>
          <w:numId w:val="1"/>
        </w:numPr>
        <w:spacing w:after="80" w:line="264"/>
      </w:pPr>
      <w:r>
        <w:t xml:space="preserve">Dad — Drawings Account (increases when Dad withdraws money for personal, non-household use)</w:t>
      </w:r>
    </w:p>
    <w:p>
      <w:pPr>
        <w:pStyle w:val="ListParagraph"/>
        <w:numPr>
          <w:ilvl w:val="1"/>
          <w:numId w:val="1"/>
        </w:numPr>
        <w:spacing w:after="80" w:line="264"/>
      </w:pPr>
      <w:r>
        <w:t xml:space="preserve">Mom — Capital Account</w:t>
      </w:r>
    </w:p>
    <w:p>
      <w:pPr>
        <w:pStyle w:val="ListParagraph"/>
        <w:numPr>
          <w:ilvl w:val="1"/>
          <w:numId w:val="1"/>
        </w:numPr>
        <w:spacing w:after="80" w:line="264"/>
      </w:pPr>
      <w:r>
        <w:t xml:space="preserve">Mom — Drawings Account</w:t>
      </w:r>
    </w:p>
    <w:p>
      <w:pPr>
        <w:pStyle w:val="ListParagraph"/>
        <w:numPr>
          <w:ilvl w:val="1"/>
          <w:numId w:val="1"/>
        </w:numPr>
        <w:spacing w:after="80" w:line="264"/>
      </w:pPr>
      <w:r>
        <w:t xml:space="preserve">(same pattern for each additional member)</w:t>
      </w:r>
    </w:p>
    <w:p>
      <w:pPr>
        <w:spacing w:after="160" w:line="276"/>
      </w:pPr>
      <w:r>
        <w:t xml:space="preserve">At year-end closing, each member's Drawings account is netted against their Capital account, so the household's overall Net Worth statement (its equivalent of a Balance Sheet) reflects each member's running stake accurately.</w:t>
      </w:r>
    </w:p>
    <w:p>
      <w:pPr>
        <w:pStyle w:val="Heading2"/>
        <w:spacing w:after="140" w:before="260"/>
      </w:pPr>
      <w:r>
        <w:t xml:space="preserve">4.5 Individual Real Accounts per Member (Bank / Cash)</w:t>
      </w:r>
    </w:p>
    <w:p>
      <w:pPr>
        <w:spacing w:after="160" w:line="276"/>
      </w:pPr>
      <w:r>
        <w:t xml:space="preserve">Each family member's bank accounts and personal cash-in-hand are separate Real accounts — they are not pooled into one shared "Household Bank" account. For example: "Dad's SBI Savings A/c", "Mom's HDFC Savings A/c", "Dad's Cash in Hand", plus a shared "Household Cash" account if the family keeps a common cash box. Money moving between these (e.g., Dad transfers ₹2,000 to Mom's account) is a normal double-entry transaction between two Personal/Real accounts — see the worked example in Section 5.</w:t>
      </w:r>
    </w:p>
    <w:p>
      <w:pPr>
        <w:pStyle w:val="Heading2"/>
        <w:spacing w:after="140" w:before="260"/>
      </w:pPr>
      <w:r>
        <w:t xml:space="preserve">4.6 Sample Starter Chart of Accounts</w:t>
      </w:r>
    </w:p>
    <w:p>
      <w:pPr>
        <w:spacing w:after="160" w:line="276"/>
      </w:pPr>
      <w:r>
        <w:t xml:space="preserve">This is a suggested default set the system can pre-load for a new household (all fully editable):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306"/>
        <w:gridCol w:w="1872"/>
        <w:gridCol w:w="3182"/>
      </w:tblGrid>
      <w:tr>
        <w:trPr>
          <w:tblHeader/>
        </w:trPr>
        <w:tc>
          <w:tcPr>
            <w:tcW w:type="pct" w:w="46%"/>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Account</w:t>
            </w:r>
          </w:p>
        </w:tc>
        <w:tc>
          <w:tcPr>
            <w:tcW w:type="pct" w:w="2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Type</w:t>
            </w:r>
          </w:p>
        </w:tc>
        <w:tc>
          <w:tcPr>
            <w:tcW w:type="pct" w:w="34%"/>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Group</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Household Cash</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Real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Cash &amp; Bank</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Dad's SBI A/c</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Real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Cash &amp; Bank</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Mom's HDFC A/c</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Real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Cash &amp; Bank</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Inventory — Groceries</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Real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Inventory</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Inventory — Household Items</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Real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Inventory</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Investments</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Real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Investments</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Dad — Capital</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Personal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Household Capital</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Dad — Drawings</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Personal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Household Capital</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Mom — Capital</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Personal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Household Capital</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Mom — Drawings</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Personal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Household Capital</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Loan from Relative</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Personal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Liabilities</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Salary Income — Dad</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Income</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Salary Income — Mom</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Income</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Interest Income</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Income</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Groceries Expense</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Household Expenses</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Electricity Expense</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Utilities</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Water Expense</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Utilities</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Cooking Gas Expense</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Utilities</w:t>
            </w:r>
          </w:p>
        </w:tc>
      </w:tr>
      <w:tr>
        <w:tc>
          <w:tcPr>
            <w:tcW w:type="pct" w:w="46%"/>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Rent Expense</w:t>
            </w:r>
          </w:p>
        </w:tc>
        <w:tc>
          <w:tcPr>
            <w:tcW w:type="pct" w:w="2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Household Expenses</w:t>
            </w:r>
          </w:p>
        </w:tc>
      </w:tr>
      <w:tr>
        <w:tc>
          <w:tcPr>
            <w:tcW w:type="pct" w:w="46%"/>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Medical Expense</w:t>
            </w:r>
          </w:p>
        </w:tc>
        <w:tc>
          <w:tcPr>
            <w:tcW w:type="pct" w:w="2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Nominal</w:t>
            </w:r>
          </w:p>
        </w:tc>
        <w:tc>
          <w:tcPr>
            <w:tcW w:type="pct" w:w="34%"/>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Household Expenses</w:t>
            </w:r>
          </w:p>
        </w:tc>
      </w:tr>
    </w:tbl>
    <w:p>
      <w:r>
        <w:br w:type="page"/>
      </w:r>
    </w:p>
    <w:p>
      <w:pPr>
        <w:pStyle w:val="Heading1"/>
        <w:spacing w:after="180" w:before="360"/>
      </w:pPr>
      <w:r>
        <w:t xml:space="preserve">5. Opening Balances</w:t>
      </w:r>
    </w:p>
    <w:p>
      <w:pPr>
        <w:spacing w:after="160" w:line="276"/>
      </w:pPr>
      <w:r>
        <w:t xml:space="preserve">When a new account is created (or when the household starts using the system mid-year), it may need an opening balance. Because the system is strict double-entry, an opening balance is never a single one-sided number — it must follow the Golden Rules like any other transaction, with a second account absorbing the opposite effect.</w:t>
      </w:r>
    </w:p>
    <w:p>
      <w:pPr>
        <w:spacing w:after="160" w:line="276"/>
      </w:pPr>
      <w:r>
        <w:t xml:space="preserve">Example: Mom's Cash in Hand needs an opening balance of ₹5,000. The system must ask where the offsetting ₹5,000 comes from — e.g., from Dad's Cash, from a Bank account, or (most commonly for a first-time setup) from a special system account called Opening Balance Equity / Household Capital — Opening, which absorbs all first-time opening entries so the books balance from day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pct" w:w="5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Account</w:t>
            </w:r>
          </w:p>
        </w:tc>
        <w:tc>
          <w:tcPr>
            <w:tcW w:type="pct" w:w="25%"/>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Debit</w:t>
            </w:r>
          </w:p>
        </w:tc>
        <w:tc>
          <w:tcPr>
            <w:tcW w:type="pct" w:w="25%"/>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Credit</w:t>
            </w:r>
          </w:p>
        </w:tc>
      </w:tr>
      <w:tr>
        <w:tc>
          <w:tcPr>
            <w:tcW w:type="pct" w:w="5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Mom — Cash in Hand</w:t>
            </w:r>
          </w:p>
        </w:tc>
        <w:tc>
          <w:tcPr>
            <w:tcW w:type="pct" w:w="2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₹5,000</w:t>
            </w:r>
          </w:p>
        </w:tc>
        <w:tc>
          <w:tcPr>
            <w:tcW w:type="pct" w:w="25%"/>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w:t>
            </w:r>
          </w:p>
        </w:tc>
      </w:tr>
      <w:tr>
        <w:tc>
          <w:tcPr>
            <w:tcW w:type="pct" w:w="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Opening Balance Equity</w:t>
            </w:r>
          </w:p>
        </w:tc>
        <w:tc>
          <w:tcPr>
            <w:tcW w:type="pct" w:w="25%"/>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w:t>
            </w:r>
          </w:p>
        </w:tc>
        <w:tc>
          <w:tcPr>
            <w:tcW w:type="pct" w:w="25%"/>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₹5,000</w:t>
            </w:r>
          </w:p>
        </w:tc>
      </w:tr>
    </w:tbl>
    <w:p>
      <w:pPr>
        <w:spacing w:after="120"/>
      </w:pPr>
    </w:p>
    <w:p>
      <w:pPr>
        <w:pStyle w:val="ListParagraph"/>
        <w:numPr>
          <w:ilvl w:val="0"/>
          <w:numId w:val="1"/>
        </w:numPr>
        <w:spacing w:after="80" w:line="264"/>
      </w:pPr>
      <w:r>
        <w:t xml:space="preserve">Every account-creation screen includes an optional "Opening Balance" field.</w:t>
      </w:r>
    </w:p>
    <w:p>
      <w:pPr>
        <w:pStyle w:val="ListParagraph"/>
        <w:numPr>
          <w:ilvl w:val="0"/>
          <w:numId w:val="1"/>
        </w:numPr>
        <w:spacing w:after="80" w:line="264"/>
      </w:pPr>
      <w:r>
        <w:t xml:space="preserve">Entering an opening balance forces the user to pick the offsetting account (defaulting to "Opening Balance Equity", but overridable — e.g., posting directly against Dad's Cash if the ₹5,000 is literally coming from Dad right now).</w:t>
      </w:r>
    </w:p>
    <w:p>
      <w:pPr>
        <w:pStyle w:val="ListParagraph"/>
        <w:numPr>
          <w:ilvl w:val="0"/>
          <w:numId w:val="1"/>
        </w:numPr>
        <w:spacing w:after="80" w:line="264"/>
      </w:pPr>
      <w:r>
        <w:t xml:space="preserve">Opening balances are dated (as-on date), typically the first day of the financial year or the date the household starts using the system.</w:t>
      </w:r>
    </w:p>
    <w:p>
      <w:r>
        <w:br w:type="page"/>
      </w:r>
    </w:p>
    <w:p>
      <w:pPr>
        <w:pStyle w:val="Heading1"/>
        <w:spacing w:after="180" w:before="360"/>
      </w:pPr>
      <w:r>
        <w:t xml:space="preserve">6. Transactions</w:t>
      </w:r>
    </w:p>
    <w:p>
      <w:pPr>
        <w:pStyle w:val="Heading2"/>
        <w:spacing w:after="140" w:before="260"/>
      </w:pPr>
      <w:r>
        <w:t xml:space="preserve">6.1 Two Entry Modes</w:t>
      </w:r>
    </w:p>
    <w:p>
      <w:pPr>
        <w:spacing w:after="160" w:line="276"/>
      </w:pPr>
      <w:r>
        <w:t xml:space="preserve">At the moment of creating an entry, the user chooses between two modes. Both produce the same underlying balanced Dr/Cr ledger record — they are just different front-end experiences for the same operation.</w:t>
      </w:r>
    </w:p>
    <w:p>
      <w:pPr>
        <w:pStyle w:val="Heading3"/>
        <w:spacing w:after="100" w:before="200"/>
      </w:pPr>
      <w:r>
        <w:t xml:space="preserve">Mode A — Simplified Entry ("Add Income" / "Add Expense")</w:t>
      </w:r>
    </w:p>
    <w:p>
      <w:pPr>
        <w:spacing w:after="160" w:line="276"/>
      </w:pPr>
      <w:r>
        <w:t xml:space="preserve">Designed for quick day-to-day logging without needing to think in Dr/Cr terms. Fields:</w:t>
      </w:r>
    </w:p>
    <w:p>
      <w:pPr>
        <w:pStyle w:val="ListParagraph"/>
        <w:numPr>
          <w:ilvl w:val="0"/>
          <w:numId w:val="1"/>
        </w:numPr>
        <w:spacing w:after="80" w:line="264"/>
      </w:pPr>
      <w:r>
        <w:t xml:space="preserve">Type: Income or Expense</w:t>
      </w:r>
    </w:p>
    <w:p>
      <w:pPr>
        <w:pStyle w:val="ListParagraph"/>
        <w:numPr>
          <w:ilvl w:val="0"/>
          <w:numId w:val="1"/>
        </w:numPr>
        <w:spacing w:after="80" w:line="264"/>
      </w:pPr>
      <w:r>
        <w:t xml:space="preserve">Amount</w:t>
      </w:r>
    </w:p>
    <w:p>
      <w:pPr>
        <w:pStyle w:val="ListParagraph"/>
        <w:numPr>
          <w:ilvl w:val="0"/>
          <w:numId w:val="1"/>
        </w:numPr>
        <w:spacing w:after="80" w:line="264"/>
      </w:pPr>
      <w:r>
        <w:t xml:space="preserve">Date</w:t>
      </w:r>
    </w:p>
    <w:p>
      <w:pPr>
        <w:pStyle w:val="ListParagraph"/>
        <w:numPr>
          <w:ilvl w:val="0"/>
          <w:numId w:val="1"/>
        </w:numPr>
        <w:spacing w:after="80" w:line="264"/>
      </w:pPr>
      <w:r>
        <w:t xml:space="preserve">Paid from / Paid into (a Real account — Cash or a specific Bank account)</w:t>
      </w:r>
    </w:p>
    <w:p>
      <w:pPr>
        <w:pStyle w:val="ListParagraph"/>
        <w:numPr>
          <w:ilvl w:val="0"/>
          <w:numId w:val="1"/>
        </w:numPr>
        <w:spacing w:after="80" w:line="264"/>
      </w:pPr>
      <w:r>
        <w:t xml:space="preserve">Category (a Nominal account, e.g., Groceries Expense, Salary Income) — optionally filtered/grouped by Account Group</w:t>
      </w:r>
    </w:p>
    <w:p>
      <w:pPr>
        <w:pStyle w:val="ListParagraph"/>
        <w:numPr>
          <w:ilvl w:val="0"/>
          <w:numId w:val="1"/>
        </w:numPr>
        <w:spacing w:after="80" w:line="264"/>
      </w:pPr>
      <w:r>
        <w:t xml:space="preserve">Tag(s) (optional, see 6.6)</w:t>
      </w:r>
    </w:p>
    <w:p>
      <w:pPr>
        <w:pStyle w:val="ListParagraph"/>
        <w:numPr>
          <w:ilvl w:val="0"/>
          <w:numId w:val="1"/>
        </w:numPr>
        <w:spacing w:after="80" w:line="264"/>
      </w:pPr>
      <w:r>
        <w:t xml:space="preserve">Notes (free text)</w:t>
      </w:r>
    </w:p>
    <w:p>
      <w:pPr>
        <w:pStyle w:val="ListParagraph"/>
        <w:numPr>
          <w:ilvl w:val="0"/>
          <w:numId w:val="1"/>
        </w:numPr>
        <w:spacing w:after="80" w:line="264"/>
      </w:pPr>
      <w:r>
        <w:t xml:space="preserve">Attachment (optional — see 6.5, schema only in this phase)</w:t>
      </w:r>
    </w:p>
    <w:p>
      <w:pPr>
        <w:spacing w:after="160" w:line="276"/>
      </w:pPr>
      <w:r>
        <w:t xml:space="preserve">Behind the scenes, the system auto-generates the two-line journal entry. E.g., "Expense, ₹500, Paid from Household Cash, Category: Groceries Expense" becomes Debit Groceries Expense ₹500 / Credit Household Cash ₹500.</w:t>
      </w:r>
    </w:p>
    <w:p>
      <w:pPr>
        <w:pStyle w:val="Heading3"/>
        <w:spacing w:after="100" w:before="200"/>
      </w:pPr>
      <w:r>
        <w:t xml:space="preserve">Mode B — Full Journal Entry</w:t>
      </w:r>
    </w:p>
    <w:p>
      <w:pPr>
        <w:spacing w:after="160" w:line="276"/>
      </w:pPr>
      <w:r>
        <w:t xml:space="preserve">Available to any user for full control (e.g., transactions touching more than two accounts, transfers between two Personal accounts, corrections). The user picks any number of accounts and enters a Debit or Credit amount against each line. The system must block saving unless total Debits equal total Credits, and must show the running difference live as the user types.</w:t>
      </w:r>
    </w:p>
    <w:p>
      <w:pPr>
        <w:pStyle w:val="Heading2"/>
        <w:spacing w:after="140" w:before="260"/>
      </w:pPr>
      <w:r>
        <w:t xml:space="preserve">6.2 Contra / Transfer Entries</w:t>
      </w:r>
    </w:p>
    <w:p>
      <w:pPr>
        <w:spacing w:after="160" w:line="276"/>
      </w:pPr>
      <w:r>
        <w:t xml:space="preserve">Transfers between two of the household's own accounts (Cash to Bank, or Dad's account to Mom's account) are recorded as a journal entry between two Real/Personal accounts and never touch an Income or Expense account. A dedicated "Transfer" quick-entry screen (thin wrapper over Mode B) is recommended for convenience.</w:t>
      </w:r>
    </w:p>
    <w:p>
      <w:pPr>
        <w:pStyle w:val="Heading2"/>
        <w:spacing w:after="140" w:before="260"/>
      </w:pPr>
      <w:r>
        <w:t xml:space="preserve">6.3 Recurring Transactions</w:t>
      </w:r>
    </w:p>
    <w:p>
      <w:pPr>
        <w:spacing w:after="160" w:line="276"/>
      </w:pPr>
      <w:r>
        <w:t xml:space="preserve">Any transaction (simplified or journal) can optionally be marked as recurring, with a frequency (weekly, monthly, custom interval) and an end condition (never / after N occurrences / until a date). Recurring transactions auto-post on schedule. Each recurring rule has its own on/off toggle that the user can flip at any time without deleting the rule or its transaction history.</w:t>
      </w:r>
    </w:p>
    <w:p>
      <w:pPr>
        <w:pStyle w:val="Heading2"/>
        <w:spacing w:after="140" w:before="260"/>
      </w:pPr>
      <w:r>
        <w:t xml:space="preserve">6.4 Attachments</w:t>
      </w:r>
    </w:p>
    <w:p>
      <w:pPr>
        <w:spacing w:after="160" w:line="276"/>
      </w:pPr>
      <w:r>
        <w:t xml:space="preserve">Not built in Phase 1, but the transaction data model should include an attachments relationship (one transaction → many files) from the start, so photo/PDF receipt upload can be added later without a schema migration that risks existing data.</w:t>
      </w:r>
    </w:p>
    <w:p>
      <w:pPr>
        <w:pStyle w:val="Heading2"/>
        <w:spacing w:after="140" w:before="260"/>
      </w:pPr>
      <w:r>
        <w:t xml:space="preserve">6.5 Categories / Tags</w:t>
      </w:r>
    </w:p>
    <w:p>
      <w:pPr>
        <w:spacing w:after="160" w:line="276"/>
      </w:pPr>
      <w:r>
        <w:t xml:space="preserve">In addition to posting to a specific ledger account, a transaction can carry one or more free-form tags for cross-cutting analysis that doesn't map cleanly to the Chart of Accounts — e.g., tagging several transactions across different expense accounts as "Goa Trip" or "Kids" so they can be filtered and totalled together, independent of which ledger account they were posted to.</w:t>
      </w:r>
    </w:p>
    <w:p>
      <w:pPr>
        <w:pStyle w:val="Heading2"/>
        <w:spacing w:after="140" w:before="260"/>
      </w:pPr>
      <w:r>
        <w:t xml:space="preserve">6.6 Multi-Currency</w:t>
      </w:r>
    </w:p>
    <w:p>
      <w:pPr>
        <w:spacing w:after="160" w:line="276"/>
      </w:pPr>
      <w:r>
        <w:t xml:space="preserve">Phase 1 operates in INR only. The data model should include a currency field on transactions/accounts (defaulting to INR) and a placeholder for an exchange rate, so foreign-currency transactions (e.g., a family member abroad) can be enabled later without redesigning the transaction table.</w:t>
      </w:r>
    </w:p>
    <w:p>
      <w:pPr>
        <w:pStyle w:val="Heading2"/>
        <w:spacing w:after="140" w:before="260"/>
      </w:pPr>
      <w:r>
        <w:t xml:space="preserve">6.7 Cash Book / Bank Book Views</w:t>
      </w:r>
    </w:p>
    <w:p>
      <w:pPr>
        <w:spacing w:after="160" w:line="276"/>
      </w:pPr>
      <w:r>
        <w:t xml:space="preserve">For every Real account of type Cash or Bank, the system provides a running-balance ledger view (date, narration, Dr amount, Cr amount, running balance) — the household equivalent of a cash book / bank book, filterable by date range.</w:t>
      </w:r>
    </w:p>
    <w:p>
      <w:pPr>
        <w:pStyle w:val="Heading2"/>
        <w:spacing w:after="140" w:before="260"/>
      </w:pPr>
      <w:r>
        <w:t xml:space="preserve">6.8 Bank Reconciliation</w:t>
      </w:r>
    </w:p>
    <w:p>
      <w:pPr>
        <w:spacing w:after="160" w:line="276"/>
      </w:pPr>
      <w:r>
        <w:t xml:space="preserve">For Bank-type accounts, the user can import a bank statement as a CSV file. The system attempts to auto-match statement lines to recorded transactions (by amount and date proximity), presents unmatched lines for manual review, and lets the user mark entries as "Reconciled/Cleared". A reconciliation summary shows the statement closing balance vs. the system's ledger balance for that account, and any residual difference.</w:t>
      </w:r>
    </w:p>
    <w:p>
      <w:r>
        <w:br w:type="page"/>
      </w:r>
    </w:p>
    <w:p>
      <w:pPr>
        <w:pStyle w:val="Heading1"/>
        <w:spacing w:after="180" w:before="360"/>
      </w:pPr>
      <w:r>
        <w:t xml:space="preserve">7. Inventory Management Module</w:t>
      </w:r>
    </w:p>
    <w:p>
      <w:pPr>
        <w:pStyle w:val="Heading2"/>
        <w:spacing w:after="140" w:before="260"/>
      </w:pPr>
      <w:r>
        <w:t xml:space="preserve">7.1 Overview &amp; Link to Accounting</w:t>
      </w:r>
    </w:p>
    <w:p>
      <w:pPr>
        <w:spacing w:after="160" w:line="276"/>
      </w:pPr>
      <w:r>
        <w:t xml:space="preserve">The inventory module tracks groceries and household items by quantity and (optionally) value, and is linked to the accounting ledger: buying stock increases an Inventory (Real) account and decreases Cash/Bank; consuming/using stock decreases the Inventory account and increases a Consumption expense (Nominal) account.</w:t>
      </w:r>
    </w:p>
    <w:p>
      <w:pPr>
        <w:spacing w:after="160" w:line="276"/>
      </w:pPr>
      <w:r>
        <w:t xml:space="preserve">In this phase, every inventory transaction that would affect the ledger must ask the user for confirmation before posting (e.g., "Log this purchase to accounting as well? Yes/No", or "Record this as a plain stock movement only"). A later phase can offer a per-item or global setting to auto-post without asking, once the user trusts the mapping rules.</w:t>
      </w:r>
    </w:p>
    <w:p>
      <w:pPr>
        <w:pStyle w:val="Heading2"/>
        <w:spacing w:after="140" w:before="260"/>
      </w:pPr>
      <w:r>
        <w:t xml:space="preserve">7.2 Stock Categories &amp; Units of Measurement</w:t>
      </w:r>
    </w:p>
    <w:p>
      <w:pPr>
        <w:spacing w:after="160" w:line="276"/>
      </w:pPr>
      <w:r>
        <w:t xml:space="preserve">Items belong to a category (e.g., Groceries, Cleaning Supplies, Toiletries, Stationery — user-editable list) and are tracked in a unit of measurement. Suggested starter units: kg, g, litre, ml, piece, packet, dozen — editable/extendable by the user.</w:t>
      </w:r>
    </w:p>
    <w:p>
      <w:pPr>
        <w:pStyle w:val="Heading2"/>
        <w:spacing w:after="140" w:before="260"/>
      </w:pPr>
      <w:r>
        <w:t xml:space="preserve">7.3 Valuation Method</w:t>
      </w:r>
    </w:p>
    <w:p>
      <w:pPr>
        <w:spacing w:after="160" w:line="276"/>
      </w:pPr>
      <w:r>
        <w:t xml:space="preserve">Where inventory is linked to accounting, the household chooses a valuation method per inventory account (or globally, with per-account override): FIFO (First-In-First-Out), Weighted Average Cost, or Simple/No Costing (quantity-only tracking, no value assigned — suitable for households that don't need strict costing). This choice determines how the Inventory account's rupee value is calculated when items are consumed.</w:t>
      </w:r>
    </w:p>
    <w:p>
      <w:pPr>
        <w:pStyle w:val="Heading2"/>
        <w:spacing w:after="140" w:before="260"/>
      </w:pPr>
      <w:r>
        <w:t xml:space="preserve">7.4 Expiry Date Tracking</w:t>
      </w:r>
    </w:p>
    <w:p>
      <w:pPr>
        <w:spacing w:after="160" w:line="276"/>
      </w:pPr>
      <w:r>
        <w:t xml:space="preserve">Optional per item/batch. When set, the system can show items nearing expiry and include an "Expiring Soon" view — useful for perishable groceries but not mandatory for items like stationery.</w:t>
      </w:r>
    </w:p>
    <w:p>
      <w:pPr>
        <w:pStyle w:val="Heading2"/>
        <w:spacing w:after="140" w:before="260"/>
      </w:pPr>
      <w:r>
        <w:t xml:space="preserve">7.5 Low-Stock / Reorder Alerts</w:t>
      </w:r>
    </w:p>
    <w:p>
      <w:pPr>
        <w:spacing w:after="160" w:line="276"/>
      </w:pPr>
      <w:r>
        <w:t xml:space="preserve">The user can set a reorder threshold per item (e.g., "alert me when Rice falls below 2 kg"). The system surfaces items below their threshold on a dashboard/notification list. This is opt-in per item, not forced.</w:t>
      </w:r>
    </w:p>
    <w:p>
      <w:pPr>
        <w:pStyle w:val="Heading2"/>
        <w:spacing w:after="140" w:before="260"/>
      </w:pPr>
      <w:r>
        <w:t xml:space="preserve">7.6 Vendor / Shop Master</w:t>
      </w:r>
    </w:p>
    <w:p>
      <w:pPr>
        <w:spacing w:after="160" w:line="276"/>
      </w:pPr>
      <w:r>
        <w:t xml:space="preserve">A simple, user-maintained list of vendors/shops (e.g., "BigBasket", "Local Kirana", "Reliance Fresh"). Purchases can optionally be tagged with a vendor for later analysis (e.g., total spend per vendor), even informally — this is not a full vendor-ledger/accounts-payable system.</w:t>
      </w:r>
    </w:p>
    <w:p>
      <w:pPr>
        <w:pStyle w:val="Heading2"/>
        <w:spacing w:after="140" w:before="260"/>
      </w:pPr>
      <w:r>
        <w:t xml:space="preserve">7.7 Inventory Transactions &amp; Their Accounting Effect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pct" w:w="4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Inventory Event</w:t>
            </w:r>
          </w:p>
        </w:tc>
        <w:tc>
          <w:tcPr>
            <w:tcW w:type="pct" w:w="3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Debit</w:t>
            </w:r>
          </w:p>
        </w:tc>
        <w:tc>
          <w:tcPr>
            <w:tcW w:type="pct" w:w="3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Credit</w:t>
            </w:r>
          </w:p>
        </w:tc>
      </w:tr>
      <w:tr>
        <w:tc>
          <w:tcPr>
            <w:tcW w:type="pct" w:w="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Purchase of groceries (cash)</w:t>
            </w:r>
          </w:p>
        </w:tc>
        <w:tc>
          <w:tcPr>
            <w:tcW w:type="pct" w:w="3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Inventory — Groceries</w:t>
            </w:r>
          </w:p>
        </w:tc>
        <w:tc>
          <w:tcPr>
            <w:tcW w:type="pct" w:w="3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Household Cash</w:t>
            </w:r>
          </w:p>
        </w:tc>
      </w:tr>
      <w:tr>
        <w:tc>
          <w:tcPr>
            <w:tcW w:type="pct" w:w="4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Consumption/use of groceries</w:t>
            </w:r>
          </w:p>
        </w:tc>
        <w:tc>
          <w:tcPr>
            <w:tcW w:type="pct" w:w="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Groceries Consumption Expense</w:t>
            </w:r>
          </w:p>
        </w:tc>
        <w:tc>
          <w:tcPr>
            <w:tcW w:type="pct" w:w="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Inventory — Groceries</w:t>
            </w:r>
          </w:p>
        </w:tc>
      </w:tr>
      <w:tr>
        <w:tc>
          <w:tcPr>
            <w:tcW w:type="pct" w:w="4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Stock written off (spoilage/waste)</w:t>
            </w:r>
          </w:p>
        </w:tc>
        <w:tc>
          <w:tcPr>
            <w:tcW w:type="pct" w:w="3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Inventory Write-off Expense</w:t>
            </w:r>
          </w:p>
        </w:tc>
        <w:tc>
          <w:tcPr>
            <w:tcW w:type="pct" w:w="3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Inventory — Groceries</w:t>
            </w:r>
          </w:p>
        </w:tc>
      </w:tr>
    </w:tbl>
    <w:p>
      <w:r>
        <w:br w:type="page"/>
      </w:r>
    </w:p>
    <w:p>
      <w:pPr>
        <w:pStyle w:val="Heading1"/>
        <w:spacing w:after="180" w:before="360"/>
      </w:pPr>
      <w:r>
        <w:t xml:space="preserve">8. Financial Year &amp; Year-End Closing</w:t>
      </w:r>
    </w:p>
    <w:p>
      <w:pPr>
        <w:pStyle w:val="Heading2"/>
        <w:spacing w:after="140" w:before="260"/>
      </w:pPr>
      <w:r>
        <w:t xml:space="preserve">8.1 Financial Year</w:t>
      </w:r>
    </w:p>
    <w:p>
      <w:pPr>
        <w:spacing w:after="160" w:line="276"/>
      </w:pPr>
      <w:r>
        <w:t xml:space="preserve">The system follows the Indian Financial Year: 1 April to 31 March. All periodic reports (Section 9) default to the current financial year but support fully custom date ranges as well.</w:t>
      </w:r>
    </w:p>
    <w:p>
      <w:pPr>
        <w:pStyle w:val="Heading2"/>
        <w:spacing w:after="140" w:before="260"/>
      </w:pPr>
      <w:r>
        <w:t xml:space="preserve">8.2 Formal Year-End Closing Process</w:t>
      </w:r>
    </w:p>
    <w:p>
      <w:pPr>
        <w:spacing w:after="160" w:line="276"/>
      </w:pPr>
      <w:r>
        <w:t xml:space="preserve">At the end of each financial year (31 March), an Admin runs the closing process, which:</w:t>
      </w:r>
    </w:p>
    <w:p>
      <w:pPr>
        <w:pStyle w:val="ListParagraph"/>
        <w:numPr>
          <w:ilvl w:val="0"/>
          <w:numId w:val="1"/>
        </w:numPr>
        <w:spacing w:after="80" w:line="264"/>
      </w:pPr>
      <w:r>
        <w:t xml:space="preserve">Totals every Nominal account (all Income and Expense accounts) for the year.</w:t>
      </w:r>
    </w:p>
    <w:p>
      <w:pPr>
        <w:pStyle w:val="ListParagraph"/>
        <w:numPr>
          <w:ilvl w:val="0"/>
          <w:numId w:val="1"/>
        </w:numPr>
        <w:spacing w:after="80" w:line="264"/>
      </w:pPr>
      <w:r>
        <w:t xml:space="preserve">Squares off (zeroes out) each Nominal account by transferring its balance into an Income &amp; Expenditure summary.</w:t>
      </w:r>
    </w:p>
    <w:p>
      <w:pPr>
        <w:pStyle w:val="ListParagraph"/>
        <w:numPr>
          <w:ilvl w:val="0"/>
          <w:numId w:val="1"/>
        </w:numPr>
        <w:spacing w:after="80" w:line="264"/>
      </w:pPr>
      <w:r>
        <w:t xml:space="preserve">Transfers the net result (Surplus if income exceeded expense, Deficit if the reverse) into the household's Capital, split across members' Capital accounts per an Admin-defined rule (e.g., in proportion to their own Capital contribution, or split equally — the Admin should be able to choose the allocation method at closing time).</w:t>
      </w:r>
    </w:p>
    <w:p>
      <w:pPr>
        <w:pStyle w:val="ListParagraph"/>
        <w:numPr>
          <w:ilvl w:val="0"/>
          <w:numId w:val="1"/>
        </w:numPr>
        <w:spacing w:after="80" w:line="264"/>
      </w:pPr>
      <w:r>
        <w:t xml:space="preserve">Nets each member's Drawings account against their Capital account.</w:t>
      </w:r>
    </w:p>
    <w:p>
      <w:pPr>
        <w:pStyle w:val="ListParagraph"/>
        <w:numPr>
          <w:ilvl w:val="0"/>
          <w:numId w:val="1"/>
        </w:numPr>
        <w:spacing w:after="80" w:line="264"/>
      </w:pPr>
      <w:r>
        <w:t xml:space="preserve">Carries forward the closing balances of all Real and Personal accounts as the opening balances of the new financial year.</w:t>
      </w:r>
    </w:p>
    <w:p>
      <w:pPr>
        <w:pStyle w:val="ListParagraph"/>
        <w:numPr>
          <w:ilvl w:val="0"/>
          <w:numId w:val="1"/>
        </w:numPr>
        <w:spacing w:after="80" w:line="264"/>
      </w:pPr>
      <w:r>
        <w:t xml:space="preserve">Locks the closed financial year: transactions dated within a locked year can no longer be edited or deleted (an Admin-only "reopen year" override should exist for genuine corrections, logged when used).</w:t>
      </w:r>
    </w:p>
    <w:p>
      <w:pPr>
        <w:pBdr>
          <w:left w:val="single" w:color="2E74B5" w:sz="12" w:space="8"/>
        </w:pBdr>
        <w:spacing w:after="200" w:before="80"/>
        <w:ind w:left="360"/>
      </w:pPr>
      <w:r>
        <w:rPr>
          <w:i/>
          <w:iCs/>
          <w:color w:val="444444"/>
          <w:sz w:val="21"/>
          <w:szCs w:val="21"/>
        </w:rPr>
        <w:t xml:space="preserve">This mirrors how a business closes its books, adapted for multiple members instead of one proprietor. The engineer should treat "closing a year" as its own auditable operation (who ran it, when, what it changed) rather than a silent background recalculation.</w:t>
      </w:r>
    </w:p>
    <w:p>
      <w:r>
        <w:br w:type="page"/>
      </w:r>
    </w:p>
    <w:p>
      <w:pPr>
        <w:pStyle w:val="Heading1"/>
        <w:spacing w:after="180" w:before="360"/>
      </w:pPr>
      <w:r>
        <w:t xml:space="preserve">9. Reporting</w:t>
      </w:r>
    </w:p>
    <w:p>
      <w:pPr>
        <w:spacing w:after="160" w:line="276"/>
      </w:pPr>
      <w:r>
        <w:t xml:space="preserve">The following standard reports are required, each filterable by any custom date range and, where relevant, by account/member visibility rules (Section 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pct" w:w="32%"/>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Report</w:t>
            </w:r>
          </w:p>
        </w:tc>
        <w:tc>
          <w:tcPr>
            <w:tcW w:type="pct" w:w="68%"/>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pct" w:w="3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Trial Balance</w:t>
            </w:r>
          </w:p>
        </w:tc>
        <w:tc>
          <w:tcPr>
            <w:tcW w:type="pct" w:w="6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Lists every account with its debit or credit balance as of a date; total debits must equal total credits — the core integrity check of the books.</w:t>
            </w:r>
          </w:p>
        </w:tc>
      </w:tr>
      <w:tr>
        <w:tc>
          <w:tcPr>
            <w:tcW w:type="pct" w:w="3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Profit &amp; Loss / Income &amp; Expenditure Statement</w:t>
            </w:r>
          </w:p>
        </w:tc>
        <w:tc>
          <w:tcPr>
            <w:tcW w:type="pct" w:w="6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Summarises all Nominal accounts (income vs. expense) over a period, showing net Surplus or Deficit.</w:t>
            </w:r>
          </w:p>
        </w:tc>
      </w:tr>
      <w:tr>
        <w:tc>
          <w:tcPr>
            <w:tcW w:type="pct" w:w="3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Balance Sheet (Household Net Worth Statement)</w:t>
            </w:r>
          </w:p>
        </w:tc>
        <w:tc>
          <w:tcPr>
            <w:tcW w:type="pct" w:w="6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Shows all Real and Personal account balances as of a date — what the household owns (assets) vs. what it owes and members' capital (liabilities + capital).</w:t>
            </w:r>
          </w:p>
        </w:tc>
      </w:tr>
      <w:tr>
        <w:tc>
          <w:tcPr>
            <w:tcW w:type="pct" w:w="3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Cash Flow Statement</w:t>
            </w:r>
          </w:p>
        </w:tc>
        <w:tc>
          <w:tcPr>
            <w:tcW w:type="pct" w:w="6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Shows movement of Cash and Bank accounts over a period, categorised into operating/household, investing, and financing-type flows (simplified for household use).</w:t>
            </w:r>
          </w:p>
        </w:tc>
      </w:tr>
      <w:tr>
        <w:tc>
          <w:tcPr>
            <w:tcW w:type="pct" w:w="3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Ledger View (per account)</w:t>
            </w:r>
          </w:p>
        </w:tc>
        <w:tc>
          <w:tcPr>
            <w:tcW w:type="pct" w:w="6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A single account's full transaction history with running balance, for any date range — the drill-down behind every summary report.</w:t>
            </w:r>
          </w:p>
        </w:tc>
      </w:tr>
    </w:tbl>
    <w:p>
      <w:r>
        <w:br w:type="page"/>
      </w:r>
    </w:p>
    <w:p>
      <w:pPr>
        <w:pStyle w:val="Heading1"/>
        <w:spacing w:after="180" w:before="360"/>
      </w:pPr>
      <w:r>
        <w:t xml:space="preserve">10. Dashboards</w:t>
      </w:r>
    </w:p>
    <w:p>
      <w:pPr>
        <w:spacing w:after="160" w:line="276"/>
      </w:pPr>
      <w:r>
        <w:t xml:space="preserve">In addition to formal reports, the system should provide at-a-glance household dashboards, including at minimum: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pct" w:w="3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Dashboard</w:t>
            </w:r>
          </w:p>
        </w:tc>
        <w:tc>
          <w:tcPr>
            <w:tcW w:type="pct" w:w="70%"/>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pct" w:w="3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Monthly Spend by Category</w:t>
            </w:r>
          </w:p>
        </w:tc>
        <w:tc>
          <w:tcPr>
            <w:tcW w:type="pct" w:w="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Pie/bar chart breaking down the current (or selected) month's expenses by Nominal account/category.</w:t>
            </w:r>
          </w:p>
        </w:tc>
      </w:tr>
      <w:tr>
        <w:tc>
          <w:tcPr>
            <w:tcW w:type="pct" w:w="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Budget vs. Actual</w:t>
            </w:r>
          </w:p>
        </w:tc>
        <w:tc>
          <w:tcPr>
            <w:tcW w:type="pct" w:w="7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Compares actual spend per category against the budgeted amount for the period (depends on the Budgeting feature, Section 11), highlighting overspend.</w:t>
            </w:r>
          </w:p>
        </w:tc>
      </w:tr>
      <w:tr>
        <w:tc>
          <w:tcPr>
            <w:tcW w:type="pct" w:w="3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Highest Spending Areas This Month</w:t>
            </w:r>
          </w:p>
        </w:tc>
        <w:tc>
          <w:tcPr>
            <w:tcW w:type="pct" w:w="70%"/>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Ranked list/chart of the top expense categories for the current month, to quickly spot where money is going.</w:t>
            </w:r>
          </w:p>
        </w:tc>
      </w:tr>
      <w:tr>
        <w:tc>
          <w:tcPr>
            <w:tcW w:type="pct" w:w="3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Category Trend Across Months</w:t>
            </w:r>
          </w:p>
        </w:tc>
        <w:tc>
          <w:tcPr>
            <w:tcW w:type="pct" w:w="7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Line/bar comparison of a single expense category (e.g., Groceries) across multiple months, to spot rising or falling trends.</w:t>
            </w:r>
          </w:p>
        </w:tc>
      </w:tr>
    </w:tbl>
    <w:p>
      <w:pPr>
        <w:spacing w:after="120"/>
      </w:pPr>
    </w:p>
    <w:p>
      <w:pPr>
        <w:pBdr>
          <w:left w:val="single" w:color="2E74B5" w:sz="12" w:space="8"/>
        </w:pBdr>
        <w:spacing w:after="200" w:before="80"/>
        <w:ind w:left="360"/>
      </w:pPr>
      <w:r>
        <w:rPr>
          <w:i/>
          <w:iCs/>
          <w:color w:val="444444"/>
          <w:sz w:val="21"/>
          <w:szCs w:val="21"/>
        </w:rPr>
        <w:t xml:space="preserve">This list is a starting set; the dashboard layer should be built so additional widgets can be added without touching the underlying reporting/ledger logic — dashboards should read from the same report data as Section 9, not maintain separate calculations.</w:t>
      </w:r>
    </w:p>
    <w:p>
      <w:r>
        <w:br w:type="page"/>
      </w:r>
    </w:p>
    <w:p>
      <w:pPr>
        <w:pStyle w:val="Heading1"/>
        <w:spacing w:after="180" w:before="360"/>
      </w:pPr>
      <w:r>
        <w:t xml:space="preserve">11. Budgeting (Provision for Future Build)</w:t>
      </w:r>
    </w:p>
    <w:p>
      <w:pPr>
        <w:spacing w:after="160" w:line="276"/>
      </w:pPr>
      <w:r>
        <w:t xml:space="preserve">Budgeting is not part of the initial build-out — the priority is getting transaction recording and reporting solid first. However, the data model should make room for it from the start:</w:t>
      </w:r>
    </w:p>
    <w:p>
      <w:pPr>
        <w:pStyle w:val="ListParagraph"/>
        <w:numPr>
          <w:ilvl w:val="0"/>
          <w:numId w:val="1"/>
        </w:numPr>
        <w:spacing w:after="80" w:line="264"/>
      </w:pPr>
      <w:r>
        <w:t xml:space="preserve">A Budget entity: category (Nominal account), period (month/quarter/year), and budgeted amount.</w:t>
      </w:r>
    </w:p>
    <w:p>
      <w:pPr>
        <w:pStyle w:val="ListParagraph"/>
        <w:numPr>
          <w:ilvl w:val="0"/>
          <w:numId w:val="1"/>
        </w:numPr>
        <w:spacing w:after="80" w:line="264"/>
      </w:pPr>
      <w:r>
        <w:t xml:space="preserve">A user (Admin or Member, per household preference) should be able to set budgets per category per period once this feature is switched on.</w:t>
      </w:r>
    </w:p>
    <w:p>
      <w:pPr>
        <w:pStyle w:val="ListParagraph"/>
        <w:numPr>
          <w:ilvl w:val="0"/>
          <w:numId w:val="1"/>
        </w:numPr>
        <w:spacing w:after="80" w:line="264"/>
      </w:pPr>
      <w:r>
        <w:t xml:space="preserve">The Budget vs. Actual dashboard (Section 10) simply reads Actuals from the existing ledger and compares them against this Budget entity — no separate transaction pipeline is needed.</w:t>
      </w:r>
    </w:p>
    <w:p>
      <w:r>
        <w:br w:type="page"/>
      </w:r>
    </w:p>
    <w:p>
      <w:pPr>
        <w:pStyle w:val="Heading1"/>
        <w:spacing w:after="180" w:before="360"/>
      </w:pPr>
      <w:r>
        <w:t xml:space="preserve">12. Future Extensibility (Brief Note Only)</w:t>
      </w:r>
    </w:p>
    <w:p>
      <w:pPr>
        <w:spacing w:after="160" w:line="276"/>
      </w:pPr>
      <w:r>
        <w:t xml:space="preserve">Per scope decision, this phase is limited to the household module, and extensibility for company/multi-entity support will be specified in a separate document once this phase is stable. The engineer should not design multi-entity data structures now. The only note worth keeping in mind: keep the household's ledger, Chart of Accounts, and reporting logic reasonably decoupled from user/household identity, since a future "multiple books" capability (household + one or more companies) is the most likely direction this product takes next.</w:t>
      </w:r>
    </w:p>
    <w:p>
      <w:r>
        <w:br w:type="page"/>
      </w:r>
    </w:p>
    <w:p>
      <w:pPr>
        <w:pStyle w:val="Heading1"/>
        <w:spacing w:after="180" w:before="360"/>
      </w:pPr>
      <w:r>
        <w:t xml:space="preserve">13. Glossary of Accounting Terms</w:t>
      </w:r>
    </w:p>
    <w:p>
      <w:pPr>
        <w:spacing w:after="160" w:line="276"/>
      </w:pPr>
      <w:r>
        <w:t xml:space="preserve">Reference for the engineering team — these terms recur throughout this document and the eventual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pct" w:w="28%"/>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Term</w:t>
            </w:r>
          </w:p>
        </w:tc>
        <w:tc>
          <w:tcPr>
            <w:tcW w:type="pct" w:w="72%"/>
            <w:tcBorders>
              <w:top w:val="single" w:color="BFBFBF" w:sz="2"/>
              <w:left w:val="single" w:color="BFBFBF" w:sz="2"/>
              <w:bottom w:val="single" w:color="BFBFBF" w:sz="2"/>
              <w:right w:val="single" w:color="BFBFBF" w:sz="2"/>
            </w:tcBorders>
            <w:shd w:fill="1F3864" w:val="clear"/>
            <w:tcMar>
              <w:top w:type="dxa" w:w="80"/>
              <w:left w:type="dxa" w:w="100"/>
              <w:bottom w:type="dxa" w:w="80"/>
              <w:right w:type="dxa" w:w="100"/>
            </w:tcMar>
            <w:vAlign w:val="center"/>
          </w:tcPr>
          <w:p>
            <w:r>
              <w:rPr>
                <w:b/>
                <w:bCs/>
                <w:color w:val="FFFFFF"/>
                <w:sz w:val="20"/>
                <w:szCs w:val="20"/>
              </w:rPr>
              <w:t xml:space="preserve">Meaning</w:t>
            </w:r>
          </w:p>
        </w:tc>
      </w:tr>
      <w:tr>
        <w:tc>
          <w:tcPr>
            <w:tcW w:type="pct" w:w="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Ledger</w:t>
            </w:r>
          </w:p>
        </w:tc>
        <w:tc>
          <w:tcPr>
            <w:tcW w:type="pct" w:w="7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The complete collection of all accounts and their transaction histories — the "book" as a whole.</w:t>
            </w:r>
          </w:p>
        </w:tc>
      </w:tr>
      <w:tr>
        <w:tc>
          <w:tcPr>
            <w:tcW w:type="pct" w:w="2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Journal Entry</w:t>
            </w:r>
          </w:p>
        </w:tc>
        <w:tc>
          <w:tcPr>
            <w:tcW w:type="pct" w:w="7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A single recorded transaction expressed as balanced Debit and Credit lines.</w:t>
            </w:r>
          </w:p>
        </w:tc>
      </w:tr>
      <w:tr>
        <w:tc>
          <w:tcPr>
            <w:tcW w:type="pct" w:w="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Debit (Dr) / Credit (Cr)</w:t>
            </w:r>
          </w:p>
        </w:tc>
        <w:tc>
          <w:tcPr>
            <w:tcW w:type="pct" w:w="7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The two sides of every journal entry. Which one increases or decreases a given account depends on the account's type (Section 2.3) — neither side inherently means "good" or "bad".</w:t>
            </w:r>
          </w:p>
        </w:tc>
      </w:tr>
      <w:tr>
        <w:tc>
          <w:tcPr>
            <w:tcW w:type="pct" w:w="2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Chart of Accounts (CoA)</w:t>
            </w:r>
          </w:p>
        </w:tc>
        <w:tc>
          <w:tcPr>
            <w:tcW w:type="pct" w:w="7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The full list of accounts the household (or, later, a company) uses to categorise its transactions.</w:t>
            </w:r>
          </w:p>
        </w:tc>
      </w:tr>
      <w:tr>
        <w:tc>
          <w:tcPr>
            <w:tcW w:type="pct" w:w="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Personal / Real / Nominal Account</w:t>
            </w:r>
          </w:p>
        </w:tc>
        <w:tc>
          <w:tcPr>
            <w:tcW w:type="pct" w:w="7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The three classical account types; see Section 2.2.</w:t>
            </w:r>
          </w:p>
        </w:tc>
      </w:tr>
      <w:tr>
        <w:tc>
          <w:tcPr>
            <w:tcW w:type="pct" w:w="2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Contra Entry</w:t>
            </w:r>
          </w:p>
        </w:tc>
        <w:tc>
          <w:tcPr>
            <w:tcW w:type="pct" w:w="7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A transaction that moves value between two of the household's own Cash/Bank accounts (no income or expense involved).</w:t>
            </w:r>
          </w:p>
        </w:tc>
      </w:tr>
      <w:tr>
        <w:tc>
          <w:tcPr>
            <w:tcW w:type="pct" w:w="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Capital</w:t>
            </w:r>
          </w:p>
        </w:tc>
        <w:tc>
          <w:tcPr>
            <w:tcW w:type="pct" w:w="7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A member's net contribution to the household's pooled resources.</w:t>
            </w:r>
          </w:p>
        </w:tc>
      </w:tr>
      <w:tr>
        <w:tc>
          <w:tcPr>
            <w:tcW w:type="pct" w:w="2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Drawings</w:t>
            </w:r>
          </w:p>
        </w:tc>
        <w:tc>
          <w:tcPr>
            <w:tcW w:type="pct" w:w="7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Money or value a member withdraws from the household pool for personal, non-household use.</w:t>
            </w:r>
          </w:p>
        </w:tc>
      </w:tr>
      <w:tr>
        <w:tc>
          <w:tcPr>
            <w:tcW w:type="pct" w:w="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Trial Balance</w:t>
            </w:r>
          </w:p>
        </w:tc>
        <w:tc>
          <w:tcPr>
            <w:tcW w:type="pct" w:w="7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A report listing all account balances to confirm total debits equal total credits.</w:t>
            </w:r>
          </w:p>
        </w:tc>
      </w:tr>
      <w:tr>
        <w:tc>
          <w:tcPr>
            <w:tcW w:type="pct" w:w="2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Opening Balance</w:t>
            </w:r>
          </w:p>
        </w:tc>
        <w:tc>
          <w:tcPr>
            <w:tcW w:type="pct" w:w="7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The starting balance of an account when it is first created or when a new financial year begins.</w:t>
            </w:r>
          </w:p>
        </w:tc>
      </w:tr>
      <w:tr>
        <w:tc>
          <w:tcPr>
            <w:tcW w:type="pct" w:w="28%"/>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Financial Year (FY)</w:t>
            </w:r>
          </w:p>
        </w:tc>
        <w:tc>
          <w:tcPr>
            <w:tcW w:type="pct" w:w="72%"/>
            <w:tcBorders>
              <w:top w:val="single" w:color="BFBFBF" w:sz="2"/>
              <w:left w:val="single" w:color="BFBFBF" w:sz="2"/>
              <w:bottom w:val="single" w:color="BFBFBF" w:sz="2"/>
              <w:right w:val="single" w:color="BFBFBF" w:sz="2"/>
            </w:tcBorders>
            <w:tcMar>
              <w:top w:type="dxa" w:w="70"/>
              <w:left w:type="dxa" w:w="100"/>
              <w:bottom w:type="dxa" w:w="70"/>
              <w:right w:type="dxa" w:w="100"/>
            </w:tcMar>
            <w:vAlign w:val="center"/>
          </w:tcPr>
          <w:p>
            <w:r>
              <w:rPr>
                <w:b w:val="false"/>
                <w:bCs w:val="false"/>
                <w:i w:val="false"/>
                <w:iCs w:val="false"/>
                <w:sz w:val="20"/>
                <w:szCs w:val="20"/>
              </w:rPr>
              <w:t xml:space="preserve">The 12-month accounting period this system uses: 1 April to 31 March (Indian FY).</w:t>
            </w:r>
          </w:p>
        </w:tc>
      </w:tr>
      <w:tr>
        <w:tc>
          <w:tcPr>
            <w:tcW w:type="pct" w:w="28%"/>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Reconciliation</w:t>
            </w:r>
          </w:p>
        </w:tc>
        <w:tc>
          <w:tcPr>
            <w:tcW w:type="pct" w:w="72%"/>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vAlign w:val="center"/>
          </w:tcPr>
          <w:p>
            <w:r>
              <w:rPr>
                <w:b w:val="false"/>
                <w:bCs w:val="false"/>
                <w:i w:val="false"/>
                <w:iCs w:val="false"/>
                <w:sz w:val="20"/>
                <w:szCs w:val="20"/>
              </w:rPr>
              <w:t xml:space="preserve">The process of matching the system's recorded bank transactions against the actual bank statement.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Household Accounting &amp; Inventory Management System — FRD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Accounting &amp; Inventory Management System — FRD</dc:title>
  <dc:creator>Accountant / Product Owner</dc:creator>
  <cp:lastModifiedBy>Un-named</cp:lastModifiedBy>
  <cp:revision>1</cp:revision>
  <dcterms:created xsi:type="dcterms:W3CDTF">2026-07-12T16:58:38.192Z</dcterms:created>
  <dcterms:modified xsi:type="dcterms:W3CDTF">2026-07-12T16:58:38.192Z</dcterms:modified>
</cp:coreProperties>
</file>

<file path=docProps/custom.xml><?xml version="1.0" encoding="utf-8"?>
<Properties xmlns="http://schemas.openxmlformats.org/officeDocument/2006/custom-properties" xmlns:vt="http://schemas.openxmlformats.org/officeDocument/2006/docPropsVTypes"/>
</file>