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5B3CC4"/>
          <w:sz w:val="20"/>
        </w:rPr>
        <w:t>YUVA INTERN • WEEK 2 REPORT</w:t>
      </w:r>
    </w:p>
    <w:p>
      <w:pPr>
        <w:pStyle w:val="Title"/>
        <w:jc w:val="center"/>
      </w:pPr>
      <w:r>
        <w:t>Data Sourcing &amp; Initial Data Validation</w:t>
      </w:r>
    </w:p>
    <w:p>
      <w:pPr>
        <w:jc w:val="center"/>
      </w:pPr>
      <w:r>
        <w:rPr>
          <w:b/>
          <w:color w:val="2E2B48"/>
          <w:sz w:val="28"/>
        </w:rPr>
        <w:t>Beauty &amp; Wellness Customer Insights</w:t>
      </w:r>
    </w:p>
    <w:p>
      <w:pPr>
        <w:jc w:val="center"/>
      </w:pPr>
      <w:r>
        <w:rPr>
          <w:sz w:val="18"/>
        </w:rPr>
        <w:t>Prepared by: Sohini Ball  |  Data Science with Python Analyst Internship  |  Week 2</w:t>
      </w:r>
    </w:p>
    <w:p>
      <w:pPr>
        <w:pStyle w:val="Heading1"/>
      </w:pPr>
      <w:r>
        <w:t>1. Objective</w:t>
      </w:r>
    </w:p>
    <w:p>
      <w:r>
        <w:t>The objective of Week 2 was to source and inspect a suitable dataset for the Beauty &amp; Wellness Customer Insights project. The work focused on confirming that the downloaded files could be read reliably, understanding their structure, measuring missing data, reviewing the rating distribution, checking product identifiers and prices, and identifying potential duplicate review records. These checks establish a documented baseline before data preprocessing and exploratory analysis.</w:t>
      </w:r>
    </w:p>
    <w:p>
      <w:pPr>
        <w:pStyle w:val="Heading1"/>
      </w:pPr>
      <w:r>
        <w:t>2. Data Source and Structure</w:t>
      </w:r>
    </w:p>
    <w:p>
      <w:r>
        <w:t>The project uses the publicly available Sephora Products and Skincare Reviews dataset hosted on Kaggle. Source page: https://www.kaggle.com/datasets/nadyinky/sephora-products-and-skincare-reviews. The local raw-data directory contains five review CSV files and one product-information CSV file. The original files are retained in the raw-data folder so that subsequent processing can be performed reproducibly without overwriting source data.</w:t>
      </w:r>
    </w:p>
    <w:tbl>
      <w:tblPr>
        <w:tblStyle w:val="LightShading-Accent1"/>
        <w:tblW w:type="auto" w:w="0"/>
        <w:jc w:val="center"/>
        <w:tblLook w:firstColumn="1" w:firstRow="1" w:lastColumn="0" w:lastRow="0" w:noHBand="0" w:noVBand="1" w:val="04A0"/>
      </w:tblPr>
      <w:tblGrid>
        <w:gridCol w:w="3312"/>
        <w:gridCol w:w="3312"/>
        <w:gridCol w:w="3312"/>
      </w:tblGrid>
      <w:tr>
        <w:tc>
          <w:tcPr>
            <w:tcW w:type="dxa" w:w="3312"/>
            <w:vAlign w:val="center"/>
            <w:shd w:fill="5B3CC4"/>
          </w:tcPr>
          <w:p>
            <w:pPr>
              <w:spacing w:after="0"/>
            </w:pPr>
            <w:r/>
            <w:r>
              <w:rPr>
                <w:rFonts w:ascii="Aptos" w:hAnsi="Aptos"/>
                <w:b/>
                <w:color w:val="FFFFFF"/>
                <w:sz w:val="18"/>
              </w:rPr>
              <w:t>File</w:t>
            </w:r>
          </w:p>
        </w:tc>
        <w:tc>
          <w:tcPr>
            <w:tcW w:type="dxa" w:w="3312"/>
            <w:vAlign w:val="center"/>
            <w:shd w:fill="5B3CC4"/>
          </w:tcPr>
          <w:p>
            <w:pPr>
              <w:spacing w:after="0"/>
            </w:pPr>
            <w:r/>
            <w:r>
              <w:rPr>
                <w:rFonts w:ascii="Aptos" w:hAnsi="Aptos"/>
                <w:b/>
                <w:color w:val="FFFFFF"/>
                <w:sz w:val="18"/>
              </w:rPr>
              <w:t>Records counted</w:t>
            </w:r>
          </w:p>
        </w:tc>
        <w:tc>
          <w:tcPr>
            <w:tcW w:type="dxa" w:w="3312"/>
            <w:vAlign w:val="center"/>
            <w:shd w:fill="5B3CC4"/>
          </w:tcPr>
          <w:p>
            <w:pPr>
              <w:spacing w:after="0"/>
            </w:pPr>
            <w:r/>
            <w:r>
              <w:rPr>
                <w:rFonts w:ascii="Aptos" w:hAnsi="Aptos"/>
                <w:b/>
                <w:color w:val="FFFFFF"/>
                <w:sz w:val="18"/>
              </w:rPr>
              <w:t>Structure</w:t>
            </w:r>
          </w:p>
        </w:tc>
      </w:tr>
      <w:tr>
        <w:tc>
          <w:tcPr>
            <w:tcW w:type="dxa" w:w="3312"/>
            <w:vAlign w:val="center"/>
          </w:tcPr>
          <w:p>
            <w:pPr>
              <w:spacing w:after="0"/>
            </w:pPr>
            <w:r/>
            <w:r>
              <w:rPr>
                <w:rFonts w:ascii="Aptos" w:hAnsi="Aptos"/>
                <w:b w:val="0"/>
                <w:sz w:val="18"/>
              </w:rPr>
              <w:t>reviews_0-250.csv</w:t>
            </w:r>
          </w:p>
        </w:tc>
        <w:tc>
          <w:tcPr>
            <w:tcW w:type="dxa" w:w="3312"/>
            <w:vAlign w:val="center"/>
          </w:tcPr>
          <w:p>
            <w:pPr>
              <w:spacing w:after="0"/>
            </w:pPr>
            <w:r/>
            <w:r>
              <w:rPr>
                <w:rFonts w:ascii="Aptos" w:hAnsi="Aptos"/>
                <w:b w:val="0"/>
                <w:sz w:val="18"/>
              </w:rPr>
              <w:t>602,130</w:t>
            </w:r>
          </w:p>
        </w:tc>
        <w:tc>
          <w:tcPr>
            <w:tcW w:type="dxa" w:w="3312"/>
            <w:vAlign w:val="center"/>
          </w:tcPr>
          <w:p>
            <w:pPr>
              <w:spacing w:after="0"/>
            </w:pPr>
            <w:r/>
            <w:r>
              <w:rPr>
                <w:rFonts w:ascii="Aptos" w:hAnsi="Aptos"/>
                <w:b w:val="0"/>
                <w:sz w:val="18"/>
              </w:rPr>
              <w:t>19 columns</w:t>
            </w:r>
          </w:p>
        </w:tc>
      </w:tr>
      <w:tr>
        <w:tc>
          <w:tcPr>
            <w:tcW w:type="dxa" w:w="3312"/>
            <w:vAlign w:val="center"/>
          </w:tcPr>
          <w:p>
            <w:pPr>
              <w:spacing w:after="0"/>
            </w:pPr>
            <w:r/>
            <w:r>
              <w:rPr>
                <w:rFonts w:ascii="Aptos" w:hAnsi="Aptos"/>
                <w:b w:val="0"/>
                <w:sz w:val="18"/>
              </w:rPr>
              <w:t>reviews_250-500.csv</w:t>
            </w:r>
          </w:p>
        </w:tc>
        <w:tc>
          <w:tcPr>
            <w:tcW w:type="dxa" w:w="3312"/>
            <w:vAlign w:val="center"/>
          </w:tcPr>
          <w:p>
            <w:pPr>
              <w:spacing w:after="0"/>
            </w:pPr>
            <w:r/>
            <w:r>
              <w:rPr>
                <w:rFonts w:ascii="Aptos" w:hAnsi="Aptos"/>
                <w:b w:val="0"/>
                <w:sz w:val="18"/>
              </w:rPr>
              <w:t>206,725</w:t>
            </w:r>
          </w:p>
        </w:tc>
        <w:tc>
          <w:tcPr>
            <w:tcW w:type="dxa" w:w="3312"/>
            <w:vAlign w:val="center"/>
          </w:tcPr>
          <w:p>
            <w:pPr>
              <w:spacing w:after="0"/>
            </w:pPr>
            <w:r/>
            <w:r>
              <w:rPr>
                <w:rFonts w:ascii="Aptos" w:hAnsi="Aptos"/>
                <w:b w:val="0"/>
                <w:sz w:val="18"/>
              </w:rPr>
              <w:t>19 columns</w:t>
            </w:r>
          </w:p>
        </w:tc>
      </w:tr>
      <w:tr>
        <w:tc>
          <w:tcPr>
            <w:tcW w:type="dxa" w:w="3312"/>
            <w:vAlign w:val="center"/>
          </w:tcPr>
          <w:p>
            <w:pPr>
              <w:spacing w:after="0"/>
            </w:pPr>
            <w:r/>
            <w:r>
              <w:rPr>
                <w:rFonts w:ascii="Aptos" w:hAnsi="Aptos"/>
                <w:b w:val="0"/>
                <w:sz w:val="18"/>
              </w:rPr>
              <w:t>reviews_500-750.csv</w:t>
            </w:r>
          </w:p>
        </w:tc>
        <w:tc>
          <w:tcPr>
            <w:tcW w:type="dxa" w:w="3312"/>
            <w:vAlign w:val="center"/>
          </w:tcPr>
          <w:p>
            <w:pPr>
              <w:spacing w:after="0"/>
            </w:pPr>
            <w:r/>
            <w:r>
              <w:rPr>
                <w:rFonts w:ascii="Aptos" w:hAnsi="Aptos"/>
                <w:b w:val="0"/>
                <w:sz w:val="18"/>
              </w:rPr>
              <w:t>116,262</w:t>
            </w:r>
          </w:p>
        </w:tc>
        <w:tc>
          <w:tcPr>
            <w:tcW w:type="dxa" w:w="3312"/>
            <w:vAlign w:val="center"/>
          </w:tcPr>
          <w:p>
            <w:pPr>
              <w:spacing w:after="0"/>
            </w:pPr>
            <w:r/>
            <w:r>
              <w:rPr>
                <w:rFonts w:ascii="Aptos" w:hAnsi="Aptos"/>
                <w:b w:val="0"/>
                <w:sz w:val="18"/>
              </w:rPr>
              <w:t>19 columns</w:t>
            </w:r>
          </w:p>
        </w:tc>
      </w:tr>
      <w:tr>
        <w:tc>
          <w:tcPr>
            <w:tcW w:type="dxa" w:w="3312"/>
            <w:vAlign w:val="center"/>
          </w:tcPr>
          <w:p>
            <w:pPr>
              <w:spacing w:after="0"/>
            </w:pPr>
            <w:r/>
            <w:r>
              <w:rPr>
                <w:rFonts w:ascii="Aptos" w:hAnsi="Aptos"/>
                <w:b w:val="0"/>
                <w:sz w:val="18"/>
              </w:rPr>
              <w:t>reviews_750-1250.csv</w:t>
            </w:r>
          </w:p>
        </w:tc>
        <w:tc>
          <w:tcPr>
            <w:tcW w:type="dxa" w:w="3312"/>
            <w:vAlign w:val="center"/>
          </w:tcPr>
          <w:p>
            <w:pPr>
              <w:spacing w:after="0"/>
            </w:pPr>
            <w:r/>
            <w:r>
              <w:rPr>
                <w:rFonts w:ascii="Aptos" w:hAnsi="Aptos"/>
                <w:b w:val="0"/>
                <w:sz w:val="18"/>
              </w:rPr>
              <w:t>119,317</w:t>
            </w:r>
          </w:p>
        </w:tc>
        <w:tc>
          <w:tcPr>
            <w:tcW w:type="dxa" w:w="3312"/>
            <w:vAlign w:val="center"/>
          </w:tcPr>
          <w:p>
            <w:pPr>
              <w:spacing w:after="0"/>
            </w:pPr>
            <w:r/>
            <w:r>
              <w:rPr>
                <w:rFonts w:ascii="Aptos" w:hAnsi="Aptos"/>
                <w:b w:val="0"/>
                <w:sz w:val="18"/>
              </w:rPr>
              <w:t>19 columns</w:t>
            </w:r>
          </w:p>
        </w:tc>
      </w:tr>
      <w:tr>
        <w:tc>
          <w:tcPr>
            <w:tcW w:type="dxa" w:w="3312"/>
            <w:vAlign w:val="center"/>
          </w:tcPr>
          <w:p>
            <w:pPr>
              <w:spacing w:after="0"/>
            </w:pPr>
            <w:r/>
            <w:r>
              <w:rPr>
                <w:rFonts w:ascii="Aptos" w:hAnsi="Aptos"/>
                <w:b w:val="0"/>
                <w:sz w:val="18"/>
              </w:rPr>
              <w:t>reviews_1250-end.csv</w:t>
            </w:r>
          </w:p>
        </w:tc>
        <w:tc>
          <w:tcPr>
            <w:tcW w:type="dxa" w:w="3312"/>
            <w:vAlign w:val="center"/>
          </w:tcPr>
          <w:p>
            <w:pPr>
              <w:spacing w:after="0"/>
            </w:pPr>
            <w:r/>
            <w:r>
              <w:rPr>
                <w:rFonts w:ascii="Aptos" w:hAnsi="Aptos"/>
                <w:b w:val="0"/>
                <w:sz w:val="18"/>
              </w:rPr>
              <w:t>49,977</w:t>
            </w:r>
          </w:p>
        </w:tc>
        <w:tc>
          <w:tcPr>
            <w:tcW w:type="dxa" w:w="3312"/>
            <w:vAlign w:val="center"/>
          </w:tcPr>
          <w:p>
            <w:pPr>
              <w:spacing w:after="0"/>
            </w:pPr>
            <w:r/>
            <w:r>
              <w:rPr>
                <w:rFonts w:ascii="Aptos" w:hAnsi="Aptos"/>
                <w:b w:val="0"/>
                <w:sz w:val="18"/>
              </w:rPr>
              <w:t>19 columns</w:t>
            </w:r>
          </w:p>
        </w:tc>
      </w:tr>
      <w:tr>
        <w:tc>
          <w:tcPr>
            <w:tcW w:type="dxa" w:w="3312"/>
            <w:vAlign w:val="center"/>
          </w:tcPr>
          <w:p>
            <w:pPr>
              <w:spacing w:after="0"/>
            </w:pPr>
            <w:r/>
            <w:r>
              <w:rPr>
                <w:rFonts w:ascii="Aptos" w:hAnsi="Aptos"/>
                <w:b w:val="0"/>
                <w:sz w:val="18"/>
              </w:rPr>
              <w:t>All review files</w:t>
            </w:r>
          </w:p>
        </w:tc>
        <w:tc>
          <w:tcPr>
            <w:tcW w:type="dxa" w:w="3312"/>
            <w:vAlign w:val="center"/>
          </w:tcPr>
          <w:p>
            <w:pPr>
              <w:spacing w:after="0"/>
            </w:pPr>
            <w:r/>
            <w:r>
              <w:rPr>
                <w:rFonts w:ascii="Aptos" w:hAnsi="Aptos"/>
                <w:b w:val="0"/>
                <w:sz w:val="18"/>
              </w:rPr>
              <w:t>1,094,411</w:t>
            </w:r>
          </w:p>
        </w:tc>
        <w:tc>
          <w:tcPr>
            <w:tcW w:type="dxa" w:w="3312"/>
            <w:vAlign w:val="center"/>
          </w:tcPr>
          <w:p>
            <w:pPr>
              <w:spacing w:after="0"/>
            </w:pPr>
            <w:r/>
            <w:r>
              <w:rPr>
                <w:rFonts w:ascii="Aptos" w:hAnsi="Aptos"/>
                <w:b w:val="0"/>
                <w:sz w:val="18"/>
              </w:rPr>
              <w:t>Five CSV files</w:t>
            </w:r>
          </w:p>
        </w:tc>
      </w:tr>
      <w:tr>
        <w:tc>
          <w:tcPr>
            <w:tcW w:type="dxa" w:w="3312"/>
            <w:vAlign w:val="center"/>
          </w:tcPr>
          <w:p>
            <w:pPr>
              <w:spacing w:after="0"/>
            </w:pPr>
            <w:r/>
            <w:r>
              <w:rPr>
                <w:rFonts w:ascii="Aptos" w:hAnsi="Aptos"/>
                <w:b w:val="0"/>
                <w:sz w:val="18"/>
              </w:rPr>
              <w:t>product_info.csv</w:t>
            </w:r>
          </w:p>
        </w:tc>
        <w:tc>
          <w:tcPr>
            <w:tcW w:type="dxa" w:w="3312"/>
            <w:vAlign w:val="center"/>
          </w:tcPr>
          <w:p>
            <w:pPr>
              <w:spacing w:after="0"/>
            </w:pPr>
            <w:r/>
            <w:r>
              <w:rPr>
                <w:rFonts w:ascii="Aptos" w:hAnsi="Aptos"/>
                <w:b w:val="0"/>
                <w:sz w:val="18"/>
              </w:rPr>
              <w:t>8,494</w:t>
            </w:r>
          </w:p>
        </w:tc>
        <w:tc>
          <w:tcPr>
            <w:tcW w:type="dxa" w:w="3312"/>
            <w:vAlign w:val="center"/>
          </w:tcPr>
          <w:p>
            <w:pPr>
              <w:spacing w:after="0"/>
            </w:pPr>
            <w:r/>
            <w:r>
              <w:rPr>
                <w:rFonts w:ascii="Aptos" w:hAnsi="Aptos"/>
                <w:b w:val="0"/>
                <w:sz w:val="18"/>
              </w:rPr>
              <w:t>27 columns</w:t>
            </w:r>
          </w:p>
        </w:tc>
      </w:tr>
    </w:tbl>
    <w:p/>
    <w:p>
      <w:r>
        <w:t>Each review file contains the same 19-column schema, including author_id, rating, is_recommended, feedback counts, submission_time, review_text, review_title, customer attributes, product_id, product_name, brand_name, and price_usd. The product file contains 27 fields, including product and brand identifiers, prices, rating and review counts, ingredients, highlights, and product-category attributes.</w:t>
      </w:r>
    </w:p>
    <w:p>
      <w:pPr>
        <w:pStyle w:val="Heading1"/>
      </w:pPr>
      <w:r>
        <w:t>3. Review Dataset Validation</w:t>
      </w:r>
    </w:p>
    <w:p>
      <w:r>
        <w:t>A CSV validation script processed all five review files using Python's CSV reader. It counted CSV records excluding headers and compared each record's column count with the corresponding header.</w:t>
      </w:r>
    </w:p>
    <w:tbl>
      <w:tblPr>
        <w:tblStyle w:val="LightShading-Accent1"/>
        <w:tblW w:type="auto" w:w="0"/>
        <w:jc w:val="center"/>
        <w:tblLook w:firstColumn="1" w:firstRow="1" w:lastColumn="0" w:lastRow="0" w:noHBand="0" w:noVBand="1" w:val="04A0"/>
      </w:tblPr>
      <w:tblGrid>
        <w:gridCol w:w="3312"/>
        <w:gridCol w:w="3312"/>
        <w:gridCol w:w="3312"/>
      </w:tblGrid>
      <w:tr>
        <w:tc>
          <w:tcPr>
            <w:tcW w:type="dxa" w:w="3312"/>
            <w:vAlign w:val="center"/>
            <w:shd w:fill="5B3CC4"/>
          </w:tcPr>
          <w:p>
            <w:pPr>
              <w:spacing w:after="0"/>
            </w:pPr>
            <w:r/>
            <w:r>
              <w:rPr>
                <w:rFonts w:ascii="Aptos" w:hAnsi="Aptos"/>
                <w:b/>
                <w:color w:val="FFFFFF"/>
                <w:sz w:val="18"/>
              </w:rPr>
              <w:t>Validation check</w:t>
            </w:r>
          </w:p>
        </w:tc>
        <w:tc>
          <w:tcPr>
            <w:tcW w:type="dxa" w:w="3312"/>
            <w:vAlign w:val="center"/>
            <w:shd w:fill="5B3CC4"/>
          </w:tcPr>
          <w:p>
            <w:pPr>
              <w:spacing w:after="0"/>
            </w:pPr>
            <w:r/>
            <w:r>
              <w:rPr>
                <w:rFonts w:ascii="Aptos" w:hAnsi="Aptos"/>
                <w:b/>
                <w:color w:val="FFFFFF"/>
                <w:sz w:val="18"/>
              </w:rPr>
              <w:t>Result</w:t>
            </w:r>
          </w:p>
        </w:tc>
        <w:tc>
          <w:tcPr>
            <w:tcW w:type="dxa" w:w="3312"/>
            <w:vAlign w:val="center"/>
            <w:shd w:fill="5B3CC4"/>
          </w:tcPr>
          <w:p>
            <w:pPr>
              <w:spacing w:after="0"/>
            </w:pPr>
            <w:r/>
            <w:r>
              <w:rPr>
                <w:rFonts w:ascii="Aptos" w:hAnsi="Aptos"/>
                <w:b/>
                <w:color w:val="FFFFFF"/>
                <w:sz w:val="18"/>
              </w:rPr>
              <w:t>Interpretation</w:t>
            </w:r>
          </w:p>
        </w:tc>
      </w:tr>
      <w:tr>
        <w:tc>
          <w:tcPr>
            <w:tcW w:type="dxa" w:w="3312"/>
            <w:vAlign w:val="center"/>
          </w:tcPr>
          <w:p>
            <w:pPr>
              <w:spacing w:after="0"/>
            </w:pPr>
            <w:r/>
            <w:r>
              <w:rPr>
                <w:rFonts w:ascii="Aptos" w:hAnsi="Aptos"/>
                <w:b w:val="0"/>
                <w:sz w:val="18"/>
              </w:rPr>
              <w:t>Total review records</w:t>
            </w:r>
          </w:p>
        </w:tc>
        <w:tc>
          <w:tcPr>
            <w:tcW w:type="dxa" w:w="3312"/>
            <w:vAlign w:val="center"/>
          </w:tcPr>
          <w:p>
            <w:pPr>
              <w:spacing w:after="0"/>
            </w:pPr>
            <w:r/>
            <w:r>
              <w:rPr>
                <w:rFonts w:ascii="Aptos" w:hAnsi="Aptos"/>
                <w:b w:val="0"/>
                <w:sz w:val="18"/>
              </w:rPr>
              <w:t>1,094,411</w:t>
            </w:r>
          </w:p>
        </w:tc>
        <w:tc>
          <w:tcPr>
            <w:tcW w:type="dxa" w:w="3312"/>
            <w:vAlign w:val="center"/>
          </w:tcPr>
          <w:p>
            <w:pPr>
              <w:spacing w:after="0"/>
            </w:pPr>
            <w:r/>
            <w:r>
              <w:rPr>
                <w:rFonts w:ascii="Aptos" w:hAnsi="Aptos"/>
                <w:b w:val="0"/>
                <w:sz w:val="18"/>
              </w:rPr>
              <w:t>All five files processed</w:t>
            </w:r>
          </w:p>
        </w:tc>
      </w:tr>
      <w:tr>
        <w:tc>
          <w:tcPr>
            <w:tcW w:type="dxa" w:w="3312"/>
            <w:vAlign w:val="center"/>
          </w:tcPr>
          <w:p>
            <w:pPr>
              <w:spacing w:after="0"/>
            </w:pPr>
            <w:r/>
            <w:r>
              <w:rPr>
                <w:rFonts w:ascii="Aptos" w:hAnsi="Aptos"/>
                <w:b w:val="0"/>
                <w:sz w:val="18"/>
              </w:rPr>
              <w:t>Columns per review file</w:t>
            </w:r>
          </w:p>
        </w:tc>
        <w:tc>
          <w:tcPr>
            <w:tcW w:type="dxa" w:w="3312"/>
            <w:vAlign w:val="center"/>
          </w:tcPr>
          <w:p>
            <w:pPr>
              <w:spacing w:after="0"/>
            </w:pPr>
            <w:r/>
            <w:r>
              <w:rPr>
                <w:rFonts w:ascii="Aptos" w:hAnsi="Aptos"/>
                <w:b w:val="0"/>
                <w:sz w:val="18"/>
              </w:rPr>
              <w:t>19</w:t>
            </w:r>
          </w:p>
        </w:tc>
        <w:tc>
          <w:tcPr>
            <w:tcW w:type="dxa" w:w="3312"/>
            <w:vAlign w:val="center"/>
          </w:tcPr>
          <w:p>
            <w:pPr>
              <w:spacing w:after="0"/>
            </w:pPr>
            <w:r/>
            <w:r>
              <w:rPr>
                <w:rFonts w:ascii="Aptos" w:hAnsi="Aptos"/>
                <w:b w:val="0"/>
                <w:sz w:val="18"/>
              </w:rPr>
              <w:t>Consistent schema</w:t>
            </w:r>
          </w:p>
        </w:tc>
      </w:tr>
      <w:tr>
        <w:tc>
          <w:tcPr>
            <w:tcW w:type="dxa" w:w="3312"/>
            <w:vAlign w:val="center"/>
          </w:tcPr>
          <w:p>
            <w:pPr>
              <w:spacing w:after="0"/>
            </w:pPr>
            <w:r/>
            <w:r>
              <w:rPr>
                <w:rFonts w:ascii="Aptos" w:hAnsi="Aptos"/>
                <w:b w:val="0"/>
                <w:sz w:val="18"/>
              </w:rPr>
              <w:t>Rows with unexpected column counts</w:t>
            </w:r>
          </w:p>
        </w:tc>
        <w:tc>
          <w:tcPr>
            <w:tcW w:type="dxa" w:w="3312"/>
            <w:vAlign w:val="center"/>
          </w:tcPr>
          <w:p>
            <w:pPr>
              <w:spacing w:after="0"/>
            </w:pPr>
            <w:r/>
            <w:r>
              <w:rPr>
                <w:rFonts w:ascii="Aptos" w:hAnsi="Aptos"/>
                <w:b w:val="0"/>
                <w:sz w:val="18"/>
              </w:rPr>
              <w:t>0</w:t>
            </w:r>
          </w:p>
        </w:tc>
        <w:tc>
          <w:tcPr>
            <w:tcW w:type="dxa" w:w="3312"/>
            <w:vAlign w:val="center"/>
          </w:tcPr>
          <w:p>
            <w:pPr>
              <w:spacing w:after="0"/>
            </w:pPr>
            <w:r/>
            <w:r>
              <w:rPr>
                <w:rFonts w:ascii="Aptos" w:hAnsi="Aptos"/>
                <w:b w:val="0"/>
                <w:sz w:val="18"/>
              </w:rPr>
              <w:t>No column-count inconsistencies detected</w:t>
            </w:r>
          </w:p>
        </w:tc>
      </w:tr>
      <w:tr>
        <w:tc>
          <w:tcPr>
            <w:tcW w:type="dxa" w:w="3312"/>
            <w:vAlign w:val="center"/>
          </w:tcPr>
          <w:p>
            <w:pPr>
              <w:spacing w:after="0"/>
            </w:pPr>
            <w:r/>
            <w:r>
              <w:rPr>
                <w:rFonts w:ascii="Aptos" w:hAnsi="Aptos"/>
                <w:b w:val="0"/>
                <w:sz w:val="18"/>
              </w:rPr>
              <w:t>Missing review_text</w:t>
            </w:r>
          </w:p>
        </w:tc>
        <w:tc>
          <w:tcPr>
            <w:tcW w:type="dxa" w:w="3312"/>
            <w:vAlign w:val="center"/>
          </w:tcPr>
          <w:p>
            <w:pPr>
              <w:spacing w:after="0"/>
            </w:pPr>
            <w:r/>
            <w:r>
              <w:rPr>
                <w:rFonts w:ascii="Aptos" w:hAnsi="Aptos"/>
                <w:b w:val="0"/>
                <w:sz w:val="18"/>
              </w:rPr>
              <w:t>1,444 (0.13%)</w:t>
            </w:r>
          </w:p>
        </w:tc>
        <w:tc>
          <w:tcPr>
            <w:tcW w:type="dxa" w:w="3312"/>
            <w:vAlign w:val="center"/>
          </w:tcPr>
          <w:p>
            <w:pPr>
              <w:spacing w:after="0"/>
            </w:pPr>
            <w:r/>
            <w:r>
              <w:rPr>
                <w:rFonts w:ascii="Aptos" w:hAnsi="Aptos"/>
                <w:b w:val="0"/>
                <w:sz w:val="18"/>
              </w:rPr>
              <w:t>Small proportion of records</w:t>
            </w:r>
          </w:p>
        </w:tc>
      </w:tr>
      <w:tr>
        <w:tc>
          <w:tcPr>
            <w:tcW w:type="dxa" w:w="3312"/>
            <w:vAlign w:val="center"/>
          </w:tcPr>
          <w:p>
            <w:pPr>
              <w:spacing w:after="0"/>
            </w:pPr>
            <w:r/>
            <w:r>
              <w:rPr>
                <w:rFonts w:ascii="Aptos" w:hAnsi="Aptos"/>
                <w:b w:val="0"/>
                <w:sz w:val="18"/>
              </w:rPr>
              <w:t>Missing helpfulness</w:t>
            </w:r>
          </w:p>
        </w:tc>
        <w:tc>
          <w:tcPr>
            <w:tcW w:type="dxa" w:w="3312"/>
            <w:vAlign w:val="center"/>
          </w:tcPr>
          <w:p>
            <w:pPr>
              <w:spacing w:after="0"/>
            </w:pPr>
            <w:r/>
            <w:r>
              <w:rPr>
                <w:rFonts w:ascii="Aptos" w:hAnsi="Aptos"/>
                <w:b w:val="0"/>
                <w:sz w:val="18"/>
              </w:rPr>
              <w:t>561,592 (51.31%)</w:t>
            </w:r>
          </w:p>
        </w:tc>
        <w:tc>
          <w:tcPr>
            <w:tcW w:type="dxa" w:w="3312"/>
            <w:vAlign w:val="center"/>
          </w:tcPr>
          <w:p>
            <w:pPr>
              <w:spacing w:after="0"/>
            </w:pPr>
            <w:r/>
            <w:r>
              <w:rPr>
                <w:rFonts w:ascii="Aptos" w:hAnsi="Aptos"/>
                <w:b w:val="0"/>
                <w:sz w:val="18"/>
              </w:rPr>
              <w:t>High missingness; investigate before use</w:t>
            </w:r>
          </w:p>
        </w:tc>
      </w:tr>
    </w:tbl>
    <w:p/>
    <w:p>
      <w:pPr>
        <w:pStyle w:val="Heading1"/>
      </w:pPr>
      <w:r>
        <w:t>4. Missing Values in Review Records</w:t>
      </w:r>
    </w:p>
    <w:p>
      <w:r>
        <w:t>Missing-value analysis was conducted in chunks to avoid loading the complete review dataset into memory at once. The highest missingness was observed in helpfulness (51.31%), followed by review_title (28.39%), hair_color (20.72%), eye_color (19.15%), skin_tone (15.58%), is_recommended (15.35%), and skin_type (10.19%). Other reported columns had no missing values in this check.</w:t>
      </w:r>
    </w:p>
    <w:p>
      <w:r>
        <w:t>These values do not automatically make a record unusable. For example, a review without a helpfulness score may still contain a valid rating and review text. Missing values will be handled according to the requirements of each analysis during Week 3; no records were deleted during this phase.</w:t>
      </w:r>
    </w:p>
    <w:p>
      <w:pPr>
        <w:pStyle w:val="Heading1"/>
      </w:pPr>
      <w:r>
        <w:t>5. Rating Distribution</w:t>
      </w:r>
    </w:p>
    <w:tbl>
      <w:tblPr>
        <w:tblStyle w:val="LightShading-Accent1"/>
        <w:tblW w:type="auto" w:w="0"/>
        <w:jc w:val="center"/>
        <w:tblLook w:firstColumn="1" w:firstRow="1" w:lastColumn="0" w:lastRow="0" w:noHBand="0" w:noVBand="1" w:val="04A0"/>
      </w:tblPr>
      <w:tblGrid>
        <w:gridCol w:w="3312"/>
        <w:gridCol w:w="3312"/>
        <w:gridCol w:w="3312"/>
      </w:tblGrid>
      <w:tr>
        <w:tc>
          <w:tcPr>
            <w:tcW w:type="dxa" w:w="3312"/>
            <w:vAlign w:val="center"/>
            <w:shd w:fill="5B3CC4"/>
          </w:tcPr>
          <w:p>
            <w:pPr>
              <w:spacing w:after="0"/>
            </w:pPr>
            <w:r/>
            <w:r>
              <w:rPr>
                <w:rFonts w:ascii="Aptos" w:hAnsi="Aptos"/>
                <w:b/>
                <w:color w:val="FFFFFF"/>
                <w:sz w:val="18"/>
              </w:rPr>
              <w:t>Rating</w:t>
            </w:r>
          </w:p>
        </w:tc>
        <w:tc>
          <w:tcPr>
            <w:tcW w:type="dxa" w:w="3312"/>
            <w:vAlign w:val="center"/>
            <w:shd w:fill="5B3CC4"/>
          </w:tcPr>
          <w:p>
            <w:pPr>
              <w:spacing w:after="0"/>
            </w:pPr>
            <w:r/>
            <w:r>
              <w:rPr>
                <w:rFonts w:ascii="Aptos" w:hAnsi="Aptos"/>
                <w:b/>
                <w:color w:val="FFFFFF"/>
                <w:sz w:val="18"/>
              </w:rPr>
              <w:t>Review count</w:t>
            </w:r>
          </w:p>
        </w:tc>
        <w:tc>
          <w:tcPr>
            <w:tcW w:type="dxa" w:w="3312"/>
            <w:vAlign w:val="center"/>
            <w:shd w:fill="5B3CC4"/>
          </w:tcPr>
          <w:p>
            <w:pPr>
              <w:spacing w:after="0"/>
            </w:pPr>
            <w:r/>
            <w:r>
              <w:rPr>
                <w:rFonts w:ascii="Aptos" w:hAnsi="Aptos"/>
                <w:b/>
                <w:color w:val="FFFFFF"/>
                <w:sz w:val="18"/>
              </w:rPr>
              <w:t>Share of all records</w:t>
            </w:r>
          </w:p>
        </w:tc>
      </w:tr>
      <w:tr>
        <w:tc>
          <w:tcPr>
            <w:tcW w:type="dxa" w:w="3312"/>
            <w:vAlign w:val="center"/>
          </w:tcPr>
          <w:p>
            <w:pPr>
              <w:spacing w:after="0"/>
            </w:pPr>
            <w:r/>
            <w:r>
              <w:rPr>
                <w:rFonts w:ascii="Aptos" w:hAnsi="Aptos"/>
                <w:b w:val="0"/>
                <w:sz w:val="18"/>
              </w:rPr>
              <w:t>1</w:t>
            </w:r>
          </w:p>
        </w:tc>
        <w:tc>
          <w:tcPr>
            <w:tcW w:type="dxa" w:w="3312"/>
            <w:vAlign w:val="center"/>
          </w:tcPr>
          <w:p>
            <w:pPr>
              <w:spacing w:after="0"/>
            </w:pPr>
            <w:r/>
            <w:r>
              <w:rPr>
                <w:rFonts w:ascii="Aptos" w:hAnsi="Aptos"/>
                <w:b w:val="0"/>
                <w:sz w:val="18"/>
              </w:rPr>
              <w:t>61,223</w:t>
            </w:r>
          </w:p>
        </w:tc>
        <w:tc>
          <w:tcPr>
            <w:tcW w:type="dxa" w:w="3312"/>
            <w:vAlign w:val="center"/>
          </w:tcPr>
          <w:p>
            <w:pPr>
              <w:spacing w:after="0"/>
            </w:pPr>
            <w:r/>
            <w:r>
              <w:rPr>
                <w:rFonts w:ascii="Aptos" w:hAnsi="Aptos"/>
                <w:b w:val="0"/>
                <w:sz w:val="18"/>
              </w:rPr>
              <w:t>5.59%</w:t>
            </w:r>
          </w:p>
        </w:tc>
      </w:tr>
      <w:tr>
        <w:tc>
          <w:tcPr>
            <w:tcW w:type="dxa" w:w="3312"/>
            <w:vAlign w:val="center"/>
          </w:tcPr>
          <w:p>
            <w:pPr>
              <w:spacing w:after="0"/>
            </w:pPr>
            <w:r/>
            <w:r>
              <w:rPr>
                <w:rFonts w:ascii="Aptos" w:hAnsi="Aptos"/>
                <w:b w:val="0"/>
                <w:sz w:val="18"/>
              </w:rPr>
              <w:t>2</w:t>
            </w:r>
          </w:p>
        </w:tc>
        <w:tc>
          <w:tcPr>
            <w:tcW w:type="dxa" w:w="3312"/>
            <w:vAlign w:val="center"/>
          </w:tcPr>
          <w:p>
            <w:pPr>
              <w:spacing w:after="0"/>
            </w:pPr>
            <w:r/>
            <w:r>
              <w:rPr>
                <w:rFonts w:ascii="Aptos" w:hAnsi="Aptos"/>
                <w:b w:val="0"/>
                <w:sz w:val="18"/>
              </w:rPr>
              <w:t>53,032</w:t>
            </w:r>
          </w:p>
        </w:tc>
        <w:tc>
          <w:tcPr>
            <w:tcW w:type="dxa" w:w="3312"/>
            <w:vAlign w:val="center"/>
          </w:tcPr>
          <w:p>
            <w:pPr>
              <w:spacing w:after="0"/>
            </w:pPr>
            <w:r/>
            <w:r>
              <w:rPr>
                <w:rFonts w:ascii="Aptos" w:hAnsi="Aptos"/>
                <w:b w:val="0"/>
                <w:sz w:val="18"/>
              </w:rPr>
              <w:t>4.85%</w:t>
            </w:r>
          </w:p>
        </w:tc>
      </w:tr>
      <w:tr>
        <w:tc>
          <w:tcPr>
            <w:tcW w:type="dxa" w:w="3312"/>
            <w:vAlign w:val="center"/>
          </w:tcPr>
          <w:p>
            <w:pPr>
              <w:spacing w:after="0"/>
            </w:pPr>
            <w:r/>
            <w:r>
              <w:rPr>
                <w:rFonts w:ascii="Aptos" w:hAnsi="Aptos"/>
                <w:b w:val="0"/>
                <w:sz w:val="18"/>
              </w:rPr>
              <w:t>3</w:t>
            </w:r>
          </w:p>
        </w:tc>
        <w:tc>
          <w:tcPr>
            <w:tcW w:type="dxa" w:w="3312"/>
            <w:vAlign w:val="center"/>
          </w:tcPr>
          <w:p>
            <w:pPr>
              <w:spacing w:after="0"/>
            </w:pPr>
            <w:r/>
            <w:r>
              <w:rPr>
                <w:rFonts w:ascii="Aptos" w:hAnsi="Aptos"/>
                <w:b w:val="0"/>
                <w:sz w:val="18"/>
              </w:rPr>
              <w:t>81,816</w:t>
            </w:r>
          </w:p>
        </w:tc>
        <w:tc>
          <w:tcPr>
            <w:tcW w:type="dxa" w:w="3312"/>
            <w:vAlign w:val="center"/>
          </w:tcPr>
          <w:p>
            <w:pPr>
              <w:spacing w:after="0"/>
            </w:pPr>
            <w:r/>
            <w:r>
              <w:rPr>
                <w:rFonts w:ascii="Aptos" w:hAnsi="Aptos"/>
                <w:b w:val="0"/>
                <w:sz w:val="18"/>
              </w:rPr>
              <w:t>7.47%</w:t>
            </w:r>
          </w:p>
        </w:tc>
      </w:tr>
      <w:tr>
        <w:tc>
          <w:tcPr>
            <w:tcW w:type="dxa" w:w="3312"/>
            <w:vAlign w:val="center"/>
          </w:tcPr>
          <w:p>
            <w:pPr>
              <w:spacing w:after="0"/>
            </w:pPr>
            <w:r/>
            <w:r>
              <w:rPr>
                <w:rFonts w:ascii="Aptos" w:hAnsi="Aptos"/>
                <w:b w:val="0"/>
                <w:sz w:val="18"/>
              </w:rPr>
              <w:t>4</w:t>
            </w:r>
          </w:p>
        </w:tc>
        <w:tc>
          <w:tcPr>
            <w:tcW w:type="dxa" w:w="3312"/>
            <w:vAlign w:val="center"/>
          </w:tcPr>
          <w:p>
            <w:pPr>
              <w:spacing w:after="0"/>
            </w:pPr>
            <w:r/>
            <w:r>
              <w:rPr>
                <w:rFonts w:ascii="Aptos" w:hAnsi="Aptos"/>
                <w:b w:val="0"/>
                <w:sz w:val="18"/>
              </w:rPr>
              <w:t>199,389</w:t>
            </w:r>
          </w:p>
        </w:tc>
        <w:tc>
          <w:tcPr>
            <w:tcW w:type="dxa" w:w="3312"/>
            <w:vAlign w:val="center"/>
          </w:tcPr>
          <w:p>
            <w:pPr>
              <w:spacing w:after="0"/>
            </w:pPr>
            <w:r/>
            <w:r>
              <w:rPr>
                <w:rFonts w:ascii="Aptos" w:hAnsi="Aptos"/>
                <w:b w:val="0"/>
                <w:sz w:val="18"/>
              </w:rPr>
              <w:t>18.22%</w:t>
            </w:r>
          </w:p>
        </w:tc>
      </w:tr>
      <w:tr>
        <w:tc>
          <w:tcPr>
            <w:tcW w:type="dxa" w:w="3312"/>
            <w:vAlign w:val="center"/>
          </w:tcPr>
          <w:p>
            <w:pPr>
              <w:spacing w:after="0"/>
            </w:pPr>
            <w:r/>
            <w:r>
              <w:rPr>
                <w:rFonts w:ascii="Aptos" w:hAnsi="Aptos"/>
                <w:b w:val="0"/>
                <w:sz w:val="18"/>
              </w:rPr>
              <w:t>5</w:t>
            </w:r>
          </w:p>
        </w:tc>
        <w:tc>
          <w:tcPr>
            <w:tcW w:type="dxa" w:w="3312"/>
            <w:vAlign w:val="center"/>
          </w:tcPr>
          <w:p>
            <w:pPr>
              <w:spacing w:after="0"/>
            </w:pPr>
            <w:r/>
            <w:r>
              <w:rPr>
                <w:rFonts w:ascii="Aptos" w:hAnsi="Aptos"/>
                <w:b w:val="0"/>
                <w:sz w:val="18"/>
              </w:rPr>
              <w:t>698,951</w:t>
            </w:r>
          </w:p>
        </w:tc>
        <w:tc>
          <w:tcPr>
            <w:tcW w:type="dxa" w:w="3312"/>
            <w:vAlign w:val="center"/>
          </w:tcPr>
          <w:p>
            <w:pPr>
              <w:spacing w:after="0"/>
            </w:pPr>
            <w:r/>
            <w:r>
              <w:rPr>
                <w:rFonts w:ascii="Aptos" w:hAnsi="Aptos"/>
                <w:b w:val="0"/>
                <w:sz w:val="18"/>
              </w:rPr>
              <w:t>63.86%</w:t>
            </w:r>
          </w:p>
        </w:tc>
      </w:tr>
    </w:tbl>
    <w:p/>
    <w:p>
      <w:r>
        <w:t>Five-star reviews account for approximately 63.86% of the records, while four- and five-star reviews together account for approximately 82.08%. Ratings of one and two stars together account for approximately 10.44%. This is a descriptive observation about the collected dataset, not proof that all customers or products are generally satisfied. Dataset coverage and potential selection effects should be considered in later analysis.</w:t>
      </w:r>
    </w:p>
    <w:p>
      <w:pPr>
        <w:pStyle w:val="Heading1"/>
      </w:pPr>
      <w:r>
        <w:t>6. Product Dataset Validation</w:t>
      </w:r>
    </w:p>
    <w:p>
      <w:r>
        <w:t>The product-information file contains 8,494 records and 27 columns. The check found no missing product IDs, no duplicate product IDs, and no completely duplicated rows. The price_usd field had no values that failed numeric conversion and no zero or negative prices. The minimum recorded price was USD 3.00 and the maximum was USD 1,900.00.</w:t>
      </w:r>
    </w:p>
    <w:p>
      <w:r>
        <w:t>Missing values were common in sale_price_usd (96.82%), value_price_usd (94.69%), variation_desc (85.28%), child_max_price and child_min_price (67.58% each), highlights (25.98%), size (19.20%), variation_value (18.81%), variation_type (17.00%), ingredients (11.13%), and rating/reviews (3.27% each). Missing sale or variation fields may be structurally expected, so they will not be treated as errors without further investigation.</w:t>
      </w:r>
    </w:p>
    <w:p>
      <w:pPr>
        <w:pStyle w:val="Heading1"/>
      </w:pPr>
      <w:r>
        <w:t>7. Review-to-Product Linkage</w:t>
      </w:r>
    </w:p>
    <w:p>
      <w:r>
        <w:t>The review product IDs were compared with product IDs in product_info.csv. All 1,094,411 review records had a product_id, and all distinct product IDs found in reviews matched an ID in the product file. The reviews reference 2,351 distinct products, compared with 8,494 products listed in the product file. Therefore, all review records could be linked to a product record using product_id in this validation.</w:t>
      </w:r>
    </w:p>
    <w:p>
      <w:pPr>
        <w:pStyle w:val="Heading1"/>
      </w:pPr>
      <w:r>
        <w:t>8. Index Column and Duplicate Candidates</w:t>
      </w:r>
    </w:p>
    <w:p>
      <w:r>
        <w:t>The review CSV files contain an Unnamed: 0 column. Its values were checked and found to increase sequentially within each file, starting at zero and ending at the final record index for that file. This suggests it is an exported row index rather than a meaningful customer or product attribute. It will be excluded from the processed dataset if this interpretation is confirmed during preprocessing; the original files will remain unchanged.</w:t>
      </w:r>
    </w:p>
    <w:p>
      <w:r>
        <w:t>A full-dataset comparison used fingerprints based on author_id, product_id, submission_time, rating, review_text, and review_title. It identified 465 records matching an earlier fingerprint, approximately 0.043% of all records. These are duplicate candidates, not confirmed erroneous records. They will be reviewed before any removal decision. Fingerprint-based matching also has a theoretical hash-collision limitation.</w:t>
      </w:r>
    </w:p>
    <w:p>
      <w:pPr>
        <w:pStyle w:val="Heading1"/>
      </w:pPr>
      <w:r>
        <w:t>9. Tools and Method</w:t>
      </w:r>
    </w:p>
    <w:p>
      <w:r>
        <w:t>Tools used: Python, pandas, and Python's built-in csv module, executed locally through PowerShell. Large review files were processed in chunks for missing-value, rating, linkage, and duplicate-candidate checks. The analysis was performed on the downloaded files; original source data was not modified.</w:t>
      </w:r>
    </w:p>
    <w:p>
      <w:pPr>
        <w:pStyle w:val="Heading1"/>
      </w:pPr>
      <w:r>
        <w:t>10. Conclusion and Next Steps</w:t>
      </w:r>
    </w:p>
    <w:p>
      <w:r>
        <w:t>Week 2 established a baseline for the source data and its initial quality. The review files contain 1,094,411 records with a consistent 19-column structure and no rows with unexpected column counts. Product IDs link all review records to the product-information file. The main issues identified for further handling are missing values, the exported index column, mixed data types in author_id, and 465 duplicate candidates.</w:t>
      </w:r>
    </w:p>
    <w:p>
      <w:r>
        <w:t>Week 3 will focus on creating reproducible processed datasets: standardizing data types, handling missing values according to analysis needs, confirming the role of the exported index, examining duplicate candidates, checking value ranges, and saving cleaned outputs separately from the raw files. No sentiment analysis or predictive modeling results are claimed in this report.</w:t>
      </w:r>
    </w:p>
    <w:p>
      <w:pPr>
        <w:pStyle w:val="Heading1"/>
      </w:pPr>
      <w:r>
        <w:t>Dataset Source</w:t>
      </w:r>
    </w:p>
    <w:p>
      <w:r>
        <w:t>Kaggle — Sephora Products and Skincare Reviews dataset: https://www.kaggle.com/datasets/nadyinky/sephora-products-and-skincare-reviews</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777777"/>
        <w:sz w:val="16"/>
      </w:rPr>
      <w:t>Beauty &amp; Wellness Customer Insights | Week 2 | Sohini Ball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22222"/>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5B3CC4"/>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E2B48"/>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24204A"/>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