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6C4AB6"/>
          <w:sz w:val="26"/>
        </w:rPr>
        <w:t>YUVAINTERN</w:t>
      </w:r>
    </w:p>
    <w:p>
      <w:pPr>
        <w:spacing w:before="360"/>
        <w:jc w:val="center"/>
      </w:pPr>
      <w:r>
        <w:rPr>
          <w:b/>
          <w:color w:val="2C7A7B"/>
          <w:sz w:val="24"/>
        </w:rPr>
        <w:t>WEEK 1 PROJECT REPORT</w:t>
      </w:r>
    </w:p>
    <w:p>
      <w:pPr>
        <w:pStyle w:val="Title"/>
        <w:spacing w:before="300"/>
        <w:jc w:val="center"/>
      </w:pPr>
      <w:r>
        <w:t>Beauty &amp; Wellness</w:t>
        <w:br/>
        <w:t>Customer Insights</w:t>
      </w:r>
    </w:p>
    <w:p>
      <w:pPr>
        <w:spacing w:before="160"/>
        <w:jc w:val="center"/>
      </w:pPr>
      <w:r>
        <w:rPr>
          <w:color w:val="596273"/>
          <w:sz w:val="28"/>
        </w:rPr>
        <w:t>Product Ratings, Review Patterns, and Data-Driven Business Decisions</w:t>
      </w:r>
    </w:p>
    <w:p/>
    <w:tbl>
      <w:tblPr>
        <w:tblW w:type="auto" w:w="0"/>
        <w:jc w:val="center"/>
        <w:tblLook w:firstColumn="1" w:firstRow="1" w:lastColumn="0" w:lastRow="0" w:noHBand="0" w:noVBand="1" w:val="04A0"/>
      </w:tblPr>
      <w:tblGrid>
        <w:gridCol w:w="9878"/>
      </w:tblGrid>
      <w:tr>
        <w:tc>
          <w:tcPr>
            <w:tcW w:type="dxa" w:w="9878"/>
            <w:shd w:fill="F0ECFA"/>
          </w:tcPr>
          <w:p>
            <w:pPr>
              <w:spacing w:after="80"/>
            </w:pPr>
            <w:r/>
            <w:r>
              <w:rPr>
                <w:b/>
                <w:color w:val="6C4AB6"/>
                <w:sz w:val="20"/>
              </w:rPr>
              <w:t>PROJECT FOCUS</w:t>
              <w:br/>
            </w:r>
            <w:r>
              <w:rPr>
                <w:color w:val="20213A"/>
                <w:sz w:val="18"/>
              </w:rPr>
              <w:t>Define a practical data science problem for beauty and skincare e-commerce using publicly available product and customer-review data. The project will investigate patterns associated with ratings and review engagement, then assess which further analyses are supported by the data.</w:t>
            </w:r>
          </w:p>
        </w:tc>
      </w:tr>
    </w:tbl>
    <w:p/>
    <w:p>
      <w:pPr>
        <w:spacing w:before="400"/>
        <w:jc w:val="center"/>
      </w:pPr>
      <w:r>
        <w:rPr>
          <w:b/>
          <w:sz w:val="20"/>
        </w:rPr>
        <w:t>Submitted by:  Sohini Ball</w:t>
        <w:br/>
      </w:r>
      <w:r>
        <w:rPr>
          <w:sz w:val="20"/>
        </w:rPr>
        <w:t>Email:  ballsohini939@gmail.com</w:t>
        <w:br/>
      </w:r>
      <w:r>
        <w:rPr>
          <w:sz w:val="20"/>
        </w:rPr>
        <w:t>Internship:  Data Science with Python Analyst Internship</w:t>
        <w:br/>
      </w:r>
      <w:r>
        <w:rPr>
          <w:sz w:val="20"/>
        </w:rPr>
        <w:t>Platform:  YuvaIntern</w:t>
        <w:br/>
      </w:r>
      <w:r>
        <w:rPr>
          <w:sz w:val="20"/>
        </w:rPr>
        <w:t>Report:  Week 1 — Data Science Orientation &amp; Problem Definition</w:t>
        <w:br/>
      </w:r>
      <w:r>
        <w:rPr>
          <w:sz w:val="20"/>
        </w:rPr>
        <w:t>Date:  24 October 2026</w:t>
        <w:br/>
      </w:r>
    </w:p>
    <w:p>
      <w:pPr>
        <w:pStyle w:val="SmallNote"/>
        <w:spacing w:before="520"/>
        <w:jc w:val="center"/>
      </w:pPr>
      <w:r>
        <w:t>Planning report. Dataset selection, data inspection, and empirical findings will be documented in subsequent project stages.</w:t>
      </w:r>
    </w:p>
    <w:p>
      <w:r>
        <w:br w:type="page"/>
      </w:r>
    </w:p>
    <w:p>
      <w:pPr>
        <w:pStyle w:val="Heading1"/>
        <w:keepNext/>
      </w:pPr>
      <w:r>
        <w:t>Report Roadmap</w:t>
      </w:r>
    </w:p>
    <w:p>
      <w:pPr>
        <w:pStyle w:val="ListBullet"/>
        <w:spacing w:after="60"/>
      </w:pPr>
      <w:r>
        <w:t>1. Executive Summary</w:t>
      </w:r>
    </w:p>
    <w:p>
      <w:pPr>
        <w:pStyle w:val="ListBullet"/>
        <w:spacing w:after="60"/>
      </w:pPr>
      <w:r>
        <w:t>2. Industry Context and Relevance</w:t>
      </w:r>
    </w:p>
    <w:p>
      <w:pPr>
        <w:pStyle w:val="ListBullet"/>
        <w:spacing w:after="60"/>
      </w:pPr>
      <w:r>
        <w:t>3. Business Problem Statement</w:t>
      </w:r>
    </w:p>
    <w:p>
      <w:pPr>
        <w:pStyle w:val="ListBullet"/>
        <w:spacing w:after="60"/>
      </w:pPr>
      <w:r>
        <w:t>4. Aim, Objectives, and Scope</w:t>
      </w:r>
    </w:p>
    <w:p>
      <w:pPr>
        <w:pStyle w:val="ListBullet"/>
        <w:spacing w:after="60"/>
      </w:pPr>
      <w:r>
        <w:t>5. Research Questions</w:t>
      </w:r>
    </w:p>
    <w:p>
      <w:pPr>
        <w:pStyle w:val="ListBullet"/>
        <w:spacing w:after="60"/>
      </w:pPr>
      <w:r>
        <w:t>6. Research Hypotheses</w:t>
      </w:r>
    </w:p>
    <w:p>
      <w:pPr>
        <w:pStyle w:val="ListBullet"/>
        <w:spacing w:after="60"/>
      </w:pPr>
      <w:r>
        <w:t>7. Proposed Dataset and Variables</w:t>
      </w:r>
    </w:p>
    <w:p>
      <w:pPr>
        <w:pStyle w:val="ListBullet"/>
        <w:spacing w:after="60"/>
      </w:pPr>
      <w:r>
        <w:t>8. Proposed Methodology and Work Plan</w:t>
      </w:r>
    </w:p>
    <w:p>
      <w:pPr>
        <w:pStyle w:val="ListBullet"/>
        <w:spacing w:after="60"/>
      </w:pPr>
      <w:r>
        <w:t>9. Initial Exploratory Analysis Plan</w:t>
      </w:r>
    </w:p>
    <w:p>
      <w:pPr>
        <w:pStyle w:val="ListBullet"/>
        <w:spacing w:after="60"/>
      </w:pPr>
      <w:r>
        <w:t>10. Tools and Technical Approach</w:t>
      </w:r>
    </w:p>
    <w:p>
      <w:pPr>
        <w:pStyle w:val="ListBullet"/>
        <w:spacing w:after="60"/>
      </w:pPr>
      <w:r>
        <w:t>11. Expected Business Value</w:t>
      </w:r>
    </w:p>
    <w:p>
      <w:pPr>
        <w:pStyle w:val="ListBullet"/>
        <w:spacing w:after="60"/>
      </w:pPr>
      <w:r>
        <w:t>12. Risks, Ethics, and Limitations</w:t>
      </w:r>
    </w:p>
    <w:p>
      <w:pPr>
        <w:pStyle w:val="ListBullet"/>
        <w:spacing w:after="60"/>
      </w:pPr>
      <w:r>
        <w:t>13. Deliverables and Success Criteria</w:t>
      </w:r>
    </w:p>
    <w:p>
      <w:pPr>
        <w:pStyle w:val="ListBullet"/>
        <w:spacing w:after="60"/>
      </w:pPr>
      <w:r>
        <w:t>14. Conclusion</w:t>
      </w:r>
    </w:p>
    <w:p>
      <w:pPr>
        <w:pStyle w:val="ListBullet"/>
        <w:spacing w:after="60"/>
      </w:pPr>
      <w:r>
        <w:t>15. References</w:t>
      </w:r>
    </w:p>
    <w:p>
      <w:pPr>
        <w:pStyle w:val="SmallNote"/>
      </w:pPr>
      <w:r>
        <w:t>This report establishes the project direction. It separates proposed analysis from results that can only be reported after the dataset is inspected and analyzed.</w:t>
      </w:r>
    </w:p>
    <w:p>
      <w:pPr>
        <w:pStyle w:val="Heading1"/>
        <w:keepNext/>
      </w:pPr>
      <w:r>
        <w:t>1. Executive Summary</w:t>
      </w:r>
    </w:p>
    <w:p>
      <w:r>
        <w:t>Beauty and wellness businesses operate in a crowded market where shoppers compare product attributes, prices, brands, ratings, and online reviews before making decisions. Customer reviews are a potentially useful source of feedback: they can describe satisfaction, highlight recurring product concerns, and reveal differences in how product categories are evaluated. However, review data is not a complete representation of every customer, and public ratings alone cannot prove why a person purchased or did not purchase a product.</w:t>
      </w:r>
    </w:p>
    <w:p>
      <w:r>
        <w:t>This project proposes a data-driven study of publicly available beauty-product and skincare-review data. The central goal is to understand patterns in product ratings and review engagement, and to evaluate how these patterns can support product merchandising, customer communication, and further analytics. The work is designed as a practical Python project that can progress from problem definition and data sourcing to cleaning, exploratory data analysis (EDA), feature engineering, and—if the selected data supports a defensible target variable—predictive modeling.</w:t>
      </w:r>
    </w:p>
    <w:p>
      <w:r>
        <w:t>The proposed approach begins with a review of industry context and a data feasibility check. Candidate variables may include product category, brand, price, average rating, rating count, review text, review date, and other fields that are actually present in the selected dataset. The initial analysis will use descriptive statistics and visualizations. Any hypothesis will be evaluated using appropriate statistical methods, with attention to sample size, missing data, confounding factors, and practical significance. Predictive modeling will be considered only after target availability and data leakage risks have been assessed.</w:t>
      </w:r>
    </w:p>
    <w:tbl>
      <w:tblPr>
        <w:tblW w:type="auto" w:w="0"/>
        <w:jc w:val="center"/>
        <w:tblLook w:firstColumn="1" w:firstRow="1" w:lastColumn="0" w:lastRow="0" w:noHBand="0" w:noVBand="1" w:val="04A0"/>
      </w:tblPr>
      <w:tblGrid>
        <w:gridCol w:w="9878"/>
      </w:tblGrid>
      <w:tr>
        <w:tc>
          <w:tcPr>
            <w:tcW w:type="dxa" w:w="9878"/>
            <w:shd w:fill="F0ECFA"/>
          </w:tcPr>
          <w:p>
            <w:pPr>
              <w:spacing w:after="80"/>
            </w:pPr>
            <w:r/>
            <w:r>
              <w:rPr>
                <w:b/>
                <w:color w:val="6C4AB6"/>
                <w:sz w:val="20"/>
              </w:rPr>
              <w:t>EXPECTED OUTPUT</w:t>
              <w:br/>
            </w:r>
            <w:r>
              <w:rPr>
                <w:color w:val="20213A"/>
                <w:sz w:val="18"/>
              </w:rPr>
              <w:t>A documented, reproducible analysis plan and a coherent project foundation for Weeks 2–6. This Week 1 report does not claim that data has already been analyzed or that any hypothesis has been proven.</w:t>
            </w:r>
          </w:p>
        </w:tc>
      </w:tr>
    </w:tbl>
    <w:p/>
    <w:p>
      <w:pPr>
        <w:pStyle w:val="Heading1"/>
        <w:keepNext/>
      </w:pPr>
      <w:r>
        <w:t>2. Industry Context and Relevance</w:t>
      </w:r>
    </w:p>
    <w:p>
      <w:r>
        <w:t>The beauty and wellness sector includes skincare, cosmetics, haircare, fragrance, personal care, and related services. Digital commerce has made product information and consumer feedback more visible, while also increasing the volume of information a shopper must evaluate. Industry commentary increasingly emphasizes value, product performance, digital discovery, and more individualized consumer expectations.</w:t>
      </w:r>
    </w:p>
    <w:p>
      <w:r>
        <w:t>McKinsey &amp; Company’s 2025 State of Beauty report describes a market in which consumers are more value-conscious and more focused on whether products deliver on their promises. Its 2026 industry outlook also highlights changing discovery and commerce channels. These observations support the business relevance of understanding product-level feedback, but they do not themselves establish what a particular dataset will show.</w:t>
      </w:r>
    </w:p>
    <w:p>
      <w:r>
        <w:t>In India, Ipsos’ 2024 discussion of beauty and personal-care trends highlights the role of e-commerce, product experimentation, digital marketing, and more specific consumer needs. NIQ’s 2025 coverage of Indian beauty trends also points to ingredient-led skincare and digital discovery. These trends make review and product data a relevant starting point for an applied data science project.</w:t>
      </w:r>
    </w:p>
    <w:tbl>
      <w:tblPr>
        <w:tblStyle w:val="TableGrid"/>
        <w:tblW w:type="auto" w:w="0"/>
        <w:jc w:val="center"/>
        <w:tblLook w:firstColumn="1" w:firstRow="1" w:lastColumn="0" w:lastRow="0" w:noHBand="0" w:noVBand="1" w:val="04A0"/>
      </w:tblPr>
      <w:tblGrid>
        <w:gridCol w:w="3293"/>
        <w:gridCol w:w="3293"/>
        <w:gridCol w:w="3293"/>
      </w:tblGrid>
      <w:tr>
        <w:tc>
          <w:tcPr>
            <w:tcW w:type="dxa" w:w="1944"/>
            <w:vAlign w:val="center"/>
            <w:shd w:fill="20213A"/>
          </w:tcPr>
          <w:p>
            <w:pPr>
              <w:spacing w:after="40" w:before="40"/>
            </w:pPr>
            <w:r/>
            <w:r>
              <w:rPr>
                <w:rFonts w:ascii="Aptos" w:hAnsi="Aptos"/>
                <w:b/>
                <w:color w:val="FFFFFF"/>
                <w:sz w:val="18"/>
              </w:rPr>
              <w:t>Industry challenge</w:t>
            </w:r>
          </w:p>
        </w:tc>
        <w:tc>
          <w:tcPr>
            <w:tcW w:type="dxa" w:w="3528"/>
            <w:vAlign w:val="center"/>
            <w:shd w:fill="20213A"/>
          </w:tcPr>
          <w:p>
            <w:pPr>
              <w:spacing w:after="40" w:before="40"/>
            </w:pPr>
            <w:r/>
            <w:r>
              <w:rPr>
                <w:rFonts w:ascii="Aptos" w:hAnsi="Aptos"/>
                <w:b/>
                <w:color w:val="FFFFFF"/>
                <w:sz w:val="18"/>
              </w:rPr>
              <w:t>Why it matters</w:t>
            </w:r>
          </w:p>
        </w:tc>
        <w:tc>
          <w:tcPr>
            <w:tcW w:type="dxa" w:w="4032"/>
            <w:vAlign w:val="center"/>
            <w:shd w:fill="20213A"/>
          </w:tcPr>
          <w:p>
            <w:pPr>
              <w:spacing w:after="40" w:before="40"/>
            </w:pPr>
            <w:r/>
            <w:r>
              <w:rPr>
                <w:rFonts w:ascii="Aptos" w:hAnsi="Aptos"/>
                <w:b/>
                <w:color w:val="FFFFFF"/>
                <w:sz w:val="18"/>
              </w:rPr>
              <w:t>Potential data science contribution</w:t>
            </w:r>
          </w:p>
        </w:tc>
      </w:tr>
      <w:tr>
        <w:tc>
          <w:tcPr>
            <w:tcW w:type="dxa" w:w="1944"/>
            <w:vAlign w:val="center"/>
            <w:shd w:fill="F6F7FB"/>
          </w:tcPr>
          <w:p>
            <w:pPr>
              <w:spacing w:after="40" w:before="40"/>
            </w:pPr>
            <w:r/>
            <w:r>
              <w:rPr>
                <w:rFonts w:ascii="Aptos" w:hAnsi="Aptos"/>
                <w:b w:val="0"/>
                <w:sz w:val="17"/>
              </w:rPr>
              <w:t>Large product choice</w:t>
            </w:r>
          </w:p>
        </w:tc>
        <w:tc>
          <w:tcPr>
            <w:tcW w:type="dxa" w:w="3528"/>
            <w:vAlign w:val="center"/>
            <w:shd w:fill="F6F7FB"/>
          </w:tcPr>
          <w:p>
            <w:pPr>
              <w:spacing w:after="40" w:before="40"/>
            </w:pPr>
            <w:r/>
            <w:r>
              <w:rPr>
                <w:rFonts w:ascii="Aptos" w:hAnsi="Aptos"/>
                <w:b w:val="0"/>
                <w:sz w:val="17"/>
              </w:rPr>
              <w:t>Customers may find it difficult to compare products across categories and brands.</w:t>
            </w:r>
          </w:p>
        </w:tc>
        <w:tc>
          <w:tcPr>
            <w:tcW w:type="dxa" w:w="4032"/>
            <w:vAlign w:val="center"/>
            <w:shd w:fill="F6F7FB"/>
          </w:tcPr>
          <w:p>
            <w:pPr>
              <w:spacing w:after="40" w:before="40"/>
            </w:pPr>
            <w:r/>
            <w:r>
              <w:rPr>
                <w:rFonts w:ascii="Aptos" w:hAnsi="Aptos"/>
                <w:b w:val="0"/>
                <w:sz w:val="17"/>
              </w:rPr>
              <w:t>Summarize product attributes, ratings, and review patterns in a clear analytical view.</w:t>
            </w:r>
          </w:p>
        </w:tc>
      </w:tr>
      <w:tr>
        <w:tc>
          <w:tcPr>
            <w:tcW w:type="dxa" w:w="1944"/>
            <w:vAlign w:val="center"/>
          </w:tcPr>
          <w:p>
            <w:pPr>
              <w:spacing w:after="40" w:before="40"/>
            </w:pPr>
            <w:r/>
            <w:r>
              <w:rPr>
                <w:rFonts w:ascii="Aptos" w:hAnsi="Aptos"/>
                <w:b w:val="0"/>
                <w:sz w:val="17"/>
              </w:rPr>
              <w:t>Uneven customer feedback</w:t>
            </w:r>
          </w:p>
        </w:tc>
        <w:tc>
          <w:tcPr>
            <w:tcW w:type="dxa" w:w="3528"/>
            <w:vAlign w:val="center"/>
          </w:tcPr>
          <w:p>
            <w:pPr>
              <w:spacing w:after="40" w:before="40"/>
            </w:pPr>
            <w:r/>
            <w:r>
              <w:rPr>
                <w:rFonts w:ascii="Aptos" w:hAnsi="Aptos"/>
                <w:b w:val="0"/>
                <w:sz w:val="17"/>
              </w:rPr>
              <w:t>Some products have many reviews while others have very few.</w:t>
            </w:r>
          </w:p>
        </w:tc>
        <w:tc>
          <w:tcPr>
            <w:tcW w:type="dxa" w:w="4032"/>
            <w:vAlign w:val="center"/>
          </w:tcPr>
          <w:p>
            <w:pPr>
              <w:spacing w:after="40" w:before="40"/>
            </w:pPr>
            <w:r/>
            <w:r>
              <w:rPr>
                <w:rFonts w:ascii="Aptos" w:hAnsi="Aptos"/>
                <w:b w:val="0"/>
                <w:sz w:val="17"/>
              </w:rPr>
              <w:t>Report review volume alongside ratings and consider minimum sample thresholds.</w:t>
            </w:r>
          </w:p>
        </w:tc>
      </w:tr>
      <w:tr>
        <w:tc>
          <w:tcPr>
            <w:tcW w:type="dxa" w:w="1944"/>
            <w:vAlign w:val="center"/>
            <w:shd w:fill="F6F7FB"/>
          </w:tcPr>
          <w:p>
            <w:pPr>
              <w:spacing w:after="40" w:before="40"/>
            </w:pPr>
            <w:r/>
            <w:r>
              <w:rPr>
                <w:rFonts w:ascii="Aptos" w:hAnsi="Aptos"/>
                <w:b w:val="0"/>
                <w:sz w:val="17"/>
              </w:rPr>
              <w:t>Value and price scrutiny</w:t>
            </w:r>
          </w:p>
        </w:tc>
        <w:tc>
          <w:tcPr>
            <w:tcW w:type="dxa" w:w="3528"/>
            <w:vAlign w:val="center"/>
            <w:shd w:fill="F6F7FB"/>
          </w:tcPr>
          <w:p>
            <w:pPr>
              <w:spacing w:after="40" w:before="40"/>
            </w:pPr>
            <w:r/>
            <w:r>
              <w:rPr>
                <w:rFonts w:ascii="Aptos" w:hAnsi="Aptos"/>
                <w:b w:val="0"/>
                <w:sz w:val="17"/>
              </w:rPr>
              <w:t>Customers may compare price with perceived product quality.</w:t>
            </w:r>
          </w:p>
        </w:tc>
        <w:tc>
          <w:tcPr>
            <w:tcW w:type="dxa" w:w="4032"/>
            <w:vAlign w:val="center"/>
            <w:shd w:fill="F6F7FB"/>
          </w:tcPr>
          <w:p>
            <w:pPr>
              <w:spacing w:after="40" w:before="40"/>
            </w:pPr>
            <w:r/>
            <w:r>
              <w:rPr>
                <w:rFonts w:ascii="Aptos" w:hAnsi="Aptos"/>
                <w:b w:val="0"/>
                <w:sz w:val="17"/>
              </w:rPr>
              <w:t>Explore associations between price and ratings while avoiding causal claims.</w:t>
            </w:r>
          </w:p>
        </w:tc>
      </w:tr>
      <w:tr>
        <w:tc>
          <w:tcPr>
            <w:tcW w:type="dxa" w:w="1944"/>
            <w:vAlign w:val="center"/>
          </w:tcPr>
          <w:p>
            <w:pPr>
              <w:spacing w:after="40" w:before="40"/>
            </w:pPr>
            <w:r/>
            <w:r>
              <w:rPr>
                <w:rFonts w:ascii="Aptos" w:hAnsi="Aptos"/>
                <w:b w:val="0"/>
                <w:sz w:val="17"/>
              </w:rPr>
              <w:t>Unstructured review text</w:t>
            </w:r>
          </w:p>
        </w:tc>
        <w:tc>
          <w:tcPr>
            <w:tcW w:type="dxa" w:w="3528"/>
            <w:vAlign w:val="center"/>
          </w:tcPr>
          <w:p>
            <w:pPr>
              <w:spacing w:after="40" w:before="40"/>
            </w:pPr>
            <w:r/>
            <w:r>
              <w:rPr>
                <w:rFonts w:ascii="Aptos" w:hAnsi="Aptos"/>
                <w:b w:val="0"/>
                <w:sz w:val="17"/>
              </w:rPr>
              <w:t>Written feedback may contain recurring concerns that are not visible in average ratings alone.</w:t>
            </w:r>
          </w:p>
        </w:tc>
        <w:tc>
          <w:tcPr>
            <w:tcW w:type="dxa" w:w="4032"/>
            <w:vAlign w:val="center"/>
          </w:tcPr>
          <w:p>
            <w:pPr>
              <w:spacing w:after="40" w:before="40"/>
            </w:pPr>
            <w:r/>
            <w:r>
              <w:rPr>
                <w:rFonts w:ascii="Aptos" w:hAnsi="Aptos"/>
                <w:b w:val="0"/>
                <w:sz w:val="17"/>
              </w:rPr>
              <w:t>If text is available and permitted, explore themes or sentiment with transparent limitations.</w:t>
            </w:r>
          </w:p>
        </w:tc>
      </w:tr>
      <w:tr>
        <w:tc>
          <w:tcPr>
            <w:tcW w:type="dxa" w:w="1944"/>
            <w:vAlign w:val="center"/>
            <w:shd w:fill="F6F7FB"/>
          </w:tcPr>
          <w:p>
            <w:pPr>
              <w:spacing w:after="40" w:before="40"/>
            </w:pPr>
            <w:r/>
            <w:r>
              <w:rPr>
                <w:rFonts w:ascii="Aptos" w:hAnsi="Aptos"/>
                <w:b w:val="0"/>
                <w:sz w:val="17"/>
              </w:rPr>
              <w:t>Marketing and merchandising decisions</w:t>
            </w:r>
          </w:p>
        </w:tc>
        <w:tc>
          <w:tcPr>
            <w:tcW w:type="dxa" w:w="3528"/>
            <w:vAlign w:val="center"/>
            <w:shd w:fill="F6F7FB"/>
          </w:tcPr>
          <w:p>
            <w:pPr>
              <w:spacing w:after="40" w:before="40"/>
            </w:pPr>
            <w:r/>
            <w:r>
              <w:rPr>
                <w:rFonts w:ascii="Aptos" w:hAnsi="Aptos"/>
                <w:b w:val="0"/>
                <w:sz w:val="17"/>
              </w:rPr>
              <w:t>Teams need evidence to prioritize products and customer questions.</w:t>
            </w:r>
          </w:p>
        </w:tc>
        <w:tc>
          <w:tcPr>
            <w:tcW w:type="dxa" w:w="4032"/>
            <w:vAlign w:val="center"/>
            <w:shd w:fill="F6F7FB"/>
          </w:tcPr>
          <w:p>
            <w:pPr>
              <w:spacing w:after="40" w:before="40"/>
            </w:pPr>
            <w:r/>
            <w:r>
              <w:rPr>
                <w:rFonts w:ascii="Aptos" w:hAnsi="Aptos"/>
                <w:b w:val="0"/>
                <w:sz w:val="17"/>
              </w:rPr>
              <w:t>Translate analysis into cautious, measurable recommendations.</w:t>
            </w:r>
          </w:p>
        </w:tc>
      </w:tr>
    </w:tbl>
    <w:p/>
    <w:p>
      <w:pPr>
        <w:pStyle w:val="Heading1"/>
        <w:keepNext/>
      </w:pPr>
      <w:r>
        <w:t>3. Business Problem Statement</w:t>
      </w:r>
    </w:p>
    <w:p>
      <w:r>
        <w:t>Beauty and skincare retailers may have difficulty converting large volumes of product information and customer feedback into clear, actionable insights. Product ratings are easy to compare but may conceal differences in category, price, review volume, and customer concerns. A high average rating based on a small number of reviews may not be directly comparable with a similar rating supported by a much larger review base. Likewise, a relationship between price and rating, if observed, would not automatically mean that a higher price causes higher satisfaction.</w:t>
      </w:r>
    </w:p>
    <w:p>
      <w:r>
        <w:t>The business problem for this project is therefore: How can publicly available beauty-product and customer-review data be analyzed to identify interpretable patterns in product ratings and review engagement, and how can those patterns inform responsible product comparison and customer-facing decisions?</w:t>
      </w:r>
    </w:p>
    <w:tbl>
      <w:tblPr>
        <w:tblW w:type="auto" w:w="0"/>
        <w:jc w:val="center"/>
        <w:tblLook w:firstColumn="1" w:firstRow="1" w:lastColumn="0" w:lastRow="0" w:noHBand="0" w:noVBand="1" w:val="04A0"/>
      </w:tblPr>
      <w:tblGrid>
        <w:gridCol w:w="9878"/>
      </w:tblGrid>
      <w:tr>
        <w:tc>
          <w:tcPr>
            <w:tcW w:type="dxa" w:w="9878"/>
            <w:shd w:fill="F0ECFA"/>
          </w:tcPr>
          <w:p>
            <w:pPr>
              <w:spacing w:after="80"/>
            </w:pPr>
            <w:r/>
            <w:r>
              <w:rPr>
                <w:b/>
                <w:color w:val="6C4AB6"/>
                <w:sz w:val="20"/>
              </w:rPr>
              <w:t>PROBLEM BOUNDARY</w:t>
              <w:br/>
            </w:r>
            <w:r>
              <w:rPr>
                <w:color w:val="20213A"/>
                <w:sz w:val="18"/>
              </w:rPr>
              <w:t>The project will initially study observable product and review data—not individual purchasing behavior—unless the selected source explicitly contains suitable transaction or purchase-label data. It will not claim to identify causal effects from observational data alone.</w:t>
            </w:r>
          </w:p>
        </w:tc>
      </w:tr>
    </w:tbl>
    <w:p/>
    <w:p>
      <w:pPr>
        <w:pStyle w:val="Heading1"/>
        <w:keepNext/>
      </w:pPr>
      <w:r>
        <w:t>4. Aim, Objectives, and Scope</w:t>
      </w:r>
    </w:p>
    <w:p>
      <w:pPr>
        <w:pStyle w:val="Heading2"/>
        <w:keepNext/>
      </w:pPr>
      <w:r>
        <w:t>4.1 Overall aim</w:t>
      </w:r>
    </w:p>
    <w:p>
      <w:r>
        <w:t>To develop a reproducible Python-based analysis of beauty-product and skincare-review data that describes rating patterns, examines relationships between available product characteristics and feedback, and translates supported findings into practical business insights.</w:t>
      </w:r>
    </w:p>
    <w:p>
      <w:pPr>
        <w:pStyle w:val="Heading2"/>
        <w:keepNext/>
      </w:pPr>
      <w:r>
        <w:t>4.2 Specific objectives</w:t>
      </w:r>
    </w:p>
    <w:p>
      <w:pPr>
        <w:pStyle w:val="ListBullet"/>
        <w:spacing w:after="60"/>
      </w:pPr>
      <w:r>
        <w:t>Review credible industry sources to establish why customer feedback and product-value analysis are relevant to beauty and wellness.</w:t>
      </w:r>
    </w:p>
    <w:p>
      <w:pPr>
        <w:pStyle w:val="ListBullet"/>
        <w:spacing w:after="60"/>
      </w:pPr>
      <w:r>
        <w:t>Identify a suitable public dataset and verify its source, license or usage terms, schema, coverage, and quality before analysis.</w:t>
      </w:r>
    </w:p>
    <w:p>
      <w:pPr>
        <w:pStyle w:val="ListBullet"/>
        <w:spacing w:after="60"/>
      </w:pPr>
      <w:r>
        <w:t>Define the unit of analysis clearly—for example, one product record or one review record—and document any joins between tables.</w:t>
      </w:r>
    </w:p>
    <w:p>
      <w:pPr>
        <w:pStyle w:val="ListBullet"/>
        <w:spacing w:after="60"/>
      </w:pPr>
      <w:r>
        <w:t>Assess data completeness, duplicates, inconsistent formats, unusual values, and potential sampling bias.</w:t>
      </w:r>
    </w:p>
    <w:p>
      <w:pPr>
        <w:pStyle w:val="ListBullet"/>
        <w:spacing w:after="60"/>
      </w:pPr>
      <w:r>
        <w:t>Use descriptive statistics and visualizations to compare ratings, price distributions, review volumes, and categories where those variables are available.</w:t>
      </w:r>
    </w:p>
    <w:p>
      <w:pPr>
        <w:pStyle w:val="ListBullet"/>
        <w:spacing w:after="60"/>
      </w:pPr>
      <w:r>
        <w:t>Create only defensible derived variables, documenting their formulas and intended use.</w:t>
      </w:r>
    </w:p>
    <w:p>
      <w:pPr>
        <w:pStyle w:val="ListBullet"/>
        <w:spacing w:after="60"/>
      </w:pPr>
      <w:r>
        <w:t>Evaluate whether a predictive task is justified by the data, with a suitable baseline, validation design, and metrics if modeling proceeds.</w:t>
      </w:r>
    </w:p>
    <w:p>
      <w:pPr>
        <w:pStyle w:val="ListBullet"/>
        <w:spacing w:after="60"/>
      </w:pPr>
      <w:r>
        <w:t>Communicate findings and limitations in language that business stakeholders can understand.</w:t>
      </w:r>
    </w:p>
    <w:p>
      <w:pPr>
        <w:pStyle w:val="Heading2"/>
        <w:keepNext/>
      </w:pPr>
      <w:r>
        <w:t>4.3 Scope</w:t>
      </w:r>
    </w:p>
    <w:tbl>
      <w:tblPr>
        <w:tblStyle w:val="TableGrid"/>
        <w:tblW w:type="auto" w:w="0"/>
        <w:jc w:val="center"/>
        <w:tblLook w:firstColumn="1" w:firstRow="1" w:lastColumn="0" w:lastRow="0" w:noHBand="0" w:noVBand="1" w:val="04A0"/>
      </w:tblPr>
      <w:tblGrid>
        <w:gridCol w:w="4939"/>
        <w:gridCol w:w="4939"/>
      </w:tblGrid>
      <w:tr>
        <w:tc>
          <w:tcPr>
            <w:tcW w:type="dxa" w:w="4608"/>
            <w:vAlign w:val="center"/>
            <w:shd w:fill="20213A"/>
          </w:tcPr>
          <w:p>
            <w:pPr>
              <w:spacing w:after="40" w:before="40"/>
            </w:pPr>
            <w:r/>
            <w:r>
              <w:rPr>
                <w:rFonts w:ascii="Aptos" w:hAnsi="Aptos"/>
                <w:b/>
                <w:color w:val="FFFFFF"/>
                <w:sz w:val="18"/>
              </w:rPr>
              <w:t>Included in the proposed study</w:t>
            </w:r>
          </w:p>
        </w:tc>
        <w:tc>
          <w:tcPr>
            <w:tcW w:type="dxa" w:w="4896"/>
            <w:vAlign w:val="center"/>
            <w:shd w:fill="20213A"/>
          </w:tcPr>
          <w:p>
            <w:pPr>
              <w:spacing w:after="40" w:before="40"/>
            </w:pPr>
            <w:r/>
            <w:r>
              <w:rPr>
                <w:rFonts w:ascii="Aptos" w:hAnsi="Aptos"/>
                <w:b/>
                <w:color w:val="FFFFFF"/>
                <w:sz w:val="18"/>
              </w:rPr>
              <w:t>Outside the initial scope</w:t>
            </w:r>
          </w:p>
        </w:tc>
      </w:tr>
      <w:tr>
        <w:tc>
          <w:tcPr>
            <w:tcW w:type="dxa" w:w="4608"/>
            <w:vAlign w:val="center"/>
            <w:shd w:fill="F6F7FB"/>
          </w:tcPr>
          <w:p>
            <w:pPr>
              <w:spacing w:after="40" w:before="40"/>
            </w:pPr>
            <w:r/>
            <w:r>
              <w:rPr>
                <w:rFonts w:ascii="Aptos" w:hAnsi="Aptos"/>
                <w:b w:val="0"/>
                <w:sz w:val="17"/>
              </w:rPr>
              <w:t>Publicly available product attributes and review information permitted by the source.</w:t>
            </w:r>
          </w:p>
        </w:tc>
        <w:tc>
          <w:tcPr>
            <w:tcW w:type="dxa" w:w="4896"/>
            <w:vAlign w:val="center"/>
            <w:shd w:fill="F6F7FB"/>
          </w:tcPr>
          <w:p>
            <w:pPr>
              <w:spacing w:after="40" w:before="40"/>
            </w:pPr>
            <w:r/>
            <w:r>
              <w:rPr>
                <w:rFonts w:ascii="Aptos" w:hAnsi="Aptos"/>
                <w:b w:val="0"/>
                <w:sz w:val="17"/>
              </w:rPr>
              <w:t>Private customer records, non-public platform data, or personally identifiable information.</w:t>
            </w:r>
          </w:p>
        </w:tc>
      </w:tr>
      <w:tr>
        <w:tc>
          <w:tcPr>
            <w:tcW w:type="dxa" w:w="4608"/>
            <w:vAlign w:val="center"/>
          </w:tcPr>
          <w:p>
            <w:pPr>
              <w:spacing w:after="40" w:before="40"/>
            </w:pPr>
            <w:r/>
            <w:r>
              <w:rPr>
                <w:rFonts w:ascii="Aptos" w:hAnsi="Aptos"/>
                <w:b w:val="0"/>
                <w:sz w:val="17"/>
              </w:rPr>
              <w:t>Descriptive analysis of observed ratings, categories, prices, and review engagement where available.</w:t>
            </w:r>
          </w:p>
        </w:tc>
        <w:tc>
          <w:tcPr>
            <w:tcW w:type="dxa" w:w="4896"/>
            <w:vAlign w:val="center"/>
          </w:tcPr>
          <w:p>
            <w:pPr>
              <w:spacing w:after="40" w:before="40"/>
            </w:pPr>
            <w:r/>
            <w:r>
              <w:rPr>
                <w:rFonts w:ascii="Aptos" w:hAnsi="Aptos"/>
                <w:b w:val="0"/>
                <w:sz w:val="17"/>
              </w:rPr>
              <w:t>Claims that ratings directly measure all customers’ satisfaction.</w:t>
            </w:r>
          </w:p>
        </w:tc>
      </w:tr>
      <w:tr>
        <w:tc>
          <w:tcPr>
            <w:tcW w:type="dxa" w:w="4608"/>
            <w:vAlign w:val="center"/>
            <w:shd w:fill="F6F7FB"/>
          </w:tcPr>
          <w:p>
            <w:pPr>
              <w:spacing w:after="40" w:before="40"/>
            </w:pPr>
            <w:r/>
            <w:r>
              <w:rPr>
                <w:rFonts w:ascii="Aptos" w:hAnsi="Aptos"/>
                <w:b w:val="0"/>
                <w:sz w:val="17"/>
              </w:rPr>
              <w:t>Exploratory associations and cautious, evidence-based recommendations.</w:t>
            </w:r>
          </w:p>
        </w:tc>
        <w:tc>
          <w:tcPr>
            <w:tcW w:type="dxa" w:w="4896"/>
            <w:vAlign w:val="center"/>
            <w:shd w:fill="F6F7FB"/>
          </w:tcPr>
          <w:p>
            <w:pPr>
              <w:spacing w:after="40" w:before="40"/>
            </w:pPr>
            <w:r/>
            <w:r>
              <w:rPr>
                <w:rFonts w:ascii="Aptos" w:hAnsi="Aptos"/>
                <w:b w:val="0"/>
                <w:sz w:val="17"/>
              </w:rPr>
              <w:t>Causal claims without an appropriate causal research design.</w:t>
            </w:r>
          </w:p>
        </w:tc>
      </w:tr>
      <w:tr>
        <w:tc>
          <w:tcPr>
            <w:tcW w:type="dxa" w:w="4608"/>
            <w:vAlign w:val="center"/>
          </w:tcPr>
          <w:p>
            <w:pPr>
              <w:spacing w:after="40" w:before="40"/>
            </w:pPr>
            <w:r/>
            <w:r>
              <w:rPr>
                <w:rFonts w:ascii="Aptos" w:hAnsi="Aptos"/>
                <w:b w:val="0"/>
                <w:sz w:val="17"/>
              </w:rPr>
              <w:t>Optional text analysis if review text is available and use is permitted.</w:t>
            </w:r>
          </w:p>
        </w:tc>
        <w:tc>
          <w:tcPr>
            <w:tcW w:type="dxa" w:w="4896"/>
            <w:vAlign w:val="center"/>
          </w:tcPr>
          <w:p>
            <w:pPr>
              <w:spacing w:after="40" w:before="40"/>
            </w:pPr>
            <w:r/>
            <w:r>
              <w:rPr>
                <w:rFonts w:ascii="Aptos" w:hAnsi="Aptos"/>
                <w:b w:val="0"/>
                <w:sz w:val="17"/>
              </w:rPr>
              <w:t>Medical or dermatological advice and claims that a product is clinically effective.</w:t>
            </w:r>
          </w:p>
        </w:tc>
      </w:tr>
      <w:tr>
        <w:tc>
          <w:tcPr>
            <w:tcW w:type="dxa" w:w="4608"/>
            <w:vAlign w:val="center"/>
            <w:shd w:fill="F6F7FB"/>
          </w:tcPr>
          <w:p>
            <w:pPr>
              <w:spacing w:after="40" w:before="40"/>
            </w:pPr>
            <w:r/>
            <w:r>
              <w:rPr>
                <w:rFonts w:ascii="Aptos" w:hAnsi="Aptos"/>
                <w:b w:val="0"/>
                <w:sz w:val="17"/>
              </w:rPr>
              <w:t>A model only if the data supports a valid target and evaluation strategy.</w:t>
            </w:r>
          </w:p>
        </w:tc>
        <w:tc>
          <w:tcPr>
            <w:tcW w:type="dxa" w:w="4896"/>
            <w:vAlign w:val="center"/>
            <w:shd w:fill="F6F7FB"/>
          </w:tcPr>
          <w:p>
            <w:pPr>
              <w:spacing w:after="40" w:before="40"/>
            </w:pPr>
            <w:r/>
            <w:r>
              <w:rPr>
                <w:rFonts w:ascii="Aptos" w:hAnsi="Aptos"/>
                <w:b w:val="0"/>
                <w:sz w:val="17"/>
              </w:rPr>
              <w:t>Purchase prediction without actual purchase or transaction labels.</w:t>
            </w:r>
          </w:p>
        </w:tc>
      </w:tr>
    </w:tbl>
    <w:p/>
    <w:p>
      <w:pPr>
        <w:pStyle w:val="Heading1"/>
        <w:keepNext/>
      </w:pPr>
      <w:r>
        <w:t>5. Research Questions</w:t>
      </w:r>
    </w:p>
    <w:tbl>
      <w:tblPr>
        <w:tblStyle w:val="TableGrid"/>
        <w:tblW w:type="auto" w:w="0"/>
        <w:jc w:val="center"/>
        <w:tblLook w:firstColumn="1" w:firstRow="1" w:lastColumn="0" w:lastRow="0" w:noHBand="0" w:noVBand="1" w:val="04A0"/>
      </w:tblPr>
      <w:tblGrid>
        <w:gridCol w:w="4939"/>
        <w:gridCol w:w="4939"/>
      </w:tblGrid>
      <w:tr>
        <w:tc>
          <w:tcPr>
            <w:tcW w:type="dxa" w:w="1080"/>
            <w:vAlign w:val="center"/>
            <w:shd w:fill="20213A"/>
          </w:tcPr>
          <w:p>
            <w:pPr>
              <w:spacing w:after="40" w:before="40"/>
            </w:pPr>
            <w:r/>
            <w:r>
              <w:rPr>
                <w:rFonts w:ascii="Aptos" w:hAnsi="Aptos"/>
                <w:b/>
                <w:color w:val="FFFFFF"/>
                <w:sz w:val="18"/>
              </w:rPr>
              <w:t>ID</w:t>
            </w:r>
          </w:p>
        </w:tc>
        <w:tc>
          <w:tcPr>
            <w:tcW w:type="dxa" w:w="8424"/>
            <w:vAlign w:val="center"/>
            <w:shd w:fill="20213A"/>
          </w:tcPr>
          <w:p>
            <w:pPr>
              <w:spacing w:after="40" w:before="40"/>
            </w:pPr>
            <w:r/>
            <w:r>
              <w:rPr>
                <w:rFonts w:ascii="Aptos" w:hAnsi="Aptos"/>
                <w:b/>
                <w:color w:val="FFFFFF"/>
                <w:sz w:val="18"/>
              </w:rPr>
              <w:t>Research question</w:t>
            </w:r>
          </w:p>
        </w:tc>
      </w:tr>
      <w:tr>
        <w:tc>
          <w:tcPr>
            <w:tcW w:type="dxa" w:w="1080"/>
            <w:vAlign w:val="center"/>
            <w:shd w:fill="F6F7FB"/>
          </w:tcPr>
          <w:p>
            <w:pPr>
              <w:spacing w:after="40" w:before="40"/>
            </w:pPr>
            <w:r/>
            <w:r>
              <w:rPr>
                <w:rFonts w:ascii="Aptos" w:hAnsi="Aptos"/>
                <w:b w:val="0"/>
                <w:sz w:val="17"/>
              </w:rPr>
              <w:t>RQ1</w:t>
            </w:r>
          </w:p>
        </w:tc>
        <w:tc>
          <w:tcPr>
            <w:tcW w:type="dxa" w:w="8424"/>
            <w:vAlign w:val="center"/>
            <w:shd w:fill="F6F7FB"/>
          </w:tcPr>
          <w:p>
            <w:pPr>
              <w:spacing w:after="40" w:before="40"/>
            </w:pPr>
            <w:r/>
            <w:r>
              <w:rPr>
                <w:rFonts w:ascii="Aptos" w:hAnsi="Aptos"/>
                <w:b w:val="0"/>
                <w:sz w:val="17"/>
              </w:rPr>
              <w:t>How are product ratings distributed overall and across available beauty or skincare categories?</w:t>
            </w:r>
          </w:p>
        </w:tc>
      </w:tr>
      <w:tr>
        <w:tc>
          <w:tcPr>
            <w:tcW w:type="dxa" w:w="1080"/>
            <w:vAlign w:val="center"/>
          </w:tcPr>
          <w:p>
            <w:pPr>
              <w:spacing w:after="40" w:before="40"/>
            </w:pPr>
            <w:r/>
            <w:r>
              <w:rPr>
                <w:rFonts w:ascii="Aptos" w:hAnsi="Aptos"/>
                <w:b w:val="0"/>
                <w:sz w:val="17"/>
              </w:rPr>
              <w:t>RQ2</w:t>
            </w:r>
          </w:p>
        </w:tc>
        <w:tc>
          <w:tcPr>
            <w:tcW w:type="dxa" w:w="8424"/>
            <w:vAlign w:val="center"/>
          </w:tcPr>
          <w:p>
            <w:pPr>
              <w:spacing w:after="40" w:before="40"/>
            </w:pPr>
            <w:r/>
            <w:r>
              <w:rPr>
                <w:rFonts w:ascii="Aptos" w:hAnsi="Aptos"/>
                <w:b w:val="0"/>
                <w:sz w:val="17"/>
              </w:rPr>
              <w:t>Do rating distributions differ across product categories or brands when there is adequate data for comparison?</w:t>
            </w:r>
          </w:p>
        </w:tc>
      </w:tr>
      <w:tr>
        <w:tc>
          <w:tcPr>
            <w:tcW w:type="dxa" w:w="1080"/>
            <w:vAlign w:val="center"/>
            <w:shd w:fill="F6F7FB"/>
          </w:tcPr>
          <w:p>
            <w:pPr>
              <w:spacing w:after="40" w:before="40"/>
            </w:pPr>
            <w:r/>
            <w:r>
              <w:rPr>
                <w:rFonts w:ascii="Aptos" w:hAnsi="Aptos"/>
                <w:b w:val="0"/>
                <w:sz w:val="17"/>
              </w:rPr>
              <w:t>RQ3</w:t>
            </w:r>
          </w:p>
        </w:tc>
        <w:tc>
          <w:tcPr>
            <w:tcW w:type="dxa" w:w="8424"/>
            <w:vAlign w:val="center"/>
            <w:shd w:fill="F6F7FB"/>
          </w:tcPr>
          <w:p>
            <w:pPr>
              <w:spacing w:after="40" w:before="40"/>
            </w:pPr>
            <w:r/>
            <w:r>
              <w:rPr>
                <w:rFonts w:ascii="Aptos" w:hAnsi="Aptos"/>
                <w:b w:val="0"/>
                <w:sz w:val="17"/>
              </w:rPr>
              <w:t>What association, if any, exists between product price and average rating?</w:t>
            </w:r>
          </w:p>
        </w:tc>
      </w:tr>
      <w:tr>
        <w:tc>
          <w:tcPr>
            <w:tcW w:type="dxa" w:w="1080"/>
            <w:vAlign w:val="center"/>
          </w:tcPr>
          <w:p>
            <w:pPr>
              <w:spacing w:after="40" w:before="40"/>
            </w:pPr>
            <w:r/>
            <w:r>
              <w:rPr>
                <w:rFonts w:ascii="Aptos" w:hAnsi="Aptos"/>
                <w:b w:val="0"/>
                <w:sz w:val="17"/>
              </w:rPr>
              <w:t>RQ4</w:t>
            </w:r>
          </w:p>
        </w:tc>
        <w:tc>
          <w:tcPr>
            <w:tcW w:type="dxa" w:w="8424"/>
            <w:vAlign w:val="center"/>
          </w:tcPr>
          <w:p>
            <w:pPr>
              <w:spacing w:after="40" w:before="40"/>
            </w:pPr>
            <w:r/>
            <w:r>
              <w:rPr>
                <w:rFonts w:ascii="Aptos" w:hAnsi="Aptos"/>
                <w:b w:val="0"/>
                <w:sz w:val="17"/>
              </w:rPr>
              <w:t>How does review volume vary across products, and how should review volume affect interpretation of average ratings?</w:t>
            </w:r>
          </w:p>
        </w:tc>
      </w:tr>
      <w:tr>
        <w:tc>
          <w:tcPr>
            <w:tcW w:type="dxa" w:w="1080"/>
            <w:vAlign w:val="center"/>
            <w:shd w:fill="F6F7FB"/>
          </w:tcPr>
          <w:p>
            <w:pPr>
              <w:spacing w:after="40" w:before="40"/>
            </w:pPr>
            <w:r/>
            <w:r>
              <w:rPr>
                <w:rFonts w:ascii="Aptos" w:hAnsi="Aptos"/>
                <w:b w:val="0"/>
                <w:sz w:val="17"/>
              </w:rPr>
              <w:t>RQ5</w:t>
            </w:r>
          </w:p>
        </w:tc>
        <w:tc>
          <w:tcPr>
            <w:tcW w:type="dxa" w:w="8424"/>
            <w:vAlign w:val="center"/>
            <w:shd w:fill="F6F7FB"/>
          </w:tcPr>
          <w:p>
            <w:pPr>
              <w:spacing w:after="40" w:before="40"/>
            </w:pPr>
            <w:r/>
            <w:r>
              <w:rPr>
                <w:rFonts w:ascii="Aptos" w:hAnsi="Aptos"/>
                <w:b w:val="0"/>
                <w:sz w:val="17"/>
              </w:rPr>
              <w:t>If review text is available, what recurring topics or sentiment patterns can be identified, and how do they relate to numeric ratings?</w:t>
            </w:r>
          </w:p>
        </w:tc>
      </w:tr>
      <w:tr>
        <w:tc>
          <w:tcPr>
            <w:tcW w:type="dxa" w:w="1080"/>
            <w:vAlign w:val="center"/>
          </w:tcPr>
          <w:p>
            <w:pPr>
              <w:spacing w:after="40" w:before="40"/>
            </w:pPr>
            <w:r/>
            <w:r>
              <w:rPr>
                <w:rFonts w:ascii="Aptos" w:hAnsi="Aptos"/>
                <w:b w:val="0"/>
                <w:sz w:val="17"/>
              </w:rPr>
              <w:t>RQ6</w:t>
            </w:r>
          </w:p>
        </w:tc>
        <w:tc>
          <w:tcPr>
            <w:tcW w:type="dxa" w:w="8424"/>
            <w:vAlign w:val="center"/>
          </w:tcPr>
          <w:p>
            <w:pPr>
              <w:spacing w:after="40" w:before="40"/>
            </w:pPr>
            <w:r/>
            <w:r>
              <w:rPr>
                <w:rFonts w:ascii="Aptos" w:hAnsi="Aptos"/>
                <w:b w:val="0"/>
                <w:sz w:val="17"/>
              </w:rPr>
              <w:t>Can a clearly defined target—such as a rating band—be predicted from permitted product attributes without target leakage, and does the model outperform a simple baseline?</w:t>
            </w:r>
          </w:p>
        </w:tc>
      </w:tr>
    </w:tbl>
    <w:p/>
    <w:p>
      <w:r>
        <w:t>RQ1–RQ4 are the core exploratory questions. RQ5 is conditional on the availability and permitted use of review text. RQ6 is exploratory and will proceed only if data inspection shows that a meaningful target can be defined and evaluated.</w:t>
      </w:r>
    </w:p>
    <w:p>
      <w:pPr>
        <w:pStyle w:val="Heading1"/>
        <w:keepNext/>
      </w:pPr>
      <w:r>
        <w:t>6. Research Hypotheses</w:t>
      </w:r>
    </w:p>
    <w:p>
      <w:r>
        <w:t>The following hypotheses are provisional and will be assessed only after the dataset and its limitations have been reviewed. A non-significant result will be reported honestly; hypotheses will not be changed simply to fit observed outcomes.</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792"/>
            <w:vAlign w:val="center"/>
            <w:shd w:fill="20213A"/>
          </w:tcPr>
          <w:p>
            <w:pPr>
              <w:spacing w:after="40" w:before="40"/>
            </w:pPr>
            <w:r/>
            <w:r>
              <w:rPr>
                <w:rFonts w:ascii="Aptos" w:hAnsi="Aptos"/>
                <w:b/>
                <w:color w:val="FFFFFF"/>
                <w:sz w:val="18"/>
              </w:rPr>
              <w:t>ID</w:t>
            </w:r>
          </w:p>
        </w:tc>
        <w:tc>
          <w:tcPr>
            <w:tcW w:type="dxa" w:w="2664"/>
            <w:vAlign w:val="center"/>
            <w:shd w:fill="20213A"/>
          </w:tcPr>
          <w:p>
            <w:pPr>
              <w:spacing w:after="40" w:before="40"/>
            </w:pPr>
            <w:r/>
            <w:r>
              <w:rPr>
                <w:rFonts w:ascii="Aptos" w:hAnsi="Aptos"/>
                <w:b/>
                <w:color w:val="FFFFFF"/>
                <w:sz w:val="18"/>
              </w:rPr>
              <w:t>Null hypothesis (H₀)</w:t>
            </w:r>
          </w:p>
        </w:tc>
        <w:tc>
          <w:tcPr>
            <w:tcW w:type="dxa" w:w="2664"/>
            <w:vAlign w:val="center"/>
            <w:shd w:fill="20213A"/>
          </w:tcPr>
          <w:p>
            <w:pPr>
              <w:spacing w:after="40" w:before="40"/>
            </w:pPr>
            <w:r/>
            <w:r>
              <w:rPr>
                <w:rFonts w:ascii="Aptos" w:hAnsi="Aptos"/>
                <w:b/>
                <w:color w:val="FFFFFF"/>
                <w:sz w:val="18"/>
              </w:rPr>
              <w:t>Alternative hypothesis (H₁)</w:t>
            </w:r>
          </w:p>
        </w:tc>
        <w:tc>
          <w:tcPr>
            <w:tcW w:type="dxa" w:w="3384"/>
            <w:vAlign w:val="center"/>
            <w:shd w:fill="20213A"/>
          </w:tcPr>
          <w:p>
            <w:pPr>
              <w:spacing w:after="40" w:before="40"/>
            </w:pPr>
            <w:r/>
            <w:r>
              <w:rPr>
                <w:rFonts w:ascii="Aptos" w:hAnsi="Aptos"/>
                <w:b/>
                <w:color w:val="FFFFFF"/>
                <w:sz w:val="18"/>
              </w:rPr>
              <w:t>Potential assessment</w:t>
            </w:r>
          </w:p>
        </w:tc>
      </w:tr>
      <w:tr>
        <w:tc>
          <w:tcPr>
            <w:tcW w:type="dxa" w:w="792"/>
            <w:vAlign w:val="center"/>
            <w:shd w:fill="F6F7FB"/>
          </w:tcPr>
          <w:p>
            <w:pPr>
              <w:spacing w:after="40" w:before="40"/>
            </w:pPr>
            <w:r/>
            <w:r>
              <w:rPr>
                <w:rFonts w:ascii="Aptos" w:hAnsi="Aptos"/>
                <w:b w:val="0"/>
                <w:sz w:val="17"/>
              </w:rPr>
              <w:t>H1</w:t>
            </w:r>
          </w:p>
        </w:tc>
        <w:tc>
          <w:tcPr>
            <w:tcW w:type="dxa" w:w="2664"/>
            <w:vAlign w:val="center"/>
            <w:shd w:fill="F6F7FB"/>
          </w:tcPr>
          <w:p>
            <w:pPr>
              <w:spacing w:after="40" w:before="40"/>
            </w:pPr>
            <w:r/>
            <w:r>
              <w:rPr>
                <w:rFonts w:ascii="Aptos" w:hAnsi="Aptos"/>
                <w:b w:val="0"/>
                <w:sz w:val="17"/>
              </w:rPr>
              <w:t>The rating distributions do not differ meaningfully across adequately represented product categories.</w:t>
            </w:r>
          </w:p>
        </w:tc>
        <w:tc>
          <w:tcPr>
            <w:tcW w:type="dxa" w:w="2664"/>
            <w:vAlign w:val="center"/>
            <w:shd w:fill="F6F7FB"/>
          </w:tcPr>
          <w:p>
            <w:pPr>
              <w:spacing w:after="40" w:before="40"/>
            </w:pPr>
            <w:r/>
            <w:r>
              <w:rPr>
                <w:rFonts w:ascii="Aptos" w:hAnsi="Aptos"/>
                <w:b w:val="0"/>
                <w:sz w:val="17"/>
              </w:rPr>
              <w:t>At least some categories have different rating distributions.</w:t>
            </w:r>
          </w:p>
        </w:tc>
        <w:tc>
          <w:tcPr>
            <w:tcW w:type="dxa" w:w="3384"/>
            <w:vAlign w:val="center"/>
            <w:shd w:fill="F6F7FB"/>
          </w:tcPr>
          <w:p>
            <w:pPr>
              <w:spacing w:after="40" w:before="40"/>
            </w:pPr>
            <w:r/>
            <w:r>
              <w:rPr>
                <w:rFonts w:ascii="Aptos" w:hAnsi="Aptos"/>
                <w:b w:val="0"/>
                <w:sz w:val="17"/>
              </w:rPr>
              <w:t>Distribution plots; ANOVA or Kruskal–Wallis test as appropriate; effect size and post-hoc checks if justified.</w:t>
            </w:r>
          </w:p>
        </w:tc>
      </w:tr>
      <w:tr>
        <w:tc>
          <w:tcPr>
            <w:tcW w:type="dxa" w:w="792"/>
            <w:vAlign w:val="center"/>
          </w:tcPr>
          <w:p>
            <w:pPr>
              <w:spacing w:after="40" w:before="40"/>
            </w:pPr>
            <w:r/>
            <w:r>
              <w:rPr>
                <w:rFonts w:ascii="Aptos" w:hAnsi="Aptos"/>
                <w:b w:val="0"/>
                <w:sz w:val="17"/>
              </w:rPr>
              <w:t>H2</w:t>
            </w:r>
          </w:p>
        </w:tc>
        <w:tc>
          <w:tcPr>
            <w:tcW w:type="dxa" w:w="2664"/>
            <w:vAlign w:val="center"/>
          </w:tcPr>
          <w:p>
            <w:pPr>
              <w:spacing w:after="40" w:before="40"/>
            </w:pPr>
            <w:r/>
            <w:r>
              <w:rPr>
                <w:rFonts w:ascii="Aptos" w:hAnsi="Aptos"/>
                <w:b w:val="0"/>
                <w:sz w:val="17"/>
              </w:rPr>
              <w:t>There is no monotonic association between product price and average rating.</w:t>
            </w:r>
          </w:p>
        </w:tc>
        <w:tc>
          <w:tcPr>
            <w:tcW w:type="dxa" w:w="2664"/>
            <w:vAlign w:val="center"/>
          </w:tcPr>
          <w:p>
            <w:pPr>
              <w:spacing w:after="40" w:before="40"/>
            </w:pPr>
            <w:r/>
            <w:r>
              <w:rPr>
                <w:rFonts w:ascii="Aptos" w:hAnsi="Aptos"/>
                <w:b w:val="0"/>
                <w:sz w:val="17"/>
              </w:rPr>
              <w:t>Product price and average rating show a monotonic association.</w:t>
            </w:r>
          </w:p>
        </w:tc>
        <w:tc>
          <w:tcPr>
            <w:tcW w:type="dxa" w:w="3384"/>
            <w:vAlign w:val="center"/>
          </w:tcPr>
          <w:p>
            <w:pPr>
              <w:spacing w:after="40" w:before="40"/>
            </w:pPr>
            <w:r/>
            <w:r>
              <w:rPr>
                <w:rFonts w:ascii="Aptos" w:hAnsi="Aptos"/>
                <w:b w:val="0"/>
                <w:sz w:val="17"/>
              </w:rPr>
              <w:t>Scatterplot; Spearman correlation; sensitivity checks for extreme values.</w:t>
            </w:r>
          </w:p>
        </w:tc>
      </w:tr>
      <w:tr>
        <w:tc>
          <w:tcPr>
            <w:tcW w:type="dxa" w:w="792"/>
            <w:vAlign w:val="center"/>
            <w:shd w:fill="F6F7FB"/>
          </w:tcPr>
          <w:p>
            <w:pPr>
              <w:spacing w:after="40" w:before="40"/>
            </w:pPr>
            <w:r/>
            <w:r>
              <w:rPr>
                <w:rFonts w:ascii="Aptos" w:hAnsi="Aptos"/>
                <w:b w:val="0"/>
                <w:sz w:val="17"/>
              </w:rPr>
              <w:t>H3</w:t>
            </w:r>
          </w:p>
        </w:tc>
        <w:tc>
          <w:tcPr>
            <w:tcW w:type="dxa" w:w="2664"/>
            <w:vAlign w:val="center"/>
            <w:shd w:fill="F6F7FB"/>
          </w:tcPr>
          <w:p>
            <w:pPr>
              <w:spacing w:after="40" w:before="40"/>
            </w:pPr>
            <w:r/>
            <w:r>
              <w:rPr>
                <w:rFonts w:ascii="Aptos" w:hAnsi="Aptos"/>
                <w:b w:val="0"/>
                <w:sz w:val="17"/>
              </w:rPr>
              <w:t>Review volume is not associated with the stability or uncertainty of product-level average ratings.</w:t>
            </w:r>
          </w:p>
        </w:tc>
        <w:tc>
          <w:tcPr>
            <w:tcW w:type="dxa" w:w="2664"/>
            <w:vAlign w:val="center"/>
            <w:shd w:fill="F6F7FB"/>
          </w:tcPr>
          <w:p>
            <w:pPr>
              <w:spacing w:after="40" w:before="40"/>
            </w:pPr>
            <w:r/>
            <w:r>
              <w:rPr>
                <w:rFonts w:ascii="Aptos" w:hAnsi="Aptos"/>
                <w:b w:val="0"/>
                <w:sz w:val="17"/>
              </w:rPr>
              <w:t>Review volume is associated with the stability or uncertainty of average ratings.</w:t>
            </w:r>
          </w:p>
        </w:tc>
        <w:tc>
          <w:tcPr>
            <w:tcW w:type="dxa" w:w="3384"/>
            <w:vAlign w:val="center"/>
            <w:shd w:fill="F6F7FB"/>
          </w:tcPr>
          <w:p>
            <w:pPr>
              <w:spacing w:after="40" w:before="40"/>
            </w:pPr>
            <w:r/>
            <w:r>
              <w:rPr>
                <w:rFonts w:ascii="Aptos" w:hAnsi="Aptos"/>
                <w:b w:val="0"/>
                <w:sz w:val="17"/>
              </w:rPr>
              <w:t>Compare confidence intervals or uncertainty by review-count bands; avoid treating count alone as quality.</w:t>
            </w:r>
          </w:p>
        </w:tc>
      </w:tr>
      <w:tr>
        <w:tc>
          <w:tcPr>
            <w:tcW w:type="dxa" w:w="792"/>
            <w:vAlign w:val="center"/>
          </w:tcPr>
          <w:p>
            <w:pPr>
              <w:spacing w:after="40" w:before="40"/>
            </w:pPr>
            <w:r/>
            <w:r>
              <w:rPr>
                <w:rFonts w:ascii="Aptos" w:hAnsi="Aptos"/>
                <w:b w:val="0"/>
                <w:sz w:val="17"/>
              </w:rPr>
              <w:t>H4 (conditional)</w:t>
            </w:r>
          </w:p>
        </w:tc>
        <w:tc>
          <w:tcPr>
            <w:tcW w:type="dxa" w:w="2664"/>
            <w:vAlign w:val="center"/>
          </w:tcPr>
          <w:p>
            <w:pPr>
              <w:spacing w:after="40" w:before="40"/>
            </w:pPr>
            <w:r/>
            <w:r>
              <w:rPr>
                <w:rFonts w:ascii="Aptos" w:hAnsi="Aptos"/>
                <w:b w:val="0"/>
                <w:sz w:val="17"/>
              </w:rPr>
              <w:t>Review-text features do not provide useful information about rating bands beyond a simple baseline.</w:t>
            </w:r>
          </w:p>
        </w:tc>
        <w:tc>
          <w:tcPr>
            <w:tcW w:type="dxa" w:w="2664"/>
            <w:vAlign w:val="center"/>
          </w:tcPr>
          <w:p>
            <w:pPr>
              <w:spacing w:after="40" w:before="40"/>
            </w:pPr>
            <w:r/>
            <w:r>
              <w:rPr>
                <w:rFonts w:ascii="Aptos" w:hAnsi="Aptos"/>
                <w:b w:val="0"/>
                <w:sz w:val="17"/>
              </w:rPr>
              <w:t>Review-text features improve rating-band prediction over a baseline.</w:t>
            </w:r>
          </w:p>
        </w:tc>
        <w:tc>
          <w:tcPr>
            <w:tcW w:type="dxa" w:w="3384"/>
            <w:vAlign w:val="center"/>
          </w:tcPr>
          <w:p>
            <w:pPr>
              <w:spacing w:after="40" w:before="40"/>
            </w:pPr>
            <w:r/>
            <w:r>
              <w:rPr>
                <w:rFonts w:ascii="Aptos" w:hAnsi="Aptos"/>
                <w:b w:val="0"/>
                <w:sz w:val="17"/>
              </w:rPr>
              <w:t>Held-out evaluation using suitable metrics; only if text and rating labels are available and leakage is controlled.</w:t>
            </w:r>
          </w:p>
        </w:tc>
      </w:tr>
    </w:tbl>
    <w:p/>
    <w:p>
      <w:r>
        <w:t>Statistical tests will be selected after checking variable types, sample sizes, distributional assumptions, dependence between observations, and missingness. Statistical significance alone will not be treated as proof of business importance. Multiple comparisons, where relevant, will be acknowledged and controlled appropriately.</w:t>
      </w:r>
    </w:p>
    <w:p>
      <w:pPr>
        <w:pStyle w:val="Heading1"/>
        <w:keepNext/>
      </w:pPr>
      <w:r>
        <w:t>7. Proposed Dataset and Variables</w:t>
      </w:r>
    </w:p>
    <w:p>
      <w:pPr>
        <w:pStyle w:val="Heading2"/>
        <w:keepNext/>
      </w:pPr>
      <w:r>
        <w:t>7.1 Candidate source</w:t>
      </w:r>
    </w:p>
    <w:p>
      <w:r>
        <w:t>A candidate for investigation is the publicly listed “Sephora Products and Skincare Reviews” dataset on Kaggle. Public descriptions indicate that it may contain product catalog information and review records. This is a candidate, not yet a confirmed final source: before use, the project will verify the current dataset page, exact files and columns, data provenance, license/terms, collection period, and whether the fields are sufficiently complete for the research questions.</w:t>
      </w:r>
    </w:p>
    <w:p>
      <w:r>
        <w:rPr>
          <w:b/>
        </w:rPr>
        <w:t xml:space="preserve">Candidate dataset page: </w:t>
      </w:r>
      <w:r>
        <w:t>https://www.kaggle.com/datasets/nadyinky/sephora-products-and-skincare-reviews</w:t>
      </w:r>
    </w:p>
    <w:p>
      <w:r>
        <w:t>If the candidate dataset is unavailable, its terms do not permit the intended use, or its columns do not support the study, an alternative public dataset will be selected and documented in Week 2. No values, column names, or sample counts will be assumed until the files are inspected.</w:t>
      </w:r>
    </w:p>
    <w:p>
      <w:pPr>
        <w:pStyle w:val="Heading2"/>
        <w:keepNext/>
      </w:pPr>
      <w:r>
        <w:t>7.2 Potential variables (subject to verification)</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1728"/>
            <w:vAlign w:val="center"/>
            <w:shd w:fill="20213A"/>
          </w:tcPr>
          <w:p>
            <w:pPr>
              <w:spacing w:after="40" w:before="40"/>
            </w:pPr>
            <w:r/>
            <w:r>
              <w:rPr>
                <w:rFonts w:ascii="Aptos" w:hAnsi="Aptos"/>
                <w:b/>
                <w:color w:val="FFFFFF"/>
                <w:sz w:val="18"/>
              </w:rPr>
              <w:t>Variable group</w:t>
            </w:r>
          </w:p>
        </w:tc>
        <w:tc>
          <w:tcPr>
            <w:tcW w:type="dxa" w:w="2448"/>
            <w:vAlign w:val="center"/>
            <w:shd w:fill="20213A"/>
          </w:tcPr>
          <w:p>
            <w:pPr>
              <w:spacing w:after="40" w:before="40"/>
            </w:pPr>
            <w:r/>
            <w:r>
              <w:rPr>
                <w:rFonts w:ascii="Aptos" w:hAnsi="Aptos"/>
                <w:b/>
                <w:color w:val="FFFFFF"/>
                <w:sz w:val="18"/>
              </w:rPr>
              <w:t>Examples if present</w:t>
            </w:r>
          </w:p>
        </w:tc>
        <w:tc>
          <w:tcPr>
            <w:tcW w:type="dxa" w:w="2880"/>
            <w:vAlign w:val="center"/>
            <w:shd w:fill="20213A"/>
          </w:tcPr>
          <w:p>
            <w:pPr>
              <w:spacing w:after="40" w:before="40"/>
            </w:pPr>
            <w:r/>
            <w:r>
              <w:rPr>
                <w:rFonts w:ascii="Aptos" w:hAnsi="Aptos"/>
                <w:b/>
                <w:color w:val="FFFFFF"/>
                <w:sz w:val="18"/>
              </w:rPr>
              <w:t>Purpose</w:t>
            </w:r>
          </w:p>
        </w:tc>
        <w:tc>
          <w:tcPr>
            <w:tcW w:type="dxa" w:w="2448"/>
            <w:vAlign w:val="center"/>
            <w:shd w:fill="20213A"/>
          </w:tcPr>
          <w:p>
            <w:pPr>
              <w:spacing w:after="40" w:before="40"/>
            </w:pPr>
            <w:r/>
            <w:r>
              <w:rPr>
                <w:rFonts w:ascii="Aptos" w:hAnsi="Aptos"/>
                <w:b/>
                <w:color w:val="FFFFFF"/>
                <w:sz w:val="18"/>
              </w:rPr>
              <w:t>Checks required</w:t>
            </w:r>
          </w:p>
        </w:tc>
      </w:tr>
      <w:tr>
        <w:tc>
          <w:tcPr>
            <w:tcW w:type="dxa" w:w="1728"/>
            <w:vAlign w:val="center"/>
            <w:shd w:fill="F6F7FB"/>
          </w:tcPr>
          <w:p>
            <w:pPr>
              <w:spacing w:after="40" w:before="40"/>
            </w:pPr>
            <w:r/>
            <w:r>
              <w:rPr>
                <w:rFonts w:ascii="Aptos" w:hAnsi="Aptos"/>
                <w:b w:val="0"/>
                <w:sz w:val="17"/>
              </w:rPr>
              <w:t>Product identity</w:t>
            </w:r>
          </w:p>
        </w:tc>
        <w:tc>
          <w:tcPr>
            <w:tcW w:type="dxa" w:w="2448"/>
            <w:vAlign w:val="center"/>
            <w:shd w:fill="F6F7FB"/>
          </w:tcPr>
          <w:p>
            <w:pPr>
              <w:spacing w:after="40" w:before="40"/>
            </w:pPr>
            <w:r/>
            <w:r>
              <w:rPr>
                <w:rFonts w:ascii="Aptos" w:hAnsi="Aptos"/>
                <w:b w:val="0"/>
                <w:sz w:val="17"/>
              </w:rPr>
              <w:t>Product ID, product name, brand</w:t>
            </w:r>
          </w:p>
        </w:tc>
        <w:tc>
          <w:tcPr>
            <w:tcW w:type="dxa" w:w="2880"/>
            <w:vAlign w:val="center"/>
            <w:shd w:fill="F6F7FB"/>
          </w:tcPr>
          <w:p>
            <w:pPr>
              <w:spacing w:after="40" w:before="40"/>
            </w:pPr>
            <w:r/>
            <w:r>
              <w:rPr>
                <w:rFonts w:ascii="Aptos" w:hAnsi="Aptos"/>
                <w:b w:val="0"/>
                <w:sz w:val="17"/>
              </w:rPr>
              <w:t>Identify products and join product-level and review-level records.</w:t>
            </w:r>
          </w:p>
        </w:tc>
        <w:tc>
          <w:tcPr>
            <w:tcW w:type="dxa" w:w="2448"/>
            <w:vAlign w:val="center"/>
            <w:shd w:fill="F6F7FB"/>
          </w:tcPr>
          <w:p>
            <w:pPr>
              <w:spacing w:after="40" w:before="40"/>
            </w:pPr>
            <w:r/>
            <w:r>
              <w:rPr>
                <w:rFonts w:ascii="Aptos" w:hAnsi="Aptos"/>
                <w:b w:val="0"/>
                <w:sz w:val="17"/>
              </w:rPr>
              <w:t>Check uniqueness, null IDs, and join coverage.</w:t>
            </w:r>
          </w:p>
        </w:tc>
      </w:tr>
      <w:tr>
        <w:tc>
          <w:tcPr>
            <w:tcW w:type="dxa" w:w="1728"/>
            <w:vAlign w:val="center"/>
          </w:tcPr>
          <w:p>
            <w:pPr>
              <w:spacing w:after="40" w:before="40"/>
            </w:pPr>
            <w:r/>
            <w:r>
              <w:rPr>
                <w:rFonts w:ascii="Aptos" w:hAnsi="Aptos"/>
                <w:b w:val="0"/>
                <w:sz w:val="17"/>
              </w:rPr>
              <w:t>Product category</w:t>
            </w:r>
          </w:p>
        </w:tc>
        <w:tc>
          <w:tcPr>
            <w:tcW w:type="dxa" w:w="2448"/>
            <w:vAlign w:val="center"/>
          </w:tcPr>
          <w:p>
            <w:pPr>
              <w:spacing w:after="40" w:before="40"/>
            </w:pPr>
            <w:r/>
            <w:r>
              <w:rPr>
                <w:rFonts w:ascii="Aptos" w:hAnsi="Aptos"/>
                <w:b w:val="0"/>
                <w:sz w:val="17"/>
              </w:rPr>
              <w:t>Category, subcategory</w:t>
            </w:r>
          </w:p>
        </w:tc>
        <w:tc>
          <w:tcPr>
            <w:tcW w:type="dxa" w:w="2880"/>
            <w:vAlign w:val="center"/>
          </w:tcPr>
          <w:p>
            <w:pPr>
              <w:spacing w:after="40" w:before="40"/>
            </w:pPr>
            <w:r/>
            <w:r>
              <w:rPr>
                <w:rFonts w:ascii="Aptos" w:hAnsi="Aptos"/>
                <w:b w:val="0"/>
                <w:sz w:val="17"/>
              </w:rPr>
              <w:t>Compare rating distributions across product groups.</w:t>
            </w:r>
          </w:p>
        </w:tc>
        <w:tc>
          <w:tcPr>
            <w:tcW w:type="dxa" w:w="2448"/>
            <w:vAlign w:val="center"/>
          </w:tcPr>
          <w:p>
            <w:pPr>
              <w:spacing w:after="40" w:before="40"/>
            </w:pPr>
            <w:r/>
            <w:r>
              <w:rPr>
                <w:rFonts w:ascii="Aptos" w:hAnsi="Aptos"/>
                <w:b w:val="0"/>
                <w:sz w:val="17"/>
              </w:rPr>
              <w:t>Standardize labels; inspect rare categories.</w:t>
            </w:r>
          </w:p>
        </w:tc>
      </w:tr>
      <w:tr>
        <w:tc>
          <w:tcPr>
            <w:tcW w:type="dxa" w:w="1728"/>
            <w:vAlign w:val="center"/>
            <w:shd w:fill="F6F7FB"/>
          </w:tcPr>
          <w:p>
            <w:pPr>
              <w:spacing w:after="40" w:before="40"/>
            </w:pPr>
            <w:r/>
            <w:r>
              <w:rPr>
                <w:rFonts w:ascii="Aptos" w:hAnsi="Aptos"/>
                <w:b w:val="0"/>
                <w:sz w:val="17"/>
              </w:rPr>
              <w:t>Price/value proxy</w:t>
            </w:r>
          </w:p>
        </w:tc>
        <w:tc>
          <w:tcPr>
            <w:tcW w:type="dxa" w:w="2448"/>
            <w:vAlign w:val="center"/>
            <w:shd w:fill="F6F7FB"/>
          </w:tcPr>
          <w:p>
            <w:pPr>
              <w:spacing w:after="40" w:before="40"/>
            </w:pPr>
            <w:r/>
            <w:r>
              <w:rPr>
                <w:rFonts w:ascii="Aptos" w:hAnsi="Aptos"/>
                <w:b w:val="0"/>
                <w:sz w:val="17"/>
              </w:rPr>
              <w:t>Price, sale price, price currency</w:t>
            </w:r>
          </w:p>
        </w:tc>
        <w:tc>
          <w:tcPr>
            <w:tcW w:type="dxa" w:w="2880"/>
            <w:vAlign w:val="center"/>
            <w:shd w:fill="F6F7FB"/>
          </w:tcPr>
          <w:p>
            <w:pPr>
              <w:spacing w:after="40" w:before="40"/>
            </w:pPr>
            <w:r/>
            <w:r>
              <w:rPr>
                <w:rFonts w:ascii="Aptos" w:hAnsi="Aptos"/>
                <w:b w:val="0"/>
                <w:sz w:val="17"/>
              </w:rPr>
              <w:t>Explore associations between price and rating.</w:t>
            </w:r>
          </w:p>
        </w:tc>
        <w:tc>
          <w:tcPr>
            <w:tcW w:type="dxa" w:w="2448"/>
            <w:vAlign w:val="center"/>
            <w:shd w:fill="F6F7FB"/>
          </w:tcPr>
          <w:p>
            <w:pPr>
              <w:spacing w:after="40" w:before="40"/>
            </w:pPr>
            <w:r/>
            <w:r>
              <w:rPr>
                <w:rFonts w:ascii="Aptos" w:hAnsi="Aptos"/>
                <w:b w:val="0"/>
                <w:sz w:val="17"/>
              </w:rPr>
              <w:t>Validate currency, numeric formats, and implausible values.</w:t>
            </w:r>
          </w:p>
        </w:tc>
      </w:tr>
      <w:tr>
        <w:tc>
          <w:tcPr>
            <w:tcW w:type="dxa" w:w="1728"/>
            <w:vAlign w:val="center"/>
          </w:tcPr>
          <w:p>
            <w:pPr>
              <w:spacing w:after="40" w:before="40"/>
            </w:pPr>
            <w:r/>
            <w:r>
              <w:rPr>
                <w:rFonts w:ascii="Aptos" w:hAnsi="Aptos"/>
                <w:b w:val="0"/>
                <w:sz w:val="17"/>
              </w:rPr>
              <w:t>Rating and engagement</w:t>
            </w:r>
          </w:p>
        </w:tc>
        <w:tc>
          <w:tcPr>
            <w:tcW w:type="dxa" w:w="2448"/>
            <w:vAlign w:val="center"/>
          </w:tcPr>
          <w:p>
            <w:pPr>
              <w:spacing w:after="40" w:before="40"/>
            </w:pPr>
            <w:r/>
            <w:r>
              <w:rPr>
                <w:rFonts w:ascii="Aptos" w:hAnsi="Aptos"/>
                <w:b w:val="0"/>
                <w:sz w:val="17"/>
              </w:rPr>
              <w:t>Rating, review count, helpful votes, “loves” count</w:t>
            </w:r>
          </w:p>
        </w:tc>
        <w:tc>
          <w:tcPr>
            <w:tcW w:type="dxa" w:w="2880"/>
            <w:vAlign w:val="center"/>
          </w:tcPr>
          <w:p>
            <w:pPr>
              <w:spacing w:after="40" w:before="40"/>
            </w:pPr>
            <w:r/>
            <w:r>
              <w:rPr>
                <w:rFonts w:ascii="Aptos" w:hAnsi="Aptos"/>
                <w:b w:val="0"/>
                <w:sz w:val="17"/>
              </w:rPr>
              <w:t>Describe feedback and engagement patterns.</w:t>
            </w:r>
          </w:p>
        </w:tc>
        <w:tc>
          <w:tcPr>
            <w:tcW w:type="dxa" w:w="2448"/>
            <w:vAlign w:val="center"/>
          </w:tcPr>
          <w:p>
            <w:pPr>
              <w:spacing w:after="40" w:before="40"/>
            </w:pPr>
            <w:r/>
            <w:r>
              <w:rPr>
                <w:rFonts w:ascii="Aptos" w:hAnsi="Aptos"/>
                <w:b w:val="0"/>
                <w:sz w:val="17"/>
              </w:rPr>
              <w:t>Check allowed ranges, count definitions, and whether counts are product- or review-level.</w:t>
            </w:r>
          </w:p>
        </w:tc>
      </w:tr>
      <w:tr>
        <w:tc>
          <w:tcPr>
            <w:tcW w:type="dxa" w:w="1728"/>
            <w:vAlign w:val="center"/>
            <w:shd w:fill="F6F7FB"/>
          </w:tcPr>
          <w:p>
            <w:pPr>
              <w:spacing w:after="40" w:before="40"/>
            </w:pPr>
            <w:r/>
            <w:r>
              <w:rPr>
                <w:rFonts w:ascii="Aptos" w:hAnsi="Aptos"/>
                <w:b w:val="0"/>
                <w:sz w:val="17"/>
              </w:rPr>
              <w:t>Review content</w:t>
            </w:r>
          </w:p>
        </w:tc>
        <w:tc>
          <w:tcPr>
            <w:tcW w:type="dxa" w:w="2448"/>
            <w:vAlign w:val="center"/>
            <w:shd w:fill="F6F7FB"/>
          </w:tcPr>
          <w:p>
            <w:pPr>
              <w:spacing w:after="40" w:before="40"/>
            </w:pPr>
            <w:r/>
            <w:r>
              <w:rPr>
                <w:rFonts w:ascii="Aptos" w:hAnsi="Aptos"/>
                <w:b w:val="0"/>
                <w:sz w:val="17"/>
              </w:rPr>
              <w:t>Review text, title, recommendation flag</w:t>
            </w:r>
          </w:p>
        </w:tc>
        <w:tc>
          <w:tcPr>
            <w:tcW w:type="dxa" w:w="2880"/>
            <w:vAlign w:val="center"/>
            <w:shd w:fill="F6F7FB"/>
          </w:tcPr>
          <w:p>
            <w:pPr>
              <w:spacing w:after="40" w:before="40"/>
            </w:pPr>
            <w:r/>
            <w:r>
              <w:rPr>
                <w:rFonts w:ascii="Aptos" w:hAnsi="Aptos"/>
                <w:b w:val="0"/>
                <w:sz w:val="17"/>
              </w:rPr>
              <w:t>Optional topic or sentiment analysis.</w:t>
            </w:r>
          </w:p>
        </w:tc>
        <w:tc>
          <w:tcPr>
            <w:tcW w:type="dxa" w:w="2448"/>
            <w:vAlign w:val="center"/>
            <w:shd w:fill="F6F7FB"/>
          </w:tcPr>
          <w:p>
            <w:pPr>
              <w:spacing w:after="40" w:before="40"/>
            </w:pPr>
            <w:r/>
            <w:r>
              <w:rPr>
                <w:rFonts w:ascii="Aptos" w:hAnsi="Aptos"/>
                <w:b w:val="0"/>
                <w:sz w:val="17"/>
              </w:rPr>
              <w:t>Check text availability, usage permissions, duplicates, and sensitive content.</w:t>
            </w:r>
          </w:p>
        </w:tc>
      </w:tr>
      <w:tr>
        <w:tc>
          <w:tcPr>
            <w:tcW w:type="dxa" w:w="1728"/>
            <w:vAlign w:val="center"/>
          </w:tcPr>
          <w:p>
            <w:pPr>
              <w:spacing w:after="40" w:before="40"/>
            </w:pPr>
            <w:r/>
            <w:r>
              <w:rPr>
                <w:rFonts w:ascii="Aptos" w:hAnsi="Aptos"/>
                <w:b w:val="0"/>
                <w:sz w:val="17"/>
              </w:rPr>
              <w:t>Time information</w:t>
            </w:r>
          </w:p>
        </w:tc>
        <w:tc>
          <w:tcPr>
            <w:tcW w:type="dxa" w:w="2448"/>
            <w:vAlign w:val="center"/>
          </w:tcPr>
          <w:p>
            <w:pPr>
              <w:spacing w:after="40" w:before="40"/>
            </w:pPr>
            <w:r/>
            <w:r>
              <w:rPr>
                <w:rFonts w:ascii="Aptos" w:hAnsi="Aptos"/>
                <w:b w:val="0"/>
                <w:sz w:val="17"/>
              </w:rPr>
              <w:t>Review date, product launch date</w:t>
            </w:r>
          </w:p>
        </w:tc>
        <w:tc>
          <w:tcPr>
            <w:tcW w:type="dxa" w:w="2880"/>
            <w:vAlign w:val="center"/>
          </w:tcPr>
          <w:p>
            <w:pPr>
              <w:spacing w:after="40" w:before="40"/>
            </w:pPr>
            <w:r/>
            <w:r>
              <w:rPr>
                <w:rFonts w:ascii="Aptos" w:hAnsi="Aptos"/>
                <w:b w:val="0"/>
                <w:sz w:val="17"/>
              </w:rPr>
              <w:t>Explore trends over time if coverage is adequate.</w:t>
            </w:r>
          </w:p>
        </w:tc>
        <w:tc>
          <w:tcPr>
            <w:tcW w:type="dxa" w:w="2448"/>
            <w:vAlign w:val="center"/>
          </w:tcPr>
          <w:p>
            <w:pPr>
              <w:spacing w:after="40" w:before="40"/>
            </w:pPr>
            <w:r/>
            <w:r>
              <w:rPr>
                <w:rFonts w:ascii="Aptos" w:hAnsi="Aptos"/>
                <w:b w:val="0"/>
                <w:sz w:val="17"/>
              </w:rPr>
              <w:t>Parse dates and document the observed time window.</w:t>
            </w:r>
          </w:p>
        </w:tc>
      </w:tr>
      <w:tr>
        <w:tc>
          <w:tcPr>
            <w:tcW w:type="dxa" w:w="1728"/>
            <w:vAlign w:val="center"/>
            <w:shd w:fill="F6F7FB"/>
          </w:tcPr>
          <w:p>
            <w:pPr>
              <w:spacing w:after="40" w:before="40"/>
            </w:pPr>
            <w:r/>
            <w:r>
              <w:rPr>
                <w:rFonts w:ascii="Aptos" w:hAnsi="Aptos"/>
                <w:b w:val="0"/>
                <w:sz w:val="17"/>
              </w:rPr>
              <w:t>Product attributes</w:t>
            </w:r>
          </w:p>
        </w:tc>
        <w:tc>
          <w:tcPr>
            <w:tcW w:type="dxa" w:w="2448"/>
            <w:vAlign w:val="center"/>
            <w:shd w:fill="F6F7FB"/>
          </w:tcPr>
          <w:p>
            <w:pPr>
              <w:spacing w:after="40" w:before="40"/>
            </w:pPr>
            <w:r/>
            <w:r>
              <w:rPr>
                <w:rFonts w:ascii="Aptos" w:hAnsi="Aptos"/>
                <w:b w:val="0"/>
                <w:sz w:val="17"/>
              </w:rPr>
              <w:t>Ingredients, skin type, size, product claims</w:t>
            </w:r>
          </w:p>
        </w:tc>
        <w:tc>
          <w:tcPr>
            <w:tcW w:type="dxa" w:w="2880"/>
            <w:vAlign w:val="center"/>
            <w:shd w:fill="F6F7FB"/>
          </w:tcPr>
          <w:p>
            <w:pPr>
              <w:spacing w:after="40" w:before="40"/>
            </w:pPr>
            <w:r/>
            <w:r>
              <w:rPr>
                <w:rFonts w:ascii="Aptos" w:hAnsi="Aptos"/>
                <w:b w:val="0"/>
                <w:sz w:val="17"/>
              </w:rPr>
              <w:t>Explore attributes associated with product feedback.</w:t>
            </w:r>
          </w:p>
        </w:tc>
        <w:tc>
          <w:tcPr>
            <w:tcW w:type="dxa" w:w="2448"/>
            <w:vAlign w:val="center"/>
            <w:shd w:fill="F6F7FB"/>
          </w:tcPr>
          <w:p>
            <w:pPr>
              <w:spacing w:after="40" w:before="40"/>
            </w:pPr>
            <w:r/>
            <w:r>
              <w:rPr>
                <w:rFonts w:ascii="Aptos" w:hAnsi="Aptos"/>
                <w:b w:val="0"/>
                <w:sz w:val="17"/>
              </w:rPr>
              <w:t>Normalize text; note missingness and unstructured formats.</w:t>
            </w:r>
          </w:p>
        </w:tc>
      </w:tr>
    </w:tbl>
    <w:p/>
    <w:p>
      <w:pPr>
        <w:pStyle w:val="Heading2"/>
        <w:keepNext/>
      </w:pPr>
      <w:r>
        <w:t>7.3 Unit of analysis</w:t>
      </w:r>
    </w:p>
    <w:p>
      <w:r>
        <w:t>The project will distinguish product-level analysis from review-level analysis. A product table may contain one row per product, while a review table may contain multiple rows per product. Joining these tables without accounting for the one-to-many relationship can duplicate product-level information and distort summaries. The data dictionary and analysis notebook will state the unit of analysis for each chart and calculation.</w:t>
      </w:r>
    </w:p>
    <w:p>
      <w:pPr>
        <w:pStyle w:val="Heading1"/>
        <w:keepNext/>
      </w:pPr>
      <w:r>
        <w:t>8. Proposed Methodology and Work Plan</w:t>
      </w:r>
    </w:p>
    <w:tbl>
      <w:tblPr>
        <w:tblStyle w:val="TableGrid"/>
        <w:tblW w:type="auto" w:w="0"/>
        <w:jc w:val="center"/>
        <w:tblLook w:firstColumn="1" w:firstRow="1" w:lastColumn="0" w:lastRow="0" w:noHBand="0" w:noVBand="1" w:val="04A0"/>
      </w:tblPr>
      <w:tblGrid>
        <w:gridCol w:w="3293"/>
        <w:gridCol w:w="3293"/>
        <w:gridCol w:w="3293"/>
      </w:tblGrid>
      <w:tr>
        <w:tc>
          <w:tcPr>
            <w:tcW w:type="dxa" w:w="1656"/>
            <w:vAlign w:val="center"/>
            <w:shd w:fill="20213A"/>
          </w:tcPr>
          <w:p>
            <w:pPr>
              <w:spacing w:after="40" w:before="40"/>
            </w:pPr>
            <w:r/>
            <w:r>
              <w:rPr>
                <w:rFonts w:ascii="Aptos" w:hAnsi="Aptos"/>
                <w:b/>
                <w:color w:val="FFFFFF"/>
                <w:sz w:val="18"/>
              </w:rPr>
              <w:t>Stage</w:t>
            </w:r>
          </w:p>
        </w:tc>
        <w:tc>
          <w:tcPr>
            <w:tcW w:type="dxa" w:w="4680"/>
            <w:vAlign w:val="center"/>
            <w:shd w:fill="20213A"/>
          </w:tcPr>
          <w:p>
            <w:pPr>
              <w:spacing w:after="40" w:before="40"/>
            </w:pPr>
            <w:r/>
            <w:r>
              <w:rPr>
                <w:rFonts w:ascii="Aptos" w:hAnsi="Aptos"/>
                <w:b/>
                <w:color w:val="FFFFFF"/>
                <w:sz w:val="18"/>
              </w:rPr>
              <w:t>Planned activities</w:t>
            </w:r>
          </w:p>
        </w:tc>
        <w:tc>
          <w:tcPr>
            <w:tcW w:type="dxa" w:w="3168"/>
            <w:vAlign w:val="center"/>
            <w:shd w:fill="20213A"/>
          </w:tcPr>
          <w:p>
            <w:pPr>
              <w:spacing w:after="40" w:before="40"/>
            </w:pPr>
            <w:r/>
            <w:r>
              <w:rPr>
                <w:rFonts w:ascii="Aptos" w:hAnsi="Aptos"/>
                <w:b/>
                <w:color w:val="FFFFFF"/>
                <w:sz w:val="18"/>
              </w:rPr>
              <w:t>Evidence/output</w:t>
            </w:r>
          </w:p>
        </w:tc>
      </w:tr>
      <w:tr>
        <w:tc>
          <w:tcPr>
            <w:tcW w:type="dxa" w:w="1656"/>
            <w:vAlign w:val="center"/>
            <w:shd w:fill="F6F7FB"/>
          </w:tcPr>
          <w:p>
            <w:pPr>
              <w:spacing w:after="40" w:before="40"/>
            </w:pPr>
            <w:r/>
            <w:r>
              <w:rPr>
                <w:rFonts w:ascii="Aptos" w:hAnsi="Aptos"/>
                <w:b w:val="0"/>
                <w:sz w:val="17"/>
              </w:rPr>
              <w:t>1. Source verification</w:t>
            </w:r>
          </w:p>
        </w:tc>
        <w:tc>
          <w:tcPr>
            <w:tcW w:type="dxa" w:w="4680"/>
            <w:vAlign w:val="center"/>
            <w:shd w:fill="F6F7FB"/>
          </w:tcPr>
          <w:p>
            <w:pPr>
              <w:spacing w:after="40" w:before="40"/>
            </w:pPr>
            <w:r/>
            <w:r>
              <w:rPr>
                <w:rFonts w:ascii="Aptos" w:hAnsi="Aptos"/>
                <w:b w:val="0"/>
                <w:sz w:val="17"/>
              </w:rPr>
              <w:t>Confirm dataset origin, terms, schema, date coverage, and suitability.</w:t>
            </w:r>
          </w:p>
        </w:tc>
        <w:tc>
          <w:tcPr>
            <w:tcW w:type="dxa" w:w="3168"/>
            <w:vAlign w:val="center"/>
            <w:shd w:fill="F6F7FB"/>
          </w:tcPr>
          <w:p>
            <w:pPr>
              <w:spacing w:after="40" w:before="40"/>
            </w:pPr>
            <w:r/>
            <w:r>
              <w:rPr>
                <w:rFonts w:ascii="Aptos" w:hAnsi="Aptos"/>
                <w:b w:val="0"/>
                <w:sz w:val="17"/>
              </w:rPr>
              <w:t>Source log and dataset-selection rationale.</w:t>
            </w:r>
          </w:p>
        </w:tc>
      </w:tr>
      <w:tr>
        <w:tc>
          <w:tcPr>
            <w:tcW w:type="dxa" w:w="1656"/>
            <w:vAlign w:val="center"/>
          </w:tcPr>
          <w:p>
            <w:pPr>
              <w:spacing w:after="40" w:before="40"/>
            </w:pPr>
            <w:r/>
            <w:r>
              <w:rPr>
                <w:rFonts w:ascii="Aptos" w:hAnsi="Aptos"/>
                <w:b w:val="0"/>
                <w:sz w:val="17"/>
              </w:rPr>
              <w:t>2. Data audit</w:t>
            </w:r>
          </w:p>
        </w:tc>
        <w:tc>
          <w:tcPr>
            <w:tcW w:type="dxa" w:w="4680"/>
            <w:vAlign w:val="center"/>
          </w:tcPr>
          <w:p>
            <w:pPr>
              <w:spacing w:after="40" w:before="40"/>
            </w:pPr>
            <w:r/>
            <w:r>
              <w:rPr>
                <w:rFonts w:ascii="Aptos" w:hAnsi="Aptos"/>
                <w:b w:val="0"/>
                <w:sz w:val="17"/>
              </w:rPr>
              <w:t>Load files; inspect dimensions, column types, missingness, duplicates, value ranges, and key uniqueness.</w:t>
            </w:r>
          </w:p>
        </w:tc>
        <w:tc>
          <w:tcPr>
            <w:tcW w:type="dxa" w:w="3168"/>
            <w:vAlign w:val="center"/>
          </w:tcPr>
          <w:p>
            <w:pPr>
              <w:spacing w:after="40" w:before="40"/>
            </w:pPr>
            <w:r/>
            <w:r>
              <w:rPr>
                <w:rFonts w:ascii="Aptos" w:hAnsi="Aptos"/>
                <w:b w:val="0"/>
                <w:sz w:val="17"/>
              </w:rPr>
              <w:t>Data audit table and data dictionary.</w:t>
            </w:r>
          </w:p>
        </w:tc>
      </w:tr>
      <w:tr>
        <w:tc>
          <w:tcPr>
            <w:tcW w:type="dxa" w:w="1656"/>
            <w:vAlign w:val="center"/>
            <w:shd w:fill="F6F7FB"/>
          </w:tcPr>
          <w:p>
            <w:pPr>
              <w:spacing w:after="40" w:before="40"/>
            </w:pPr>
            <w:r/>
            <w:r>
              <w:rPr>
                <w:rFonts w:ascii="Aptos" w:hAnsi="Aptos"/>
                <w:b w:val="0"/>
                <w:sz w:val="17"/>
              </w:rPr>
              <w:t>3. Cleaning</w:t>
            </w:r>
          </w:p>
        </w:tc>
        <w:tc>
          <w:tcPr>
            <w:tcW w:type="dxa" w:w="4680"/>
            <w:vAlign w:val="center"/>
            <w:shd w:fill="F6F7FB"/>
          </w:tcPr>
          <w:p>
            <w:pPr>
              <w:spacing w:after="40" w:before="40"/>
            </w:pPr>
            <w:r/>
            <w:r>
              <w:rPr>
                <w:rFonts w:ascii="Aptos" w:hAnsi="Aptos"/>
                <w:b w:val="0"/>
                <w:sz w:val="17"/>
              </w:rPr>
              <w:t>Standardize types and labels, handle missing values transparently, validate rating and price ranges, and document exclusions.</w:t>
            </w:r>
          </w:p>
        </w:tc>
        <w:tc>
          <w:tcPr>
            <w:tcW w:type="dxa" w:w="3168"/>
            <w:vAlign w:val="center"/>
            <w:shd w:fill="F6F7FB"/>
          </w:tcPr>
          <w:p>
            <w:pPr>
              <w:spacing w:after="40" w:before="40"/>
            </w:pPr>
            <w:r/>
            <w:r>
              <w:rPr>
                <w:rFonts w:ascii="Aptos" w:hAnsi="Aptos"/>
                <w:b w:val="0"/>
                <w:sz w:val="17"/>
              </w:rPr>
              <w:t>Reproducible preprocessing steps and quality checks.</w:t>
            </w:r>
          </w:p>
        </w:tc>
      </w:tr>
      <w:tr>
        <w:tc>
          <w:tcPr>
            <w:tcW w:type="dxa" w:w="1656"/>
            <w:vAlign w:val="center"/>
          </w:tcPr>
          <w:p>
            <w:pPr>
              <w:spacing w:after="40" w:before="40"/>
            </w:pPr>
            <w:r/>
            <w:r>
              <w:rPr>
                <w:rFonts w:ascii="Aptos" w:hAnsi="Aptos"/>
                <w:b w:val="0"/>
                <w:sz w:val="17"/>
              </w:rPr>
              <w:t>4. EDA</w:t>
            </w:r>
          </w:p>
        </w:tc>
        <w:tc>
          <w:tcPr>
            <w:tcW w:type="dxa" w:w="4680"/>
            <w:vAlign w:val="center"/>
          </w:tcPr>
          <w:p>
            <w:pPr>
              <w:spacing w:after="40" w:before="40"/>
            </w:pPr>
            <w:r/>
            <w:r>
              <w:rPr>
                <w:rFonts w:ascii="Aptos" w:hAnsi="Aptos"/>
                <w:b w:val="0"/>
                <w:sz w:val="17"/>
              </w:rPr>
              <w:t>Summarize ratings, prices, categories, review volume, and relationships supported by the fields.</w:t>
            </w:r>
          </w:p>
        </w:tc>
        <w:tc>
          <w:tcPr>
            <w:tcW w:type="dxa" w:w="3168"/>
            <w:vAlign w:val="center"/>
          </w:tcPr>
          <w:p>
            <w:pPr>
              <w:spacing w:after="40" w:before="40"/>
            </w:pPr>
            <w:r/>
            <w:r>
              <w:rPr>
                <w:rFonts w:ascii="Aptos" w:hAnsi="Aptos"/>
                <w:b w:val="0"/>
                <w:sz w:val="17"/>
              </w:rPr>
              <w:t>Tables and clearly labelled plots.</w:t>
            </w:r>
          </w:p>
        </w:tc>
      </w:tr>
      <w:tr>
        <w:tc>
          <w:tcPr>
            <w:tcW w:type="dxa" w:w="1656"/>
            <w:vAlign w:val="center"/>
            <w:shd w:fill="F6F7FB"/>
          </w:tcPr>
          <w:p>
            <w:pPr>
              <w:spacing w:after="40" w:before="40"/>
            </w:pPr>
            <w:r/>
            <w:r>
              <w:rPr>
                <w:rFonts w:ascii="Aptos" w:hAnsi="Aptos"/>
                <w:b w:val="0"/>
                <w:sz w:val="17"/>
              </w:rPr>
              <w:t>5. Hypothesis assessment</w:t>
            </w:r>
          </w:p>
        </w:tc>
        <w:tc>
          <w:tcPr>
            <w:tcW w:type="dxa" w:w="4680"/>
            <w:vAlign w:val="center"/>
            <w:shd w:fill="F6F7FB"/>
          </w:tcPr>
          <w:p>
            <w:pPr>
              <w:spacing w:after="40" w:before="40"/>
            </w:pPr>
            <w:r/>
            <w:r>
              <w:rPr>
                <w:rFonts w:ascii="Aptos" w:hAnsi="Aptos"/>
                <w:b w:val="0"/>
                <w:sz w:val="17"/>
              </w:rPr>
              <w:t>Select suitable tests and report effect sizes, uncertainty, assumptions, and limitations.</w:t>
            </w:r>
          </w:p>
        </w:tc>
        <w:tc>
          <w:tcPr>
            <w:tcW w:type="dxa" w:w="3168"/>
            <w:vAlign w:val="center"/>
            <w:shd w:fill="F6F7FB"/>
          </w:tcPr>
          <w:p>
            <w:pPr>
              <w:spacing w:after="40" w:before="40"/>
            </w:pPr>
            <w:r/>
            <w:r>
              <w:rPr>
                <w:rFonts w:ascii="Aptos" w:hAnsi="Aptos"/>
                <w:b w:val="0"/>
                <w:sz w:val="17"/>
              </w:rPr>
              <w:t>Results table tied to RQ/H identifiers.</w:t>
            </w:r>
          </w:p>
        </w:tc>
      </w:tr>
      <w:tr>
        <w:tc>
          <w:tcPr>
            <w:tcW w:type="dxa" w:w="1656"/>
            <w:vAlign w:val="center"/>
          </w:tcPr>
          <w:p>
            <w:pPr>
              <w:spacing w:after="40" w:before="40"/>
            </w:pPr>
            <w:r/>
            <w:r>
              <w:rPr>
                <w:rFonts w:ascii="Aptos" w:hAnsi="Aptos"/>
                <w:b w:val="0"/>
                <w:sz w:val="17"/>
              </w:rPr>
              <w:t>6. Feature engineering</w:t>
            </w:r>
          </w:p>
        </w:tc>
        <w:tc>
          <w:tcPr>
            <w:tcW w:type="dxa" w:w="4680"/>
            <w:vAlign w:val="center"/>
          </w:tcPr>
          <w:p>
            <w:pPr>
              <w:spacing w:after="40" w:before="40"/>
            </w:pPr>
            <w:r/>
            <w:r>
              <w:rPr>
                <w:rFonts w:ascii="Aptos" w:hAnsi="Aptos"/>
                <w:b w:val="0"/>
                <w:sz w:val="17"/>
              </w:rPr>
              <w:t>Derive justified variables such as log review count or price bands where useful; prevent leakage.</w:t>
            </w:r>
          </w:p>
        </w:tc>
        <w:tc>
          <w:tcPr>
            <w:tcW w:type="dxa" w:w="3168"/>
            <w:vAlign w:val="center"/>
          </w:tcPr>
          <w:p>
            <w:pPr>
              <w:spacing w:after="40" w:before="40"/>
            </w:pPr>
            <w:r/>
            <w:r>
              <w:rPr>
                <w:rFonts w:ascii="Aptos" w:hAnsi="Aptos"/>
                <w:b w:val="0"/>
                <w:sz w:val="17"/>
              </w:rPr>
              <w:t>Feature definitions and rationale.</w:t>
            </w:r>
          </w:p>
        </w:tc>
      </w:tr>
      <w:tr>
        <w:tc>
          <w:tcPr>
            <w:tcW w:type="dxa" w:w="1656"/>
            <w:vAlign w:val="center"/>
            <w:shd w:fill="F6F7FB"/>
          </w:tcPr>
          <w:p>
            <w:pPr>
              <w:spacing w:after="40" w:before="40"/>
            </w:pPr>
            <w:r/>
            <w:r>
              <w:rPr>
                <w:rFonts w:ascii="Aptos" w:hAnsi="Aptos"/>
                <w:b w:val="0"/>
                <w:sz w:val="17"/>
              </w:rPr>
              <w:t>7. Modeling feasibility</w:t>
            </w:r>
          </w:p>
        </w:tc>
        <w:tc>
          <w:tcPr>
            <w:tcW w:type="dxa" w:w="4680"/>
            <w:vAlign w:val="center"/>
            <w:shd w:fill="F6F7FB"/>
          </w:tcPr>
          <w:p>
            <w:pPr>
              <w:spacing w:after="40" w:before="40"/>
            </w:pPr>
            <w:r/>
            <w:r>
              <w:rPr>
                <w:rFonts w:ascii="Aptos" w:hAnsi="Aptos"/>
                <w:b w:val="0"/>
                <w:sz w:val="17"/>
              </w:rPr>
              <w:t>Define a target, establish a baseline, choose a split strategy, and compare suitable models if appropriate.</w:t>
            </w:r>
          </w:p>
        </w:tc>
        <w:tc>
          <w:tcPr>
            <w:tcW w:type="dxa" w:w="3168"/>
            <w:vAlign w:val="center"/>
            <w:shd w:fill="F6F7FB"/>
          </w:tcPr>
          <w:p>
            <w:pPr>
              <w:spacing w:after="40" w:before="40"/>
            </w:pPr>
            <w:r/>
            <w:r>
              <w:rPr>
                <w:rFonts w:ascii="Aptos" w:hAnsi="Aptos"/>
                <w:b w:val="0"/>
                <w:sz w:val="17"/>
              </w:rPr>
              <w:t>Model comparison and validation plan/results.</w:t>
            </w:r>
          </w:p>
        </w:tc>
      </w:tr>
      <w:tr>
        <w:tc>
          <w:tcPr>
            <w:tcW w:type="dxa" w:w="1656"/>
            <w:vAlign w:val="center"/>
          </w:tcPr>
          <w:p>
            <w:pPr>
              <w:spacing w:after="40" w:before="40"/>
            </w:pPr>
            <w:r/>
            <w:r>
              <w:rPr>
                <w:rFonts w:ascii="Aptos" w:hAnsi="Aptos"/>
                <w:b w:val="0"/>
                <w:sz w:val="17"/>
              </w:rPr>
              <w:t>8. Communication</w:t>
            </w:r>
          </w:p>
        </w:tc>
        <w:tc>
          <w:tcPr>
            <w:tcW w:type="dxa" w:w="4680"/>
            <w:vAlign w:val="center"/>
          </w:tcPr>
          <w:p>
            <w:pPr>
              <w:spacing w:after="40" w:before="40"/>
            </w:pPr>
            <w:r/>
            <w:r>
              <w:rPr>
                <w:rFonts w:ascii="Aptos" w:hAnsi="Aptos"/>
                <w:b w:val="0"/>
                <w:sz w:val="17"/>
              </w:rPr>
              <w:t>Translate supported results into recommendations and explain limitations.</w:t>
            </w:r>
          </w:p>
        </w:tc>
        <w:tc>
          <w:tcPr>
            <w:tcW w:type="dxa" w:w="3168"/>
            <w:vAlign w:val="center"/>
          </w:tcPr>
          <w:p>
            <w:pPr>
              <w:spacing w:after="40" w:before="40"/>
            </w:pPr>
            <w:r/>
            <w:r>
              <w:rPr>
                <w:rFonts w:ascii="Aptos" w:hAnsi="Aptos"/>
                <w:b w:val="0"/>
                <w:sz w:val="17"/>
              </w:rPr>
              <w:t>Final report, charts, and GitHub documentation.</w:t>
            </w:r>
          </w:p>
        </w:tc>
      </w:tr>
    </w:tbl>
    <w:p/>
    <w:p>
      <w:pPr>
        <w:pStyle w:val="Heading2"/>
        <w:keepNext/>
      </w:pPr>
      <w:r>
        <w:t>8.1 Methodological principles</w:t>
      </w:r>
    </w:p>
    <w:p>
      <w:pPr>
        <w:pStyle w:val="ListBullet"/>
        <w:spacing w:after="60"/>
      </w:pPr>
      <w:r>
        <w:t>Reproducibility: record the source, retrieval date, file names, processing steps, and software libraries.</w:t>
      </w:r>
    </w:p>
    <w:p>
      <w:pPr>
        <w:pStyle w:val="ListBullet"/>
        <w:spacing w:after="60"/>
      </w:pPr>
      <w:r>
        <w:t>Transparency: distinguish observed results from expectations and hypotheses.</w:t>
      </w:r>
    </w:p>
    <w:p>
      <w:pPr>
        <w:pStyle w:val="ListBullet"/>
        <w:spacing w:after="60"/>
      </w:pPr>
      <w:r>
        <w:t>Appropriate comparisons: avoid comparing very small groups with large groups without discussing uncertainty.</w:t>
      </w:r>
    </w:p>
    <w:p>
      <w:pPr>
        <w:pStyle w:val="ListBullet"/>
        <w:spacing w:after="60"/>
      </w:pPr>
      <w:r>
        <w:t>No data leakage: do not use variables that reveal the target or information unavailable at prediction time.</w:t>
      </w:r>
    </w:p>
    <w:p>
      <w:pPr>
        <w:pStyle w:val="ListBullet"/>
        <w:spacing w:after="60"/>
      </w:pPr>
      <w:r>
        <w:t>Validation: choose evaluation methods that match the target type and data structure; if observations are time-dependent, consider a time-aware split.</w:t>
      </w:r>
    </w:p>
    <w:p>
      <w:pPr>
        <w:pStyle w:val="ListBullet"/>
        <w:spacing w:after="60"/>
      </w:pPr>
      <w:r>
        <w:t>Business interpretation: report effect sizes and practical meaning, not only p-values or a single model score.</w:t>
      </w:r>
    </w:p>
    <w:p>
      <w:pPr>
        <w:pStyle w:val="Heading1"/>
        <w:keepNext/>
      </w:pPr>
      <w:r>
        <w:t>9. Initial Exploratory Analysis Plan</w:t>
      </w:r>
    </w:p>
    <w:tbl>
      <w:tblPr>
        <w:tblStyle w:val="TableGrid"/>
        <w:tblW w:type="auto" w:w="0"/>
        <w:jc w:val="center"/>
        <w:tblLook w:firstColumn="1" w:firstRow="1" w:lastColumn="0" w:lastRow="0" w:noHBand="0" w:noVBand="1" w:val="04A0"/>
      </w:tblPr>
      <w:tblGrid>
        <w:gridCol w:w="3293"/>
        <w:gridCol w:w="3293"/>
        <w:gridCol w:w="3293"/>
      </w:tblGrid>
      <w:tr>
        <w:tc>
          <w:tcPr>
            <w:tcW w:type="dxa" w:w="1800"/>
            <w:vAlign w:val="center"/>
            <w:shd w:fill="20213A"/>
          </w:tcPr>
          <w:p>
            <w:pPr>
              <w:spacing w:after="40" w:before="40"/>
            </w:pPr>
            <w:r/>
            <w:r>
              <w:rPr>
                <w:rFonts w:ascii="Aptos" w:hAnsi="Aptos"/>
                <w:b/>
                <w:color w:val="FFFFFF"/>
                <w:sz w:val="18"/>
              </w:rPr>
              <w:t>Analysis</w:t>
            </w:r>
          </w:p>
        </w:tc>
        <w:tc>
          <w:tcPr>
            <w:tcW w:type="dxa" w:w="3816"/>
            <w:vAlign w:val="center"/>
            <w:shd w:fill="20213A"/>
          </w:tcPr>
          <w:p>
            <w:pPr>
              <w:spacing w:after="40" w:before="40"/>
            </w:pPr>
            <w:r/>
            <w:r>
              <w:rPr>
                <w:rFonts w:ascii="Aptos" w:hAnsi="Aptos"/>
                <w:b/>
                <w:color w:val="FFFFFF"/>
                <w:sz w:val="18"/>
              </w:rPr>
              <w:t>Planned method/visual</w:t>
            </w:r>
          </w:p>
        </w:tc>
        <w:tc>
          <w:tcPr>
            <w:tcW w:type="dxa" w:w="3888"/>
            <w:vAlign w:val="center"/>
            <w:shd w:fill="20213A"/>
          </w:tcPr>
          <w:p>
            <w:pPr>
              <w:spacing w:after="40" w:before="40"/>
            </w:pPr>
            <w:r/>
            <w:r>
              <w:rPr>
                <w:rFonts w:ascii="Aptos" w:hAnsi="Aptos"/>
                <w:b/>
                <w:color w:val="FFFFFF"/>
                <w:sz w:val="18"/>
              </w:rPr>
              <w:t>Question it helps answer</w:t>
            </w:r>
          </w:p>
        </w:tc>
      </w:tr>
      <w:tr>
        <w:tc>
          <w:tcPr>
            <w:tcW w:type="dxa" w:w="1800"/>
            <w:vAlign w:val="center"/>
            <w:shd w:fill="F6F7FB"/>
          </w:tcPr>
          <w:p>
            <w:pPr>
              <w:spacing w:after="40" w:before="40"/>
            </w:pPr>
            <w:r/>
            <w:r>
              <w:rPr>
                <w:rFonts w:ascii="Aptos" w:hAnsi="Aptos"/>
                <w:b w:val="0"/>
                <w:sz w:val="17"/>
              </w:rPr>
              <w:t>Dataset overview</w:t>
            </w:r>
          </w:p>
        </w:tc>
        <w:tc>
          <w:tcPr>
            <w:tcW w:type="dxa" w:w="3816"/>
            <w:vAlign w:val="center"/>
            <w:shd w:fill="F6F7FB"/>
          </w:tcPr>
          <w:p>
            <w:pPr>
              <w:spacing w:after="40" w:before="40"/>
            </w:pPr>
            <w:r/>
            <w:r>
              <w:rPr>
                <w:rFonts w:ascii="Aptos" w:hAnsi="Aptos"/>
                <w:b w:val="0"/>
                <w:sz w:val="17"/>
              </w:rPr>
              <w:t>Rows, columns, dtypes, unique IDs, missingness summary.</w:t>
            </w:r>
          </w:p>
        </w:tc>
        <w:tc>
          <w:tcPr>
            <w:tcW w:type="dxa" w:w="3888"/>
            <w:vAlign w:val="center"/>
            <w:shd w:fill="F6F7FB"/>
          </w:tcPr>
          <w:p>
            <w:pPr>
              <w:spacing w:after="40" w:before="40"/>
            </w:pPr>
            <w:r/>
            <w:r>
              <w:rPr>
                <w:rFonts w:ascii="Aptos" w:hAnsi="Aptos"/>
                <w:b w:val="0"/>
                <w:sz w:val="17"/>
              </w:rPr>
              <w:t>What data is available and reliable enough to use?</w:t>
            </w:r>
          </w:p>
        </w:tc>
      </w:tr>
      <w:tr>
        <w:tc>
          <w:tcPr>
            <w:tcW w:type="dxa" w:w="1800"/>
            <w:vAlign w:val="center"/>
          </w:tcPr>
          <w:p>
            <w:pPr>
              <w:spacing w:after="40" w:before="40"/>
            </w:pPr>
            <w:r/>
            <w:r>
              <w:rPr>
                <w:rFonts w:ascii="Aptos" w:hAnsi="Aptos"/>
                <w:b w:val="0"/>
                <w:sz w:val="17"/>
              </w:rPr>
              <w:t>Rating distribution</w:t>
            </w:r>
          </w:p>
        </w:tc>
        <w:tc>
          <w:tcPr>
            <w:tcW w:type="dxa" w:w="3816"/>
            <w:vAlign w:val="center"/>
          </w:tcPr>
          <w:p>
            <w:pPr>
              <w:spacing w:after="40" w:before="40"/>
            </w:pPr>
            <w:r/>
            <w:r>
              <w:rPr>
                <w:rFonts w:ascii="Aptos" w:hAnsi="Aptos"/>
                <w:b w:val="0"/>
                <w:sz w:val="17"/>
              </w:rPr>
              <w:t>Histogram or bar chart; mean, median, standard deviation, quartiles.</w:t>
            </w:r>
          </w:p>
        </w:tc>
        <w:tc>
          <w:tcPr>
            <w:tcW w:type="dxa" w:w="3888"/>
            <w:vAlign w:val="center"/>
          </w:tcPr>
          <w:p>
            <w:pPr>
              <w:spacing w:after="40" w:before="40"/>
            </w:pPr>
            <w:r/>
            <w:r>
              <w:rPr>
                <w:rFonts w:ascii="Aptos" w:hAnsi="Aptos"/>
                <w:b w:val="0"/>
                <w:sz w:val="17"/>
              </w:rPr>
              <w:t>How are ratings distributed? Are they concentrated near the upper end?</w:t>
            </w:r>
          </w:p>
        </w:tc>
      </w:tr>
      <w:tr>
        <w:tc>
          <w:tcPr>
            <w:tcW w:type="dxa" w:w="1800"/>
            <w:vAlign w:val="center"/>
            <w:shd w:fill="F6F7FB"/>
          </w:tcPr>
          <w:p>
            <w:pPr>
              <w:spacing w:after="40" w:before="40"/>
            </w:pPr>
            <w:r/>
            <w:r>
              <w:rPr>
                <w:rFonts w:ascii="Aptos" w:hAnsi="Aptos"/>
                <w:b w:val="0"/>
                <w:sz w:val="17"/>
              </w:rPr>
              <w:t>Category comparison</w:t>
            </w:r>
          </w:p>
        </w:tc>
        <w:tc>
          <w:tcPr>
            <w:tcW w:type="dxa" w:w="3816"/>
            <w:vAlign w:val="center"/>
            <w:shd w:fill="F6F7FB"/>
          </w:tcPr>
          <w:p>
            <w:pPr>
              <w:spacing w:after="40" w:before="40"/>
            </w:pPr>
            <w:r/>
            <w:r>
              <w:rPr>
                <w:rFonts w:ascii="Aptos" w:hAnsi="Aptos"/>
                <w:b w:val="0"/>
                <w:sz w:val="17"/>
              </w:rPr>
              <w:t>Boxplots/violin plots and group-level counts; appropriate group test if justified.</w:t>
            </w:r>
          </w:p>
        </w:tc>
        <w:tc>
          <w:tcPr>
            <w:tcW w:type="dxa" w:w="3888"/>
            <w:vAlign w:val="center"/>
            <w:shd w:fill="F6F7FB"/>
          </w:tcPr>
          <w:p>
            <w:pPr>
              <w:spacing w:after="40" w:before="40"/>
            </w:pPr>
            <w:r/>
            <w:r>
              <w:rPr>
                <w:rFonts w:ascii="Aptos" w:hAnsi="Aptos"/>
                <w:b w:val="0"/>
                <w:sz w:val="17"/>
              </w:rPr>
              <w:t>Are observed rating patterns different across categories?</w:t>
            </w:r>
          </w:p>
        </w:tc>
      </w:tr>
      <w:tr>
        <w:tc>
          <w:tcPr>
            <w:tcW w:type="dxa" w:w="1800"/>
            <w:vAlign w:val="center"/>
          </w:tcPr>
          <w:p>
            <w:pPr>
              <w:spacing w:after="40" w:before="40"/>
            </w:pPr>
            <w:r/>
            <w:r>
              <w:rPr>
                <w:rFonts w:ascii="Aptos" w:hAnsi="Aptos"/>
                <w:b w:val="0"/>
                <w:sz w:val="17"/>
              </w:rPr>
              <w:t>Price and rating</w:t>
            </w:r>
          </w:p>
        </w:tc>
        <w:tc>
          <w:tcPr>
            <w:tcW w:type="dxa" w:w="3816"/>
            <w:vAlign w:val="center"/>
          </w:tcPr>
          <w:p>
            <w:pPr>
              <w:spacing w:after="40" w:before="40"/>
            </w:pPr>
            <w:r/>
            <w:r>
              <w:rPr>
                <w:rFonts w:ascii="Aptos" w:hAnsi="Aptos"/>
                <w:b w:val="0"/>
                <w:sz w:val="17"/>
              </w:rPr>
              <w:t>Scatterplot, trend line for exploration, Spearman correlation.</w:t>
            </w:r>
          </w:p>
        </w:tc>
        <w:tc>
          <w:tcPr>
            <w:tcW w:type="dxa" w:w="3888"/>
            <w:vAlign w:val="center"/>
          </w:tcPr>
          <w:p>
            <w:pPr>
              <w:spacing w:after="40" w:before="40"/>
            </w:pPr>
            <w:r/>
            <w:r>
              <w:rPr>
                <w:rFonts w:ascii="Aptos" w:hAnsi="Aptos"/>
                <w:b w:val="0"/>
                <w:sz w:val="17"/>
              </w:rPr>
              <w:t>Is price associated with ratings, and how strong is the association?</w:t>
            </w:r>
          </w:p>
        </w:tc>
      </w:tr>
      <w:tr>
        <w:tc>
          <w:tcPr>
            <w:tcW w:type="dxa" w:w="1800"/>
            <w:vAlign w:val="center"/>
            <w:shd w:fill="F6F7FB"/>
          </w:tcPr>
          <w:p>
            <w:pPr>
              <w:spacing w:after="40" w:before="40"/>
            </w:pPr>
            <w:r/>
            <w:r>
              <w:rPr>
                <w:rFonts w:ascii="Aptos" w:hAnsi="Aptos"/>
                <w:b w:val="0"/>
                <w:sz w:val="17"/>
              </w:rPr>
              <w:t>Review volume</w:t>
            </w:r>
          </w:p>
        </w:tc>
        <w:tc>
          <w:tcPr>
            <w:tcW w:type="dxa" w:w="3816"/>
            <w:vAlign w:val="center"/>
            <w:shd w:fill="F6F7FB"/>
          </w:tcPr>
          <w:p>
            <w:pPr>
              <w:spacing w:after="40" w:before="40"/>
            </w:pPr>
            <w:r/>
            <w:r>
              <w:rPr>
                <w:rFonts w:ascii="Aptos" w:hAnsi="Aptos"/>
                <w:b w:val="0"/>
                <w:sz w:val="17"/>
              </w:rPr>
              <w:t>Histogram on a suitable scale; rating versus review-count plot.</w:t>
            </w:r>
          </w:p>
        </w:tc>
        <w:tc>
          <w:tcPr>
            <w:tcW w:type="dxa" w:w="3888"/>
            <w:vAlign w:val="center"/>
            <w:shd w:fill="F6F7FB"/>
          </w:tcPr>
          <w:p>
            <w:pPr>
              <w:spacing w:after="40" w:before="40"/>
            </w:pPr>
            <w:r/>
            <w:r>
              <w:rPr>
                <w:rFonts w:ascii="Aptos" w:hAnsi="Aptos"/>
                <w:b w:val="0"/>
                <w:sz w:val="17"/>
              </w:rPr>
              <w:t>Are most products supported by few reviews, and how does volume affect confidence?</w:t>
            </w:r>
          </w:p>
        </w:tc>
      </w:tr>
      <w:tr>
        <w:tc>
          <w:tcPr>
            <w:tcW w:type="dxa" w:w="1800"/>
            <w:vAlign w:val="center"/>
          </w:tcPr>
          <w:p>
            <w:pPr>
              <w:spacing w:after="40" w:before="40"/>
            </w:pPr>
            <w:r/>
            <w:r>
              <w:rPr>
                <w:rFonts w:ascii="Aptos" w:hAnsi="Aptos"/>
                <w:b w:val="0"/>
                <w:sz w:val="17"/>
              </w:rPr>
              <w:t>Brand summaries</w:t>
            </w:r>
          </w:p>
        </w:tc>
        <w:tc>
          <w:tcPr>
            <w:tcW w:type="dxa" w:w="3816"/>
            <w:vAlign w:val="center"/>
          </w:tcPr>
          <w:p>
            <w:pPr>
              <w:spacing w:after="40" w:before="40"/>
            </w:pPr>
            <w:r/>
            <w:r>
              <w:rPr>
                <w:rFonts w:ascii="Aptos" w:hAnsi="Aptos"/>
                <w:b w:val="0"/>
                <w:sz w:val="17"/>
              </w:rPr>
              <w:t>Tables/plots with minimum sample thresholds and uncertainty.</w:t>
            </w:r>
          </w:p>
        </w:tc>
        <w:tc>
          <w:tcPr>
            <w:tcW w:type="dxa" w:w="3888"/>
            <w:vAlign w:val="center"/>
          </w:tcPr>
          <w:p>
            <w:pPr>
              <w:spacing w:after="40" w:before="40"/>
            </w:pPr>
            <w:r/>
            <w:r>
              <w:rPr>
                <w:rFonts w:ascii="Aptos" w:hAnsi="Aptos"/>
                <w:b w:val="0"/>
                <w:sz w:val="17"/>
              </w:rPr>
              <w:t>Which brands have enough observations for fair comparison?</w:t>
            </w:r>
          </w:p>
        </w:tc>
      </w:tr>
      <w:tr>
        <w:tc>
          <w:tcPr>
            <w:tcW w:type="dxa" w:w="1800"/>
            <w:vAlign w:val="center"/>
            <w:shd w:fill="F6F7FB"/>
          </w:tcPr>
          <w:p>
            <w:pPr>
              <w:spacing w:after="40" w:before="40"/>
            </w:pPr>
            <w:r/>
            <w:r>
              <w:rPr>
                <w:rFonts w:ascii="Aptos" w:hAnsi="Aptos"/>
                <w:b w:val="0"/>
                <w:sz w:val="17"/>
              </w:rPr>
              <w:t>Review text (if available)</w:t>
            </w:r>
          </w:p>
        </w:tc>
        <w:tc>
          <w:tcPr>
            <w:tcW w:type="dxa" w:w="3816"/>
            <w:vAlign w:val="center"/>
            <w:shd w:fill="F6F7FB"/>
          </w:tcPr>
          <w:p>
            <w:pPr>
              <w:spacing w:after="40" w:before="40"/>
            </w:pPr>
            <w:r/>
            <w:r>
              <w:rPr>
                <w:rFonts w:ascii="Aptos" w:hAnsi="Aptos"/>
                <w:b w:val="0"/>
                <w:sz w:val="17"/>
              </w:rPr>
              <w:t>Text length distribution, common terms, and carefully validated sentiment/topic exploration.</w:t>
            </w:r>
          </w:p>
        </w:tc>
        <w:tc>
          <w:tcPr>
            <w:tcW w:type="dxa" w:w="3888"/>
            <w:vAlign w:val="center"/>
            <w:shd w:fill="F6F7FB"/>
          </w:tcPr>
          <w:p>
            <w:pPr>
              <w:spacing w:after="40" w:before="40"/>
            </w:pPr>
            <w:r/>
            <w:r>
              <w:rPr>
                <w:rFonts w:ascii="Aptos" w:hAnsi="Aptos"/>
                <w:b w:val="0"/>
                <w:sz w:val="17"/>
              </w:rPr>
              <w:t>What themes may appear in written feedback?</w:t>
            </w:r>
          </w:p>
        </w:tc>
      </w:tr>
      <w:tr>
        <w:tc>
          <w:tcPr>
            <w:tcW w:type="dxa" w:w="1800"/>
            <w:vAlign w:val="center"/>
          </w:tcPr>
          <w:p>
            <w:pPr>
              <w:spacing w:after="40" w:before="40"/>
            </w:pPr>
            <w:r/>
            <w:r>
              <w:rPr>
                <w:rFonts w:ascii="Aptos" w:hAnsi="Aptos"/>
                <w:b w:val="0"/>
                <w:sz w:val="17"/>
              </w:rPr>
              <w:t>Missingness and outliers</w:t>
            </w:r>
          </w:p>
        </w:tc>
        <w:tc>
          <w:tcPr>
            <w:tcW w:type="dxa" w:w="3816"/>
            <w:vAlign w:val="center"/>
          </w:tcPr>
          <w:p>
            <w:pPr>
              <w:spacing w:after="40" w:before="40"/>
            </w:pPr>
            <w:r/>
            <w:r>
              <w:rPr>
                <w:rFonts w:ascii="Aptos" w:hAnsi="Aptos"/>
                <w:b w:val="0"/>
                <w:sz w:val="17"/>
              </w:rPr>
              <w:t>Missing-value heatmap or table; boxplots and range checks.</w:t>
            </w:r>
          </w:p>
        </w:tc>
        <w:tc>
          <w:tcPr>
            <w:tcW w:type="dxa" w:w="3888"/>
            <w:vAlign w:val="center"/>
          </w:tcPr>
          <w:p>
            <w:pPr>
              <w:spacing w:after="40" w:before="40"/>
            </w:pPr>
            <w:r/>
            <w:r>
              <w:rPr>
                <w:rFonts w:ascii="Aptos" w:hAnsi="Aptos"/>
                <w:b w:val="0"/>
                <w:sz w:val="17"/>
              </w:rPr>
              <w:t>Could data quality issues distort conclusions?</w:t>
            </w:r>
          </w:p>
        </w:tc>
      </w:tr>
    </w:tbl>
    <w:p/>
    <w:p>
      <w:r>
        <w:t>Visualizations will include clear titles, axis labels, units, sample sizes where useful, and notes about exclusions. If review data is heavily skewed, a logarithmic axis may be used for counts, with the transformation explained. Outliers will be investigated rather than automatically deleted.</w:t>
      </w:r>
    </w:p>
    <w:p>
      <w:pPr>
        <w:pStyle w:val="Heading1"/>
        <w:keepNext/>
      </w:pPr>
      <w:r>
        <w:t>10. Tools and Technical Approach</w:t>
      </w:r>
    </w:p>
    <w:tbl>
      <w:tblPr>
        <w:tblStyle w:val="TableGrid"/>
        <w:tblW w:type="auto" w:w="0"/>
        <w:jc w:val="center"/>
        <w:tblLook w:firstColumn="1" w:firstRow="1" w:lastColumn="0" w:lastRow="0" w:noHBand="0" w:noVBand="1" w:val="04A0"/>
      </w:tblPr>
      <w:tblGrid>
        <w:gridCol w:w="4939"/>
        <w:gridCol w:w="4939"/>
      </w:tblGrid>
      <w:tr>
        <w:tc>
          <w:tcPr>
            <w:tcW w:type="dxa" w:w="2376"/>
            <w:vAlign w:val="center"/>
            <w:shd w:fill="20213A"/>
          </w:tcPr>
          <w:p>
            <w:pPr>
              <w:spacing w:after="40" w:before="40"/>
            </w:pPr>
            <w:r/>
            <w:r>
              <w:rPr>
                <w:rFonts w:ascii="Aptos" w:hAnsi="Aptos"/>
                <w:b/>
                <w:color w:val="FFFFFF"/>
                <w:sz w:val="18"/>
              </w:rPr>
              <w:t>Tool</w:t>
            </w:r>
          </w:p>
        </w:tc>
        <w:tc>
          <w:tcPr>
            <w:tcW w:type="dxa" w:w="7128"/>
            <w:vAlign w:val="center"/>
            <w:shd w:fill="20213A"/>
          </w:tcPr>
          <w:p>
            <w:pPr>
              <w:spacing w:after="40" w:before="40"/>
            </w:pPr>
            <w:r/>
            <w:r>
              <w:rPr>
                <w:rFonts w:ascii="Aptos" w:hAnsi="Aptos"/>
                <w:b/>
                <w:color w:val="FFFFFF"/>
                <w:sz w:val="18"/>
              </w:rPr>
              <w:t>Planned use</w:t>
            </w:r>
          </w:p>
        </w:tc>
      </w:tr>
      <w:tr>
        <w:tc>
          <w:tcPr>
            <w:tcW w:type="dxa" w:w="2376"/>
            <w:vAlign w:val="center"/>
            <w:shd w:fill="F6F7FB"/>
          </w:tcPr>
          <w:p>
            <w:pPr>
              <w:spacing w:after="40" w:before="40"/>
            </w:pPr>
            <w:r/>
            <w:r>
              <w:rPr>
                <w:rFonts w:ascii="Aptos" w:hAnsi="Aptos"/>
                <w:b w:val="0"/>
                <w:sz w:val="17"/>
              </w:rPr>
              <w:t>Python</w:t>
            </w:r>
          </w:p>
        </w:tc>
        <w:tc>
          <w:tcPr>
            <w:tcW w:type="dxa" w:w="7128"/>
            <w:vAlign w:val="center"/>
            <w:shd w:fill="F6F7FB"/>
          </w:tcPr>
          <w:p>
            <w:pPr>
              <w:spacing w:after="40" w:before="40"/>
            </w:pPr>
            <w:r/>
            <w:r>
              <w:rPr>
                <w:rFonts w:ascii="Aptos" w:hAnsi="Aptos"/>
                <w:b w:val="0"/>
                <w:sz w:val="17"/>
              </w:rPr>
              <w:t>Main programming language for data processing and analysis.</w:t>
            </w:r>
          </w:p>
        </w:tc>
      </w:tr>
      <w:tr>
        <w:tc>
          <w:tcPr>
            <w:tcW w:type="dxa" w:w="2376"/>
            <w:vAlign w:val="center"/>
          </w:tcPr>
          <w:p>
            <w:pPr>
              <w:spacing w:after="40" w:before="40"/>
            </w:pPr>
            <w:r/>
            <w:r>
              <w:rPr>
                <w:rFonts w:ascii="Aptos" w:hAnsi="Aptos"/>
                <w:b w:val="0"/>
                <w:sz w:val="17"/>
              </w:rPr>
              <w:t>Pandas</w:t>
            </w:r>
          </w:p>
        </w:tc>
        <w:tc>
          <w:tcPr>
            <w:tcW w:type="dxa" w:w="7128"/>
            <w:vAlign w:val="center"/>
          </w:tcPr>
          <w:p>
            <w:pPr>
              <w:spacing w:after="40" w:before="40"/>
            </w:pPr>
            <w:r/>
            <w:r>
              <w:rPr>
                <w:rFonts w:ascii="Aptos" w:hAnsi="Aptos"/>
                <w:b w:val="0"/>
                <w:sz w:val="17"/>
              </w:rPr>
              <w:t>Read tabular data, inspect schemas, clean records, join tables, and calculate summaries.</w:t>
            </w:r>
          </w:p>
        </w:tc>
      </w:tr>
      <w:tr>
        <w:tc>
          <w:tcPr>
            <w:tcW w:type="dxa" w:w="2376"/>
            <w:vAlign w:val="center"/>
            <w:shd w:fill="F6F7FB"/>
          </w:tcPr>
          <w:p>
            <w:pPr>
              <w:spacing w:after="40" w:before="40"/>
            </w:pPr>
            <w:r/>
            <w:r>
              <w:rPr>
                <w:rFonts w:ascii="Aptos" w:hAnsi="Aptos"/>
                <w:b w:val="0"/>
                <w:sz w:val="17"/>
              </w:rPr>
              <w:t>NumPy</w:t>
            </w:r>
          </w:p>
        </w:tc>
        <w:tc>
          <w:tcPr>
            <w:tcW w:type="dxa" w:w="7128"/>
            <w:vAlign w:val="center"/>
            <w:shd w:fill="F6F7FB"/>
          </w:tcPr>
          <w:p>
            <w:pPr>
              <w:spacing w:after="40" w:before="40"/>
            </w:pPr>
            <w:r/>
            <w:r>
              <w:rPr>
                <w:rFonts w:ascii="Aptos" w:hAnsi="Aptos"/>
                <w:b w:val="0"/>
                <w:sz w:val="17"/>
              </w:rPr>
              <w:t>Numerical operations and support for missing-value and array handling.</w:t>
            </w:r>
          </w:p>
        </w:tc>
      </w:tr>
      <w:tr>
        <w:tc>
          <w:tcPr>
            <w:tcW w:type="dxa" w:w="2376"/>
            <w:vAlign w:val="center"/>
          </w:tcPr>
          <w:p>
            <w:pPr>
              <w:spacing w:after="40" w:before="40"/>
            </w:pPr>
            <w:r/>
            <w:r>
              <w:rPr>
                <w:rFonts w:ascii="Aptos" w:hAnsi="Aptos"/>
                <w:b w:val="0"/>
                <w:sz w:val="17"/>
              </w:rPr>
              <w:t>Matplotlib / Seaborn</w:t>
            </w:r>
          </w:p>
        </w:tc>
        <w:tc>
          <w:tcPr>
            <w:tcW w:type="dxa" w:w="7128"/>
            <w:vAlign w:val="center"/>
          </w:tcPr>
          <w:p>
            <w:pPr>
              <w:spacing w:after="40" w:before="40"/>
            </w:pPr>
            <w:r/>
            <w:r>
              <w:rPr>
                <w:rFonts w:ascii="Aptos" w:hAnsi="Aptos"/>
                <w:b w:val="0"/>
                <w:sz w:val="17"/>
              </w:rPr>
              <w:t>Create distribution plots, comparison charts, and relationship visualizations.</w:t>
            </w:r>
          </w:p>
        </w:tc>
      </w:tr>
      <w:tr>
        <w:tc>
          <w:tcPr>
            <w:tcW w:type="dxa" w:w="2376"/>
            <w:vAlign w:val="center"/>
            <w:shd w:fill="F6F7FB"/>
          </w:tcPr>
          <w:p>
            <w:pPr>
              <w:spacing w:after="40" w:before="40"/>
            </w:pPr>
            <w:r/>
            <w:r>
              <w:rPr>
                <w:rFonts w:ascii="Aptos" w:hAnsi="Aptos"/>
                <w:b w:val="0"/>
                <w:sz w:val="17"/>
              </w:rPr>
              <w:t>SciPy</w:t>
            </w:r>
          </w:p>
        </w:tc>
        <w:tc>
          <w:tcPr>
            <w:tcW w:type="dxa" w:w="7128"/>
            <w:vAlign w:val="center"/>
            <w:shd w:fill="F6F7FB"/>
          </w:tcPr>
          <w:p>
            <w:pPr>
              <w:spacing w:after="40" w:before="40"/>
            </w:pPr>
            <w:r/>
            <w:r>
              <w:rPr>
                <w:rFonts w:ascii="Aptos" w:hAnsi="Aptos"/>
                <w:b w:val="0"/>
                <w:sz w:val="17"/>
              </w:rPr>
              <w:t>Statistical tests and correlation analysis where assumptions are appropriate.</w:t>
            </w:r>
          </w:p>
        </w:tc>
      </w:tr>
      <w:tr>
        <w:tc>
          <w:tcPr>
            <w:tcW w:type="dxa" w:w="2376"/>
            <w:vAlign w:val="center"/>
          </w:tcPr>
          <w:p>
            <w:pPr>
              <w:spacing w:after="40" w:before="40"/>
            </w:pPr>
            <w:r/>
            <w:r>
              <w:rPr>
                <w:rFonts w:ascii="Aptos" w:hAnsi="Aptos"/>
                <w:b w:val="0"/>
                <w:sz w:val="17"/>
              </w:rPr>
              <w:t>Scikit-learn</w:t>
            </w:r>
          </w:p>
        </w:tc>
        <w:tc>
          <w:tcPr>
            <w:tcW w:type="dxa" w:w="7128"/>
            <w:vAlign w:val="center"/>
          </w:tcPr>
          <w:p>
            <w:pPr>
              <w:spacing w:after="40" w:before="40"/>
            </w:pPr>
            <w:r/>
            <w:r>
              <w:rPr>
                <w:rFonts w:ascii="Aptos" w:hAnsi="Aptos"/>
                <w:b w:val="0"/>
                <w:sz w:val="17"/>
              </w:rPr>
              <w:t>Optional preprocessing pipelines, baseline models, train/test splitting, and model evaluation if modeling is justified.</w:t>
            </w:r>
          </w:p>
        </w:tc>
      </w:tr>
      <w:tr>
        <w:tc>
          <w:tcPr>
            <w:tcW w:type="dxa" w:w="2376"/>
            <w:vAlign w:val="center"/>
            <w:shd w:fill="F6F7FB"/>
          </w:tcPr>
          <w:p>
            <w:pPr>
              <w:spacing w:after="40" w:before="40"/>
            </w:pPr>
            <w:r/>
            <w:r>
              <w:rPr>
                <w:rFonts w:ascii="Aptos" w:hAnsi="Aptos"/>
                <w:b w:val="0"/>
                <w:sz w:val="17"/>
              </w:rPr>
              <w:t>Jupyter Notebook</w:t>
            </w:r>
          </w:p>
        </w:tc>
        <w:tc>
          <w:tcPr>
            <w:tcW w:type="dxa" w:w="7128"/>
            <w:vAlign w:val="center"/>
            <w:shd w:fill="F6F7FB"/>
          </w:tcPr>
          <w:p>
            <w:pPr>
              <w:spacing w:after="40" w:before="40"/>
            </w:pPr>
            <w:r/>
            <w:r>
              <w:rPr>
                <w:rFonts w:ascii="Aptos" w:hAnsi="Aptos"/>
                <w:b w:val="0"/>
                <w:sz w:val="17"/>
              </w:rPr>
              <w:t>Document code, decisions, outputs, and explanations in a reproducible workflow.</w:t>
            </w:r>
          </w:p>
        </w:tc>
      </w:tr>
      <w:tr>
        <w:tc>
          <w:tcPr>
            <w:tcW w:type="dxa" w:w="2376"/>
            <w:vAlign w:val="center"/>
          </w:tcPr>
          <w:p>
            <w:pPr>
              <w:spacing w:after="40" w:before="40"/>
            </w:pPr>
            <w:r/>
            <w:r>
              <w:rPr>
                <w:rFonts w:ascii="Aptos" w:hAnsi="Aptos"/>
                <w:b w:val="0"/>
                <w:sz w:val="17"/>
              </w:rPr>
              <w:t>Git / GitHub</w:t>
            </w:r>
          </w:p>
        </w:tc>
        <w:tc>
          <w:tcPr>
            <w:tcW w:type="dxa" w:w="7128"/>
            <w:vAlign w:val="center"/>
          </w:tcPr>
          <w:p>
            <w:pPr>
              <w:spacing w:after="40" w:before="40"/>
            </w:pPr>
            <w:r/>
            <w:r>
              <w:rPr>
                <w:rFonts w:ascii="Aptos" w:hAnsi="Aptos"/>
                <w:b w:val="0"/>
                <w:sz w:val="17"/>
              </w:rPr>
              <w:t>Track code changes and publish the project README and source code; respect dataset license and access terms.</w:t>
            </w:r>
          </w:p>
        </w:tc>
      </w:tr>
    </w:tbl>
    <w:p/>
    <w:p>
      <w:r>
        <w:t>The tools are proposed based on their common roles in Python data analysis. The final implementation will depend on the dataset format, available variables, and the questions that remain feasible after the initial audit.</w:t>
      </w:r>
    </w:p>
    <w:p>
      <w:pPr>
        <w:pStyle w:val="Heading1"/>
        <w:keepNext/>
      </w:pPr>
      <w:r>
        <w:t>11. Expected Business Value</w:t>
      </w:r>
    </w:p>
    <w:p>
      <w:r>
        <w:t>If supported by the analysis, the project may help a beauty retailer or brand better understand product feedback and communicate comparisons more clearly. The intended value is not to automatically label products as good or bad, but to provide evidence that helps stakeholders ask better questions and prioritize further investigation.</w:t>
      </w:r>
    </w:p>
    <w:p>
      <w:pPr>
        <w:pStyle w:val="ListBullet"/>
        <w:spacing w:after="60"/>
      </w:pPr>
      <w:r>
        <w:t>Product merchandising: identify categories with differing feedback patterns, while accounting for sample size.</w:t>
      </w:r>
    </w:p>
    <w:p>
      <w:pPr>
        <w:pStyle w:val="ListBullet"/>
        <w:spacing w:after="60"/>
      </w:pPr>
      <w:r>
        <w:t>Customer communication: identify recurring review themes that may deserve clearer product descriptions or FAQs.</w:t>
      </w:r>
    </w:p>
    <w:p>
      <w:pPr>
        <w:pStyle w:val="ListBullet"/>
        <w:spacing w:after="60"/>
      </w:pPr>
      <w:r>
        <w:t>Review interpretation: show ratings alongside review counts and uncertainty so that small samples are not overinterpreted.</w:t>
      </w:r>
    </w:p>
    <w:p>
      <w:pPr>
        <w:pStyle w:val="ListBullet"/>
        <w:spacing w:after="60"/>
      </w:pPr>
      <w:r>
        <w:t>Pricing insight: explore price-rating associations without assuming that price causes satisfaction.</w:t>
      </w:r>
    </w:p>
    <w:p>
      <w:pPr>
        <w:pStyle w:val="ListBullet"/>
        <w:spacing w:after="60"/>
      </w:pPr>
      <w:r>
        <w:t>Future analysis: establish a documented data pipeline that can be extended if more reliable customer or transaction data becomes available.</w:t>
      </w:r>
    </w:p>
    <w:p>
      <w:r>
        <w:t>These are potential applications, not promised outcomes. Recommendations will be made only after analysis and will include evidence, caveats, and a practical next step.</w:t>
      </w:r>
    </w:p>
    <w:p>
      <w:pPr>
        <w:pStyle w:val="Heading1"/>
        <w:keepNext/>
      </w:pPr>
      <w:r>
        <w:t>12. Risks, Ethics, and Limitations</w:t>
      </w:r>
    </w:p>
    <w:tbl>
      <w:tblPr>
        <w:tblStyle w:val="TableGrid"/>
        <w:tblW w:type="auto" w:w="0"/>
        <w:jc w:val="center"/>
        <w:tblLook w:firstColumn="1" w:firstRow="1" w:lastColumn="0" w:lastRow="0" w:noHBand="0" w:noVBand="1" w:val="04A0"/>
      </w:tblPr>
      <w:tblGrid>
        <w:gridCol w:w="4939"/>
        <w:gridCol w:w="4939"/>
      </w:tblGrid>
      <w:tr>
        <w:tc>
          <w:tcPr>
            <w:tcW w:type="dxa" w:w="3240"/>
            <w:vAlign w:val="center"/>
            <w:shd w:fill="20213A"/>
          </w:tcPr>
          <w:p>
            <w:pPr>
              <w:spacing w:after="40" w:before="40"/>
            </w:pPr>
            <w:r/>
            <w:r>
              <w:rPr>
                <w:rFonts w:ascii="Aptos" w:hAnsi="Aptos"/>
                <w:b/>
                <w:color w:val="FFFFFF"/>
                <w:sz w:val="18"/>
              </w:rPr>
              <w:t>Risk/limitation</w:t>
            </w:r>
          </w:p>
        </w:tc>
        <w:tc>
          <w:tcPr>
            <w:tcW w:type="dxa" w:w="6264"/>
            <w:vAlign w:val="center"/>
            <w:shd w:fill="20213A"/>
          </w:tcPr>
          <w:p>
            <w:pPr>
              <w:spacing w:after="40" w:before="40"/>
            </w:pPr>
            <w:r/>
            <w:r>
              <w:rPr>
                <w:rFonts w:ascii="Aptos" w:hAnsi="Aptos"/>
                <w:b/>
                <w:color w:val="FFFFFF"/>
                <w:sz w:val="18"/>
              </w:rPr>
              <w:t>Mitigation</w:t>
            </w:r>
          </w:p>
        </w:tc>
      </w:tr>
      <w:tr>
        <w:tc>
          <w:tcPr>
            <w:tcW w:type="dxa" w:w="3240"/>
            <w:vAlign w:val="center"/>
            <w:shd w:fill="F6F7FB"/>
          </w:tcPr>
          <w:p>
            <w:pPr>
              <w:spacing w:after="40" w:before="40"/>
            </w:pPr>
            <w:r/>
            <w:r>
              <w:rPr>
                <w:rFonts w:ascii="Aptos" w:hAnsi="Aptos"/>
                <w:b w:val="0"/>
                <w:sz w:val="17"/>
              </w:rPr>
              <w:t>Selection bias: people who post reviews may differ from silent customers.</w:t>
            </w:r>
          </w:p>
        </w:tc>
        <w:tc>
          <w:tcPr>
            <w:tcW w:type="dxa" w:w="6264"/>
            <w:vAlign w:val="center"/>
            <w:shd w:fill="F6F7FB"/>
          </w:tcPr>
          <w:p>
            <w:pPr>
              <w:spacing w:after="40" w:before="40"/>
            </w:pPr>
            <w:r/>
            <w:r>
              <w:rPr>
                <w:rFonts w:ascii="Aptos" w:hAnsi="Aptos"/>
                <w:b w:val="0"/>
                <w:sz w:val="17"/>
              </w:rPr>
              <w:t>Describe the data as platform review data, not a representative survey of all consumers.</w:t>
            </w:r>
          </w:p>
        </w:tc>
      </w:tr>
      <w:tr>
        <w:tc>
          <w:tcPr>
            <w:tcW w:type="dxa" w:w="3240"/>
            <w:vAlign w:val="center"/>
          </w:tcPr>
          <w:p>
            <w:pPr>
              <w:spacing w:after="40" w:before="40"/>
            </w:pPr>
            <w:r/>
            <w:r>
              <w:rPr>
                <w:rFonts w:ascii="Aptos" w:hAnsi="Aptos"/>
                <w:b w:val="0"/>
                <w:sz w:val="17"/>
              </w:rPr>
              <w:t>Ratings may be skewed or inflated.</w:t>
            </w:r>
          </w:p>
        </w:tc>
        <w:tc>
          <w:tcPr>
            <w:tcW w:type="dxa" w:w="6264"/>
            <w:vAlign w:val="center"/>
          </w:tcPr>
          <w:p>
            <w:pPr>
              <w:spacing w:after="40" w:before="40"/>
            </w:pPr>
            <w:r/>
            <w:r>
              <w:rPr>
                <w:rFonts w:ascii="Aptos" w:hAnsi="Aptos"/>
                <w:b w:val="0"/>
                <w:sz w:val="17"/>
              </w:rPr>
              <w:t>Inspect distributions and report median, spread, and group sizes alongside means.</w:t>
            </w:r>
          </w:p>
        </w:tc>
      </w:tr>
      <w:tr>
        <w:tc>
          <w:tcPr>
            <w:tcW w:type="dxa" w:w="3240"/>
            <w:vAlign w:val="center"/>
            <w:shd w:fill="F6F7FB"/>
          </w:tcPr>
          <w:p>
            <w:pPr>
              <w:spacing w:after="40" w:before="40"/>
            </w:pPr>
            <w:r/>
            <w:r>
              <w:rPr>
                <w:rFonts w:ascii="Aptos" w:hAnsi="Aptos"/>
                <w:b w:val="0"/>
                <w:sz w:val="17"/>
              </w:rPr>
              <w:t>Small sample sizes for some products or brands.</w:t>
            </w:r>
          </w:p>
        </w:tc>
        <w:tc>
          <w:tcPr>
            <w:tcW w:type="dxa" w:w="6264"/>
            <w:vAlign w:val="center"/>
            <w:shd w:fill="F6F7FB"/>
          </w:tcPr>
          <w:p>
            <w:pPr>
              <w:spacing w:after="40" w:before="40"/>
            </w:pPr>
            <w:r/>
            <w:r>
              <w:rPr>
                <w:rFonts w:ascii="Aptos" w:hAnsi="Aptos"/>
                <w:b w:val="0"/>
                <w:sz w:val="17"/>
              </w:rPr>
              <w:t>Use minimum-count thresholds for comparisons and report uncertainty.</w:t>
            </w:r>
          </w:p>
        </w:tc>
      </w:tr>
      <w:tr>
        <w:tc>
          <w:tcPr>
            <w:tcW w:type="dxa" w:w="3240"/>
            <w:vAlign w:val="center"/>
          </w:tcPr>
          <w:p>
            <w:pPr>
              <w:spacing w:after="40" w:before="40"/>
            </w:pPr>
            <w:r/>
            <w:r>
              <w:rPr>
                <w:rFonts w:ascii="Aptos" w:hAnsi="Aptos"/>
                <w:b w:val="0"/>
                <w:sz w:val="17"/>
              </w:rPr>
              <w:t>Confounding variables, including product category, brand positioning, and price tier.</w:t>
            </w:r>
          </w:p>
        </w:tc>
        <w:tc>
          <w:tcPr>
            <w:tcW w:type="dxa" w:w="6264"/>
            <w:vAlign w:val="center"/>
          </w:tcPr>
          <w:p>
            <w:pPr>
              <w:spacing w:after="40" w:before="40"/>
            </w:pPr>
            <w:r/>
            <w:r>
              <w:rPr>
                <w:rFonts w:ascii="Aptos" w:hAnsi="Aptos"/>
                <w:b w:val="0"/>
                <w:sz w:val="17"/>
              </w:rPr>
              <w:t>Use cautious association language and avoid unsupported causal conclusions.</w:t>
            </w:r>
          </w:p>
        </w:tc>
      </w:tr>
      <w:tr>
        <w:tc>
          <w:tcPr>
            <w:tcW w:type="dxa" w:w="3240"/>
            <w:vAlign w:val="center"/>
            <w:shd w:fill="F6F7FB"/>
          </w:tcPr>
          <w:p>
            <w:pPr>
              <w:spacing w:after="40" w:before="40"/>
            </w:pPr>
            <w:r/>
            <w:r>
              <w:rPr>
                <w:rFonts w:ascii="Aptos" w:hAnsi="Aptos"/>
                <w:b w:val="0"/>
                <w:sz w:val="17"/>
              </w:rPr>
              <w:t>Missing or inconsistent fields.</w:t>
            </w:r>
          </w:p>
        </w:tc>
        <w:tc>
          <w:tcPr>
            <w:tcW w:type="dxa" w:w="6264"/>
            <w:vAlign w:val="center"/>
            <w:shd w:fill="F6F7FB"/>
          </w:tcPr>
          <w:p>
            <w:pPr>
              <w:spacing w:after="40" w:before="40"/>
            </w:pPr>
            <w:r/>
            <w:r>
              <w:rPr>
                <w:rFonts w:ascii="Aptos" w:hAnsi="Aptos"/>
                <w:b w:val="0"/>
                <w:sz w:val="17"/>
              </w:rPr>
              <w:t>Quantify missingness, document handling decisions, and test whether exclusions change conclusions.</w:t>
            </w:r>
          </w:p>
        </w:tc>
      </w:tr>
      <w:tr>
        <w:tc>
          <w:tcPr>
            <w:tcW w:type="dxa" w:w="3240"/>
            <w:vAlign w:val="center"/>
          </w:tcPr>
          <w:p>
            <w:pPr>
              <w:spacing w:after="40" w:before="40"/>
            </w:pPr>
            <w:r/>
            <w:r>
              <w:rPr>
                <w:rFonts w:ascii="Aptos" w:hAnsi="Aptos"/>
                <w:b w:val="0"/>
                <w:sz w:val="17"/>
              </w:rPr>
              <w:t>Potential review manipulation or non-independent observations.</w:t>
            </w:r>
          </w:p>
        </w:tc>
        <w:tc>
          <w:tcPr>
            <w:tcW w:type="dxa" w:w="6264"/>
            <w:vAlign w:val="center"/>
          </w:tcPr>
          <w:p>
            <w:pPr>
              <w:spacing w:after="40" w:before="40"/>
            </w:pPr>
            <w:r/>
            <w:r>
              <w:rPr>
                <w:rFonts w:ascii="Aptos" w:hAnsi="Aptos"/>
                <w:b w:val="0"/>
                <w:sz w:val="17"/>
              </w:rPr>
              <w:t>Discuss as a limitation; avoid treating every review as fully independent without checking data structure.</w:t>
            </w:r>
          </w:p>
        </w:tc>
      </w:tr>
      <w:tr>
        <w:tc>
          <w:tcPr>
            <w:tcW w:type="dxa" w:w="3240"/>
            <w:vAlign w:val="center"/>
            <w:shd w:fill="F6F7FB"/>
          </w:tcPr>
          <w:p>
            <w:pPr>
              <w:spacing w:after="40" w:before="40"/>
            </w:pPr>
            <w:r/>
            <w:r>
              <w:rPr>
                <w:rFonts w:ascii="Aptos" w:hAnsi="Aptos"/>
                <w:b w:val="0"/>
                <w:sz w:val="17"/>
              </w:rPr>
              <w:t>Privacy and sensitive content in review text.</w:t>
            </w:r>
          </w:p>
        </w:tc>
        <w:tc>
          <w:tcPr>
            <w:tcW w:type="dxa" w:w="6264"/>
            <w:vAlign w:val="center"/>
            <w:shd w:fill="F6F7FB"/>
          </w:tcPr>
          <w:p>
            <w:pPr>
              <w:spacing w:after="40" w:before="40"/>
            </w:pPr>
            <w:r/>
            <w:r>
              <w:rPr>
                <w:rFonts w:ascii="Aptos" w:hAnsi="Aptos"/>
                <w:b w:val="0"/>
                <w:sz w:val="17"/>
              </w:rPr>
              <w:t>Use only permitted public data, avoid exposing usernames or personal details, and aggregate results.</w:t>
            </w:r>
          </w:p>
        </w:tc>
      </w:tr>
      <w:tr>
        <w:tc>
          <w:tcPr>
            <w:tcW w:type="dxa" w:w="3240"/>
            <w:vAlign w:val="center"/>
          </w:tcPr>
          <w:p>
            <w:pPr>
              <w:spacing w:after="40" w:before="40"/>
            </w:pPr>
            <w:r/>
            <w:r>
              <w:rPr>
                <w:rFonts w:ascii="Aptos" w:hAnsi="Aptos"/>
                <w:b w:val="0"/>
                <w:sz w:val="17"/>
              </w:rPr>
              <w:t>Dataset license or provenance uncertainty.</w:t>
            </w:r>
          </w:p>
        </w:tc>
        <w:tc>
          <w:tcPr>
            <w:tcW w:type="dxa" w:w="6264"/>
            <w:vAlign w:val="center"/>
          </w:tcPr>
          <w:p>
            <w:pPr>
              <w:spacing w:after="40" w:before="40"/>
            </w:pPr>
            <w:r/>
            <w:r>
              <w:rPr>
                <w:rFonts w:ascii="Aptos" w:hAnsi="Aptos"/>
                <w:b w:val="0"/>
                <w:sz w:val="17"/>
              </w:rPr>
              <w:t>Verify the source and terms before using, redistributing, or uploading data.</w:t>
            </w:r>
          </w:p>
        </w:tc>
      </w:tr>
      <w:tr>
        <w:tc>
          <w:tcPr>
            <w:tcW w:type="dxa" w:w="3240"/>
            <w:vAlign w:val="center"/>
            <w:shd w:fill="F6F7FB"/>
          </w:tcPr>
          <w:p>
            <w:pPr>
              <w:spacing w:after="40" w:before="40"/>
            </w:pPr>
            <w:r/>
            <w:r>
              <w:rPr>
                <w:rFonts w:ascii="Aptos" w:hAnsi="Aptos"/>
                <w:b w:val="0"/>
                <w:sz w:val="17"/>
              </w:rPr>
              <w:t>Model leakage or overfitting.</w:t>
            </w:r>
          </w:p>
        </w:tc>
        <w:tc>
          <w:tcPr>
            <w:tcW w:type="dxa" w:w="6264"/>
            <w:vAlign w:val="center"/>
            <w:shd w:fill="F6F7FB"/>
          </w:tcPr>
          <w:p>
            <w:pPr>
              <w:spacing w:after="40" w:before="40"/>
            </w:pPr>
            <w:r/>
            <w:r>
              <w:rPr>
                <w:rFonts w:ascii="Aptos" w:hAnsi="Aptos"/>
                <w:b w:val="0"/>
                <w:sz w:val="17"/>
              </w:rPr>
              <w:t>Use a clear target definition, a baseline, suitable validation, and a held-out test set where appropriate.</w:t>
            </w:r>
          </w:p>
        </w:tc>
      </w:tr>
      <w:tr>
        <w:tc>
          <w:tcPr>
            <w:tcW w:type="dxa" w:w="3240"/>
            <w:vAlign w:val="center"/>
          </w:tcPr>
          <w:p>
            <w:pPr>
              <w:spacing w:after="40" w:before="40"/>
            </w:pPr>
            <w:r/>
            <w:r>
              <w:rPr>
                <w:rFonts w:ascii="Aptos" w:hAnsi="Aptos"/>
                <w:b w:val="0"/>
                <w:sz w:val="17"/>
              </w:rPr>
              <w:t>Beauty and wellness is a broad category.</w:t>
            </w:r>
          </w:p>
        </w:tc>
        <w:tc>
          <w:tcPr>
            <w:tcW w:type="dxa" w:w="6264"/>
            <w:vAlign w:val="center"/>
          </w:tcPr>
          <w:p>
            <w:pPr>
              <w:spacing w:after="40" w:before="40"/>
            </w:pPr>
            <w:r/>
            <w:r>
              <w:rPr>
                <w:rFonts w:ascii="Aptos" w:hAnsi="Aptos"/>
                <w:b w:val="0"/>
                <w:sz w:val="17"/>
              </w:rPr>
              <w:t>Keep the first study focused on product/review data; do not generalize to clinical outcomes or the entire industry.</w:t>
            </w:r>
          </w:p>
        </w:tc>
      </w:tr>
    </w:tbl>
    <w:p/>
    <w:p>
      <w:pPr>
        <w:pStyle w:val="Heading2"/>
        <w:keepNext/>
      </w:pPr>
      <w:r>
        <w:t>12.1 Responsible interpretation</w:t>
      </w:r>
    </w:p>
    <w:p>
      <w:r>
        <w:t>The project will analyze product information and feedback, not diagnose skin conditions or recommend treatment. Ingredients and product claims will not be interpreted as proof of medical effectiveness. Any sentiment or text classification will be treated as an imperfect computational summary, not as a definitive assessment of a customer’s experience.</w:t>
      </w:r>
    </w:p>
    <w:p>
      <w:pPr>
        <w:pStyle w:val="Heading1"/>
        <w:keepNext/>
      </w:pPr>
      <w:r>
        <w:t>13. Deliverables and Success Criteria</w:t>
      </w:r>
    </w:p>
    <w:p>
      <w:pPr>
        <w:pStyle w:val="Heading2"/>
        <w:keepNext/>
      </w:pPr>
      <w:r>
        <w:t>13.1 Planned project deliverables</w:t>
      </w:r>
    </w:p>
    <w:p>
      <w:pPr>
        <w:pStyle w:val="ListBullet"/>
        <w:spacing w:after="60"/>
      </w:pPr>
      <w:r>
        <w:t>Week 1: this problem-definition report.</w:t>
      </w:r>
    </w:p>
    <w:p>
      <w:pPr>
        <w:pStyle w:val="ListBullet"/>
        <w:spacing w:after="60"/>
      </w:pPr>
      <w:r>
        <w:t>Week 2: verified data-source strategy, data dictionary, and data-quality assessment plan.</w:t>
      </w:r>
    </w:p>
    <w:p>
      <w:pPr>
        <w:pStyle w:val="ListBullet"/>
        <w:spacing w:after="60"/>
      </w:pPr>
      <w:r>
        <w:t>Week 3: documented cleaning and preprocessing workflow.</w:t>
      </w:r>
    </w:p>
    <w:p>
      <w:pPr>
        <w:pStyle w:val="ListBullet"/>
        <w:spacing w:after="60"/>
      </w:pPr>
      <w:r>
        <w:t>Week 4: EDA notebook, visualizations, and feature-engineering rationale.</w:t>
      </w:r>
    </w:p>
    <w:p>
      <w:pPr>
        <w:pStyle w:val="ListBullet"/>
        <w:spacing w:after="60"/>
      </w:pPr>
      <w:r>
        <w:t>Week 5: modeling plan and comparison of appropriate methods, if the data supports prediction.</w:t>
      </w:r>
    </w:p>
    <w:p>
      <w:pPr>
        <w:pStyle w:val="ListBullet"/>
        <w:spacing w:after="60"/>
      </w:pPr>
      <w:r>
        <w:t>Week 6: evaluation report, results tables, limitations, and actionable recommendations.</w:t>
      </w:r>
    </w:p>
    <w:p>
      <w:pPr>
        <w:pStyle w:val="ListBullet"/>
        <w:spacing w:after="60"/>
      </w:pPr>
      <w:r>
        <w:t>Project repository: README, source code/notebook, requirements or environment notes, and instructions for reproducing the analysis. Dataset files will be included only when licensing and platform rules permit.</w:t>
      </w:r>
    </w:p>
    <w:p>
      <w:pPr>
        <w:pStyle w:val="Heading2"/>
        <w:keepNext/>
      </w:pPr>
      <w:r>
        <w:t>13.2 Success criteria</w:t>
      </w:r>
    </w:p>
    <w:p>
      <w:pPr>
        <w:pStyle w:val="ListBullet"/>
        <w:spacing w:after="60"/>
      </w:pPr>
      <w:r>
        <w:t>The business problem, research questions, and hypotheses are specific and connected.</w:t>
      </w:r>
    </w:p>
    <w:p>
      <w:pPr>
        <w:pStyle w:val="ListBullet"/>
        <w:spacing w:after="60"/>
      </w:pPr>
      <w:r>
        <w:t>The chosen dataset supports the core research questions and its usage terms are documented.</w:t>
      </w:r>
    </w:p>
    <w:p>
      <w:pPr>
        <w:pStyle w:val="ListBullet"/>
        <w:spacing w:after="60"/>
      </w:pPr>
      <w:r>
        <w:t>Cleaning and analysis steps can be reproduced and explained.</w:t>
      </w:r>
    </w:p>
    <w:p>
      <w:pPr>
        <w:pStyle w:val="ListBullet"/>
        <w:spacing w:after="60"/>
      </w:pPr>
      <w:r>
        <w:t>Charts and statistics are correctly labelled and interpreted.</w:t>
      </w:r>
    </w:p>
    <w:p>
      <w:pPr>
        <w:pStyle w:val="ListBullet"/>
        <w:spacing w:after="60"/>
      </w:pPr>
      <w:r>
        <w:t>Each hypothesis is reported as supported, not supported, or inconclusive based on actual evidence.</w:t>
      </w:r>
    </w:p>
    <w:p>
      <w:pPr>
        <w:pStyle w:val="ListBullet"/>
        <w:spacing w:after="60"/>
      </w:pPr>
      <w:r>
        <w:t>Any model is compared against a baseline and evaluated with metrics appropriate to its target.</w:t>
      </w:r>
    </w:p>
    <w:p>
      <w:pPr>
        <w:pStyle w:val="ListBullet"/>
        <w:spacing w:after="60"/>
      </w:pPr>
      <w:r>
        <w:t>Business recommendations are traceable to results and include relevant limitations.</w:t>
      </w:r>
    </w:p>
    <w:p>
      <w:pPr>
        <w:pStyle w:val="Heading1"/>
        <w:keepNext/>
      </w:pPr>
      <w:r>
        <w:t>14. Conclusion</w:t>
      </w:r>
    </w:p>
    <w:p>
      <w:r>
        <w:t>This report defines an applied data science project focused on beauty-product ratings and online customer-review patterns. The problem is relevant because product discovery and customer feedback are important parts of digital beauty commerce, while the growing volume of information makes structured analysis useful. The project will use a careful, staged process: verify the data source, audit and clean the data, explore patterns, assess hypotheses, and consider predictive modeling only if a valid target and appropriate evaluation design are available.</w:t>
      </w:r>
    </w:p>
    <w:p>
      <w:r>
        <w:t>The main commitment is to evidence-based reporting. The project will not invent results, equate ratings with every customer’s experience, or infer purchases from review data alone. By combining reproducible Python analysis with clear business interpretation, the work aims to create a credible foundation for the remaining five internship assignments.</w:t>
      </w:r>
    </w:p>
    <w:p>
      <w:pPr>
        <w:pStyle w:val="Heading1"/>
        <w:keepNext/>
      </w:pPr>
      <w:r>
        <w:t>15. References</w:t>
      </w:r>
    </w:p>
    <w:p>
      <w:pPr>
        <w:pStyle w:val="ListNumber"/>
        <w:spacing w:after="100"/>
      </w:pPr>
      <w:r>
        <w:rPr>
          <w:sz w:val="18"/>
        </w:rPr>
        <w:t>McKinsey &amp; Company. (2025, June 9). State of Beauty 2025: Solving a shifting growth puzzle.</w:t>
        <w:br/>
      </w:r>
      <w:r>
        <w:rPr>
          <w:color w:val="6C4AB6"/>
          <w:sz w:val="16"/>
        </w:rPr>
        <w:t>https://www.mckinsey.com/industries/consumer-packaged-goods/our-insights/state-of-beauty-2025</w:t>
      </w:r>
    </w:p>
    <w:p>
      <w:pPr>
        <w:pStyle w:val="ListNumber"/>
        <w:spacing w:after="100"/>
      </w:pPr>
      <w:r>
        <w:rPr>
          <w:sz w:val="18"/>
        </w:rPr>
        <w:t>McKinsey &amp; Company. (2026, June 18). From aisle to algorithm: The beauty categories, channels, and concepts shaping 2030 growth.</w:t>
        <w:br/>
      </w:r>
      <w:r>
        <w:rPr>
          <w:color w:val="6C4AB6"/>
          <w:sz w:val="16"/>
        </w:rPr>
        <w:t>https://www.mckinsey.com/industries/consumer-packaged-goods/our-insights/state-of-beauty/</w:t>
      </w:r>
    </w:p>
    <w:p>
      <w:pPr>
        <w:pStyle w:val="ListNumber"/>
        <w:spacing w:after="100"/>
      </w:pPr>
      <w:r>
        <w:rPr>
          <w:sz w:val="18"/>
        </w:rPr>
        <w:t>Ipsos. (2024, July 26). Decoding India’s Beauty Boom: Exploring Current Trends in Beauty and Personal Care.</w:t>
        <w:br/>
      </w:r>
      <w:r>
        <w:rPr>
          <w:color w:val="6C4AB6"/>
          <w:sz w:val="16"/>
        </w:rPr>
        <w:t>https://www.ipsos.com/en-in/decoding-indias-beauty-boom</w:t>
      </w:r>
    </w:p>
    <w:p>
      <w:pPr>
        <w:pStyle w:val="ListNumber"/>
        <w:spacing w:after="100"/>
      </w:pPr>
      <w:r>
        <w:rPr>
          <w:sz w:val="18"/>
        </w:rPr>
        <w:t>NielsenIQ. (2025, June 26). The new face of Indian beauty.</w:t>
        <w:br/>
      </w:r>
      <w:r>
        <w:rPr>
          <w:color w:val="6C4AB6"/>
          <w:sz w:val="16"/>
        </w:rPr>
        <w:t>https://nielseniq.com/global/en/insights/report/2025/the-new-face-of-indian-beauty/</w:t>
      </w:r>
    </w:p>
    <w:p>
      <w:pPr>
        <w:pStyle w:val="ListNumber"/>
        <w:spacing w:after="100"/>
      </w:pPr>
      <w:r>
        <w:rPr>
          <w:sz w:val="18"/>
        </w:rPr>
        <w:t>Kaggle. (n.d.). Sephora Products and Skincare Reviews [Dataset listing; candidate source, to be verified before use].</w:t>
        <w:br/>
      </w:r>
      <w:r>
        <w:rPr>
          <w:color w:val="6C4AB6"/>
          <w:sz w:val="16"/>
        </w:rPr>
        <w:t>https://www.kaggle.com/datasets/nadyinky/sephora-products-and-skincare-reviews</w:t>
      </w:r>
    </w:p>
    <w:p>
      <w:pPr>
        <w:pStyle w:val="ListNumber"/>
        <w:spacing w:after="100"/>
      </w:pPr>
      <w:r>
        <w:rPr>
          <w:sz w:val="18"/>
        </w:rPr>
        <w:t>pandas documentation. (n.d.). Package overview.</w:t>
        <w:br/>
      </w:r>
      <w:r>
        <w:rPr>
          <w:color w:val="6C4AB6"/>
          <w:sz w:val="16"/>
        </w:rPr>
        <w:t>https://pandas.pydata.org/docs/getting_started/overview.html</w:t>
      </w:r>
    </w:p>
    <w:p>
      <w:pPr>
        <w:pStyle w:val="ListNumber"/>
        <w:spacing w:after="100"/>
      </w:pPr>
      <w:r>
        <w:rPr>
          <w:sz w:val="18"/>
        </w:rPr>
        <w:t>scikit-learn documentation. (n.d.). train_test_split.</w:t>
        <w:br/>
      </w:r>
      <w:r>
        <w:rPr>
          <w:color w:val="6C4AB6"/>
          <w:sz w:val="16"/>
        </w:rPr>
        <w:t>https://scikit-learn.org/stable/modules/generated/sklearn.model_selection.train_test_split.html</w:t>
      </w:r>
    </w:p>
    <w:p>
      <w:pPr>
        <w:pStyle w:val="SmallNote"/>
      </w:pPr>
      <w:r>
        <w:t>Access note: Public web pages and dataset listings can change. The dataset page, its current schema, license, and access terms must be rechecked before analysis and before any redistribution.</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6273"/>
        <w:sz w:val="16"/>
      </w:rPr>
      <w:t>Week 1 • Problem Definition  |  Sohini Ball</w:t>
    </w:r>
    <w:r>
      <w:t xml:space="preserve">     •     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C4AB6"/>
        <w:sz w:val="16"/>
      </w:rPr>
      <w:t>YUVAINTERN  |  DATA SCIENCE WITH PYTHON ANALYST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D313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20213A"/>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6C4AB6"/>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2C7A7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20213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59627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Beauty &amp; Wellness Customer Insights — Week 1 Problem Definition</dc:title>
  <dc:subject>YuvaIntern Data Science with Python Analyst Internship</dc:subject>
  <dc:creator>Sohini Ball</dc:creator>
  <cp:keywords>Data Science, Beauty, Wellness, Python, Customer Reviews, Problem Definition</cp:keywords>
  <dc:description>generated by python-docx</dc:description>
  <cp:lastModifiedBy/>
  <cp:revision>1</cp:revision>
  <dcterms:created xsi:type="dcterms:W3CDTF">2013-12-23T23:15:00Z</dcterms:created>
  <dcterms:modified xsi:type="dcterms:W3CDTF">2013-12-23T23:15:00Z</dcterms:modified>
  <cp:category/>
</cp:coreProperties>
</file>