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C5BE4" w14:textId="77777777" w:rsidR="00326C79" w:rsidRDefault="00326C79" w:rsidP="00375A21">
      <w:pPr>
        <w:spacing w:after="0" w:line="240" w:lineRule="auto"/>
        <w:rPr>
          <w:rFonts w:ascii="Verdana" w:hAnsi="Verdana"/>
          <w:b/>
          <w:color w:val="000000" w:themeColor="text1"/>
          <w:sz w:val="20"/>
          <w:szCs w:val="20"/>
        </w:rPr>
      </w:pPr>
    </w:p>
    <w:p w14:paraId="2B42226D" w14:textId="77777777" w:rsidR="00E845B8" w:rsidRDefault="00E845B8" w:rsidP="00375A21">
      <w:pPr>
        <w:spacing w:after="0" w:line="240" w:lineRule="auto"/>
        <w:rPr>
          <w:rFonts w:ascii="Verdana" w:hAnsi="Verdana"/>
          <w:b/>
          <w:color w:val="000000" w:themeColor="text1"/>
          <w:sz w:val="20"/>
          <w:szCs w:val="20"/>
        </w:rPr>
      </w:pPr>
    </w:p>
    <w:p w14:paraId="6ED5A098" w14:textId="77777777" w:rsidR="00E845B8" w:rsidRDefault="00E845B8" w:rsidP="00375A21">
      <w:pPr>
        <w:spacing w:after="0" w:line="240" w:lineRule="auto"/>
        <w:rPr>
          <w:rFonts w:ascii="Verdana" w:hAnsi="Verdana"/>
          <w:b/>
          <w:color w:val="000000" w:themeColor="text1"/>
          <w:sz w:val="20"/>
          <w:szCs w:val="20"/>
        </w:rPr>
      </w:pPr>
    </w:p>
    <w:p w14:paraId="612DE6AD" w14:textId="77777777" w:rsidR="00E845B8" w:rsidRDefault="00E845B8" w:rsidP="00375A21">
      <w:pPr>
        <w:spacing w:after="0" w:line="240" w:lineRule="auto"/>
        <w:rPr>
          <w:rFonts w:ascii="Verdana" w:hAnsi="Verdana"/>
          <w:b/>
          <w:color w:val="000000" w:themeColor="text1"/>
          <w:sz w:val="20"/>
          <w:szCs w:val="20"/>
        </w:rPr>
      </w:pPr>
    </w:p>
    <w:p w14:paraId="04C346BE" w14:textId="77777777" w:rsidR="00E845B8" w:rsidRPr="008B7099" w:rsidRDefault="00E845B8" w:rsidP="00375A21">
      <w:pPr>
        <w:spacing w:after="0" w:line="240" w:lineRule="auto"/>
        <w:rPr>
          <w:rFonts w:ascii="Verdana" w:hAnsi="Verdana"/>
          <w:b/>
          <w:color w:val="000000" w:themeColor="text1"/>
          <w:sz w:val="20"/>
          <w:szCs w:val="20"/>
        </w:rPr>
      </w:pPr>
    </w:p>
    <w:p w14:paraId="574DFBFD" w14:textId="77777777" w:rsidR="00D91AF5" w:rsidRPr="008B7099" w:rsidRDefault="00D91AF5" w:rsidP="00D91AF5">
      <w:pPr>
        <w:spacing w:after="0" w:line="240" w:lineRule="auto"/>
        <w:jc w:val="center"/>
        <w:rPr>
          <w:rFonts w:ascii="Verdana" w:hAnsi="Verdana"/>
          <w:b/>
          <w:color w:val="000000" w:themeColor="text1"/>
          <w:sz w:val="20"/>
          <w:szCs w:val="20"/>
        </w:rPr>
      </w:pPr>
    </w:p>
    <w:p w14:paraId="65C901A8" w14:textId="41C08A67" w:rsidR="00FF5E48" w:rsidRPr="008B7099" w:rsidRDefault="00D91AF5" w:rsidP="00D91AF5">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CORTE INTERAMERICANA DE DERECHOS HUMANOS</w:t>
      </w:r>
    </w:p>
    <w:p w14:paraId="6B5187AF" w14:textId="77777777" w:rsidR="00D91AF5" w:rsidRPr="008B7099" w:rsidRDefault="00D91AF5" w:rsidP="00D91AF5">
      <w:pPr>
        <w:spacing w:after="0" w:line="240" w:lineRule="auto"/>
        <w:jc w:val="center"/>
        <w:rPr>
          <w:rFonts w:ascii="Verdana" w:hAnsi="Verdana"/>
          <w:b/>
          <w:color w:val="000000" w:themeColor="text1"/>
          <w:sz w:val="20"/>
          <w:szCs w:val="20"/>
        </w:rPr>
      </w:pPr>
    </w:p>
    <w:p w14:paraId="31CF35DE" w14:textId="4947BF71" w:rsidR="00D91AF5" w:rsidRPr="008B7099" w:rsidRDefault="00D91AF5" w:rsidP="00D91AF5">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 xml:space="preserve">CASO </w:t>
      </w:r>
      <w:r w:rsidR="00E845B8">
        <w:rPr>
          <w:rFonts w:ascii="Verdana" w:hAnsi="Verdana"/>
          <w:b/>
          <w:color w:val="000000" w:themeColor="text1"/>
          <w:sz w:val="20"/>
          <w:szCs w:val="20"/>
        </w:rPr>
        <w:t xml:space="preserve">OLIVERA FUENTES </w:t>
      </w:r>
      <w:r w:rsidR="006A61D1" w:rsidRPr="008B7099">
        <w:rPr>
          <w:rFonts w:ascii="Verdana" w:hAnsi="Verdana"/>
          <w:b/>
          <w:i/>
          <w:iCs/>
          <w:color w:val="000000" w:themeColor="text1"/>
          <w:sz w:val="20"/>
          <w:szCs w:val="20"/>
        </w:rPr>
        <w:t>VS</w:t>
      </w:r>
      <w:r w:rsidR="006A61D1" w:rsidRPr="008B7099">
        <w:rPr>
          <w:rFonts w:ascii="Verdana" w:hAnsi="Verdana"/>
          <w:b/>
          <w:color w:val="000000" w:themeColor="text1"/>
          <w:sz w:val="20"/>
          <w:szCs w:val="20"/>
        </w:rPr>
        <w:t>. PERÚ</w:t>
      </w:r>
    </w:p>
    <w:p w14:paraId="755251B3" w14:textId="77777777" w:rsidR="00D91AF5" w:rsidRPr="008B7099" w:rsidRDefault="00D91AF5" w:rsidP="00D91AF5">
      <w:pPr>
        <w:spacing w:after="0" w:line="240" w:lineRule="auto"/>
        <w:jc w:val="center"/>
        <w:rPr>
          <w:rFonts w:ascii="Verdana" w:hAnsi="Verdana"/>
          <w:b/>
          <w:color w:val="000000" w:themeColor="text1"/>
          <w:sz w:val="20"/>
          <w:szCs w:val="20"/>
        </w:rPr>
      </w:pPr>
    </w:p>
    <w:p w14:paraId="721527E0" w14:textId="0F610FBB" w:rsidR="00D91AF5" w:rsidRPr="008B7099" w:rsidRDefault="00D91AF5" w:rsidP="00D91AF5">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 xml:space="preserve">SENTENCIA DE </w:t>
      </w:r>
      <w:r w:rsidR="002257DE">
        <w:rPr>
          <w:rFonts w:ascii="Verdana" w:hAnsi="Verdana"/>
          <w:b/>
          <w:color w:val="000000" w:themeColor="text1"/>
          <w:sz w:val="20"/>
          <w:szCs w:val="20"/>
        </w:rPr>
        <w:t>28</w:t>
      </w:r>
      <w:r w:rsidR="009D0958" w:rsidRPr="008B7099">
        <w:rPr>
          <w:rFonts w:ascii="Verdana" w:hAnsi="Verdana"/>
          <w:b/>
          <w:color w:val="000000" w:themeColor="text1"/>
          <w:sz w:val="20"/>
          <w:szCs w:val="20"/>
        </w:rPr>
        <w:t xml:space="preserve"> DE </w:t>
      </w:r>
      <w:r w:rsidR="003F62CC">
        <w:rPr>
          <w:rFonts w:ascii="Verdana" w:hAnsi="Verdana"/>
          <w:b/>
          <w:color w:val="000000" w:themeColor="text1"/>
          <w:sz w:val="20"/>
          <w:szCs w:val="20"/>
        </w:rPr>
        <w:t>NOVIEMBRE</w:t>
      </w:r>
      <w:r w:rsidR="003F62CC" w:rsidRPr="008B7099">
        <w:rPr>
          <w:rFonts w:ascii="Verdana" w:hAnsi="Verdana"/>
          <w:b/>
          <w:color w:val="000000" w:themeColor="text1"/>
          <w:sz w:val="20"/>
          <w:szCs w:val="20"/>
        </w:rPr>
        <w:t xml:space="preserve"> </w:t>
      </w:r>
      <w:r w:rsidR="009D0958" w:rsidRPr="008B7099">
        <w:rPr>
          <w:rFonts w:ascii="Verdana" w:hAnsi="Verdana"/>
          <w:b/>
          <w:color w:val="000000" w:themeColor="text1"/>
          <w:sz w:val="20"/>
          <w:szCs w:val="20"/>
        </w:rPr>
        <w:t xml:space="preserve">DE </w:t>
      </w:r>
      <w:r w:rsidR="00EB7379" w:rsidRPr="008B7099">
        <w:rPr>
          <w:rFonts w:ascii="Verdana" w:hAnsi="Verdana"/>
          <w:b/>
          <w:color w:val="000000" w:themeColor="text1"/>
          <w:sz w:val="20"/>
          <w:szCs w:val="20"/>
        </w:rPr>
        <w:t>202</w:t>
      </w:r>
      <w:r w:rsidR="00E845B8">
        <w:rPr>
          <w:rFonts w:ascii="Verdana" w:hAnsi="Verdana"/>
          <w:b/>
          <w:color w:val="000000" w:themeColor="text1"/>
          <w:sz w:val="20"/>
          <w:szCs w:val="20"/>
        </w:rPr>
        <w:t>3</w:t>
      </w:r>
    </w:p>
    <w:p w14:paraId="30A7B34A" w14:textId="77777777" w:rsidR="00D91AF5" w:rsidRPr="008B7099" w:rsidRDefault="00D91AF5" w:rsidP="00D91AF5">
      <w:pPr>
        <w:spacing w:after="0" w:line="240" w:lineRule="auto"/>
        <w:jc w:val="center"/>
        <w:rPr>
          <w:rFonts w:ascii="Verdana" w:hAnsi="Verdana"/>
          <w:b/>
          <w:color w:val="000000" w:themeColor="text1"/>
          <w:sz w:val="20"/>
          <w:szCs w:val="20"/>
        </w:rPr>
      </w:pPr>
    </w:p>
    <w:p w14:paraId="2C95DB8D" w14:textId="7A514E88" w:rsidR="00D91AF5" w:rsidRPr="008B7099" w:rsidRDefault="00D91AF5" w:rsidP="00D91AF5">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w:t>
      </w:r>
      <w:r w:rsidRPr="008B7099">
        <w:rPr>
          <w:rFonts w:ascii="Verdana" w:hAnsi="Verdana"/>
          <w:b/>
          <w:i/>
          <w:color w:val="000000" w:themeColor="text1"/>
          <w:sz w:val="20"/>
          <w:szCs w:val="20"/>
        </w:rPr>
        <w:t>Interpretación de la Sentencia de</w:t>
      </w:r>
      <w:r w:rsidR="00A57FD4" w:rsidRPr="008B7099">
        <w:rPr>
          <w:rFonts w:ascii="Verdana" w:hAnsi="Verdana"/>
          <w:b/>
          <w:i/>
          <w:color w:val="000000" w:themeColor="text1"/>
          <w:sz w:val="20"/>
          <w:szCs w:val="20"/>
        </w:rPr>
        <w:t xml:space="preserve"> </w:t>
      </w:r>
      <w:r w:rsidR="006A61D1" w:rsidRPr="008B7099">
        <w:rPr>
          <w:rFonts w:ascii="Verdana" w:hAnsi="Verdana"/>
          <w:b/>
          <w:i/>
          <w:color w:val="000000" w:themeColor="text1"/>
          <w:sz w:val="20"/>
          <w:szCs w:val="20"/>
        </w:rPr>
        <w:t>Excepciones Preliminares</w:t>
      </w:r>
      <w:r w:rsidR="00A57FD4" w:rsidRPr="008B7099">
        <w:rPr>
          <w:rFonts w:ascii="Verdana" w:hAnsi="Verdana"/>
          <w:b/>
          <w:i/>
          <w:color w:val="000000" w:themeColor="text1"/>
          <w:sz w:val="20"/>
          <w:szCs w:val="20"/>
        </w:rPr>
        <w:t>,</w:t>
      </w:r>
      <w:r w:rsidRPr="008B7099">
        <w:rPr>
          <w:rFonts w:ascii="Verdana" w:hAnsi="Verdana"/>
          <w:b/>
          <w:i/>
          <w:color w:val="000000" w:themeColor="text1"/>
          <w:sz w:val="20"/>
          <w:szCs w:val="20"/>
        </w:rPr>
        <w:t xml:space="preserve"> Fondo</w:t>
      </w:r>
      <w:r w:rsidR="00E845B8">
        <w:rPr>
          <w:rFonts w:ascii="Verdana" w:hAnsi="Verdana"/>
          <w:b/>
          <w:i/>
          <w:color w:val="000000" w:themeColor="text1"/>
          <w:sz w:val="20"/>
          <w:szCs w:val="20"/>
        </w:rPr>
        <w:t>,</w:t>
      </w:r>
      <w:r w:rsidR="00A57FD4" w:rsidRPr="008B7099">
        <w:rPr>
          <w:rFonts w:ascii="Verdana" w:hAnsi="Verdana"/>
          <w:b/>
          <w:i/>
          <w:color w:val="000000" w:themeColor="text1"/>
          <w:sz w:val="20"/>
          <w:szCs w:val="20"/>
        </w:rPr>
        <w:t xml:space="preserve"> Reparaciones</w:t>
      </w:r>
      <w:r w:rsidR="00E845B8">
        <w:rPr>
          <w:rFonts w:ascii="Verdana" w:hAnsi="Verdana"/>
          <w:b/>
          <w:i/>
          <w:color w:val="000000" w:themeColor="text1"/>
          <w:sz w:val="20"/>
          <w:szCs w:val="20"/>
        </w:rPr>
        <w:t xml:space="preserve"> y Costas</w:t>
      </w:r>
      <w:r w:rsidR="00CA0CED">
        <w:rPr>
          <w:rFonts w:ascii="Verdana" w:hAnsi="Verdana"/>
          <w:b/>
          <w:i/>
          <w:color w:val="000000" w:themeColor="text1"/>
          <w:sz w:val="20"/>
          <w:szCs w:val="20"/>
        </w:rPr>
        <w:t>)</w:t>
      </w:r>
    </w:p>
    <w:p w14:paraId="08131B3E" w14:textId="3F5CE778" w:rsidR="00D91AF5" w:rsidRDefault="00D91AF5" w:rsidP="00D91AF5">
      <w:pPr>
        <w:spacing w:after="0" w:line="240" w:lineRule="auto"/>
        <w:rPr>
          <w:rFonts w:ascii="Verdana" w:hAnsi="Verdana"/>
          <w:b/>
          <w:color w:val="000000" w:themeColor="text1"/>
          <w:sz w:val="20"/>
          <w:szCs w:val="20"/>
        </w:rPr>
      </w:pPr>
    </w:p>
    <w:p w14:paraId="35836A5B" w14:textId="77777777" w:rsidR="00E845B8" w:rsidRPr="008B7099" w:rsidRDefault="00E845B8" w:rsidP="00D91AF5">
      <w:pPr>
        <w:spacing w:after="0" w:line="240" w:lineRule="auto"/>
        <w:rPr>
          <w:rFonts w:ascii="Verdana" w:hAnsi="Verdana"/>
          <w:b/>
          <w:color w:val="000000" w:themeColor="text1"/>
          <w:sz w:val="20"/>
          <w:szCs w:val="20"/>
        </w:rPr>
      </w:pPr>
    </w:p>
    <w:p w14:paraId="6008CDF9" w14:textId="77777777" w:rsidR="00D91AF5" w:rsidRDefault="00D91AF5" w:rsidP="00D91AF5">
      <w:pPr>
        <w:spacing w:after="0" w:line="240" w:lineRule="auto"/>
        <w:rPr>
          <w:rFonts w:ascii="Verdana" w:hAnsi="Verdana"/>
          <w:b/>
          <w:color w:val="000000" w:themeColor="text1"/>
          <w:sz w:val="20"/>
          <w:szCs w:val="20"/>
        </w:rPr>
      </w:pPr>
    </w:p>
    <w:p w14:paraId="29967C67" w14:textId="77777777" w:rsidR="00E845B8" w:rsidRPr="008B7099" w:rsidRDefault="00E845B8" w:rsidP="00D91AF5">
      <w:pPr>
        <w:spacing w:after="0" w:line="240" w:lineRule="auto"/>
        <w:rPr>
          <w:rFonts w:ascii="Verdana" w:hAnsi="Verdana"/>
          <w:b/>
          <w:color w:val="000000" w:themeColor="text1"/>
          <w:sz w:val="20"/>
          <w:szCs w:val="20"/>
        </w:rPr>
      </w:pPr>
    </w:p>
    <w:p w14:paraId="4CD2A8FD" w14:textId="43D25E86" w:rsidR="00D91AF5" w:rsidRPr="008B7099" w:rsidRDefault="00D91AF5"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En el caso </w:t>
      </w:r>
      <w:r w:rsidR="00E845B8">
        <w:rPr>
          <w:rFonts w:ascii="Verdana" w:hAnsi="Verdana"/>
          <w:i/>
          <w:color w:val="000000" w:themeColor="text1"/>
          <w:sz w:val="20"/>
          <w:szCs w:val="20"/>
        </w:rPr>
        <w:t>Olivera Fuentes</w:t>
      </w:r>
      <w:r w:rsidR="006A61D1" w:rsidRPr="008B7099">
        <w:rPr>
          <w:rFonts w:ascii="Verdana" w:hAnsi="Verdana"/>
          <w:i/>
          <w:color w:val="000000" w:themeColor="text1"/>
          <w:sz w:val="20"/>
          <w:szCs w:val="20"/>
        </w:rPr>
        <w:t xml:space="preserve"> Vs. Perú</w:t>
      </w:r>
      <w:r w:rsidRPr="008B7099">
        <w:rPr>
          <w:rFonts w:ascii="Verdana" w:hAnsi="Verdana"/>
          <w:color w:val="000000" w:themeColor="text1"/>
          <w:sz w:val="20"/>
          <w:szCs w:val="20"/>
        </w:rPr>
        <w:t>,</w:t>
      </w:r>
    </w:p>
    <w:p w14:paraId="48A9E274" w14:textId="77777777" w:rsidR="00D91AF5" w:rsidRPr="008B7099" w:rsidRDefault="00D91AF5" w:rsidP="00D91AF5">
      <w:pPr>
        <w:spacing w:after="0" w:line="240" w:lineRule="auto"/>
        <w:rPr>
          <w:rFonts w:ascii="Verdana" w:hAnsi="Verdana"/>
          <w:color w:val="000000" w:themeColor="text1"/>
          <w:sz w:val="20"/>
          <w:szCs w:val="20"/>
        </w:rPr>
      </w:pPr>
    </w:p>
    <w:p w14:paraId="38614F3D" w14:textId="68A744DE" w:rsidR="00D91AF5" w:rsidRPr="008B7099" w:rsidRDefault="00D91AF5" w:rsidP="00965CDE">
      <w:pPr>
        <w:spacing w:after="0" w:line="240" w:lineRule="auto"/>
        <w:jc w:val="both"/>
        <w:rPr>
          <w:rFonts w:ascii="Verdana" w:hAnsi="Verdana"/>
          <w:color w:val="000000" w:themeColor="text1"/>
          <w:sz w:val="20"/>
          <w:szCs w:val="20"/>
        </w:rPr>
      </w:pPr>
      <w:r w:rsidRPr="008B7099">
        <w:rPr>
          <w:rFonts w:ascii="Verdana" w:hAnsi="Verdana"/>
          <w:color w:val="000000" w:themeColor="text1"/>
          <w:sz w:val="20"/>
          <w:szCs w:val="20"/>
        </w:rPr>
        <w:t>la Corte Interamericana de Derechos Humanos (en adelante “la Corte Interamericana”, “la Corte” o “</w:t>
      </w:r>
      <w:r w:rsidR="00AA67ED" w:rsidRPr="008B7099">
        <w:rPr>
          <w:rFonts w:ascii="Verdana" w:hAnsi="Verdana"/>
          <w:color w:val="000000" w:themeColor="text1"/>
          <w:sz w:val="20"/>
          <w:szCs w:val="20"/>
        </w:rPr>
        <w:t>el</w:t>
      </w:r>
      <w:r w:rsidRPr="008B7099">
        <w:rPr>
          <w:rFonts w:ascii="Verdana" w:hAnsi="Verdana"/>
          <w:color w:val="000000" w:themeColor="text1"/>
          <w:sz w:val="20"/>
          <w:szCs w:val="20"/>
        </w:rPr>
        <w:t xml:space="preserve"> Tribunal”)</w:t>
      </w:r>
      <w:r w:rsidR="00EB7379" w:rsidRPr="008B7099">
        <w:rPr>
          <w:rFonts w:ascii="Verdana" w:hAnsi="Verdana"/>
          <w:color w:val="000000" w:themeColor="text1"/>
          <w:sz w:val="20"/>
          <w:szCs w:val="20"/>
        </w:rPr>
        <w:t xml:space="preserve">, integrada por los siguientes </w:t>
      </w:r>
      <w:proofErr w:type="gramStart"/>
      <w:r w:rsidR="00EB7379" w:rsidRPr="008B7099">
        <w:rPr>
          <w:rFonts w:ascii="Verdana" w:hAnsi="Verdana"/>
          <w:color w:val="000000" w:themeColor="text1"/>
          <w:sz w:val="20"/>
          <w:szCs w:val="20"/>
        </w:rPr>
        <w:t>J</w:t>
      </w:r>
      <w:r w:rsidRPr="008B7099">
        <w:rPr>
          <w:rFonts w:ascii="Verdana" w:hAnsi="Verdana"/>
          <w:color w:val="000000" w:themeColor="text1"/>
          <w:sz w:val="20"/>
          <w:szCs w:val="20"/>
        </w:rPr>
        <w:t>ueces</w:t>
      </w:r>
      <w:r w:rsidR="00E845B8">
        <w:rPr>
          <w:rFonts w:ascii="Verdana" w:hAnsi="Verdana"/>
          <w:color w:val="000000" w:themeColor="text1"/>
          <w:sz w:val="20"/>
          <w:szCs w:val="20"/>
        </w:rPr>
        <w:t xml:space="preserve"> y Juezas</w:t>
      </w:r>
      <w:proofErr w:type="gramEnd"/>
      <w:r w:rsidRPr="008B7099">
        <w:rPr>
          <w:rFonts w:ascii="Verdana" w:hAnsi="Verdana"/>
          <w:color w:val="000000" w:themeColor="text1"/>
          <w:sz w:val="20"/>
          <w:szCs w:val="20"/>
        </w:rPr>
        <w:t>:</w:t>
      </w:r>
    </w:p>
    <w:p w14:paraId="08299B80" w14:textId="77777777" w:rsidR="00D91AF5" w:rsidRPr="008B7099" w:rsidRDefault="00D91AF5" w:rsidP="00D91AF5">
      <w:pPr>
        <w:spacing w:after="0" w:line="240" w:lineRule="auto"/>
        <w:rPr>
          <w:rFonts w:ascii="Verdana" w:hAnsi="Verdana"/>
          <w:color w:val="000000" w:themeColor="text1"/>
          <w:sz w:val="20"/>
          <w:szCs w:val="20"/>
        </w:rPr>
      </w:pPr>
    </w:p>
    <w:p w14:paraId="14F6944F" w14:textId="77777777" w:rsidR="00E845B8" w:rsidRPr="00D77938" w:rsidRDefault="00E845B8" w:rsidP="00D91AF5">
      <w:pPr>
        <w:spacing w:after="0" w:line="240" w:lineRule="auto"/>
        <w:rPr>
          <w:rFonts w:ascii="Verdana" w:hAnsi="Verdana"/>
          <w:color w:val="000000" w:themeColor="text1"/>
          <w:sz w:val="20"/>
          <w:szCs w:val="20"/>
          <w:lang w:val="pt-BR"/>
        </w:rPr>
      </w:pPr>
      <w:r w:rsidRPr="00D77938">
        <w:rPr>
          <w:rFonts w:ascii="Verdana" w:hAnsi="Verdana"/>
          <w:color w:val="000000" w:themeColor="text1"/>
          <w:sz w:val="20"/>
          <w:szCs w:val="20"/>
          <w:lang w:val="pt-BR"/>
        </w:rPr>
        <w:t xml:space="preserve">Ricardo C. Pérez Manrique, Presidente; </w:t>
      </w:r>
    </w:p>
    <w:p w14:paraId="085CF7B9" w14:textId="77777777" w:rsidR="00E845B8" w:rsidRPr="00D77938" w:rsidRDefault="00E845B8" w:rsidP="00D91AF5">
      <w:pPr>
        <w:spacing w:after="0" w:line="240" w:lineRule="auto"/>
        <w:rPr>
          <w:rFonts w:ascii="Verdana" w:hAnsi="Verdana"/>
          <w:color w:val="000000" w:themeColor="text1"/>
          <w:sz w:val="20"/>
          <w:szCs w:val="20"/>
          <w:lang w:val="pt-BR"/>
        </w:rPr>
      </w:pPr>
      <w:r w:rsidRPr="00D77938">
        <w:rPr>
          <w:rFonts w:ascii="Verdana" w:hAnsi="Verdana"/>
          <w:color w:val="000000" w:themeColor="text1"/>
          <w:sz w:val="20"/>
          <w:szCs w:val="20"/>
          <w:lang w:val="pt-BR"/>
        </w:rPr>
        <w:t xml:space="preserve">Eduardo Ferrer </w:t>
      </w:r>
      <w:proofErr w:type="spellStart"/>
      <w:r w:rsidRPr="00D77938">
        <w:rPr>
          <w:rFonts w:ascii="Verdana" w:hAnsi="Verdana"/>
          <w:color w:val="000000" w:themeColor="text1"/>
          <w:sz w:val="20"/>
          <w:szCs w:val="20"/>
          <w:lang w:val="pt-BR"/>
        </w:rPr>
        <w:t>Mac-Gregor</w:t>
      </w:r>
      <w:proofErr w:type="spellEnd"/>
      <w:r w:rsidRPr="00D77938">
        <w:rPr>
          <w:rFonts w:ascii="Verdana" w:hAnsi="Verdana"/>
          <w:color w:val="000000" w:themeColor="text1"/>
          <w:sz w:val="20"/>
          <w:szCs w:val="20"/>
          <w:lang w:val="pt-BR"/>
        </w:rPr>
        <w:t xml:space="preserve"> </w:t>
      </w:r>
      <w:proofErr w:type="spellStart"/>
      <w:r w:rsidRPr="00D77938">
        <w:rPr>
          <w:rFonts w:ascii="Verdana" w:hAnsi="Verdana"/>
          <w:color w:val="000000" w:themeColor="text1"/>
          <w:sz w:val="20"/>
          <w:szCs w:val="20"/>
          <w:lang w:val="pt-BR"/>
        </w:rPr>
        <w:t>Poisot</w:t>
      </w:r>
      <w:proofErr w:type="spellEnd"/>
      <w:r w:rsidRPr="00D77938">
        <w:rPr>
          <w:rFonts w:ascii="Verdana" w:hAnsi="Verdana"/>
          <w:color w:val="000000" w:themeColor="text1"/>
          <w:sz w:val="20"/>
          <w:szCs w:val="20"/>
          <w:lang w:val="pt-BR"/>
        </w:rPr>
        <w:t xml:space="preserve">, </w:t>
      </w:r>
      <w:proofErr w:type="spellStart"/>
      <w:r w:rsidRPr="00D77938">
        <w:rPr>
          <w:rFonts w:ascii="Verdana" w:hAnsi="Verdana"/>
          <w:color w:val="000000" w:themeColor="text1"/>
          <w:sz w:val="20"/>
          <w:szCs w:val="20"/>
          <w:lang w:val="pt-BR"/>
        </w:rPr>
        <w:t>Vicepresidente</w:t>
      </w:r>
      <w:proofErr w:type="spellEnd"/>
      <w:r w:rsidRPr="00D77938">
        <w:rPr>
          <w:rFonts w:ascii="Verdana" w:hAnsi="Verdana"/>
          <w:color w:val="000000" w:themeColor="text1"/>
          <w:sz w:val="20"/>
          <w:szCs w:val="20"/>
          <w:lang w:val="pt-BR"/>
        </w:rPr>
        <w:t xml:space="preserve">; </w:t>
      </w:r>
    </w:p>
    <w:p w14:paraId="78451311" w14:textId="448D785A" w:rsidR="00E845B8" w:rsidRDefault="00E845B8" w:rsidP="00D91AF5">
      <w:pPr>
        <w:spacing w:after="0" w:line="240" w:lineRule="auto"/>
        <w:rPr>
          <w:rFonts w:ascii="Verdana" w:hAnsi="Verdana"/>
          <w:color w:val="000000" w:themeColor="text1"/>
          <w:sz w:val="20"/>
          <w:szCs w:val="20"/>
        </w:rPr>
      </w:pPr>
      <w:r w:rsidRPr="00E845B8">
        <w:rPr>
          <w:rFonts w:ascii="Verdana" w:hAnsi="Verdana"/>
          <w:color w:val="000000" w:themeColor="text1"/>
          <w:sz w:val="20"/>
          <w:szCs w:val="20"/>
        </w:rPr>
        <w:t>Humberto A</w:t>
      </w:r>
      <w:r w:rsidR="009170BD">
        <w:rPr>
          <w:rFonts w:ascii="Verdana" w:hAnsi="Verdana"/>
          <w:color w:val="000000" w:themeColor="text1"/>
          <w:sz w:val="20"/>
          <w:szCs w:val="20"/>
        </w:rPr>
        <w:t>.</w:t>
      </w:r>
      <w:r w:rsidRPr="00E845B8">
        <w:rPr>
          <w:rFonts w:ascii="Verdana" w:hAnsi="Verdana"/>
          <w:color w:val="000000" w:themeColor="text1"/>
          <w:sz w:val="20"/>
          <w:szCs w:val="20"/>
        </w:rPr>
        <w:t xml:space="preserve"> Sierra Porto, Juez; </w:t>
      </w:r>
    </w:p>
    <w:p w14:paraId="577EB0FC" w14:textId="77777777" w:rsidR="00E845B8" w:rsidRDefault="00E845B8" w:rsidP="00D91AF5">
      <w:pPr>
        <w:spacing w:after="0" w:line="240" w:lineRule="auto"/>
        <w:rPr>
          <w:rFonts w:ascii="Verdana" w:hAnsi="Verdana"/>
          <w:color w:val="000000" w:themeColor="text1"/>
          <w:sz w:val="20"/>
          <w:szCs w:val="20"/>
        </w:rPr>
      </w:pPr>
      <w:r w:rsidRPr="00E845B8">
        <w:rPr>
          <w:rFonts w:ascii="Verdana" w:hAnsi="Verdana"/>
          <w:color w:val="000000" w:themeColor="text1"/>
          <w:sz w:val="20"/>
          <w:szCs w:val="20"/>
        </w:rPr>
        <w:t xml:space="preserve">Nancy Hernández López, Jueza; </w:t>
      </w:r>
    </w:p>
    <w:p w14:paraId="0DD556DE" w14:textId="77777777" w:rsidR="00E845B8" w:rsidRDefault="00E845B8" w:rsidP="00D91AF5">
      <w:pPr>
        <w:spacing w:after="0" w:line="240" w:lineRule="auto"/>
        <w:rPr>
          <w:rFonts w:ascii="Verdana" w:hAnsi="Verdana"/>
          <w:color w:val="000000" w:themeColor="text1"/>
          <w:sz w:val="20"/>
          <w:szCs w:val="20"/>
        </w:rPr>
      </w:pPr>
      <w:r w:rsidRPr="00E845B8">
        <w:rPr>
          <w:rFonts w:ascii="Verdana" w:hAnsi="Verdana"/>
          <w:color w:val="000000" w:themeColor="text1"/>
          <w:sz w:val="20"/>
          <w:szCs w:val="20"/>
        </w:rPr>
        <w:t xml:space="preserve">Verónica Gómez, Jueza; </w:t>
      </w:r>
    </w:p>
    <w:p w14:paraId="563F8807" w14:textId="77777777" w:rsidR="00E845B8" w:rsidRDefault="00E845B8" w:rsidP="00D91AF5">
      <w:pPr>
        <w:spacing w:after="0" w:line="240" w:lineRule="auto"/>
        <w:rPr>
          <w:rFonts w:ascii="Verdana" w:hAnsi="Verdana"/>
          <w:color w:val="000000" w:themeColor="text1"/>
          <w:sz w:val="20"/>
          <w:szCs w:val="20"/>
        </w:rPr>
      </w:pPr>
      <w:r w:rsidRPr="00E845B8">
        <w:rPr>
          <w:rFonts w:ascii="Verdana" w:hAnsi="Verdana"/>
          <w:color w:val="000000" w:themeColor="text1"/>
          <w:sz w:val="20"/>
          <w:szCs w:val="20"/>
        </w:rPr>
        <w:t xml:space="preserve">Patricia Pérez Goldberg, Jueza y </w:t>
      </w:r>
    </w:p>
    <w:p w14:paraId="7D164CD0" w14:textId="4C72414A" w:rsidR="00EB7379" w:rsidRPr="008B7099" w:rsidRDefault="00E845B8" w:rsidP="00D91AF5">
      <w:pPr>
        <w:spacing w:after="0" w:line="240" w:lineRule="auto"/>
        <w:rPr>
          <w:rFonts w:ascii="Verdana" w:hAnsi="Verdana"/>
          <w:color w:val="000000" w:themeColor="text1"/>
          <w:sz w:val="20"/>
          <w:szCs w:val="20"/>
        </w:rPr>
      </w:pPr>
      <w:r w:rsidRPr="00E845B8">
        <w:rPr>
          <w:rFonts w:ascii="Verdana" w:hAnsi="Verdana"/>
          <w:color w:val="000000" w:themeColor="text1"/>
          <w:sz w:val="20"/>
          <w:szCs w:val="20"/>
        </w:rPr>
        <w:t xml:space="preserve">Rodrigo Mudrovitsch, Juez;  </w:t>
      </w:r>
    </w:p>
    <w:p w14:paraId="167BF871" w14:textId="77777777" w:rsidR="00E845B8" w:rsidRDefault="00E845B8" w:rsidP="00D91AF5">
      <w:pPr>
        <w:spacing w:after="0" w:line="240" w:lineRule="auto"/>
        <w:rPr>
          <w:rFonts w:ascii="Verdana" w:hAnsi="Verdana"/>
          <w:color w:val="000000" w:themeColor="text1"/>
          <w:sz w:val="20"/>
          <w:szCs w:val="20"/>
        </w:rPr>
      </w:pPr>
    </w:p>
    <w:p w14:paraId="5B8DC823" w14:textId="5E524DB5" w:rsidR="00BD5ECF" w:rsidRPr="008B7099" w:rsidRDefault="00BD5ECF"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presente</w:t>
      </w:r>
      <w:r w:rsidR="00EB7379" w:rsidRPr="008B7099">
        <w:rPr>
          <w:rFonts w:ascii="Verdana" w:hAnsi="Verdana"/>
          <w:color w:val="000000" w:themeColor="text1"/>
          <w:sz w:val="20"/>
          <w:szCs w:val="20"/>
        </w:rPr>
        <w:t>s</w:t>
      </w:r>
      <w:r w:rsidRPr="008B7099">
        <w:rPr>
          <w:rFonts w:ascii="Verdana" w:hAnsi="Verdana"/>
          <w:color w:val="000000" w:themeColor="text1"/>
          <w:sz w:val="20"/>
          <w:szCs w:val="20"/>
        </w:rPr>
        <w:t xml:space="preserve">, además, </w:t>
      </w:r>
    </w:p>
    <w:p w14:paraId="6943DB3A" w14:textId="77777777" w:rsidR="00BD5ECF" w:rsidRPr="008B7099" w:rsidRDefault="00BD5ECF" w:rsidP="00D91AF5">
      <w:pPr>
        <w:spacing w:after="0" w:line="240" w:lineRule="auto"/>
        <w:rPr>
          <w:rFonts w:ascii="Verdana" w:hAnsi="Verdana"/>
          <w:color w:val="000000" w:themeColor="text1"/>
          <w:sz w:val="20"/>
          <w:szCs w:val="20"/>
        </w:rPr>
      </w:pPr>
    </w:p>
    <w:p w14:paraId="6B3E2B37" w14:textId="77777777" w:rsidR="00BD5ECF" w:rsidRPr="008B7099" w:rsidRDefault="00BD5ECF" w:rsidP="00A03487">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Pablo Saavedra Alessandri, </w:t>
      </w:r>
      <w:proofErr w:type="gramStart"/>
      <w:r w:rsidRPr="008B7099">
        <w:rPr>
          <w:rFonts w:ascii="Verdana" w:hAnsi="Verdana"/>
          <w:color w:val="000000" w:themeColor="text1"/>
          <w:sz w:val="20"/>
          <w:szCs w:val="20"/>
        </w:rPr>
        <w:t>Secretario</w:t>
      </w:r>
      <w:proofErr w:type="gramEnd"/>
      <w:r w:rsidRPr="008B7099">
        <w:rPr>
          <w:rFonts w:ascii="Verdana" w:hAnsi="Verdana"/>
          <w:color w:val="000000" w:themeColor="text1"/>
          <w:sz w:val="20"/>
          <w:szCs w:val="20"/>
        </w:rPr>
        <w:t xml:space="preserve">, </w:t>
      </w:r>
    </w:p>
    <w:p w14:paraId="4B0CD371" w14:textId="77777777" w:rsidR="00BD5ECF" w:rsidRPr="008B7099" w:rsidRDefault="00EB7379"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Romina I. Sijniensky, </w:t>
      </w:r>
      <w:proofErr w:type="gramStart"/>
      <w:r w:rsidRPr="008B7099">
        <w:rPr>
          <w:rFonts w:ascii="Verdana" w:hAnsi="Verdana"/>
          <w:color w:val="000000" w:themeColor="text1"/>
          <w:sz w:val="20"/>
          <w:szCs w:val="20"/>
        </w:rPr>
        <w:t>Secretaria</w:t>
      </w:r>
      <w:proofErr w:type="gramEnd"/>
      <w:r w:rsidRPr="008B7099">
        <w:rPr>
          <w:rFonts w:ascii="Verdana" w:hAnsi="Verdana"/>
          <w:color w:val="000000" w:themeColor="text1"/>
          <w:sz w:val="20"/>
          <w:szCs w:val="20"/>
        </w:rPr>
        <w:t xml:space="preserve"> Adjunta,</w:t>
      </w:r>
    </w:p>
    <w:p w14:paraId="461876A2" w14:textId="77777777" w:rsidR="00EB7379" w:rsidRPr="008B7099" w:rsidRDefault="00EB7379" w:rsidP="00D91AF5">
      <w:pPr>
        <w:spacing w:after="0" w:line="240" w:lineRule="auto"/>
        <w:rPr>
          <w:rFonts w:ascii="Verdana" w:hAnsi="Verdana"/>
          <w:color w:val="000000" w:themeColor="text1"/>
          <w:sz w:val="20"/>
          <w:szCs w:val="20"/>
        </w:rPr>
      </w:pPr>
    </w:p>
    <w:p w14:paraId="338C03DD" w14:textId="576698D7" w:rsidR="00BD5ECF" w:rsidRDefault="00BD5ECF" w:rsidP="00BD5ECF">
      <w:pPr>
        <w:spacing w:after="0" w:line="240" w:lineRule="auto"/>
        <w:jc w:val="both"/>
        <w:rPr>
          <w:rFonts w:ascii="Verdana" w:hAnsi="Verdana"/>
          <w:color w:val="000000" w:themeColor="text1"/>
          <w:sz w:val="20"/>
          <w:szCs w:val="20"/>
        </w:rPr>
      </w:pPr>
      <w:r w:rsidRPr="008B7099">
        <w:rPr>
          <w:rFonts w:ascii="Verdana" w:hAnsi="Verdana"/>
          <w:color w:val="000000" w:themeColor="text1"/>
          <w:sz w:val="20"/>
          <w:szCs w:val="20"/>
        </w:rPr>
        <w:t xml:space="preserve">de conformidad con el artículo 67 de la Convención Americana sobre Derechos Humanos (en adelante </w:t>
      </w:r>
      <w:r w:rsidR="00726F1E" w:rsidRPr="008B7099">
        <w:rPr>
          <w:rFonts w:ascii="Verdana" w:hAnsi="Verdana"/>
          <w:color w:val="000000" w:themeColor="text1"/>
          <w:sz w:val="20"/>
          <w:szCs w:val="20"/>
        </w:rPr>
        <w:t xml:space="preserve">también </w:t>
      </w:r>
      <w:r w:rsidRPr="008B7099">
        <w:rPr>
          <w:rFonts w:ascii="Verdana" w:hAnsi="Verdana"/>
          <w:color w:val="000000" w:themeColor="text1"/>
          <w:sz w:val="20"/>
          <w:szCs w:val="20"/>
        </w:rPr>
        <w:t>“la Convención</w:t>
      </w:r>
      <w:r w:rsidR="00726F1E" w:rsidRPr="008B7099">
        <w:rPr>
          <w:rFonts w:ascii="Verdana" w:hAnsi="Verdana"/>
          <w:color w:val="000000" w:themeColor="text1"/>
          <w:sz w:val="20"/>
          <w:szCs w:val="20"/>
        </w:rPr>
        <w:t xml:space="preserve"> Americana</w:t>
      </w:r>
      <w:r w:rsidRPr="008B7099">
        <w:rPr>
          <w:rFonts w:ascii="Verdana" w:hAnsi="Verdana"/>
          <w:color w:val="000000" w:themeColor="text1"/>
          <w:sz w:val="20"/>
          <w:szCs w:val="20"/>
        </w:rPr>
        <w:t>”</w:t>
      </w:r>
      <w:r w:rsidR="00726F1E" w:rsidRPr="008B7099">
        <w:rPr>
          <w:rFonts w:ascii="Verdana" w:hAnsi="Verdana"/>
          <w:color w:val="000000" w:themeColor="text1"/>
          <w:sz w:val="20"/>
          <w:szCs w:val="20"/>
        </w:rPr>
        <w:t xml:space="preserve"> o “la Convención”</w:t>
      </w:r>
      <w:r w:rsidRPr="008B7099">
        <w:rPr>
          <w:rFonts w:ascii="Verdana" w:hAnsi="Verdana"/>
          <w:color w:val="000000" w:themeColor="text1"/>
          <w:sz w:val="20"/>
          <w:szCs w:val="20"/>
        </w:rPr>
        <w:t xml:space="preserve">) y el artículo 68 del Reglamento de la Corte (en adelante “el Reglamento”), resuelve la solicitud de interpretación de la Sentencia de </w:t>
      </w:r>
      <w:r w:rsidR="006A61D1" w:rsidRPr="008B7099">
        <w:rPr>
          <w:rFonts w:ascii="Verdana" w:hAnsi="Verdana"/>
          <w:color w:val="000000" w:themeColor="text1"/>
          <w:sz w:val="20"/>
          <w:szCs w:val="20"/>
        </w:rPr>
        <w:t>Excepciones Preliminares</w:t>
      </w:r>
      <w:r w:rsidR="00A57FD4" w:rsidRPr="008B7099">
        <w:rPr>
          <w:rFonts w:ascii="Verdana" w:hAnsi="Verdana"/>
          <w:color w:val="000000" w:themeColor="text1"/>
          <w:sz w:val="20"/>
          <w:szCs w:val="20"/>
        </w:rPr>
        <w:t xml:space="preserve">, </w:t>
      </w:r>
      <w:r w:rsidR="00726F1E" w:rsidRPr="008B7099">
        <w:rPr>
          <w:rFonts w:ascii="Verdana" w:hAnsi="Verdana"/>
          <w:color w:val="000000" w:themeColor="text1"/>
          <w:sz w:val="20"/>
          <w:szCs w:val="20"/>
        </w:rPr>
        <w:t>F</w:t>
      </w:r>
      <w:r w:rsidR="00EB7379" w:rsidRPr="008B7099">
        <w:rPr>
          <w:rFonts w:ascii="Verdana" w:hAnsi="Verdana"/>
          <w:color w:val="000000" w:themeColor="text1"/>
          <w:sz w:val="20"/>
          <w:szCs w:val="20"/>
        </w:rPr>
        <w:t>ondo</w:t>
      </w:r>
      <w:r w:rsidR="00E845B8">
        <w:rPr>
          <w:rFonts w:ascii="Verdana" w:hAnsi="Verdana"/>
          <w:color w:val="000000" w:themeColor="text1"/>
          <w:sz w:val="20"/>
          <w:szCs w:val="20"/>
        </w:rPr>
        <w:t xml:space="preserve">, </w:t>
      </w:r>
      <w:r w:rsidR="00726F1E" w:rsidRPr="008B7099">
        <w:rPr>
          <w:rFonts w:ascii="Verdana" w:hAnsi="Verdana"/>
          <w:color w:val="000000" w:themeColor="text1"/>
          <w:sz w:val="20"/>
          <w:szCs w:val="20"/>
        </w:rPr>
        <w:t>Reparaciones</w:t>
      </w:r>
      <w:r w:rsidR="00E845B8">
        <w:rPr>
          <w:rFonts w:ascii="Verdana" w:hAnsi="Verdana"/>
          <w:color w:val="000000" w:themeColor="text1"/>
          <w:sz w:val="20"/>
          <w:szCs w:val="20"/>
        </w:rPr>
        <w:t xml:space="preserve"> y Costas</w:t>
      </w:r>
      <w:r w:rsidR="00A57FD4" w:rsidRPr="008B7099">
        <w:rPr>
          <w:rFonts w:ascii="Verdana" w:hAnsi="Verdana"/>
          <w:color w:val="000000" w:themeColor="text1"/>
          <w:sz w:val="20"/>
          <w:szCs w:val="20"/>
        </w:rPr>
        <w:t xml:space="preserve"> </w:t>
      </w:r>
      <w:r w:rsidR="004A56D9" w:rsidRPr="008B7099">
        <w:rPr>
          <w:rFonts w:ascii="Verdana" w:hAnsi="Verdana"/>
          <w:color w:val="000000" w:themeColor="text1"/>
          <w:sz w:val="20"/>
          <w:szCs w:val="20"/>
        </w:rPr>
        <w:t xml:space="preserve">emitida </w:t>
      </w:r>
      <w:r w:rsidRPr="008B7099">
        <w:rPr>
          <w:rFonts w:ascii="Verdana" w:hAnsi="Verdana"/>
          <w:color w:val="000000" w:themeColor="text1"/>
          <w:sz w:val="20"/>
          <w:szCs w:val="20"/>
        </w:rPr>
        <w:t xml:space="preserve">por este Tribunal el </w:t>
      </w:r>
      <w:r w:rsidR="00E845B8">
        <w:rPr>
          <w:rFonts w:ascii="Verdana" w:hAnsi="Verdana"/>
          <w:color w:val="000000" w:themeColor="text1"/>
          <w:sz w:val="20"/>
          <w:szCs w:val="20"/>
        </w:rPr>
        <w:t>4</w:t>
      </w:r>
      <w:r w:rsidRPr="008B7099">
        <w:rPr>
          <w:rFonts w:ascii="Verdana" w:hAnsi="Verdana"/>
          <w:color w:val="000000" w:themeColor="text1"/>
          <w:sz w:val="20"/>
          <w:szCs w:val="20"/>
        </w:rPr>
        <w:t xml:space="preserve"> de </w:t>
      </w:r>
      <w:r w:rsidR="006A61D1" w:rsidRPr="008B7099">
        <w:rPr>
          <w:rFonts w:ascii="Verdana" w:hAnsi="Verdana"/>
          <w:color w:val="000000" w:themeColor="text1"/>
          <w:sz w:val="20"/>
          <w:szCs w:val="20"/>
        </w:rPr>
        <w:t>febrero</w:t>
      </w:r>
      <w:r w:rsidR="00A57FD4" w:rsidRPr="008B7099">
        <w:rPr>
          <w:rFonts w:ascii="Verdana" w:hAnsi="Verdana"/>
          <w:color w:val="000000" w:themeColor="text1"/>
          <w:sz w:val="20"/>
          <w:szCs w:val="20"/>
        </w:rPr>
        <w:t xml:space="preserve"> de </w:t>
      </w:r>
      <w:r w:rsidR="006A61D1" w:rsidRPr="008B7099">
        <w:rPr>
          <w:rFonts w:ascii="Verdana" w:hAnsi="Verdana"/>
          <w:color w:val="000000" w:themeColor="text1"/>
          <w:sz w:val="20"/>
          <w:szCs w:val="20"/>
        </w:rPr>
        <w:t>202</w:t>
      </w:r>
      <w:r w:rsidR="00E845B8">
        <w:rPr>
          <w:rFonts w:ascii="Verdana" w:hAnsi="Verdana"/>
          <w:color w:val="000000" w:themeColor="text1"/>
          <w:sz w:val="20"/>
          <w:szCs w:val="20"/>
        </w:rPr>
        <w:t>3</w:t>
      </w:r>
      <w:r w:rsidRPr="008B7099">
        <w:rPr>
          <w:rFonts w:ascii="Verdana" w:hAnsi="Verdana"/>
          <w:color w:val="000000" w:themeColor="text1"/>
          <w:sz w:val="20"/>
          <w:szCs w:val="20"/>
        </w:rPr>
        <w:t xml:space="preserve"> en el presente caso (en adelante también “la Sentencia”), </w:t>
      </w:r>
      <w:r w:rsidR="001E661F">
        <w:rPr>
          <w:rFonts w:ascii="Verdana" w:hAnsi="Verdana"/>
          <w:color w:val="000000" w:themeColor="text1"/>
          <w:sz w:val="20"/>
          <w:szCs w:val="20"/>
        </w:rPr>
        <w:t xml:space="preserve">presentada </w:t>
      </w:r>
      <w:r w:rsidR="00CC22B5" w:rsidRPr="008B7099">
        <w:rPr>
          <w:rFonts w:ascii="Verdana" w:hAnsi="Verdana"/>
          <w:color w:val="000000" w:themeColor="text1"/>
          <w:sz w:val="20"/>
          <w:szCs w:val="20"/>
        </w:rPr>
        <w:t xml:space="preserve"> </w:t>
      </w:r>
      <w:r w:rsidR="006A61D1" w:rsidRPr="008B7099">
        <w:rPr>
          <w:rFonts w:ascii="Verdana" w:hAnsi="Verdana"/>
          <w:color w:val="000000" w:themeColor="text1"/>
          <w:sz w:val="20"/>
          <w:szCs w:val="20"/>
        </w:rPr>
        <w:t xml:space="preserve">el </w:t>
      </w:r>
      <w:r w:rsidR="009218A9">
        <w:rPr>
          <w:rFonts w:ascii="Verdana" w:hAnsi="Verdana"/>
          <w:color w:val="000000" w:themeColor="text1"/>
          <w:sz w:val="20"/>
          <w:szCs w:val="20"/>
        </w:rPr>
        <w:t>1</w:t>
      </w:r>
      <w:r w:rsidR="00B6234A">
        <w:rPr>
          <w:rFonts w:ascii="Verdana" w:hAnsi="Verdana"/>
          <w:color w:val="000000" w:themeColor="text1"/>
          <w:sz w:val="20"/>
          <w:szCs w:val="20"/>
        </w:rPr>
        <w:t>0</w:t>
      </w:r>
      <w:r w:rsidR="006A61D1" w:rsidRPr="008B7099">
        <w:rPr>
          <w:rFonts w:ascii="Verdana" w:hAnsi="Verdana"/>
          <w:color w:val="000000" w:themeColor="text1"/>
          <w:sz w:val="20"/>
          <w:szCs w:val="20"/>
        </w:rPr>
        <w:t xml:space="preserve"> de julio de 20</w:t>
      </w:r>
      <w:r w:rsidR="00EC0683">
        <w:rPr>
          <w:rFonts w:ascii="Verdana" w:hAnsi="Verdana"/>
          <w:color w:val="000000" w:themeColor="text1"/>
          <w:sz w:val="20"/>
          <w:szCs w:val="20"/>
        </w:rPr>
        <w:t>2</w:t>
      </w:r>
      <w:r w:rsidR="009218A9">
        <w:rPr>
          <w:rFonts w:ascii="Verdana" w:hAnsi="Verdana"/>
          <w:color w:val="000000" w:themeColor="text1"/>
          <w:sz w:val="20"/>
          <w:szCs w:val="20"/>
        </w:rPr>
        <w:t>3</w:t>
      </w:r>
      <w:r w:rsidR="00EB7379" w:rsidRPr="008B7099">
        <w:rPr>
          <w:rFonts w:ascii="Verdana" w:hAnsi="Verdana"/>
          <w:color w:val="000000" w:themeColor="text1"/>
          <w:sz w:val="20"/>
          <w:szCs w:val="20"/>
        </w:rPr>
        <w:t xml:space="preserve"> por el </w:t>
      </w:r>
      <w:r w:rsidR="00A57FD4" w:rsidRPr="008B7099">
        <w:rPr>
          <w:rFonts w:ascii="Verdana" w:hAnsi="Verdana"/>
          <w:color w:val="000000" w:themeColor="text1"/>
          <w:sz w:val="20"/>
          <w:szCs w:val="20"/>
        </w:rPr>
        <w:t xml:space="preserve">Estado de </w:t>
      </w:r>
      <w:r w:rsidR="006A61D1" w:rsidRPr="008B7099">
        <w:rPr>
          <w:rFonts w:ascii="Verdana" w:hAnsi="Verdana"/>
          <w:color w:val="000000" w:themeColor="text1"/>
          <w:sz w:val="20"/>
          <w:szCs w:val="20"/>
        </w:rPr>
        <w:t>Perú</w:t>
      </w:r>
      <w:r w:rsidR="00A57FD4" w:rsidRPr="008B7099">
        <w:rPr>
          <w:rFonts w:ascii="Verdana" w:hAnsi="Verdana"/>
          <w:color w:val="000000" w:themeColor="text1"/>
          <w:sz w:val="20"/>
          <w:szCs w:val="20"/>
        </w:rPr>
        <w:t xml:space="preserve"> (en adelante “el Estado” o “</w:t>
      </w:r>
      <w:r w:rsidR="00BA3E45">
        <w:rPr>
          <w:rFonts w:ascii="Verdana" w:hAnsi="Verdana"/>
          <w:color w:val="000000" w:themeColor="text1"/>
          <w:sz w:val="20"/>
          <w:szCs w:val="20"/>
        </w:rPr>
        <w:t>Perú</w:t>
      </w:r>
      <w:r w:rsidR="00A57FD4" w:rsidRPr="008B7099">
        <w:rPr>
          <w:rFonts w:ascii="Verdana" w:hAnsi="Verdana"/>
          <w:color w:val="000000" w:themeColor="text1"/>
          <w:sz w:val="20"/>
          <w:szCs w:val="20"/>
        </w:rPr>
        <w:t>”).</w:t>
      </w:r>
      <w:r w:rsidRPr="008B7099">
        <w:rPr>
          <w:rFonts w:ascii="Verdana" w:hAnsi="Verdana"/>
          <w:color w:val="000000" w:themeColor="text1"/>
          <w:sz w:val="20"/>
          <w:szCs w:val="20"/>
        </w:rPr>
        <w:t xml:space="preserve"> </w:t>
      </w:r>
    </w:p>
    <w:p w14:paraId="0216AA30" w14:textId="77777777" w:rsidR="00E845B8" w:rsidRDefault="00E845B8" w:rsidP="00BD5ECF">
      <w:pPr>
        <w:spacing w:after="0" w:line="240" w:lineRule="auto"/>
        <w:jc w:val="both"/>
        <w:rPr>
          <w:rFonts w:ascii="Verdana" w:hAnsi="Verdana"/>
          <w:color w:val="000000" w:themeColor="text1"/>
          <w:sz w:val="20"/>
          <w:szCs w:val="20"/>
        </w:rPr>
      </w:pPr>
    </w:p>
    <w:p w14:paraId="19671E01" w14:textId="77777777" w:rsidR="00E845B8" w:rsidRDefault="00E845B8" w:rsidP="00BD5ECF">
      <w:pPr>
        <w:spacing w:after="0" w:line="240" w:lineRule="auto"/>
        <w:jc w:val="both"/>
        <w:rPr>
          <w:rFonts w:ascii="Verdana" w:hAnsi="Verdana"/>
          <w:color w:val="000000" w:themeColor="text1"/>
          <w:sz w:val="20"/>
          <w:szCs w:val="20"/>
        </w:rPr>
      </w:pPr>
    </w:p>
    <w:p w14:paraId="4FEA8195" w14:textId="77777777" w:rsidR="00E845B8" w:rsidRDefault="00E845B8" w:rsidP="00BD5ECF">
      <w:pPr>
        <w:spacing w:after="0" w:line="240" w:lineRule="auto"/>
        <w:jc w:val="both"/>
        <w:rPr>
          <w:rFonts w:ascii="Verdana" w:hAnsi="Verdana"/>
          <w:color w:val="000000" w:themeColor="text1"/>
          <w:sz w:val="20"/>
          <w:szCs w:val="20"/>
        </w:rPr>
      </w:pPr>
    </w:p>
    <w:p w14:paraId="4FA49686" w14:textId="77777777" w:rsidR="00E845B8" w:rsidRDefault="00E845B8" w:rsidP="00BD5ECF">
      <w:pPr>
        <w:spacing w:after="0" w:line="240" w:lineRule="auto"/>
        <w:jc w:val="both"/>
        <w:rPr>
          <w:rFonts w:ascii="Verdana" w:hAnsi="Verdana"/>
          <w:color w:val="000000" w:themeColor="text1"/>
          <w:sz w:val="20"/>
          <w:szCs w:val="20"/>
        </w:rPr>
      </w:pPr>
    </w:p>
    <w:p w14:paraId="4E407D8A" w14:textId="77777777" w:rsidR="00E845B8" w:rsidRDefault="00E845B8" w:rsidP="00BD5ECF">
      <w:pPr>
        <w:spacing w:after="0" w:line="240" w:lineRule="auto"/>
        <w:jc w:val="both"/>
        <w:rPr>
          <w:rFonts w:ascii="Verdana" w:hAnsi="Verdana"/>
          <w:color w:val="000000" w:themeColor="text1"/>
          <w:sz w:val="20"/>
          <w:szCs w:val="20"/>
        </w:rPr>
      </w:pPr>
    </w:p>
    <w:p w14:paraId="41F33F82" w14:textId="77777777" w:rsidR="00E845B8" w:rsidRDefault="00E845B8" w:rsidP="00BD5ECF">
      <w:pPr>
        <w:spacing w:after="0" w:line="240" w:lineRule="auto"/>
        <w:jc w:val="both"/>
        <w:rPr>
          <w:rFonts w:ascii="Verdana" w:hAnsi="Verdana"/>
          <w:color w:val="000000" w:themeColor="text1"/>
          <w:sz w:val="20"/>
          <w:szCs w:val="20"/>
        </w:rPr>
      </w:pPr>
    </w:p>
    <w:p w14:paraId="1E2895AA" w14:textId="77777777" w:rsidR="00E845B8" w:rsidRDefault="00E845B8" w:rsidP="00BD5ECF">
      <w:pPr>
        <w:spacing w:after="0" w:line="240" w:lineRule="auto"/>
        <w:jc w:val="both"/>
        <w:rPr>
          <w:rFonts w:ascii="Verdana" w:hAnsi="Verdana"/>
          <w:color w:val="000000" w:themeColor="text1"/>
          <w:sz w:val="20"/>
          <w:szCs w:val="20"/>
        </w:rPr>
      </w:pPr>
    </w:p>
    <w:p w14:paraId="73E18A0C" w14:textId="77777777" w:rsidR="00E845B8" w:rsidRPr="008B7099" w:rsidRDefault="00E845B8" w:rsidP="00BD5ECF">
      <w:pPr>
        <w:spacing w:after="0" w:line="240" w:lineRule="auto"/>
        <w:jc w:val="both"/>
        <w:rPr>
          <w:rFonts w:ascii="Verdana" w:hAnsi="Verdana"/>
          <w:color w:val="000000" w:themeColor="text1"/>
          <w:sz w:val="20"/>
          <w:szCs w:val="20"/>
        </w:rPr>
      </w:pPr>
    </w:p>
    <w:p w14:paraId="0F64C773" w14:textId="132410F3" w:rsidR="00EB5B4E" w:rsidRDefault="00EB5B4E" w:rsidP="00BD5ECF">
      <w:pPr>
        <w:spacing w:after="0" w:line="240" w:lineRule="auto"/>
        <w:jc w:val="both"/>
        <w:rPr>
          <w:rFonts w:ascii="Verdana" w:hAnsi="Verdana"/>
          <w:color w:val="000000" w:themeColor="text1"/>
          <w:sz w:val="20"/>
          <w:szCs w:val="20"/>
        </w:rPr>
      </w:pPr>
    </w:p>
    <w:p w14:paraId="3C6622D6" w14:textId="77777777" w:rsidR="009218A9" w:rsidRDefault="009218A9" w:rsidP="00BD5ECF">
      <w:pPr>
        <w:spacing w:after="0" w:line="240" w:lineRule="auto"/>
        <w:jc w:val="both"/>
        <w:rPr>
          <w:rFonts w:ascii="Verdana" w:hAnsi="Verdana"/>
          <w:color w:val="000000" w:themeColor="text1"/>
          <w:sz w:val="20"/>
          <w:szCs w:val="20"/>
        </w:rPr>
      </w:pPr>
    </w:p>
    <w:p w14:paraId="544B51B3" w14:textId="77777777" w:rsidR="009218A9" w:rsidRPr="008B7099" w:rsidRDefault="009218A9" w:rsidP="00BD5ECF">
      <w:pPr>
        <w:spacing w:after="0" w:line="240" w:lineRule="auto"/>
        <w:jc w:val="both"/>
        <w:rPr>
          <w:rFonts w:ascii="Verdana" w:hAnsi="Verdana"/>
          <w:color w:val="000000" w:themeColor="text1"/>
          <w:sz w:val="20"/>
          <w:szCs w:val="20"/>
        </w:rPr>
      </w:pPr>
    </w:p>
    <w:p w14:paraId="5DD1BD4D" w14:textId="77777777" w:rsidR="00BD5ECF" w:rsidRPr="008B7099" w:rsidRDefault="00BD5ECF" w:rsidP="00CB2E7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lastRenderedPageBreak/>
        <w:t>I</w:t>
      </w:r>
    </w:p>
    <w:p w14:paraId="52581B0C" w14:textId="77777777" w:rsidR="00BD5ECF" w:rsidRPr="008B7099" w:rsidRDefault="00BD5ECF" w:rsidP="00CB2E7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SOLICITUD DE INTERPRETACIÓN Y PROCEDIMIENTO ANTE LA CORTE</w:t>
      </w:r>
    </w:p>
    <w:p w14:paraId="191280AA" w14:textId="77777777" w:rsidR="00CB2E7C" w:rsidRPr="008B7099" w:rsidRDefault="00CB2E7C" w:rsidP="00CB2E7C">
      <w:pPr>
        <w:spacing w:after="0" w:line="240" w:lineRule="auto"/>
        <w:jc w:val="center"/>
        <w:rPr>
          <w:rFonts w:ascii="Verdana" w:hAnsi="Verdana"/>
          <w:b/>
          <w:color w:val="000000" w:themeColor="text1"/>
          <w:sz w:val="20"/>
          <w:szCs w:val="20"/>
        </w:rPr>
      </w:pPr>
    </w:p>
    <w:p w14:paraId="75DEC369" w14:textId="1F1B5595" w:rsidR="00BD5ECF" w:rsidRPr="008B7099" w:rsidRDefault="00CB2E7C" w:rsidP="003072FD">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009218A9">
        <w:rPr>
          <w:rFonts w:ascii="Verdana" w:hAnsi="Verdana"/>
          <w:color w:val="000000" w:themeColor="text1"/>
          <w:sz w:val="20"/>
          <w:szCs w:val="20"/>
        </w:rPr>
        <w:t>4</w:t>
      </w:r>
      <w:r w:rsidR="00A57FD4" w:rsidRPr="008B7099">
        <w:rPr>
          <w:rFonts w:ascii="Verdana" w:hAnsi="Verdana"/>
          <w:color w:val="000000" w:themeColor="text1"/>
          <w:sz w:val="20"/>
          <w:szCs w:val="20"/>
        </w:rPr>
        <w:t xml:space="preserve"> de </w:t>
      </w:r>
      <w:r w:rsidR="0014562D" w:rsidRPr="008B7099">
        <w:rPr>
          <w:rFonts w:ascii="Verdana" w:hAnsi="Verdana"/>
          <w:color w:val="000000" w:themeColor="text1"/>
          <w:sz w:val="20"/>
          <w:szCs w:val="20"/>
        </w:rPr>
        <w:t xml:space="preserve">febrero </w:t>
      </w:r>
      <w:r w:rsidR="00A57FD4" w:rsidRPr="008B7099">
        <w:rPr>
          <w:rFonts w:ascii="Verdana" w:hAnsi="Verdana"/>
          <w:color w:val="000000" w:themeColor="text1"/>
          <w:sz w:val="20"/>
          <w:szCs w:val="20"/>
        </w:rPr>
        <w:t>de 202</w:t>
      </w:r>
      <w:r w:rsidR="009218A9">
        <w:rPr>
          <w:rFonts w:ascii="Verdana" w:hAnsi="Verdana"/>
          <w:color w:val="000000" w:themeColor="text1"/>
          <w:sz w:val="20"/>
          <w:szCs w:val="20"/>
        </w:rPr>
        <w:t>3</w:t>
      </w:r>
      <w:r w:rsidR="00A57FD4" w:rsidRPr="008B7099">
        <w:rPr>
          <w:rFonts w:ascii="Verdana" w:hAnsi="Verdana"/>
          <w:color w:val="000000" w:themeColor="text1"/>
          <w:sz w:val="20"/>
          <w:szCs w:val="20"/>
        </w:rPr>
        <w:t xml:space="preserve"> </w:t>
      </w:r>
      <w:r w:rsidRPr="008B7099">
        <w:rPr>
          <w:rFonts w:ascii="Verdana" w:hAnsi="Verdana"/>
          <w:color w:val="000000" w:themeColor="text1"/>
          <w:sz w:val="20"/>
          <w:szCs w:val="20"/>
        </w:rPr>
        <w:t>la Corte Interamericana emitió la Sentencia</w:t>
      </w:r>
      <w:r w:rsidR="00185E1C" w:rsidRPr="008B7099">
        <w:rPr>
          <w:rFonts w:ascii="Verdana" w:hAnsi="Verdana"/>
          <w:color w:val="000000" w:themeColor="text1"/>
          <w:sz w:val="20"/>
          <w:szCs w:val="20"/>
        </w:rPr>
        <w:t xml:space="preserve"> en el presente caso</w:t>
      </w:r>
      <w:r w:rsidRPr="008B7099">
        <w:rPr>
          <w:rFonts w:ascii="Verdana" w:hAnsi="Verdana"/>
          <w:color w:val="000000" w:themeColor="text1"/>
          <w:sz w:val="20"/>
          <w:szCs w:val="20"/>
        </w:rPr>
        <w:t xml:space="preserve">, la cual fue notificada a las partes y a la Comisión Interamericana de Derechos Humanos (en adelante “la Comisión Interamericana” o “la Comisión”) el </w:t>
      </w:r>
      <w:r w:rsidR="009218A9">
        <w:rPr>
          <w:rFonts w:ascii="Verdana" w:hAnsi="Verdana"/>
          <w:color w:val="000000" w:themeColor="text1"/>
          <w:sz w:val="20"/>
          <w:szCs w:val="20"/>
        </w:rPr>
        <w:t>11</w:t>
      </w:r>
      <w:r w:rsidRPr="008B7099">
        <w:rPr>
          <w:rFonts w:ascii="Verdana" w:hAnsi="Verdana"/>
          <w:color w:val="000000" w:themeColor="text1"/>
          <w:sz w:val="20"/>
          <w:szCs w:val="20"/>
        </w:rPr>
        <w:t xml:space="preserve"> de </w:t>
      </w:r>
      <w:r w:rsidR="0014562D" w:rsidRPr="008B7099">
        <w:rPr>
          <w:rFonts w:ascii="Verdana" w:hAnsi="Verdana"/>
          <w:color w:val="000000" w:themeColor="text1"/>
          <w:sz w:val="20"/>
          <w:szCs w:val="20"/>
        </w:rPr>
        <w:t>abril</w:t>
      </w:r>
      <w:r w:rsidRPr="008B7099">
        <w:rPr>
          <w:rFonts w:ascii="Verdana" w:hAnsi="Verdana"/>
          <w:color w:val="000000" w:themeColor="text1"/>
          <w:sz w:val="20"/>
          <w:szCs w:val="20"/>
        </w:rPr>
        <w:t xml:space="preserve"> del mismo año. </w:t>
      </w:r>
    </w:p>
    <w:p w14:paraId="7DFB822F" w14:textId="77777777" w:rsidR="00CB2E7C" w:rsidRPr="008B7099" w:rsidRDefault="00CB2E7C" w:rsidP="00CB2E7C">
      <w:pPr>
        <w:pStyle w:val="Prrafodelista"/>
        <w:spacing w:after="0" w:line="240" w:lineRule="auto"/>
        <w:ind w:left="0"/>
        <w:jc w:val="both"/>
        <w:rPr>
          <w:rFonts w:ascii="Verdana" w:hAnsi="Verdana"/>
          <w:color w:val="000000" w:themeColor="text1"/>
          <w:sz w:val="20"/>
          <w:szCs w:val="20"/>
        </w:rPr>
      </w:pPr>
    </w:p>
    <w:p w14:paraId="4E8D59D1" w14:textId="0964D8F0" w:rsidR="007F4072" w:rsidRPr="0087430A" w:rsidRDefault="00CB2E7C" w:rsidP="003072FD">
      <w:pPr>
        <w:pStyle w:val="Prrafodelista"/>
        <w:numPr>
          <w:ilvl w:val="0"/>
          <w:numId w:val="1"/>
        </w:numPr>
        <w:spacing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002E0416">
        <w:rPr>
          <w:rFonts w:ascii="Verdana" w:hAnsi="Verdana"/>
          <w:color w:val="000000" w:themeColor="text1"/>
          <w:sz w:val="20"/>
          <w:szCs w:val="20"/>
        </w:rPr>
        <w:t>10</w:t>
      </w:r>
      <w:r w:rsidR="002E0416" w:rsidRPr="008B7099">
        <w:rPr>
          <w:rFonts w:ascii="Verdana" w:hAnsi="Verdana"/>
          <w:color w:val="000000" w:themeColor="text1"/>
          <w:sz w:val="20"/>
          <w:szCs w:val="20"/>
        </w:rPr>
        <w:t xml:space="preserve"> </w:t>
      </w:r>
      <w:r w:rsidR="0014562D" w:rsidRPr="008B7099">
        <w:rPr>
          <w:rFonts w:ascii="Verdana" w:hAnsi="Verdana"/>
          <w:color w:val="000000" w:themeColor="text1"/>
          <w:sz w:val="20"/>
          <w:szCs w:val="20"/>
        </w:rPr>
        <w:t xml:space="preserve">de julio de </w:t>
      </w:r>
      <w:r w:rsidR="001F283B" w:rsidRPr="008B7099">
        <w:rPr>
          <w:rFonts w:ascii="Verdana" w:hAnsi="Verdana"/>
          <w:color w:val="000000" w:themeColor="text1"/>
          <w:sz w:val="20"/>
          <w:szCs w:val="20"/>
        </w:rPr>
        <w:t>202</w:t>
      </w:r>
      <w:r w:rsidR="0087430A">
        <w:rPr>
          <w:rFonts w:ascii="Verdana" w:hAnsi="Verdana"/>
          <w:color w:val="000000" w:themeColor="text1"/>
          <w:sz w:val="20"/>
          <w:szCs w:val="20"/>
        </w:rPr>
        <w:t>3</w:t>
      </w:r>
      <w:r w:rsidR="003C648E">
        <w:rPr>
          <w:rStyle w:val="Refdenotaalpie"/>
          <w:rFonts w:ascii="Verdana" w:hAnsi="Verdana"/>
          <w:color w:val="000000" w:themeColor="text1"/>
          <w:sz w:val="20"/>
          <w:szCs w:val="20"/>
        </w:rPr>
        <w:footnoteReference w:id="1"/>
      </w:r>
      <w:r w:rsidR="00991567" w:rsidRPr="008B7099">
        <w:rPr>
          <w:rFonts w:ascii="Verdana" w:hAnsi="Verdana"/>
          <w:color w:val="000000" w:themeColor="text1"/>
          <w:sz w:val="20"/>
          <w:szCs w:val="20"/>
        </w:rPr>
        <w:t xml:space="preserve"> el Estado </w:t>
      </w:r>
      <w:r w:rsidR="001F283B" w:rsidRPr="008B7099">
        <w:rPr>
          <w:rFonts w:ascii="Verdana" w:hAnsi="Verdana"/>
          <w:color w:val="000000" w:themeColor="text1"/>
          <w:sz w:val="20"/>
          <w:szCs w:val="20"/>
        </w:rPr>
        <w:t xml:space="preserve">de </w:t>
      </w:r>
      <w:r w:rsidR="0014562D" w:rsidRPr="008B7099">
        <w:rPr>
          <w:rFonts w:ascii="Verdana" w:hAnsi="Verdana"/>
          <w:color w:val="000000" w:themeColor="text1"/>
          <w:sz w:val="20"/>
          <w:szCs w:val="20"/>
        </w:rPr>
        <w:t>Perú</w:t>
      </w:r>
      <w:r w:rsidR="006A44D4" w:rsidRPr="008B7099">
        <w:rPr>
          <w:rFonts w:ascii="Verdana" w:hAnsi="Verdana"/>
          <w:color w:val="000000" w:themeColor="text1"/>
          <w:sz w:val="20"/>
          <w:szCs w:val="20"/>
        </w:rPr>
        <w:t xml:space="preserve"> presentó</w:t>
      </w:r>
      <w:r w:rsidR="001F283B" w:rsidRPr="008B7099">
        <w:rPr>
          <w:rFonts w:ascii="Verdana" w:hAnsi="Verdana"/>
          <w:color w:val="000000" w:themeColor="text1"/>
          <w:sz w:val="20"/>
          <w:szCs w:val="20"/>
        </w:rPr>
        <w:t xml:space="preserve"> </w:t>
      </w:r>
      <w:r w:rsidRPr="008B7099">
        <w:rPr>
          <w:rFonts w:ascii="Verdana" w:hAnsi="Verdana"/>
          <w:color w:val="000000" w:themeColor="text1"/>
          <w:sz w:val="20"/>
          <w:szCs w:val="20"/>
        </w:rPr>
        <w:t>a la Corte una solicitud</w:t>
      </w:r>
      <w:r w:rsidR="004A56D9" w:rsidRPr="008B7099">
        <w:rPr>
          <w:rFonts w:ascii="Verdana" w:hAnsi="Verdana"/>
          <w:color w:val="000000" w:themeColor="text1"/>
          <w:sz w:val="20"/>
          <w:szCs w:val="20"/>
        </w:rPr>
        <w:t xml:space="preserve"> de interpretación</w:t>
      </w:r>
      <w:r w:rsidRPr="008B7099">
        <w:rPr>
          <w:rFonts w:ascii="Verdana" w:hAnsi="Verdana"/>
          <w:color w:val="000000" w:themeColor="text1"/>
          <w:sz w:val="20"/>
          <w:szCs w:val="20"/>
        </w:rPr>
        <w:t xml:space="preserve"> </w:t>
      </w:r>
      <w:r w:rsidR="005D6EEF">
        <w:rPr>
          <w:rFonts w:ascii="Verdana" w:hAnsi="Verdana"/>
          <w:color w:val="000000" w:themeColor="text1"/>
          <w:sz w:val="20"/>
          <w:szCs w:val="20"/>
        </w:rPr>
        <w:t>de</w:t>
      </w:r>
      <w:r w:rsidR="00A93CF8">
        <w:rPr>
          <w:rFonts w:ascii="Verdana" w:hAnsi="Verdana"/>
          <w:color w:val="000000" w:themeColor="text1"/>
          <w:sz w:val="20"/>
          <w:szCs w:val="20"/>
        </w:rPr>
        <w:t xml:space="preserve"> la Sentencia. En primer lugar, solicitó que se aclarara qué garantías previstas en el artículo 8.1 de la Convención Americana </w:t>
      </w:r>
      <w:r w:rsidR="0087430A">
        <w:rPr>
          <w:rFonts w:ascii="Verdana" w:hAnsi="Verdana"/>
          <w:color w:val="000000" w:themeColor="text1"/>
          <w:sz w:val="20"/>
          <w:szCs w:val="20"/>
        </w:rPr>
        <w:t>sobre</w:t>
      </w:r>
      <w:r w:rsidR="00A93CF8">
        <w:rPr>
          <w:rFonts w:ascii="Verdana" w:hAnsi="Verdana"/>
          <w:color w:val="000000" w:themeColor="text1"/>
          <w:sz w:val="20"/>
          <w:szCs w:val="20"/>
        </w:rPr>
        <w:t xml:space="preserve"> Derechos Humanos habrían sido vulnerad</w:t>
      </w:r>
      <w:r w:rsidR="00B6234A">
        <w:rPr>
          <w:rFonts w:ascii="Verdana" w:hAnsi="Verdana"/>
          <w:color w:val="000000" w:themeColor="text1"/>
          <w:sz w:val="20"/>
          <w:szCs w:val="20"/>
        </w:rPr>
        <w:t>as</w:t>
      </w:r>
      <w:r w:rsidR="00621ACB">
        <w:rPr>
          <w:rFonts w:ascii="Verdana" w:hAnsi="Verdana"/>
          <w:color w:val="000000" w:themeColor="text1"/>
          <w:sz w:val="20"/>
          <w:szCs w:val="20"/>
        </w:rPr>
        <w:t xml:space="preserve"> </w:t>
      </w:r>
      <w:r w:rsidR="00A93CF8">
        <w:rPr>
          <w:rFonts w:ascii="Verdana" w:hAnsi="Verdana"/>
          <w:color w:val="000000" w:themeColor="text1"/>
          <w:sz w:val="20"/>
          <w:szCs w:val="20"/>
        </w:rPr>
        <w:t xml:space="preserve">a efectos de establecer la responsabilidad del Estado en los términos del Punto Resolutivo 3. En segundo lugar, requirió que la Corte otorgue un plazo determinado para que la víctima o sus representantes presenten su solicitud relativa a recibir o no el tratamiento psicológico </w:t>
      </w:r>
      <w:r w:rsidR="005D6EEF">
        <w:rPr>
          <w:rFonts w:ascii="Verdana" w:hAnsi="Verdana"/>
          <w:color w:val="000000" w:themeColor="text1"/>
          <w:sz w:val="20"/>
          <w:szCs w:val="20"/>
        </w:rPr>
        <w:t>y/</w:t>
      </w:r>
      <w:r w:rsidR="00A93CF8">
        <w:rPr>
          <w:rFonts w:ascii="Verdana" w:hAnsi="Verdana"/>
          <w:color w:val="000000" w:themeColor="text1"/>
          <w:sz w:val="20"/>
          <w:szCs w:val="20"/>
        </w:rPr>
        <w:t>o psiquiátrico ordenado en el párrafo 140 de la Sentencia</w:t>
      </w:r>
      <w:r w:rsidR="002E0416">
        <w:rPr>
          <w:rFonts w:ascii="Verdana" w:hAnsi="Verdana"/>
          <w:color w:val="000000" w:themeColor="text1"/>
          <w:sz w:val="20"/>
          <w:szCs w:val="20"/>
        </w:rPr>
        <w:t xml:space="preserve"> y que aclarara la duración de dicho tratamiento</w:t>
      </w:r>
      <w:r w:rsidR="00A93CF8">
        <w:rPr>
          <w:rFonts w:ascii="Verdana" w:hAnsi="Verdana"/>
          <w:color w:val="000000" w:themeColor="text1"/>
          <w:sz w:val="20"/>
          <w:szCs w:val="20"/>
        </w:rPr>
        <w:t xml:space="preserve">. En tercer lugar, </w:t>
      </w:r>
      <w:r w:rsidR="00700EB6">
        <w:rPr>
          <w:rFonts w:ascii="Verdana" w:hAnsi="Verdana"/>
          <w:color w:val="000000" w:themeColor="text1"/>
          <w:sz w:val="20"/>
          <w:szCs w:val="20"/>
        </w:rPr>
        <w:t xml:space="preserve">solicitó que la Corte aclare </w:t>
      </w:r>
      <w:r w:rsidR="002E0416">
        <w:rPr>
          <w:rFonts w:ascii="Verdana" w:hAnsi="Verdana"/>
          <w:color w:val="000000" w:themeColor="text1"/>
          <w:sz w:val="20"/>
          <w:szCs w:val="20"/>
        </w:rPr>
        <w:t xml:space="preserve">la naturaleza del </w:t>
      </w:r>
      <w:r w:rsidR="00700EB6">
        <w:rPr>
          <w:rFonts w:ascii="Verdana" w:hAnsi="Verdana"/>
          <w:color w:val="000000" w:themeColor="text1"/>
          <w:sz w:val="20"/>
          <w:szCs w:val="20"/>
        </w:rPr>
        <w:t xml:space="preserve">“plan pedagógico” referido en el párrafo 155 de la Sentencia. Finalmente, solicitó que la Corte esclarezca el sentido de su </w:t>
      </w:r>
      <w:r w:rsidR="00D506C7">
        <w:rPr>
          <w:rFonts w:ascii="Verdana" w:hAnsi="Verdana"/>
          <w:color w:val="000000" w:themeColor="text1"/>
          <w:sz w:val="20"/>
          <w:szCs w:val="20"/>
        </w:rPr>
        <w:t>F</w:t>
      </w:r>
      <w:r w:rsidR="00700EB6">
        <w:rPr>
          <w:rFonts w:ascii="Verdana" w:hAnsi="Verdana"/>
          <w:color w:val="000000" w:themeColor="text1"/>
          <w:sz w:val="20"/>
          <w:szCs w:val="20"/>
        </w:rPr>
        <w:t>allo respecto del término “requerir a las empresas”</w:t>
      </w:r>
      <w:r w:rsidR="0087430A">
        <w:rPr>
          <w:rFonts w:ascii="Verdana" w:hAnsi="Verdana"/>
          <w:color w:val="000000" w:themeColor="text1"/>
          <w:sz w:val="20"/>
          <w:szCs w:val="20"/>
        </w:rPr>
        <w:t xml:space="preserve"> utilizado en el párrafo 156 de la Sentencia, atendiendo a la alegada imposibilidad dentro del ordenamiento jurídico peruano de dictaminar obligaciones a terceros mediante una política pública.</w:t>
      </w:r>
      <w:r w:rsidR="00A93CF8" w:rsidRPr="0087430A">
        <w:rPr>
          <w:rFonts w:ascii="Verdana" w:hAnsi="Verdana"/>
          <w:color w:val="000000" w:themeColor="text1"/>
          <w:sz w:val="20"/>
          <w:szCs w:val="20"/>
        </w:rPr>
        <w:t xml:space="preserve"> </w:t>
      </w:r>
    </w:p>
    <w:p w14:paraId="299ECC28" w14:textId="77777777" w:rsidR="00326C79" w:rsidRPr="008B7099" w:rsidRDefault="00326C79" w:rsidP="00326C79">
      <w:pPr>
        <w:pStyle w:val="Prrafodelista"/>
        <w:spacing w:after="0" w:line="240" w:lineRule="auto"/>
        <w:ind w:left="0"/>
        <w:jc w:val="both"/>
        <w:rPr>
          <w:rFonts w:ascii="Verdana" w:hAnsi="Verdana"/>
          <w:color w:val="000000" w:themeColor="text1"/>
          <w:sz w:val="20"/>
          <w:szCs w:val="20"/>
        </w:rPr>
      </w:pPr>
    </w:p>
    <w:p w14:paraId="4C0ADFC4" w14:textId="242A347E" w:rsidR="00BB324D" w:rsidRPr="008B7099" w:rsidRDefault="00BB324D" w:rsidP="00BB324D">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0087430A">
        <w:rPr>
          <w:rFonts w:ascii="Verdana" w:hAnsi="Verdana"/>
          <w:color w:val="000000" w:themeColor="text1"/>
          <w:sz w:val="20"/>
          <w:szCs w:val="20"/>
        </w:rPr>
        <w:t>20</w:t>
      </w:r>
      <w:r w:rsidR="001676DD" w:rsidRPr="008B7099">
        <w:rPr>
          <w:rFonts w:ascii="Verdana" w:hAnsi="Verdana"/>
          <w:color w:val="000000" w:themeColor="text1"/>
          <w:sz w:val="20"/>
          <w:szCs w:val="20"/>
        </w:rPr>
        <w:t xml:space="preserve"> de julio de 202</w:t>
      </w:r>
      <w:r w:rsidR="0087430A">
        <w:rPr>
          <w:rFonts w:ascii="Verdana" w:hAnsi="Verdana"/>
          <w:color w:val="000000" w:themeColor="text1"/>
          <w:sz w:val="20"/>
          <w:szCs w:val="20"/>
        </w:rPr>
        <w:t>3</w:t>
      </w:r>
      <w:r w:rsidRPr="008B7099">
        <w:rPr>
          <w:rFonts w:ascii="Verdana" w:hAnsi="Verdana"/>
          <w:color w:val="000000" w:themeColor="text1"/>
          <w:sz w:val="20"/>
          <w:szCs w:val="20"/>
        </w:rPr>
        <w:t xml:space="preserve">, </w:t>
      </w:r>
      <w:r w:rsidR="006F1078" w:rsidRPr="008B7099">
        <w:rPr>
          <w:rFonts w:ascii="Verdana" w:hAnsi="Verdana"/>
          <w:color w:val="000000" w:themeColor="text1"/>
          <w:sz w:val="20"/>
          <w:szCs w:val="20"/>
        </w:rPr>
        <w:t xml:space="preserve">de conformidad con el artículo 68.2 del Reglamento de la Corte y </w:t>
      </w:r>
      <w:r w:rsidRPr="008B7099">
        <w:rPr>
          <w:rFonts w:ascii="Verdana" w:hAnsi="Verdana"/>
          <w:color w:val="000000" w:themeColor="text1"/>
          <w:sz w:val="20"/>
          <w:szCs w:val="20"/>
        </w:rPr>
        <w:t xml:space="preserve">siguiendo instrucciones </w:t>
      </w:r>
      <w:r w:rsidR="004A56D9" w:rsidRPr="008B7099">
        <w:rPr>
          <w:rFonts w:ascii="Verdana" w:hAnsi="Verdana"/>
          <w:color w:val="000000" w:themeColor="text1"/>
          <w:sz w:val="20"/>
          <w:szCs w:val="20"/>
        </w:rPr>
        <w:t xml:space="preserve">de la </w:t>
      </w:r>
      <w:r w:rsidR="006F1078" w:rsidRPr="008B7099">
        <w:rPr>
          <w:rFonts w:ascii="Verdana" w:hAnsi="Verdana"/>
          <w:color w:val="000000" w:themeColor="text1"/>
          <w:sz w:val="20"/>
          <w:szCs w:val="20"/>
        </w:rPr>
        <w:t>Presidencia</w:t>
      </w:r>
      <w:r w:rsidRPr="008B7099">
        <w:rPr>
          <w:rFonts w:ascii="Verdana" w:hAnsi="Verdana"/>
          <w:color w:val="000000" w:themeColor="text1"/>
          <w:sz w:val="20"/>
          <w:szCs w:val="20"/>
        </w:rPr>
        <w:t xml:space="preserve"> de la Corte, la Secretaría del Tribunal transmitió la referida </w:t>
      </w:r>
      <w:r w:rsidR="0087430A">
        <w:rPr>
          <w:rFonts w:ascii="Verdana" w:hAnsi="Verdana"/>
          <w:color w:val="000000" w:themeColor="text1"/>
          <w:sz w:val="20"/>
          <w:szCs w:val="20"/>
        </w:rPr>
        <w:t>comunicación</w:t>
      </w:r>
      <w:r w:rsidR="004A56D9" w:rsidRPr="008B7099">
        <w:rPr>
          <w:rFonts w:ascii="Verdana" w:hAnsi="Verdana"/>
          <w:color w:val="000000" w:themeColor="text1"/>
          <w:sz w:val="20"/>
          <w:szCs w:val="20"/>
        </w:rPr>
        <w:t xml:space="preserve"> a </w:t>
      </w:r>
      <w:r w:rsidR="0087430A">
        <w:rPr>
          <w:rFonts w:ascii="Verdana" w:hAnsi="Verdana"/>
          <w:color w:val="000000" w:themeColor="text1"/>
          <w:sz w:val="20"/>
          <w:szCs w:val="20"/>
        </w:rPr>
        <w:t>los representantes</w:t>
      </w:r>
      <w:r w:rsidR="009600C7">
        <w:rPr>
          <w:rFonts w:ascii="Verdana" w:hAnsi="Verdana"/>
          <w:color w:val="000000" w:themeColor="text1"/>
          <w:sz w:val="20"/>
          <w:szCs w:val="20"/>
        </w:rPr>
        <w:t xml:space="preserve"> de la víctima</w:t>
      </w:r>
      <w:r w:rsidR="005B17E1">
        <w:rPr>
          <w:rStyle w:val="Refdenotaalpie"/>
          <w:rFonts w:ascii="Verdana" w:hAnsi="Verdana"/>
          <w:color w:val="000000" w:themeColor="text1"/>
          <w:sz w:val="20"/>
          <w:szCs w:val="20"/>
        </w:rPr>
        <w:footnoteReference w:id="2"/>
      </w:r>
      <w:r w:rsidR="009600C7">
        <w:rPr>
          <w:rFonts w:ascii="Verdana" w:hAnsi="Verdana"/>
          <w:color w:val="000000" w:themeColor="text1"/>
          <w:sz w:val="20"/>
          <w:szCs w:val="20"/>
        </w:rPr>
        <w:t xml:space="preserve"> (en adelante “los representantes”)</w:t>
      </w:r>
      <w:r w:rsidR="004A56D9" w:rsidRPr="008B7099">
        <w:rPr>
          <w:rFonts w:ascii="Verdana" w:hAnsi="Verdana"/>
          <w:color w:val="000000" w:themeColor="text1"/>
          <w:sz w:val="20"/>
          <w:szCs w:val="20"/>
        </w:rPr>
        <w:t xml:space="preserve"> </w:t>
      </w:r>
      <w:r w:rsidRPr="008B7099">
        <w:rPr>
          <w:rFonts w:ascii="Verdana" w:hAnsi="Verdana"/>
          <w:color w:val="000000" w:themeColor="text1"/>
          <w:sz w:val="20"/>
          <w:szCs w:val="20"/>
        </w:rPr>
        <w:t xml:space="preserve">y a la Comisión Interamericana y les otorgó un plazo hasta el </w:t>
      </w:r>
      <w:r w:rsidR="0087430A">
        <w:rPr>
          <w:rFonts w:ascii="Verdana" w:hAnsi="Verdana"/>
          <w:color w:val="000000" w:themeColor="text1"/>
          <w:sz w:val="20"/>
          <w:szCs w:val="20"/>
        </w:rPr>
        <w:t>21</w:t>
      </w:r>
      <w:r w:rsidRPr="008B7099">
        <w:rPr>
          <w:rFonts w:ascii="Verdana" w:hAnsi="Verdana"/>
          <w:color w:val="000000" w:themeColor="text1"/>
          <w:sz w:val="20"/>
          <w:szCs w:val="20"/>
        </w:rPr>
        <w:t xml:space="preserve"> de </w:t>
      </w:r>
      <w:r w:rsidR="001676DD" w:rsidRPr="008B7099">
        <w:rPr>
          <w:rFonts w:ascii="Verdana" w:hAnsi="Verdana"/>
          <w:color w:val="000000" w:themeColor="text1"/>
          <w:sz w:val="20"/>
          <w:szCs w:val="20"/>
        </w:rPr>
        <w:t>agosto</w:t>
      </w:r>
      <w:r w:rsidR="007D4DDA" w:rsidRPr="008B7099">
        <w:rPr>
          <w:rFonts w:ascii="Verdana" w:hAnsi="Verdana"/>
          <w:color w:val="000000" w:themeColor="text1"/>
          <w:sz w:val="20"/>
          <w:szCs w:val="20"/>
        </w:rPr>
        <w:t xml:space="preserve"> de 202</w:t>
      </w:r>
      <w:r w:rsidR="0087430A">
        <w:rPr>
          <w:rFonts w:ascii="Verdana" w:hAnsi="Verdana"/>
          <w:color w:val="000000" w:themeColor="text1"/>
          <w:sz w:val="20"/>
          <w:szCs w:val="20"/>
        </w:rPr>
        <w:t>3</w:t>
      </w:r>
      <w:r w:rsidRPr="008B7099">
        <w:rPr>
          <w:rFonts w:ascii="Verdana" w:hAnsi="Verdana"/>
          <w:color w:val="000000" w:themeColor="text1"/>
          <w:sz w:val="20"/>
          <w:szCs w:val="20"/>
        </w:rPr>
        <w:t xml:space="preserve"> para presentar </w:t>
      </w:r>
      <w:r w:rsidR="005A46F0" w:rsidRPr="008B7099">
        <w:rPr>
          <w:rFonts w:ascii="Verdana" w:hAnsi="Verdana"/>
          <w:color w:val="000000" w:themeColor="text1"/>
          <w:sz w:val="20"/>
          <w:szCs w:val="20"/>
        </w:rPr>
        <w:t>sus observaciones escritas</w:t>
      </w:r>
      <w:r w:rsidR="007D4DDA" w:rsidRPr="008B7099">
        <w:rPr>
          <w:rFonts w:ascii="Verdana" w:hAnsi="Verdana"/>
          <w:color w:val="000000" w:themeColor="text1"/>
          <w:sz w:val="20"/>
          <w:szCs w:val="20"/>
        </w:rPr>
        <w:t>, en caso de que así lo estimaran pertinente</w:t>
      </w:r>
      <w:r w:rsidRPr="008B7099">
        <w:rPr>
          <w:rFonts w:ascii="Verdana" w:hAnsi="Verdana"/>
          <w:color w:val="000000" w:themeColor="text1"/>
          <w:sz w:val="20"/>
          <w:szCs w:val="20"/>
        </w:rPr>
        <w:t xml:space="preserve">. </w:t>
      </w:r>
      <w:r w:rsidR="0087430A">
        <w:rPr>
          <w:rFonts w:ascii="Verdana" w:hAnsi="Verdana"/>
          <w:color w:val="000000" w:themeColor="text1"/>
          <w:sz w:val="20"/>
          <w:szCs w:val="20"/>
        </w:rPr>
        <w:t>El 15 y el 21 de agosto de 2023 los representantes</w:t>
      </w:r>
      <w:r w:rsidR="0087430A">
        <w:rPr>
          <w:rFonts w:ascii="Verdana" w:hAnsi="Verdana"/>
          <w:b/>
          <w:bCs/>
          <w:color w:val="000000" w:themeColor="text1"/>
          <w:sz w:val="20"/>
          <w:szCs w:val="20"/>
        </w:rPr>
        <w:t xml:space="preserve"> </w:t>
      </w:r>
      <w:r w:rsidR="0087430A">
        <w:rPr>
          <w:rFonts w:ascii="Verdana" w:hAnsi="Verdana"/>
          <w:color w:val="000000" w:themeColor="text1"/>
          <w:sz w:val="20"/>
          <w:szCs w:val="20"/>
        </w:rPr>
        <w:t xml:space="preserve">y la Comisión Interamericana presentaron respectivamente sus observaciones escritas respecto de la solicitud de interpretación interpuesta por el Estado. </w:t>
      </w:r>
    </w:p>
    <w:p w14:paraId="604E3D25" w14:textId="77777777" w:rsidR="00B916ED" w:rsidRDefault="00B916ED" w:rsidP="00185E1C">
      <w:pPr>
        <w:spacing w:after="0" w:line="240" w:lineRule="auto"/>
        <w:jc w:val="center"/>
        <w:rPr>
          <w:rFonts w:ascii="Verdana" w:hAnsi="Verdana"/>
          <w:b/>
          <w:color w:val="000000" w:themeColor="text1"/>
          <w:sz w:val="20"/>
          <w:szCs w:val="20"/>
        </w:rPr>
      </w:pPr>
    </w:p>
    <w:p w14:paraId="2230AEC9" w14:textId="4E1D979D" w:rsidR="00185E1C" w:rsidRPr="008B7099" w:rsidRDefault="00185E1C" w:rsidP="00185E1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II</w:t>
      </w:r>
    </w:p>
    <w:p w14:paraId="40AE15AF" w14:textId="77777777" w:rsidR="00185E1C" w:rsidRPr="008B7099" w:rsidRDefault="00185E1C" w:rsidP="00185E1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COMPETENCIA</w:t>
      </w:r>
    </w:p>
    <w:p w14:paraId="7182AB0B" w14:textId="77777777" w:rsidR="00BB324D" w:rsidRPr="008B7099" w:rsidRDefault="00BB324D" w:rsidP="00BB324D">
      <w:pPr>
        <w:pStyle w:val="Prrafodelista"/>
        <w:rPr>
          <w:rFonts w:ascii="Verdana" w:hAnsi="Verdana"/>
          <w:color w:val="000000" w:themeColor="text1"/>
          <w:sz w:val="20"/>
          <w:szCs w:val="20"/>
        </w:rPr>
      </w:pPr>
    </w:p>
    <w:p w14:paraId="3CE8C859" w14:textId="77777777" w:rsidR="00BB324D" w:rsidRPr="008B7099" w:rsidRDefault="00BB324D" w:rsidP="00BB324D">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El artículo 67 de la Convención establece que:</w:t>
      </w:r>
    </w:p>
    <w:p w14:paraId="495AC1D8" w14:textId="77777777" w:rsidR="00BB324D" w:rsidRPr="008B7099" w:rsidRDefault="00BB324D" w:rsidP="00BB324D">
      <w:pPr>
        <w:pStyle w:val="Prrafodelista"/>
        <w:rPr>
          <w:rFonts w:ascii="Verdana" w:hAnsi="Verdana"/>
          <w:color w:val="000000" w:themeColor="text1"/>
          <w:sz w:val="20"/>
          <w:szCs w:val="20"/>
        </w:rPr>
      </w:pPr>
    </w:p>
    <w:p w14:paraId="39CB4832" w14:textId="77777777" w:rsidR="00F42B42" w:rsidRPr="005F2507" w:rsidRDefault="00F42B42" w:rsidP="00400784">
      <w:pPr>
        <w:pStyle w:val="Prrafodelista"/>
        <w:spacing w:after="0" w:line="240" w:lineRule="auto"/>
        <w:ind w:right="815"/>
        <w:jc w:val="both"/>
        <w:rPr>
          <w:rFonts w:ascii="Verdana" w:hAnsi="Verdana"/>
          <w:color w:val="000000" w:themeColor="text1"/>
          <w:sz w:val="18"/>
          <w:szCs w:val="18"/>
        </w:rPr>
      </w:pPr>
      <w:r w:rsidRPr="005F2507">
        <w:rPr>
          <w:rFonts w:ascii="Verdana" w:hAnsi="Verdana"/>
          <w:color w:val="000000" w:themeColor="text1"/>
          <w:sz w:val="18"/>
          <w:szCs w:val="18"/>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469D8001" w14:textId="77777777" w:rsidR="00F42B42" w:rsidRPr="008B7099" w:rsidRDefault="00F42B42" w:rsidP="00BB324D">
      <w:pPr>
        <w:pStyle w:val="Prrafodelista"/>
        <w:rPr>
          <w:rFonts w:ascii="Verdana" w:hAnsi="Verdana"/>
          <w:color w:val="000000" w:themeColor="text1"/>
          <w:sz w:val="20"/>
          <w:szCs w:val="20"/>
        </w:rPr>
      </w:pPr>
    </w:p>
    <w:p w14:paraId="2344780A" w14:textId="19B82798" w:rsidR="00BB324D" w:rsidRPr="008B7099" w:rsidRDefault="00BB324D" w:rsidP="004B5867">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De conformidad con el artículo citado, la Corte es competente para interpretar sus fallos. Para realizar el examen de la</w:t>
      </w:r>
      <w:r w:rsidR="00BA3E45">
        <w:rPr>
          <w:rFonts w:ascii="Verdana" w:hAnsi="Verdana"/>
          <w:color w:val="000000" w:themeColor="text1"/>
          <w:sz w:val="20"/>
          <w:szCs w:val="20"/>
        </w:rPr>
        <w:t>s</w:t>
      </w:r>
      <w:r w:rsidRPr="008B7099">
        <w:rPr>
          <w:rFonts w:ascii="Verdana" w:hAnsi="Verdana"/>
          <w:color w:val="000000" w:themeColor="text1"/>
          <w:sz w:val="20"/>
          <w:szCs w:val="20"/>
        </w:rPr>
        <w:t xml:space="preserve"> solicitud</w:t>
      </w:r>
      <w:r w:rsidR="00BA3E45">
        <w:rPr>
          <w:rFonts w:ascii="Verdana" w:hAnsi="Verdana"/>
          <w:color w:val="000000" w:themeColor="text1"/>
          <w:sz w:val="20"/>
          <w:szCs w:val="20"/>
        </w:rPr>
        <w:t>es</w:t>
      </w:r>
      <w:r w:rsidRPr="008B7099">
        <w:rPr>
          <w:rFonts w:ascii="Verdana" w:hAnsi="Verdana"/>
          <w:color w:val="000000" w:themeColor="text1"/>
          <w:sz w:val="20"/>
          <w:szCs w:val="20"/>
        </w:rPr>
        <w:t xml:space="preserve"> de interpretación y resolver lo que a este respecto corresponda, el Tribunal debe tener, si es posible, la misma composición </w:t>
      </w:r>
      <w:r w:rsidR="00F42B42" w:rsidRPr="008B7099">
        <w:rPr>
          <w:rFonts w:ascii="Verdana" w:hAnsi="Verdana"/>
          <w:color w:val="000000" w:themeColor="text1"/>
          <w:sz w:val="20"/>
          <w:szCs w:val="20"/>
        </w:rPr>
        <w:t xml:space="preserve">que tenía al dictar la Sentencia respectiva, de acuerdo con el artículo 68.3 del Reglamento. </w:t>
      </w:r>
      <w:r w:rsidR="006A044A" w:rsidRPr="008B7099">
        <w:rPr>
          <w:rFonts w:ascii="Verdana" w:hAnsi="Verdana"/>
          <w:color w:val="000000" w:themeColor="text1"/>
          <w:sz w:val="20"/>
          <w:szCs w:val="20"/>
        </w:rPr>
        <w:t xml:space="preserve">En esta ocasión, la Corte está integrada por los mismos </w:t>
      </w:r>
      <w:proofErr w:type="gramStart"/>
      <w:r w:rsidR="006A044A" w:rsidRPr="008B7099">
        <w:rPr>
          <w:rFonts w:ascii="Verdana" w:hAnsi="Verdana"/>
          <w:color w:val="000000" w:themeColor="text1"/>
          <w:sz w:val="20"/>
          <w:szCs w:val="20"/>
        </w:rPr>
        <w:t xml:space="preserve">Jueces </w:t>
      </w:r>
      <w:r w:rsidR="00880200">
        <w:rPr>
          <w:rFonts w:ascii="Verdana" w:hAnsi="Verdana"/>
          <w:color w:val="000000" w:themeColor="text1"/>
          <w:sz w:val="20"/>
          <w:szCs w:val="20"/>
        </w:rPr>
        <w:t>y Juezas</w:t>
      </w:r>
      <w:proofErr w:type="gramEnd"/>
      <w:r w:rsidR="00880200">
        <w:rPr>
          <w:rFonts w:ascii="Verdana" w:hAnsi="Verdana"/>
          <w:color w:val="000000" w:themeColor="text1"/>
          <w:sz w:val="20"/>
          <w:szCs w:val="20"/>
        </w:rPr>
        <w:t xml:space="preserve"> </w:t>
      </w:r>
      <w:r w:rsidR="006A044A" w:rsidRPr="008B7099">
        <w:rPr>
          <w:rFonts w:ascii="Verdana" w:hAnsi="Verdana"/>
          <w:color w:val="000000" w:themeColor="text1"/>
          <w:sz w:val="20"/>
          <w:szCs w:val="20"/>
        </w:rPr>
        <w:t>que dictaron la Sentencia cuya interpretación ha sido solicitada</w:t>
      </w:r>
      <w:r w:rsidR="005B17E1">
        <w:rPr>
          <w:rStyle w:val="Refdenotaalpie"/>
          <w:rFonts w:ascii="Verdana" w:hAnsi="Verdana"/>
          <w:color w:val="000000" w:themeColor="text1"/>
          <w:sz w:val="20"/>
          <w:szCs w:val="20"/>
        </w:rPr>
        <w:footnoteReference w:id="3"/>
      </w:r>
      <w:r w:rsidR="006A044A" w:rsidRPr="008B7099">
        <w:rPr>
          <w:rFonts w:ascii="Verdana" w:hAnsi="Verdana"/>
          <w:color w:val="000000" w:themeColor="text1"/>
          <w:sz w:val="20"/>
          <w:szCs w:val="20"/>
        </w:rPr>
        <w:t>.</w:t>
      </w:r>
    </w:p>
    <w:p w14:paraId="14BDCAA9" w14:textId="097CC302" w:rsidR="00F42B42" w:rsidRPr="00B916ED" w:rsidRDefault="00F42B42" w:rsidP="00B916ED">
      <w:pPr>
        <w:spacing w:after="0" w:line="240" w:lineRule="auto"/>
        <w:rPr>
          <w:rFonts w:ascii="Verdana" w:hAnsi="Verdana"/>
          <w:color w:val="000000" w:themeColor="text1"/>
          <w:sz w:val="20"/>
          <w:szCs w:val="20"/>
        </w:rPr>
      </w:pPr>
    </w:p>
    <w:p w14:paraId="1251D302" w14:textId="77777777" w:rsidR="00DD7DD1" w:rsidRPr="008B7099" w:rsidRDefault="00DD7DD1" w:rsidP="00A03487">
      <w:pPr>
        <w:pStyle w:val="Prrafodelista"/>
        <w:spacing w:after="0" w:line="240" w:lineRule="auto"/>
        <w:rPr>
          <w:rFonts w:ascii="Verdana" w:hAnsi="Verdana"/>
          <w:color w:val="000000" w:themeColor="text1"/>
          <w:sz w:val="20"/>
          <w:szCs w:val="20"/>
        </w:rPr>
      </w:pPr>
    </w:p>
    <w:p w14:paraId="5014839E" w14:textId="77777777" w:rsidR="00F42B42" w:rsidRPr="008B7099" w:rsidRDefault="00F42B42" w:rsidP="00F42B42">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III</w:t>
      </w:r>
    </w:p>
    <w:p w14:paraId="3E0A3684" w14:textId="77777777" w:rsidR="00F42B42" w:rsidRPr="008B7099" w:rsidRDefault="00F42B42" w:rsidP="00F42B42">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ADMISIBILIDAD</w:t>
      </w:r>
    </w:p>
    <w:p w14:paraId="28DA31EF" w14:textId="77777777" w:rsidR="00F42B42" w:rsidRPr="008B7099" w:rsidRDefault="00F42B42" w:rsidP="00F42B42">
      <w:pPr>
        <w:spacing w:after="0" w:line="240" w:lineRule="auto"/>
        <w:rPr>
          <w:rFonts w:ascii="Verdana" w:hAnsi="Verdana"/>
          <w:color w:val="000000" w:themeColor="text1"/>
          <w:sz w:val="20"/>
          <w:szCs w:val="20"/>
        </w:rPr>
      </w:pPr>
    </w:p>
    <w:p w14:paraId="55BA5858" w14:textId="51F79818" w:rsidR="005A46F0" w:rsidRPr="008B7099" w:rsidRDefault="00F42B42" w:rsidP="006F1078">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Corresponde a la Corte verificar si la </w:t>
      </w:r>
      <w:r w:rsidR="00376909" w:rsidRPr="008B7099">
        <w:rPr>
          <w:rFonts w:ascii="Verdana" w:hAnsi="Verdana"/>
          <w:color w:val="000000" w:themeColor="text1"/>
          <w:sz w:val="20"/>
          <w:szCs w:val="20"/>
        </w:rPr>
        <w:t>solicitud</w:t>
      </w:r>
      <w:r w:rsidRPr="008B7099">
        <w:rPr>
          <w:rFonts w:ascii="Verdana" w:hAnsi="Verdana"/>
          <w:color w:val="000000" w:themeColor="text1"/>
          <w:sz w:val="20"/>
          <w:szCs w:val="20"/>
        </w:rPr>
        <w:t xml:space="preserve"> presentada por </w:t>
      </w:r>
      <w:r w:rsidR="001F283B" w:rsidRPr="008B7099">
        <w:rPr>
          <w:rFonts w:ascii="Verdana" w:hAnsi="Verdana"/>
          <w:color w:val="000000" w:themeColor="text1"/>
          <w:sz w:val="20"/>
          <w:szCs w:val="20"/>
        </w:rPr>
        <w:t xml:space="preserve">el Estado </w:t>
      </w:r>
      <w:r w:rsidRPr="008B7099">
        <w:rPr>
          <w:rFonts w:ascii="Verdana" w:hAnsi="Verdana"/>
          <w:color w:val="000000" w:themeColor="text1"/>
          <w:sz w:val="20"/>
          <w:szCs w:val="20"/>
        </w:rPr>
        <w:t xml:space="preserve">cumple con los requisitos establecidos en las normas aplicables a una solicitud de interpretación de Sentencia, a saber, </w:t>
      </w:r>
      <w:r w:rsidR="006F1078" w:rsidRPr="008B7099">
        <w:rPr>
          <w:rFonts w:ascii="Verdana" w:hAnsi="Verdana"/>
          <w:color w:val="000000" w:themeColor="text1"/>
          <w:sz w:val="20"/>
          <w:szCs w:val="20"/>
        </w:rPr>
        <w:t xml:space="preserve">el artículo 67 de la Convención anteriormente citado y </w:t>
      </w:r>
      <w:r w:rsidR="005A46F0" w:rsidRPr="008B7099">
        <w:rPr>
          <w:rFonts w:ascii="Verdana" w:hAnsi="Verdana"/>
          <w:color w:val="000000" w:themeColor="text1"/>
          <w:sz w:val="20"/>
          <w:szCs w:val="20"/>
        </w:rPr>
        <w:t>el artículo 68 del Reglamento. Asimismo, el artículo 31.3 del Reglamento establece que “[c]</w:t>
      </w:r>
      <w:proofErr w:type="spellStart"/>
      <w:r w:rsidR="005A46F0" w:rsidRPr="008B7099">
        <w:rPr>
          <w:rFonts w:ascii="Verdana" w:hAnsi="Verdana"/>
          <w:color w:val="000000" w:themeColor="text1"/>
          <w:sz w:val="20"/>
          <w:szCs w:val="20"/>
        </w:rPr>
        <w:t>ontra</w:t>
      </w:r>
      <w:proofErr w:type="spellEnd"/>
      <w:r w:rsidR="005A46F0" w:rsidRPr="008B7099">
        <w:rPr>
          <w:rFonts w:ascii="Verdana" w:hAnsi="Verdana"/>
          <w:color w:val="000000" w:themeColor="text1"/>
          <w:sz w:val="20"/>
          <w:szCs w:val="20"/>
        </w:rPr>
        <w:t xml:space="preserve"> las sentencias y resoluciones de la Corte no procede ningún medio de impugnación”.</w:t>
      </w:r>
      <w:r w:rsidR="00880200" w:rsidRPr="00880200">
        <w:rPr>
          <w:rFonts w:ascii="Verdana" w:hAnsi="Verdana"/>
          <w:color w:val="000000" w:themeColor="text1"/>
          <w:sz w:val="20"/>
          <w:szCs w:val="20"/>
        </w:rPr>
        <w:t xml:space="preserve"> </w:t>
      </w:r>
    </w:p>
    <w:p w14:paraId="04C6190F" w14:textId="77777777" w:rsidR="006B478B" w:rsidRPr="008B7099" w:rsidRDefault="006B478B">
      <w:pPr>
        <w:pStyle w:val="Prrafodelista"/>
        <w:spacing w:after="0" w:line="240" w:lineRule="auto"/>
        <w:ind w:left="0"/>
        <w:jc w:val="both"/>
        <w:rPr>
          <w:rFonts w:ascii="Verdana" w:hAnsi="Verdana"/>
          <w:color w:val="000000" w:themeColor="text1"/>
          <w:sz w:val="20"/>
          <w:szCs w:val="20"/>
        </w:rPr>
      </w:pPr>
    </w:p>
    <w:p w14:paraId="3EBC06BA" w14:textId="78F944AF" w:rsidR="006B478B" w:rsidRPr="008B7099" w:rsidRDefault="001F283B" w:rsidP="00F42B42">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A estos efecto</w:t>
      </w:r>
      <w:r w:rsidR="006F1078" w:rsidRPr="008B7099">
        <w:rPr>
          <w:rFonts w:ascii="Verdana" w:hAnsi="Verdana"/>
          <w:color w:val="000000" w:themeColor="text1"/>
          <w:sz w:val="20"/>
          <w:szCs w:val="20"/>
        </w:rPr>
        <w:t>s</w:t>
      </w:r>
      <w:r w:rsidRPr="008B7099">
        <w:rPr>
          <w:rFonts w:ascii="Verdana" w:hAnsi="Verdana"/>
          <w:color w:val="000000" w:themeColor="text1"/>
          <w:sz w:val="20"/>
          <w:szCs w:val="20"/>
        </w:rPr>
        <w:t>, l</w:t>
      </w:r>
      <w:r w:rsidR="006B478B" w:rsidRPr="008B7099">
        <w:rPr>
          <w:rFonts w:ascii="Verdana" w:hAnsi="Verdana"/>
          <w:color w:val="000000" w:themeColor="text1"/>
          <w:sz w:val="20"/>
          <w:szCs w:val="20"/>
        </w:rPr>
        <w:t xml:space="preserve">a Corte </w:t>
      </w:r>
      <w:r w:rsidR="00185E1C" w:rsidRPr="008B7099">
        <w:rPr>
          <w:rFonts w:ascii="Verdana" w:hAnsi="Verdana"/>
          <w:color w:val="000000" w:themeColor="text1"/>
          <w:sz w:val="20"/>
          <w:szCs w:val="20"/>
        </w:rPr>
        <w:t>advierte</w:t>
      </w:r>
      <w:r w:rsidR="006B478B" w:rsidRPr="008B7099">
        <w:rPr>
          <w:rFonts w:ascii="Verdana" w:hAnsi="Verdana"/>
          <w:color w:val="000000" w:themeColor="text1"/>
          <w:sz w:val="20"/>
          <w:szCs w:val="20"/>
        </w:rPr>
        <w:t xml:space="preserve"> que </w:t>
      </w:r>
      <w:r w:rsidRPr="008B7099">
        <w:rPr>
          <w:rFonts w:ascii="Verdana" w:hAnsi="Verdana"/>
          <w:color w:val="000000" w:themeColor="text1"/>
          <w:sz w:val="20"/>
          <w:szCs w:val="20"/>
        </w:rPr>
        <w:t xml:space="preserve">el Estado </w:t>
      </w:r>
      <w:r w:rsidR="009600C7">
        <w:rPr>
          <w:rFonts w:ascii="Verdana" w:hAnsi="Verdana"/>
          <w:color w:val="000000" w:themeColor="text1"/>
          <w:sz w:val="20"/>
          <w:szCs w:val="20"/>
        </w:rPr>
        <w:t>presentó su solicitud</w:t>
      </w:r>
      <w:r w:rsidR="006B478B" w:rsidRPr="008B7099">
        <w:rPr>
          <w:rFonts w:ascii="Verdana" w:hAnsi="Verdana"/>
          <w:color w:val="000000" w:themeColor="text1"/>
          <w:sz w:val="20"/>
          <w:szCs w:val="20"/>
        </w:rPr>
        <w:t xml:space="preserve"> de interpretación de la Sentencia </w:t>
      </w:r>
      <w:r w:rsidR="00030E4B" w:rsidRPr="008B7099">
        <w:rPr>
          <w:rFonts w:ascii="Verdana" w:hAnsi="Verdana"/>
          <w:color w:val="000000" w:themeColor="text1"/>
          <w:sz w:val="20"/>
          <w:szCs w:val="20"/>
        </w:rPr>
        <w:t xml:space="preserve">el </w:t>
      </w:r>
      <w:r w:rsidR="00880200">
        <w:rPr>
          <w:rFonts w:ascii="Verdana" w:hAnsi="Verdana"/>
          <w:color w:val="000000" w:themeColor="text1"/>
          <w:sz w:val="20"/>
          <w:szCs w:val="20"/>
        </w:rPr>
        <w:t>10</w:t>
      </w:r>
      <w:r w:rsidR="00880200" w:rsidRPr="008B7099">
        <w:rPr>
          <w:rFonts w:ascii="Verdana" w:hAnsi="Verdana"/>
          <w:color w:val="000000" w:themeColor="text1"/>
          <w:sz w:val="20"/>
          <w:szCs w:val="20"/>
        </w:rPr>
        <w:t xml:space="preserve"> </w:t>
      </w:r>
      <w:r w:rsidR="00030E4B" w:rsidRPr="008B7099">
        <w:rPr>
          <w:rFonts w:ascii="Verdana" w:hAnsi="Verdana"/>
          <w:color w:val="000000" w:themeColor="text1"/>
          <w:sz w:val="20"/>
          <w:szCs w:val="20"/>
        </w:rPr>
        <w:t>de julio de 202</w:t>
      </w:r>
      <w:r w:rsidR="009600C7">
        <w:rPr>
          <w:rFonts w:ascii="Verdana" w:hAnsi="Verdana"/>
          <w:color w:val="000000" w:themeColor="text1"/>
          <w:sz w:val="20"/>
          <w:szCs w:val="20"/>
        </w:rPr>
        <w:t>3</w:t>
      </w:r>
      <w:r w:rsidR="00376909" w:rsidRPr="008B7099">
        <w:rPr>
          <w:rFonts w:ascii="Verdana" w:hAnsi="Verdana"/>
          <w:color w:val="000000" w:themeColor="text1"/>
          <w:sz w:val="20"/>
          <w:szCs w:val="20"/>
        </w:rPr>
        <w:t xml:space="preserve">, esto es, </w:t>
      </w:r>
      <w:r w:rsidR="006B478B" w:rsidRPr="008B7099">
        <w:rPr>
          <w:rFonts w:ascii="Verdana" w:hAnsi="Verdana"/>
          <w:color w:val="000000" w:themeColor="text1"/>
          <w:sz w:val="20"/>
          <w:szCs w:val="20"/>
        </w:rPr>
        <w:t xml:space="preserve">dentro del plazo de </w:t>
      </w:r>
      <w:r w:rsidR="006F1078" w:rsidRPr="008B7099">
        <w:rPr>
          <w:rFonts w:ascii="Verdana" w:hAnsi="Verdana"/>
          <w:color w:val="000000" w:themeColor="text1"/>
          <w:sz w:val="20"/>
          <w:szCs w:val="20"/>
        </w:rPr>
        <w:t>90</w:t>
      </w:r>
      <w:r w:rsidR="006B478B" w:rsidRPr="008B7099">
        <w:rPr>
          <w:rFonts w:ascii="Verdana" w:hAnsi="Verdana"/>
          <w:color w:val="000000" w:themeColor="text1"/>
          <w:sz w:val="20"/>
          <w:szCs w:val="20"/>
        </w:rPr>
        <w:t xml:space="preserve"> días establecido en el artículo 67 de la Convención, ya que la misma fue notificada </w:t>
      </w:r>
      <w:r w:rsidR="00376909" w:rsidRPr="008B7099">
        <w:rPr>
          <w:rFonts w:ascii="Verdana" w:hAnsi="Verdana"/>
          <w:color w:val="000000" w:themeColor="text1"/>
          <w:sz w:val="20"/>
          <w:szCs w:val="20"/>
        </w:rPr>
        <w:t xml:space="preserve">a las partes y a la Comisión el </w:t>
      </w:r>
      <w:r w:rsidR="00030E4B" w:rsidRPr="008B7099">
        <w:rPr>
          <w:rFonts w:ascii="Verdana" w:hAnsi="Verdana"/>
          <w:color w:val="000000" w:themeColor="text1"/>
          <w:sz w:val="20"/>
          <w:szCs w:val="20"/>
        </w:rPr>
        <w:t>1</w:t>
      </w:r>
      <w:r w:rsidR="009600C7">
        <w:rPr>
          <w:rFonts w:ascii="Verdana" w:hAnsi="Verdana"/>
          <w:color w:val="000000" w:themeColor="text1"/>
          <w:sz w:val="20"/>
          <w:szCs w:val="20"/>
        </w:rPr>
        <w:t>1</w:t>
      </w:r>
      <w:r w:rsidR="00030E4B" w:rsidRPr="008B7099">
        <w:rPr>
          <w:rFonts w:ascii="Verdana" w:hAnsi="Verdana"/>
          <w:color w:val="000000" w:themeColor="text1"/>
          <w:sz w:val="20"/>
          <w:szCs w:val="20"/>
        </w:rPr>
        <w:t xml:space="preserve"> de abril d</w:t>
      </w:r>
      <w:r w:rsidR="00376909" w:rsidRPr="008B7099">
        <w:rPr>
          <w:rFonts w:ascii="Verdana" w:hAnsi="Verdana"/>
          <w:color w:val="000000" w:themeColor="text1"/>
          <w:sz w:val="20"/>
          <w:szCs w:val="20"/>
        </w:rPr>
        <w:t>e 202</w:t>
      </w:r>
      <w:r w:rsidR="009600C7">
        <w:rPr>
          <w:rFonts w:ascii="Verdana" w:hAnsi="Verdana"/>
          <w:color w:val="000000" w:themeColor="text1"/>
          <w:sz w:val="20"/>
          <w:szCs w:val="20"/>
        </w:rPr>
        <w:t>3</w:t>
      </w:r>
      <w:r w:rsidR="006B478B" w:rsidRPr="008B7099">
        <w:rPr>
          <w:rFonts w:ascii="Verdana" w:hAnsi="Verdana"/>
          <w:color w:val="000000" w:themeColor="text1"/>
          <w:sz w:val="20"/>
          <w:szCs w:val="20"/>
        </w:rPr>
        <w:t xml:space="preserve">. Por ende, </w:t>
      </w:r>
      <w:r w:rsidR="003C648E">
        <w:rPr>
          <w:rFonts w:ascii="Verdana" w:hAnsi="Verdana"/>
          <w:color w:val="000000" w:themeColor="text1"/>
          <w:sz w:val="20"/>
          <w:szCs w:val="20"/>
        </w:rPr>
        <w:t>la solicitud</w:t>
      </w:r>
      <w:r w:rsidR="006B478B" w:rsidRPr="008B7099">
        <w:rPr>
          <w:rFonts w:ascii="Verdana" w:hAnsi="Verdana"/>
          <w:color w:val="000000" w:themeColor="text1"/>
          <w:sz w:val="20"/>
          <w:szCs w:val="20"/>
        </w:rPr>
        <w:t xml:space="preserve"> resulta admisible en lo que se refiere al plazo de su presentación. En cuanto a los demás requisitos, la Corte realizará el análisis respectivo al examinar el contenido de </w:t>
      </w:r>
      <w:r w:rsidR="00376909" w:rsidRPr="008B7099">
        <w:rPr>
          <w:rFonts w:ascii="Verdana" w:hAnsi="Verdana"/>
          <w:color w:val="000000" w:themeColor="text1"/>
          <w:sz w:val="20"/>
          <w:szCs w:val="20"/>
        </w:rPr>
        <w:t>dichas solicitudes</w:t>
      </w:r>
      <w:r w:rsidR="006B478B" w:rsidRPr="008B7099">
        <w:rPr>
          <w:rFonts w:ascii="Verdana" w:hAnsi="Verdana"/>
          <w:color w:val="000000" w:themeColor="text1"/>
          <w:sz w:val="20"/>
          <w:szCs w:val="20"/>
        </w:rPr>
        <w:t xml:space="preserve"> en el </w:t>
      </w:r>
      <w:r w:rsidR="00185E1C" w:rsidRPr="008B7099">
        <w:rPr>
          <w:rFonts w:ascii="Verdana" w:hAnsi="Verdana"/>
          <w:color w:val="000000" w:themeColor="text1"/>
          <w:sz w:val="20"/>
          <w:szCs w:val="20"/>
        </w:rPr>
        <w:t>siguiente</w:t>
      </w:r>
      <w:r w:rsidR="006B478B" w:rsidRPr="008B7099">
        <w:rPr>
          <w:rFonts w:ascii="Verdana" w:hAnsi="Verdana"/>
          <w:color w:val="000000" w:themeColor="text1"/>
          <w:sz w:val="20"/>
          <w:szCs w:val="20"/>
        </w:rPr>
        <w:t xml:space="preserve"> capítulo. </w:t>
      </w:r>
    </w:p>
    <w:p w14:paraId="51D77086" w14:textId="77777777" w:rsidR="00FE0809" w:rsidRPr="008B7099" w:rsidRDefault="00FE0809" w:rsidP="00A03487">
      <w:pPr>
        <w:pStyle w:val="Prrafodelista"/>
        <w:spacing w:after="0" w:line="240" w:lineRule="auto"/>
        <w:rPr>
          <w:rFonts w:ascii="Verdana" w:hAnsi="Verdana"/>
          <w:color w:val="000000" w:themeColor="text1"/>
          <w:sz w:val="20"/>
          <w:szCs w:val="20"/>
        </w:rPr>
      </w:pPr>
    </w:p>
    <w:p w14:paraId="0FBD20B5" w14:textId="709F12CF" w:rsidR="00A57ACC" w:rsidRPr="008B7099" w:rsidRDefault="00A57ACC" w:rsidP="00A57AC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IV</w:t>
      </w:r>
    </w:p>
    <w:p w14:paraId="659C87FC" w14:textId="77777777" w:rsidR="00A57ACC" w:rsidRPr="008B7099" w:rsidRDefault="00A57ACC" w:rsidP="00A57AC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ANÁLISIS DE LA PROCEDENCIA DE LA</w:t>
      </w:r>
      <w:r w:rsidR="00CC22B5" w:rsidRPr="008B7099">
        <w:rPr>
          <w:rFonts w:ascii="Verdana" w:hAnsi="Verdana"/>
          <w:b/>
          <w:color w:val="000000" w:themeColor="text1"/>
          <w:sz w:val="20"/>
          <w:szCs w:val="20"/>
        </w:rPr>
        <w:t>S</w:t>
      </w:r>
      <w:r w:rsidRPr="008B7099">
        <w:rPr>
          <w:rFonts w:ascii="Verdana" w:hAnsi="Verdana"/>
          <w:b/>
          <w:color w:val="000000" w:themeColor="text1"/>
          <w:sz w:val="20"/>
          <w:szCs w:val="20"/>
        </w:rPr>
        <w:t xml:space="preserve"> SOLICITUD</w:t>
      </w:r>
      <w:r w:rsidR="00CC22B5" w:rsidRPr="008B7099">
        <w:rPr>
          <w:rFonts w:ascii="Verdana" w:hAnsi="Verdana"/>
          <w:b/>
          <w:color w:val="000000" w:themeColor="text1"/>
          <w:sz w:val="20"/>
          <w:szCs w:val="20"/>
        </w:rPr>
        <w:t>ES</w:t>
      </w:r>
      <w:r w:rsidRPr="008B7099">
        <w:rPr>
          <w:rFonts w:ascii="Verdana" w:hAnsi="Verdana"/>
          <w:b/>
          <w:color w:val="000000" w:themeColor="text1"/>
          <w:sz w:val="20"/>
          <w:szCs w:val="20"/>
        </w:rPr>
        <w:t xml:space="preserve"> DE INTERPRETACIÓN</w:t>
      </w:r>
    </w:p>
    <w:p w14:paraId="4119AC48" w14:textId="77777777" w:rsidR="00A57ACC" w:rsidRPr="008B7099" w:rsidRDefault="00A57ACC" w:rsidP="00A57ACC">
      <w:pPr>
        <w:spacing w:after="0" w:line="240" w:lineRule="auto"/>
        <w:rPr>
          <w:rFonts w:ascii="Verdana" w:hAnsi="Verdana"/>
          <w:b/>
          <w:color w:val="000000" w:themeColor="text1"/>
          <w:sz w:val="20"/>
          <w:szCs w:val="20"/>
        </w:rPr>
      </w:pPr>
    </w:p>
    <w:p w14:paraId="10F328EA" w14:textId="7CE32116" w:rsidR="00A57ACC" w:rsidRPr="00880200" w:rsidRDefault="00A57ACC" w:rsidP="00880200">
      <w:pPr>
        <w:pStyle w:val="Prrafodelista"/>
        <w:numPr>
          <w:ilvl w:val="0"/>
          <w:numId w:val="1"/>
        </w:numPr>
        <w:spacing w:after="0" w:line="240" w:lineRule="auto"/>
        <w:ind w:left="0" w:firstLine="0"/>
        <w:jc w:val="both"/>
        <w:rPr>
          <w:rFonts w:ascii="Verdana" w:hAnsi="Verdana"/>
          <w:color w:val="000000" w:themeColor="text1"/>
          <w:sz w:val="20"/>
          <w:szCs w:val="20"/>
        </w:rPr>
      </w:pPr>
      <w:r w:rsidRPr="00880200">
        <w:rPr>
          <w:rFonts w:ascii="Verdana" w:hAnsi="Verdana"/>
          <w:color w:val="000000" w:themeColor="text1"/>
          <w:sz w:val="20"/>
          <w:szCs w:val="20"/>
        </w:rPr>
        <w:t xml:space="preserve">A continuación, la Corte analizará </w:t>
      </w:r>
      <w:r w:rsidR="001A3EFE" w:rsidRPr="00880200">
        <w:rPr>
          <w:rFonts w:ascii="Verdana" w:hAnsi="Verdana"/>
          <w:color w:val="000000" w:themeColor="text1"/>
          <w:sz w:val="20"/>
          <w:szCs w:val="20"/>
        </w:rPr>
        <w:t xml:space="preserve">la solicitud </w:t>
      </w:r>
      <w:r w:rsidR="001F283B" w:rsidRPr="00880200">
        <w:rPr>
          <w:rFonts w:ascii="Verdana" w:hAnsi="Verdana"/>
          <w:color w:val="000000" w:themeColor="text1"/>
          <w:sz w:val="20"/>
          <w:szCs w:val="20"/>
        </w:rPr>
        <w:t>de</w:t>
      </w:r>
      <w:r w:rsidR="00E834EE">
        <w:rPr>
          <w:rFonts w:ascii="Verdana" w:hAnsi="Verdana"/>
          <w:color w:val="000000" w:themeColor="text1"/>
          <w:sz w:val="20"/>
          <w:szCs w:val="20"/>
        </w:rPr>
        <w:t>l</w:t>
      </w:r>
      <w:r w:rsidR="001F283B" w:rsidRPr="00880200">
        <w:rPr>
          <w:rFonts w:ascii="Verdana" w:hAnsi="Verdana"/>
          <w:color w:val="000000" w:themeColor="text1"/>
          <w:sz w:val="20"/>
          <w:szCs w:val="20"/>
        </w:rPr>
        <w:t xml:space="preserve"> Estado </w:t>
      </w:r>
      <w:r w:rsidRPr="00880200">
        <w:rPr>
          <w:rFonts w:ascii="Verdana" w:hAnsi="Verdana"/>
          <w:color w:val="000000" w:themeColor="text1"/>
          <w:sz w:val="20"/>
          <w:szCs w:val="20"/>
        </w:rPr>
        <w:t xml:space="preserve">para determinar si, de acuerdo </w:t>
      </w:r>
      <w:r w:rsidR="00F911EA" w:rsidRPr="00880200">
        <w:rPr>
          <w:rFonts w:ascii="Verdana" w:hAnsi="Verdana"/>
          <w:color w:val="000000" w:themeColor="text1"/>
          <w:sz w:val="20"/>
          <w:szCs w:val="20"/>
        </w:rPr>
        <w:t>con</w:t>
      </w:r>
      <w:r w:rsidRPr="00880200">
        <w:rPr>
          <w:rFonts w:ascii="Verdana" w:hAnsi="Verdana"/>
          <w:color w:val="000000" w:themeColor="text1"/>
          <w:sz w:val="20"/>
          <w:szCs w:val="20"/>
        </w:rPr>
        <w:t xml:space="preserve"> la normativa </w:t>
      </w:r>
      <w:r w:rsidR="0016672D" w:rsidRPr="00880200">
        <w:rPr>
          <w:rFonts w:ascii="Verdana" w:hAnsi="Verdana"/>
          <w:color w:val="000000" w:themeColor="text1"/>
          <w:sz w:val="20"/>
          <w:szCs w:val="20"/>
        </w:rPr>
        <w:t>y</w:t>
      </w:r>
      <w:r w:rsidRPr="00880200">
        <w:rPr>
          <w:rFonts w:ascii="Verdana" w:hAnsi="Verdana"/>
          <w:color w:val="000000" w:themeColor="text1"/>
          <w:sz w:val="20"/>
          <w:szCs w:val="20"/>
        </w:rPr>
        <w:t xml:space="preserve"> los </w:t>
      </w:r>
      <w:r w:rsidR="0016672D" w:rsidRPr="00880200">
        <w:rPr>
          <w:rFonts w:ascii="Verdana" w:hAnsi="Verdana"/>
          <w:color w:val="000000" w:themeColor="text1"/>
          <w:sz w:val="20"/>
          <w:szCs w:val="20"/>
        </w:rPr>
        <w:t>estándares</w:t>
      </w:r>
      <w:r w:rsidRPr="00880200">
        <w:rPr>
          <w:rFonts w:ascii="Verdana" w:hAnsi="Verdana"/>
          <w:color w:val="000000" w:themeColor="text1"/>
          <w:sz w:val="20"/>
          <w:szCs w:val="20"/>
        </w:rPr>
        <w:t xml:space="preserve"> desarrollados en su jurisprudencia, procede </w:t>
      </w:r>
      <w:r w:rsidR="00621ACB" w:rsidRPr="00880200">
        <w:rPr>
          <w:rFonts w:ascii="Verdana" w:hAnsi="Verdana"/>
          <w:color w:val="000000" w:themeColor="text1"/>
          <w:sz w:val="20"/>
          <w:szCs w:val="20"/>
        </w:rPr>
        <w:t xml:space="preserve">o no aclarar el sentido o alcance de los puntos de la Sentencia solicitados. </w:t>
      </w:r>
      <w:r w:rsidRPr="00880200">
        <w:rPr>
          <w:rFonts w:ascii="Verdana" w:hAnsi="Verdana"/>
          <w:color w:val="000000" w:themeColor="text1"/>
          <w:sz w:val="20"/>
          <w:szCs w:val="20"/>
        </w:rPr>
        <w:t xml:space="preserve"> </w:t>
      </w:r>
    </w:p>
    <w:p w14:paraId="5B755BEB" w14:textId="77777777" w:rsidR="00A57ACC" w:rsidRPr="008B7099" w:rsidRDefault="00A57ACC" w:rsidP="00A57ACC">
      <w:pPr>
        <w:pStyle w:val="Prrafodelista"/>
        <w:spacing w:after="0" w:line="240" w:lineRule="auto"/>
        <w:ind w:left="0"/>
        <w:jc w:val="both"/>
        <w:rPr>
          <w:rFonts w:ascii="Verdana" w:hAnsi="Verdana"/>
          <w:color w:val="000000" w:themeColor="text1"/>
          <w:sz w:val="20"/>
          <w:szCs w:val="20"/>
        </w:rPr>
      </w:pPr>
    </w:p>
    <w:p w14:paraId="57708B15" w14:textId="77777777" w:rsidR="00E834EE" w:rsidRPr="008B7099" w:rsidRDefault="00E834EE" w:rsidP="00E834EE">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La Corte ha señalado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 Por lo tanto, no se puede solicitar la modificación o anulación de la sentencia respectiva a través de una solicitud de interpretación</w:t>
      </w:r>
      <w:r w:rsidRPr="008B7099">
        <w:rPr>
          <w:rStyle w:val="Refdenotaalpie"/>
          <w:rFonts w:ascii="Verdana" w:hAnsi="Verdana"/>
          <w:color w:val="000000" w:themeColor="text1"/>
          <w:sz w:val="20"/>
          <w:szCs w:val="20"/>
        </w:rPr>
        <w:footnoteReference w:id="4"/>
      </w:r>
      <w:r w:rsidRPr="008B7099">
        <w:rPr>
          <w:rFonts w:ascii="Verdana" w:hAnsi="Verdana"/>
          <w:color w:val="000000" w:themeColor="text1"/>
          <w:sz w:val="20"/>
          <w:szCs w:val="20"/>
        </w:rPr>
        <w:t>.</w:t>
      </w:r>
    </w:p>
    <w:p w14:paraId="77925BB5" w14:textId="77777777" w:rsidR="00EF6514" w:rsidRPr="008B7099" w:rsidRDefault="00EF6514" w:rsidP="00EF6514">
      <w:pPr>
        <w:pStyle w:val="Prrafodelista"/>
        <w:rPr>
          <w:rFonts w:ascii="Verdana" w:hAnsi="Verdana"/>
          <w:color w:val="000000" w:themeColor="text1"/>
          <w:sz w:val="20"/>
          <w:szCs w:val="20"/>
        </w:rPr>
      </w:pPr>
    </w:p>
    <w:p w14:paraId="3FCAF218" w14:textId="77777777" w:rsidR="005A46F0" w:rsidRPr="008B7099" w:rsidRDefault="005A46F0" w:rsidP="008002A7">
      <w:pPr>
        <w:pStyle w:val="Prrafodelista"/>
        <w:numPr>
          <w:ilvl w:val="0"/>
          <w:numId w:val="1"/>
        </w:numPr>
        <w:spacing w:after="0" w:line="240" w:lineRule="auto"/>
        <w:ind w:left="0" w:firstLine="0"/>
        <w:jc w:val="both"/>
        <w:rPr>
          <w:rFonts w:ascii="Verdana" w:eastAsia="Times" w:hAnsi="Verdana"/>
          <w:color w:val="000000" w:themeColor="text1"/>
          <w:sz w:val="20"/>
          <w:szCs w:val="20"/>
          <w:lang w:val="es-ES_tradnl"/>
        </w:rPr>
      </w:pPr>
      <w:r w:rsidRPr="008B7099">
        <w:rPr>
          <w:rFonts w:ascii="Verdana" w:hAnsi="Verdana"/>
          <w:color w:val="000000" w:themeColor="text1"/>
          <w:sz w:val="20"/>
          <w:szCs w:val="2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8B7099">
        <w:rPr>
          <w:rStyle w:val="Refdenotaalpie"/>
          <w:rFonts w:ascii="Verdana" w:hAnsi="Verdana"/>
          <w:color w:val="000000" w:themeColor="text1"/>
          <w:sz w:val="20"/>
          <w:szCs w:val="20"/>
        </w:rPr>
        <w:footnoteReference w:id="5"/>
      </w:r>
      <w:r w:rsidRPr="008B7099">
        <w:rPr>
          <w:rFonts w:ascii="Verdana" w:hAnsi="Verdana"/>
          <w:color w:val="000000" w:themeColor="text1"/>
          <w:sz w:val="20"/>
          <w:szCs w:val="20"/>
        </w:rPr>
        <w:t>, así como para pretender que la Corte valore nuevamente cuestiones que ya han sido resueltas en la Sentencia</w:t>
      </w:r>
      <w:r w:rsidRPr="008B7099">
        <w:rPr>
          <w:rStyle w:val="Refdenotaalpie"/>
          <w:rFonts w:ascii="Verdana" w:hAnsi="Verdana"/>
          <w:color w:val="000000" w:themeColor="text1"/>
          <w:sz w:val="20"/>
          <w:szCs w:val="20"/>
        </w:rPr>
        <w:footnoteReference w:id="6"/>
      </w:r>
      <w:r w:rsidRPr="008B7099">
        <w:rPr>
          <w:rFonts w:ascii="Verdana" w:hAnsi="Verdana"/>
          <w:color w:val="000000" w:themeColor="text1"/>
          <w:sz w:val="20"/>
          <w:szCs w:val="20"/>
        </w:rPr>
        <w:t>. De igual manera, por esta vía tampoco se puede intentar que se amplíe el alcance de una medida de reparación ordenada oportunamente</w:t>
      </w:r>
      <w:r w:rsidRPr="008B7099">
        <w:rPr>
          <w:rStyle w:val="Refdenotaalpie"/>
          <w:rFonts w:ascii="Verdana" w:hAnsi="Verdana"/>
          <w:color w:val="000000" w:themeColor="text1"/>
          <w:sz w:val="20"/>
          <w:szCs w:val="20"/>
        </w:rPr>
        <w:footnoteReference w:id="7"/>
      </w:r>
      <w:r w:rsidRPr="008B7099">
        <w:rPr>
          <w:rFonts w:ascii="Verdana" w:hAnsi="Verdana"/>
          <w:color w:val="000000" w:themeColor="text1"/>
          <w:sz w:val="20"/>
          <w:szCs w:val="20"/>
        </w:rPr>
        <w:t>.</w:t>
      </w:r>
    </w:p>
    <w:p w14:paraId="67B66A44" w14:textId="0902E5BE" w:rsidR="005A46F0" w:rsidRPr="008B7099" w:rsidRDefault="00236B2C" w:rsidP="00236B2C">
      <w:pPr>
        <w:pStyle w:val="Prrafodelista"/>
        <w:tabs>
          <w:tab w:val="left" w:pos="2175"/>
        </w:tabs>
        <w:spacing w:after="0" w:line="240" w:lineRule="auto"/>
        <w:ind w:left="0"/>
        <w:jc w:val="both"/>
        <w:rPr>
          <w:rFonts w:ascii="Verdana" w:eastAsia="Times" w:hAnsi="Verdana"/>
          <w:color w:val="000000" w:themeColor="text1"/>
          <w:sz w:val="20"/>
          <w:szCs w:val="20"/>
          <w:lang w:val="es-ES_tradnl"/>
        </w:rPr>
      </w:pPr>
      <w:r w:rsidRPr="008B7099">
        <w:rPr>
          <w:rFonts w:ascii="Verdana" w:eastAsia="Times" w:hAnsi="Verdana"/>
          <w:color w:val="000000" w:themeColor="text1"/>
          <w:sz w:val="20"/>
          <w:szCs w:val="20"/>
          <w:lang w:val="es-ES_tradnl"/>
        </w:rPr>
        <w:tab/>
      </w:r>
    </w:p>
    <w:p w14:paraId="557278AB" w14:textId="252A8D4A" w:rsidR="00CB4AC8" w:rsidRPr="00D506C7" w:rsidRDefault="00BC3CC7" w:rsidP="00D506C7">
      <w:pPr>
        <w:pStyle w:val="Prrafodelista"/>
        <w:numPr>
          <w:ilvl w:val="0"/>
          <w:numId w:val="1"/>
        </w:numPr>
        <w:spacing w:after="0" w:line="240" w:lineRule="auto"/>
        <w:ind w:left="0" w:firstLine="0"/>
        <w:jc w:val="both"/>
        <w:rPr>
          <w:rFonts w:ascii="Verdana" w:hAnsi="Verdana"/>
          <w:b/>
          <w:color w:val="000000" w:themeColor="text1"/>
          <w:sz w:val="20"/>
          <w:szCs w:val="20"/>
        </w:rPr>
      </w:pPr>
      <w:r w:rsidRPr="008B7099">
        <w:rPr>
          <w:rFonts w:ascii="Verdana" w:eastAsia="Times" w:hAnsi="Verdana"/>
          <w:color w:val="000000" w:themeColor="text1"/>
          <w:sz w:val="20"/>
          <w:szCs w:val="20"/>
        </w:rPr>
        <w:t>L</w:t>
      </w:r>
      <w:r w:rsidR="005A46F0" w:rsidRPr="008B7099">
        <w:rPr>
          <w:rFonts w:ascii="Verdana" w:eastAsia="Times" w:hAnsi="Verdana"/>
          <w:color w:val="000000" w:themeColor="text1"/>
          <w:sz w:val="20"/>
          <w:szCs w:val="20"/>
        </w:rPr>
        <w:t xml:space="preserve">a Corte Interamericana examinará las cuestiones planteadas en el siguiente orden: </w:t>
      </w:r>
      <w:r w:rsidR="00503125" w:rsidRPr="008B7099">
        <w:rPr>
          <w:rFonts w:ascii="Verdana" w:eastAsia="Times" w:hAnsi="Verdana"/>
          <w:color w:val="000000" w:themeColor="text1"/>
          <w:sz w:val="20"/>
          <w:szCs w:val="20"/>
        </w:rPr>
        <w:t>(</w:t>
      </w:r>
      <w:r w:rsidR="00621ACB">
        <w:rPr>
          <w:rFonts w:ascii="Verdana" w:eastAsia="Times" w:hAnsi="Verdana"/>
          <w:color w:val="000000" w:themeColor="text1"/>
          <w:sz w:val="20"/>
          <w:szCs w:val="20"/>
        </w:rPr>
        <w:t>A</w:t>
      </w:r>
      <w:r w:rsidR="00503125" w:rsidRPr="008B7099">
        <w:rPr>
          <w:rFonts w:ascii="Verdana" w:eastAsia="Times" w:hAnsi="Verdana"/>
          <w:color w:val="000000" w:themeColor="text1"/>
          <w:sz w:val="20"/>
          <w:szCs w:val="20"/>
        </w:rPr>
        <w:t>)</w:t>
      </w:r>
      <w:r w:rsidR="00621ACB">
        <w:rPr>
          <w:rFonts w:ascii="Verdana" w:eastAsia="Times" w:hAnsi="Verdana"/>
          <w:color w:val="000000" w:themeColor="text1"/>
          <w:sz w:val="20"/>
          <w:szCs w:val="20"/>
        </w:rPr>
        <w:t xml:space="preserve"> la solicitud de interpretación respecto de la violación del artículo 8.1 de la Convención Americana; (B) la solicitud de interpretación </w:t>
      </w:r>
      <w:r w:rsidR="00674885">
        <w:rPr>
          <w:rFonts w:ascii="Verdana" w:eastAsia="Times" w:hAnsi="Verdana"/>
          <w:color w:val="000000" w:themeColor="text1"/>
          <w:sz w:val="20"/>
          <w:szCs w:val="20"/>
        </w:rPr>
        <w:t xml:space="preserve">respecto de </w:t>
      </w:r>
      <w:r w:rsidR="00621ACB">
        <w:rPr>
          <w:rFonts w:ascii="Verdana" w:eastAsia="Times" w:hAnsi="Verdana"/>
          <w:color w:val="000000" w:themeColor="text1"/>
          <w:sz w:val="20"/>
          <w:szCs w:val="20"/>
        </w:rPr>
        <w:t xml:space="preserve">la medida de rehabilitación; (C) </w:t>
      </w:r>
      <w:r w:rsidR="00D506C7">
        <w:rPr>
          <w:rFonts w:ascii="Verdana" w:eastAsia="Times" w:hAnsi="Verdana"/>
          <w:color w:val="000000" w:themeColor="text1"/>
          <w:sz w:val="20"/>
          <w:szCs w:val="20"/>
        </w:rPr>
        <w:t xml:space="preserve">la solicitud de interpretación </w:t>
      </w:r>
      <w:r w:rsidR="00674885">
        <w:rPr>
          <w:rFonts w:ascii="Verdana" w:eastAsia="Times" w:hAnsi="Verdana"/>
          <w:color w:val="000000" w:themeColor="text1"/>
          <w:sz w:val="20"/>
          <w:szCs w:val="20"/>
        </w:rPr>
        <w:t xml:space="preserve">respecto de </w:t>
      </w:r>
      <w:r w:rsidR="00D506C7">
        <w:rPr>
          <w:rFonts w:ascii="Verdana" w:eastAsia="Times" w:hAnsi="Verdana"/>
          <w:color w:val="000000" w:themeColor="text1"/>
          <w:sz w:val="20"/>
          <w:szCs w:val="20"/>
        </w:rPr>
        <w:t xml:space="preserve">la garantía de no repetición relativa a implementar un plan pedagógico </w:t>
      </w:r>
      <w:r w:rsidR="00D506C7">
        <w:rPr>
          <w:rFonts w:ascii="Verdana" w:eastAsia="Times" w:hAnsi="Verdana"/>
          <w:color w:val="000000" w:themeColor="text1"/>
          <w:sz w:val="20"/>
          <w:szCs w:val="20"/>
        </w:rPr>
        <w:lastRenderedPageBreak/>
        <w:t xml:space="preserve">integral en materia de diversidad sexual y de género, igualdad y no discriminación, perspectiva de género y derechos humanos de las personas LGBTIQ+ en el ámbito de consumo, y (D) la solicitud de interpretación </w:t>
      </w:r>
      <w:r w:rsidR="00674885">
        <w:rPr>
          <w:rFonts w:ascii="Verdana" w:eastAsia="Times" w:hAnsi="Verdana"/>
          <w:color w:val="000000" w:themeColor="text1"/>
          <w:sz w:val="20"/>
          <w:szCs w:val="20"/>
        </w:rPr>
        <w:t xml:space="preserve">respecto de </w:t>
      </w:r>
      <w:r w:rsidR="00D506C7">
        <w:rPr>
          <w:rFonts w:ascii="Verdana" w:eastAsia="Times" w:hAnsi="Verdana"/>
          <w:color w:val="000000" w:themeColor="text1"/>
          <w:sz w:val="20"/>
          <w:szCs w:val="20"/>
        </w:rPr>
        <w:t xml:space="preserve">la expresión </w:t>
      </w:r>
      <w:r w:rsidR="00D506C7">
        <w:rPr>
          <w:rFonts w:ascii="Verdana" w:hAnsi="Verdana"/>
          <w:color w:val="000000" w:themeColor="text1"/>
          <w:sz w:val="20"/>
          <w:szCs w:val="20"/>
        </w:rPr>
        <w:t xml:space="preserve">“requerir a las empresas” en la garantía de no repetición relativa </w:t>
      </w:r>
      <w:r w:rsidR="00E52EC2" w:rsidRPr="00E52EC2">
        <w:rPr>
          <w:rFonts w:ascii="Verdana" w:hAnsi="Verdana"/>
          <w:color w:val="000000" w:themeColor="text1"/>
          <w:sz w:val="20"/>
          <w:szCs w:val="20"/>
        </w:rPr>
        <w:t>al diseño e implementación de una política pública con el objetivo monitorear y fiscalizar que las empresas y sus trabajadores, trabajadoras y colaboradores cumplan con la legislación nacional, así como con los estándares interamericanos sobre igualdad y no discriminación de las personas LGBTIQ+</w:t>
      </w:r>
      <w:r w:rsidR="00E52EC2">
        <w:rPr>
          <w:rFonts w:ascii="Verdana" w:hAnsi="Verdana"/>
          <w:color w:val="000000" w:themeColor="text1"/>
          <w:sz w:val="20"/>
          <w:szCs w:val="20"/>
        </w:rPr>
        <w:t xml:space="preserve">. </w:t>
      </w:r>
      <w:r w:rsidR="00D506C7">
        <w:rPr>
          <w:rFonts w:ascii="Verdana" w:eastAsia="Times" w:hAnsi="Verdana"/>
          <w:color w:val="000000" w:themeColor="text1"/>
          <w:sz w:val="20"/>
          <w:szCs w:val="20"/>
        </w:rPr>
        <w:t xml:space="preserve"> </w:t>
      </w:r>
    </w:p>
    <w:p w14:paraId="7AFC3195" w14:textId="77777777" w:rsidR="00D506C7" w:rsidRPr="00D506C7" w:rsidRDefault="00D506C7" w:rsidP="00D506C7">
      <w:pPr>
        <w:pStyle w:val="Prrafodelista"/>
        <w:spacing w:after="0" w:line="240" w:lineRule="auto"/>
        <w:ind w:left="0"/>
        <w:jc w:val="both"/>
        <w:rPr>
          <w:rFonts w:ascii="Verdana" w:hAnsi="Verdana"/>
          <w:b/>
          <w:color w:val="000000" w:themeColor="text1"/>
          <w:sz w:val="20"/>
          <w:szCs w:val="20"/>
        </w:rPr>
      </w:pPr>
    </w:p>
    <w:p w14:paraId="6069C668" w14:textId="73BCD221" w:rsidR="00CB4AC8" w:rsidRPr="00D506C7" w:rsidRDefault="00674885" w:rsidP="00CB4AC8">
      <w:pPr>
        <w:pStyle w:val="Prrafodelista"/>
        <w:numPr>
          <w:ilvl w:val="0"/>
          <w:numId w:val="2"/>
        </w:numPr>
        <w:spacing w:after="0" w:line="240" w:lineRule="auto"/>
        <w:ind w:left="426"/>
        <w:jc w:val="both"/>
        <w:rPr>
          <w:rFonts w:ascii="Verdana" w:hAnsi="Verdana"/>
          <w:b/>
          <w:i/>
          <w:iCs/>
          <w:color w:val="000000" w:themeColor="text1"/>
          <w:sz w:val="20"/>
          <w:szCs w:val="20"/>
        </w:rPr>
      </w:pPr>
      <w:r>
        <w:rPr>
          <w:rFonts w:ascii="Verdana" w:hAnsi="Verdana"/>
          <w:b/>
          <w:i/>
          <w:iCs/>
          <w:color w:val="000000" w:themeColor="text1"/>
          <w:sz w:val="20"/>
          <w:szCs w:val="20"/>
        </w:rPr>
        <w:t>Solicitud de i</w:t>
      </w:r>
      <w:r w:rsidR="00D506C7" w:rsidRPr="00D506C7">
        <w:rPr>
          <w:rFonts w:ascii="Verdana" w:hAnsi="Verdana"/>
          <w:b/>
          <w:i/>
          <w:iCs/>
          <w:color w:val="000000" w:themeColor="text1"/>
          <w:sz w:val="20"/>
          <w:szCs w:val="20"/>
        </w:rPr>
        <w:t xml:space="preserve">nterpretación </w:t>
      </w:r>
      <w:r>
        <w:rPr>
          <w:rFonts w:ascii="Verdana" w:hAnsi="Verdana"/>
          <w:b/>
          <w:i/>
          <w:iCs/>
          <w:color w:val="000000" w:themeColor="text1"/>
          <w:sz w:val="20"/>
          <w:szCs w:val="20"/>
        </w:rPr>
        <w:t>respecto de la violación del artículo 8.1 de la Convención Americana</w:t>
      </w:r>
    </w:p>
    <w:p w14:paraId="359AB7F1" w14:textId="2E7394E3" w:rsidR="00CD19D0" w:rsidRPr="008B7099" w:rsidRDefault="00CD19D0" w:rsidP="00CD19D0">
      <w:pPr>
        <w:spacing w:after="0" w:line="240" w:lineRule="auto"/>
        <w:jc w:val="both"/>
        <w:rPr>
          <w:rFonts w:ascii="Verdana" w:hAnsi="Verdana"/>
          <w:b/>
          <w:color w:val="000000" w:themeColor="text1"/>
          <w:sz w:val="20"/>
          <w:szCs w:val="20"/>
        </w:rPr>
      </w:pPr>
    </w:p>
    <w:p w14:paraId="26B7D74C" w14:textId="2419D0EC" w:rsidR="00CD19D0" w:rsidRPr="008B7099" w:rsidRDefault="002A5213" w:rsidP="00CD19D0">
      <w:pPr>
        <w:spacing w:after="0" w:line="240" w:lineRule="auto"/>
        <w:ind w:firstLine="708"/>
        <w:jc w:val="both"/>
        <w:rPr>
          <w:rFonts w:ascii="Verdana" w:hAnsi="Verdana"/>
          <w:i/>
          <w:color w:val="000000" w:themeColor="text1"/>
          <w:sz w:val="20"/>
          <w:szCs w:val="20"/>
        </w:rPr>
      </w:pPr>
      <w:r w:rsidRPr="008B7099">
        <w:rPr>
          <w:rFonts w:ascii="Verdana" w:hAnsi="Verdana"/>
          <w:i/>
          <w:color w:val="000000" w:themeColor="text1"/>
          <w:sz w:val="20"/>
          <w:szCs w:val="20"/>
        </w:rPr>
        <w:t>A</w:t>
      </w:r>
      <w:r w:rsidR="00CD19D0" w:rsidRPr="008B7099">
        <w:rPr>
          <w:rFonts w:ascii="Verdana" w:hAnsi="Verdana"/>
          <w:i/>
          <w:color w:val="000000" w:themeColor="text1"/>
          <w:sz w:val="20"/>
          <w:szCs w:val="20"/>
        </w:rPr>
        <w:t xml:space="preserve">.1. Argumentos de las partes y de la Comisión </w:t>
      </w:r>
    </w:p>
    <w:p w14:paraId="65623A35" w14:textId="77777777" w:rsidR="001928E4" w:rsidRPr="008B7099" w:rsidRDefault="001928E4" w:rsidP="001928E4">
      <w:pPr>
        <w:pStyle w:val="Prrafodelista"/>
        <w:spacing w:after="0" w:line="240" w:lineRule="auto"/>
        <w:ind w:left="426"/>
        <w:jc w:val="both"/>
        <w:rPr>
          <w:rFonts w:ascii="Verdana" w:hAnsi="Verdana"/>
          <w:b/>
          <w:color w:val="000000" w:themeColor="text1"/>
          <w:sz w:val="20"/>
          <w:szCs w:val="20"/>
        </w:rPr>
      </w:pPr>
    </w:p>
    <w:p w14:paraId="5AAD2476" w14:textId="007C0F2F" w:rsidR="007E435A" w:rsidRDefault="00CD19D0" w:rsidP="00B245D4">
      <w:pPr>
        <w:pStyle w:val="Prrafodelista"/>
        <w:numPr>
          <w:ilvl w:val="0"/>
          <w:numId w:val="1"/>
        </w:numPr>
        <w:spacing w:after="0" w:line="240" w:lineRule="auto"/>
        <w:ind w:left="0" w:firstLine="0"/>
        <w:jc w:val="both"/>
        <w:rPr>
          <w:rFonts w:ascii="Verdana" w:hAnsi="Verdana"/>
          <w:color w:val="000000" w:themeColor="text1"/>
          <w:sz w:val="20"/>
          <w:szCs w:val="20"/>
        </w:rPr>
      </w:pPr>
      <w:r w:rsidRPr="00496094">
        <w:rPr>
          <w:rFonts w:ascii="Verdana" w:hAnsi="Verdana"/>
          <w:color w:val="000000" w:themeColor="text1"/>
          <w:sz w:val="20"/>
          <w:szCs w:val="20"/>
        </w:rPr>
        <w:t xml:space="preserve">El </w:t>
      </w:r>
      <w:r w:rsidRPr="00496094">
        <w:rPr>
          <w:rFonts w:ascii="Verdana" w:hAnsi="Verdana"/>
          <w:b/>
          <w:bCs/>
          <w:i/>
          <w:iCs/>
          <w:color w:val="000000" w:themeColor="text1"/>
          <w:sz w:val="20"/>
          <w:szCs w:val="20"/>
        </w:rPr>
        <w:t>Estado</w:t>
      </w:r>
      <w:r w:rsidRPr="00496094">
        <w:rPr>
          <w:rFonts w:ascii="Verdana" w:hAnsi="Verdana"/>
          <w:color w:val="000000" w:themeColor="text1"/>
          <w:sz w:val="20"/>
          <w:szCs w:val="20"/>
        </w:rPr>
        <w:t xml:space="preserve"> </w:t>
      </w:r>
      <w:r w:rsidR="00F65E46">
        <w:rPr>
          <w:rFonts w:ascii="Verdana" w:hAnsi="Verdana"/>
          <w:color w:val="000000" w:themeColor="text1"/>
          <w:sz w:val="20"/>
          <w:szCs w:val="20"/>
        </w:rPr>
        <w:t>refirió</w:t>
      </w:r>
      <w:r w:rsidR="00496094" w:rsidRPr="00496094">
        <w:rPr>
          <w:rFonts w:ascii="Verdana" w:hAnsi="Verdana"/>
          <w:color w:val="000000" w:themeColor="text1"/>
          <w:sz w:val="20"/>
          <w:szCs w:val="20"/>
        </w:rPr>
        <w:t xml:space="preserve"> que en</w:t>
      </w:r>
      <w:r w:rsidR="00F65E46">
        <w:rPr>
          <w:rFonts w:ascii="Verdana" w:hAnsi="Verdana"/>
          <w:color w:val="000000" w:themeColor="text1"/>
          <w:sz w:val="20"/>
          <w:szCs w:val="20"/>
        </w:rPr>
        <w:t xml:space="preserve"> el</w:t>
      </w:r>
      <w:r w:rsidR="00496094" w:rsidRPr="00496094">
        <w:rPr>
          <w:rFonts w:ascii="Verdana" w:hAnsi="Verdana"/>
          <w:color w:val="000000" w:themeColor="text1"/>
          <w:sz w:val="20"/>
          <w:szCs w:val="20"/>
        </w:rPr>
        <w:t xml:space="preserve"> </w:t>
      </w:r>
      <w:r w:rsidR="00C07DC7">
        <w:rPr>
          <w:rFonts w:ascii="Verdana" w:hAnsi="Verdana"/>
          <w:color w:val="000000" w:themeColor="text1"/>
          <w:sz w:val="20"/>
          <w:szCs w:val="20"/>
        </w:rPr>
        <w:t>P</w:t>
      </w:r>
      <w:r w:rsidR="00496094" w:rsidRPr="00496094">
        <w:rPr>
          <w:rFonts w:ascii="Verdana" w:hAnsi="Verdana"/>
          <w:color w:val="000000" w:themeColor="text1"/>
          <w:sz w:val="20"/>
          <w:szCs w:val="20"/>
        </w:rPr>
        <w:t xml:space="preserve">unto </w:t>
      </w:r>
      <w:r w:rsidR="00C07DC7">
        <w:rPr>
          <w:rFonts w:ascii="Verdana" w:hAnsi="Verdana"/>
          <w:color w:val="000000" w:themeColor="text1"/>
          <w:sz w:val="20"/>
          <w:szCs w:val="20"/>
        </w:rPr>
        <w:t>R</w:t>
      </w:r>
      <w:r w:rsidR="00496094" w:rsidRPr="00496094">
        <w:rPr>
          <w:rFonts w:ascii="Verdana" w:hAnsi="Verdana"/>
          <w:color w:val="000000" w:themeColor="text1"/>
          <w:sz w:val="20"/>
          <w:szCs w:val="20"/>
        </w:rPr>
        <w:t xml:space="preserve">esolutivo </w:t>
      </w:r>
      <w:r w:rsidR="00F65E46">
        <w:rPr>
          <w:rFonts w:ascii="Verdana" w:hAnsi="Verdana"/>
          <w:color w:val="000000" w:themeColor="text1"/>
          <w:sz w:val="20"/>
          <w:szCs w:val="20"/>
        </w:rPr>
        <w:t>3</w:t>
      </w:r>
      <w:r w:rsidR="00496094" w:rsidRPr="00496094">
        <w:rPr>
          <w:rFonts w:ascii="Verdana" w:hAnsi="Verdana"/>
          <w:color w:val="000000" w:themeColor="text1"/>
          <w:sz w:val="20"/>
          <w:szCs w:val="20"/>
        </w:rPr>
        <w:t xml:space="preserve"> de la Sentencia la Corte declaró la responsabilidad internacional del Estado por la vulneración de los artículo</w:t>
      </w:r>
      <w:r w:rsidR="00496094">
        <w:rPr>
          <w:rFonts w:ascii="Verdana" w:hAnsi="Verdana"/>
          <w:color w:val="000000" w:themeColor="text1"/>
          <w:sz w:val="20"/>
          <w:szCs w:val="20"/>
        </w:rPr>
        <w:t>s</w:t>
      </w:r>
      <w:r w:rsidR="00496094" w:rsidRPr="00496094">
        <w:rPr>
          <w:rFonts w:ascii="Verdana" w:hAnsi="Verdana"/>
          <w:color w:val="000000" w:themeColor="text1"/>
          <w:sz w:val="20"/>
          <w:szCs w:val="20"/>
        </w:rPr>
        <w:t xml:space="preserve"> 7.1, 8.1, 11.2, 24 y 25.1 de la Convención Americana</w:t>
      </w:r>
      <w:r w:rsidR="00FF56F3">
        <w:rPr>
          <w:rFonts w:ascii="Verdana" w:hAnsi="Verdana"/>
          <w:color w:val="000000" w:themeColor="text1"/>
          <w:sz w:val="20"/>
          <w:szCs w:val="20"/>
        </w:rPr>
        <w:t xml:space="preserve"> en los términos de los párrafos </w:t>
      </w:r>
      <w:r w:rsidR="007E435A">
        <w:rPr>
          <w:rFonts w:ascii="Verdana" w:hAnsi="Verdana"/>
          <w:color w:val="000000" w:themeColor="text1"/>
          <w:sz w:val="20"/>
          <w:szCs w:val="20"/>
        </w:rPr>
        <w:t>105 a 129</w:t>
      </w:r>
      <w:r w:rsidR="00496094" w:rsidRPr="00496094">
        <w:rPr>
          <w:rFonts w:ascii="Verdana" w:hAnsi="Verdana"/>
          <w:color w:val="000000" w:themeColor="text1"/>
          <w:sz w:val="20"/>
          <w:szCs w:val="20"/>
        </w:rPr>
        <w:t xml:space="preserve">. </w:t>
      </w:r>
      <w:r w:rsidR="00FF56F3">
        <w:rPr>
          <w:rFonts w:ascii="Verdana" w:hAnsi="Verdana"/>
          <w:color w:val="000000" w:themeColor="text1"/>
          <w:sz w:val="20"/>
          <w:szCs w:val="20"/>
        </w:rPr>
        <w:t>Al respecto</w:t>
      </w:r>
      <w:r w:rsidR="00496094" w:rsidRPr="00496094">
        <w:rPr>
          <w:rFonts w:ascii="Verdana" w:hAnsi="Verdana"/>
          <w:color w:val="000000" w:themeColor="text1"/>
          <w:sz w:val="20"/>
          <w:szCs w:val="20"/>
        </w:rPr>
        <w:t>, argumentó</w:t>
      </w:r>
      <w:r w:rsidR="003C648E">
        <w:rPr>
          <w:rFonts w:ascii="Verdana" w:hAnsi="Verdana"/>
          <w:color w:val="000000" w:themeColor="text1"/>
          <w:sz w:val="20"/>
          <w:szCs w:val="20"/>
        </w:rPr>
        <w:t xml:space="preserve"> </w:t>
      </w:r>
      <w:r w:rsidR="00FF56F3">
        <w:rPr>
          <w:rFonts w:ascii="Verdana" w:hAnsi="Verdana"/>
          <w:color w:val="000000" w:themeColor="text1"/>
          <w:sz w:val="20"/>
          <w:szCs w:val="20"/>
        </w:rPr>
        <w:t xml:space="preserve">que la Corte </w:t>
      </w:r>
      <w:r w:rsidR="007E435A">
        <w:rPr>
          <w:rFonts w:ascii="Verdana" w:hAnsi="Verdana"/>
          <w:color w:val="000000" w:themeColor="text1"/>
          <w:sz w:val="20"/>
          <w:szCs w:val="20"/>
        </w:rPr>
        <w:t xml:space="preserve">no </w:t>
      </w:r>
      <w:r w:rsidR="00FF56F3">
        <w:rPr>
          <w:rFonts w:ascii="Verdana" w:hAnsi="Verdana"/>
          <w:color w:val="000000" w:themeColor="text1"/>
          <w:sz w:val="20"/>
          <w:szCs w:val="20"/>
        </w:rPr>
        <w:t xml:space="preserve">estableció expresamente en la Sentencia cuál de las garantías judiciales previstas en el artículo 8.1 de la Convención Americana fue vulnerada en el presente caso. </w:t>
      </w:r>
      <w:r w:rsidR="007E435A">
        <w:rPr>
          <w:rFonts w:ascii="Verdana" w:hAnsi="Verdana"/>
          <w:color w:val="000000" w:themeColor="text1"/>
          <w:sz w:val="20"/>
          <w:szCs w:val="20"/>
        </w:rPr>
        <w:t>En vista de lo anterior, solicitó que la Corte aclar</w:t>
      </w:r>
      <w:r w:rsidR="00F65E46">
        <w:rPr>
          <w:rFonts w:ascii="Verdana" w:hAnsi="Verdana"/>
          <w:color w:val="000000" w:themeColor="text1"/>
          <w:sz w:val="20"/>
          <w:szCs w:val="20"/>
        </w:rPr>
        <w:t>e</w:t>
      </w:r>
      <w:r w:rsidR="007E435A">
        <w:rPr>
          <w:rFonts w:ascii="Verdana" w:hAnsi="Verdana"/>
          <w:color w:val="000000" w:themeColor="text1"/>
          <w:sz w:val="20"/>
          <w:szCs w:val="20"/>
        </w:rPr>
        <w:t xml:space="preserve"> la conclusión efectuada en el párrafo 129 de la Sentencia a efectos de determinar si la violación del artículo 8.1 de la Convención Americana establecida en el </w:t>
      </w:r>
      <w:r w:rsidR="00C07DC7">
        <w:rPr>
          <w:rFonts w:ascii="Verdana" w:hAnsi="Verdana"/>
          <w:color w:val="000000" w:themeColor="text1"/>
          <w:sz w:val="20"/>
          <w:szCs w:val="20"/>
        </w:rPr>
        <w:t>Punto Resolutivo</w:t>
      </w:r>
      <w:r w:rsidR="00522781">
        <w:rPr>
          <w:rFonts w:ascii="Verdana" w:hAnsi="Verdana"/>
          <w:color w:val="000000" w:themeColor="text1"/>
          <w:sz w:val="20"/>
          <w:szCs w:val="20"/>
        </w:rPr>
        <w:t xml:space="preserve"> </w:t>
      </w:r>
      <w:r w:rsidR="007E435A">
        <w:rPr>
          <w:rFonts w:ascii="Verdana" w:hAnsi="Verdana"/>
          <w:color w:val="000000" w:themeColor="text1"/>
          <w:sz w:val="20"/>
          <w:szCs w:val="20"/>
        </w:rPr>
        <w:t xml:space="preserve">3 se encuentra motivada en la vulneración de la garantía </w:t>
      </w:r>
      <w:r w:rsidR="003C648E">
        <w:rPr>
          <w:rFonts w:ascii="Verdana" w:hAnsi="Verdana"/>
          <w:color w:val="000000" w:themeColor="text1"/>
          <w:sz w:val="20"/>
          <w:szCs w:val="20"/>
        </w:rPr>
        <w:t xml:space="preserve">del </w:t>
      </w:r>
      <w:r w:rsidR="007E435A">
        <w:rPr>
          <w:rFonts w:ascii="Verdana" w:hAnsi="Verdana"/>
          <w:color w:val="000000" w:themeColor="text1"/>
          <w:sz w:val="20"/>
          <w:szCs w:val="20"/>
        </w:rPr>
        <w:t>juez imparcial</w:t>
      </w:r>
      <w:r w:rsidR="003C648E">
        <w:rPr>
          <w:rFonts w:ascii="Verdana" w:hAnsi="Verdana"/>
          <w:color w:val="000000" w:themeColor="text1"/>
          <w:sz w:val="20"/>
          <w:szCs w:val="20"/>
        </w:rPr>
        <w:t>, todo ello en observancia del principio de seguridad jurídica</w:t>
      </w:r>
      <w:r w:rsidR="007E435A">
        <w:rPr>
          <w:rFonts w:ascii="Verdana" w:hAnsi="Verdana"/>
          <w:color w:val="000000" w:themeColor="text1"/>
          <w:sz w:val="20"/>
          <w:szCs w:val="20"/>
        </w:rPr>
        <w:t xml:space="preserve">. </w:t>
      </w:r>
    </w:p>
    <w:p w14:paraId="36A52CEA" w14:textId="77777777" w:rsidR="00AD5FDF" w:rsidRPr="008B7099" w:rsidRDefault="00AD5FDF" w:rsidP="00AD5FDF">
      <w:pPr>
        <w:spacing w:after="0" w:line="240" w:lineRule="auto"/>
        <w:jc w:val="both"/>
        <w:rPr>
          <w:rFonts w:ascii="Verdana" w:hAnsi="Verdana"/>
          <w:color w:val="000000" w:themeColor="text1"/>
          <w:sz w:val="20"/>
          <w:szCs w:val="20"/>
        </w:rPr>
      </w:pPr>
    </w:p>
    <w:p w14:paraId="7865E3EF" w14:textId="325F27AA" w:rsidR="006440E3" w:rsidRPr="008B7099" w:rsidRDefault="00030E4B" w:rsidP="00D805E7">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L</w:t>
      </w:r>
      <w:r w:rsidR="00D506C7">
        <w:rPr>
          <w:rFonts w:ascii="Verdana" w:hAnsi="Verdana"/>
          <w:color w:val="000000" w:themeColor="text1"/>
          <w:sz w:val="20"/>
          <w:szCs w:val="20"/>
        </w:rPr>
        <w:t>os</w:t>
      </w:r>
      <w:r w:rsidRPr="008B7099">
        <w:rPr>
          <w:rFonts w:ascii="Verdana" w:hAnsi="Verdana"/>
          <w:color w:val="000000" w:themeColor="text1"/>
          <w:sz w:val="20"/>
          <w:szCs w:val="20"/>
        </w:rPr>
        <w:t xml:space="preserve"> </w:t>
      </w:r>
      <w:r w:rsidR="00CD19D0" w:rsidRPr="008B7099">
        <w:rPr>
          <w:rFonts w:ascii="Verdana" w:hAnsi="Verdana"/>
          <w:b/>
          <w:bCs/>
          <w:i/>
          <w:iCs/>
          <w:color w:val="000000" w:themeColor="text1"/>
          <w:sz w:val="20"/>
          <w:szCs w:val="20"/>
        </w:rPr>
        <w:t>representante</w:t>
      </w:r>
      <w:r w:rsidR="00D506C7">
        <w:rPr>
          <w:rFonts w:ascii="Verdana" w:hAnsi="Verdana"/>
          <w:b/>
          <w:bCs/>
          <w:i/>
          <w:iCs/>
          <w:color w:val="000000" w:themeColor="text1"/>
          <w:sz w:val="20"/>
          <w:szCs w:val="20"/>
        </w:rPr>
        <w:t>s</w:t>
      </w:r>
      <w:r w:rsidRPr="008B7099">
        <w:rPr>
          <w:rFonts w:ascii="Verdana" w:hAnsi="Verdana"/>
          <w:b/>
          <w:bCs/>
          <w:i/>
          <w:iCs/>
          <w:color w:val="000000" w:themeColor="text1"/>
          <w:sz w:val="20"/>
          <w:szCs w:val="20"/>
        </w:rPr>
        <w:t xml:space="preserve"> </w:t>
      </w:r>
      <w:r w:rsidR="00F65E46">
        <w:rPr>
          <w:rFonts w:ascii="Verdana" w:hAnsi="Verdana"/>
          <w:color w:val="000000" w:themeColor="text1"/>
          <w:sz w:val="20"/>
          <w:szCs w:val="20"/>
        </w:rPr>
        <w:t>indicaron</w:t>
      </w:r>
      <w:r w:rsidR="00373F02">
        <w:rPr>
          <w:rFonts w:ascii="Verdana" w:hAnsi="Verdana"/>
          <w:color w:val="000000" w:themeColor="text1"/>
          <w:sz w:val="20"/>
          <w:szCs w:val="20"/>
        </w:rPr>
        <w:t xml:space="preserve"> que en la Sentencia emitida por la Corte se analizan los alegatos relacionados con la violación del artículo 8.1 respecto de las garantías de juez imparcial y de plazo razonable.</w:t>
      </w:r>
      <w:r w:rsidR="003C648E">
        <w:rPr>
          <w:rFonts w:ascii="Verdana" w:hAnsi="Verdana"/>
          <w:color w:val="000000" w:themeColor="text1"/>
          <w:sz w:val="20"/>
          <w:szCs w:val="20"/>
        </w:rPr>
        <w:t xml:space="preserve"> L</w:t>
      </w:r>
      <w:r w:rsidR="00373F02">
        <w:rPr>
          <w:rFonts w:ascii="Verdana" w:hAnsi="Verdana"/>
          <w:color w:val="000000" w:themeColor="text1"/>
          <w:sz w:val="20"/>
          <w:szCs w:val="20"/>
        </w:rPr>
        <w:t xml:space="preserve">os representantes </w:t>
      </w:r>
      <w:r w:rsidR="003C648E">
        <w:rPr>
          <w:rFonts w:ascii="Verdana" w:hAnsi="Verdana"/>
          <w:color w:val="000000" w:themeColor="text1"/>
          <w:sz w:val="20"/>
          <w:szCs w:val="20"/>
        </w:rPr>
        <w:t>indicaron que el párrafo 124 de la Sentencia determina con claridad que la vulneración del artículo 8.1 de la Convención Americana se debe a la violación de la garantía de imparcialidad</w:t>
      </w:r>
      <w:r w:rsidR="00373F02">
        <w:rPr>
          <w:rFonts w:ascii="Verdana" w:hAnsi="Verdana"/>
          <w:color w:val="000000" w:themeColor="text1"/>
          <w:sz w:val="20"/>
          <w:szCs w:val="20"/>
        </w:rPr>
        <w:t xml:space="preserve">. En virtud de ello, arguyeron que la solicitud de interpretación del Estado “no satisface los </w:t>
      </w:r>
      <w:r w:rsidR="007E3190">
        <w:rPr>
          <w:rFonts w:ascii="Verdana" w:hAnsi="Verdana"/>
          <w:color w:val="000000" w:themeColor="text1"/>
          <w:sz w:val="20"/>
          <w:szCs w:val="20"/>
        </w:rPr>
        <w:t>supuestos de</w:t>
      </w:r>
      <w:r w:rsidR="00373F02">
        <w:rPr>
          <w:rFonts w:ascii="Verdana" w:hAnsi="Verdana"/>
          <w:color w:val="000000" w:themeColor="text1"/>
          <w:sz w:val="20"/>
          <w:szCs w:val="20"/>
        </w:rPr>
        <w:t xml:space="preserve"> los artículos 67 de la Convención Americana y 68 del Reglamento”, </w:t>
      </w:r>
      <w:r w:rsidR="007E3190">
        <w:rPr>
          <w:rFonts w:ascii="Verdana" w:hAnsi="Verdana"/>
          <w:color w:val="000000" w:themeColor="text1"/>
          <w:sz w:val="20"/>
          <w:szCs w:val="20"/>
        </w:rPr>
        <w:t xml:space="preserve">por lo que debe ser rechazada. </w:t>
      </w:r>
    </w:p>
    <w:p w14:paraId="5F835822" w14:textId="77777777" w:rsidR="00047DCD" w:rsidRPr="008B7099" w:rsidRDefault="00047DCD" w:rsidP="00047DCD">
      <w:pPr>
        <w:autoSpaceDE w:val="0"/>
        <w:autoSpaceDN w:val="0"/>
        <w:adjustRightInd w:val="0"/>
        <w:spacing w:after="0" w:line="240" w:lineRule="auto"/>
        <w:rPr>
          <w:rFonts w:ascii="Verdana" w:hAnsi="Verdana"/>
          <w:color w:val="000000" w:themeColor="text1"/>
          <w:sz w:val="20"/>
          <w:szCs w:val="20"/>
        </w:rPr>
      </w:pPr>
    </w:p>
    <w:p w14:paraId="751B283D" w14:textId="38A9A520" w:rsidR="00716143" w:rsidRDefault="00CD19D0" w:rsidP="00A75E73">
      <w:pPr>
        <w:pStyle w:val="Prrafodelista"/>
        <w:numPr>
          <w:ilvl w:val="0"/>
          <w:numId w:val="1"/>
        </w:numPr>
        <w:spacing w:after="0" w:line="240" w:lineRule="auto"/>
        <w:ind w:left="0" w:firstLine="0"/>
        <w:jc w:val="both"/>
        <w:rPr>
          <w:rFonts w:ascii="Verdana" w:hAnsi="Verdana"/>
          <w:b/>
          <w:bCs/>
          <w:color w:val="000000" w:themeColor="text1"/>
          <w:sz w:val="20"/>
          <w:szCs w:val="20"/>
        </w:rPr>
      </w:pPr>
      <w:r w:rsidRPr="008B7099">
        <w:rPr>
          <w:rFonts w:ascii="Verdana" w:hAnsi="Verdana"/>
          <w:color w:val="000000" w:themeColor="text1"/>
          <w:sz w:val="20"/>
          <w:szCs w:val="20"/>
        </w:rPr>
        <w:t xml:space="preserve">La </w:t>
      </w:r>
      <w:r w:rsidRPr="008B7099">
        <w:rPr>
          <w:rFonts w:ascii="Verdana" w:hAnsi="Verdana"/>
          <w:b/>
          <w:bCs/>
          <w:i/>
          <w:iCs/>
          <w:color w:val="000000" w:themeColor="text1"/>
          <w:sz w:val="20"/>
          <w:szCs w:val="20"/>
        </w:rPr>
        <w:t>Comisión</w:t>
      </w:r>
      <w:r w:rsidR="006440E3" w:rsidRPr="008B7099">
        <w:rPr>
          <w:rFonts w:ascii="Verdana" w:hAnsi="Verdana"/>
          <w:color w:val="000000" w:themeColor="text1"/>
          <w:sz w:val="20"/>
          <w:szCs w:val="20"/>
        </w:rPr>
        <w:t xml:space="preserve"> </w:t>
      </w:r>
      <w:r w:rsidR="008778A3">
        <w:rPr>
          <w:rFonts w:ascii="Verdana" w:hAnsi="Verdana"/>
          <w:color w:val="000000" w:themeColor="text1"/>
          <w:sz w:val="20"/>
          <w:szCs w:val="20"/>
        </w:rPr>
        <w:t>señaló</w:t>
      </w:r>
      <w:r w:rsidR="007147E0">
        <w:rPr>
          <w:rFonts w:ascii="Verdana" w:hAnsi="Verdana"/>
          <w:color w:val="000000" w:themeColor="text1"/>
          <w:sz w:val="20"/>
          <w:szCs w:val="20"/>
        </w:rPr>
        <w:t xml:space="preserve"> </w:t>
      </w:r>
      <w:r w:rsidR="00295E27">
        <w:rPr>
          <w:rFonts w:ascii="Verdana" w:hAnsi="Verdana"/>
          <w:color w:val="000000" w:themeColor="text1"/>
          <w:sz w:val="20"/>
          <w:szCs w:val="20"/>
        </w:rPr>
        <w:t>que</w:t>
      </w:r>
      <w:r w:rsidR="008778A3">
        <w:rPr>
          <w:rFonts w:ascii="Verdana" w:hAnsi="Verdana"/>
          <w:color w:val="000000" w:themeColor="text1"/>
          <w:sz w:val="20"/>
          <w:szCs w:val="20"/>
        </w:rPr>
        <w:t xml:space="preserve"> en la Sentencia</w:t>
      </w:r>
      <w:r w:rsidR="00295E27">
        <w:rPr>
          <w:rFonts w:ascii="Verdana" w:hAnsi="Verdana"/>
          <w:color w:val="000000" w:themeColor="text1"/>
          <w:sz w:val="20"/>
          <w:szCs w:val="20"/>
        </w:rPr>
        <w:t xml:space="preserve"> la Corte analizó la alegada violación de los artículos 8.1 y 25 </w:t>
      </w:r>
      <w:r w:rsidR="008778A3">
        <w:rPr>
          <w:rFonts w:ascii="Verdana" w:hAnsi="Verdana"/>
          <w:color w:val="000000" w:themeColor="text1"/>
          <w:sz w:val="20"/>
          <w:szCs w:val="20"/>
        </w:rPr>
        <w:t>respecto de</w:t>
      </w:r>
      <w:r w:rsidR="00295E27">
        <w:rPr>
          <w:rFonts w:ascii="Verdana" w:hAnsi="Verdana"/>
          <w:color w:val="000000" w:themeColor="text1"/>
          <w:sz w:val="20"/>
          <w:szCs w:val="20"/>
        </w:rPr>
        <w:t xml:space="preserve"> la falta de acceso a la justicia (apartados B.4.1. y B.4.2.) y el presunto incumplimiento de la garantía de plazo razonable (apartado B.4.3.). En particular, </w:t>
      </w:r>
      <w:r w:rsidR="00E834EE">
        <w:rPr>
          <w:rFonts w:ascii="Verdana" w:hAnsi="Verdana"/>
          <w:color w:val="000000" w:themeColor="text1"/>
          <w:sz w:val="20"/>
          <w:szCs w:val="20"/>
        </w:rPr>
        <w:t>indicó</w:t>
      </w:r>
      <w:r w:rsidR="00295E27">
        <w:rPr>
          <w:rFonts w:ascii="Verdana" w:hAnsi="Verdana"/>
          <w:color w:val="000000" w:themeColor="text1"/>
          <w:sz w:val="20"/>
          <w:szCs w:val="20"/>
        </w:rPr>
        <w:t xml:space="preserve"> que la Corte </w:t>
      </w:r>
      <w:r w:rsidR="008778A3">
        <w:rPr>
          <w:rFonts w:ascii="Verdana" w:hAnsi="Verdana"/>
          <w:color w:val="000000" w:themeColor="text1"/>
          <w:sz w:val="20"/>
          <w:szCs w:val="20"/>
        </w:rPr>
        <w:t>expuso</w:t>
      </w:r>
      <w:r w:rsidR="00295E27">
        <w:rPr>
          <w:rFonts w:ascii="Verdana" w:hAnsi="Verdana"/>
          <w:color w:val="000000" w:themeColor="text1"/>
          <w:sz w:val="20"/>
          <w:szCs w:val="20"/>
        </w:rPr>
        <w:t xml:space="preserve"> en los párrafos 117, 122, 123 y 124 los razonamientos que motivaron la violación del artículo 8.1 de la Convención </w:t>
      </w:r>
      <w:r w:rsidR="00E834EE">
        <w:rPr>
          <w:rFonts w:ascii="Verdana" w:hAnsi="Verdana"/>
          <w:color w:val="000000" w:themeColor="text1"/>
          <w:sz w:val="20"/>
          <w:szCs w:val="20"/>
        </w:rPr>
        <w:t xml:space="preserve">Americana </w:t>
      </w:r>
      <w:r w:rsidR="00295E27">
        <w:rPr>
          <w:rFonts w:ascii="Verdana" w:hAnsi="Verdana"/>
          <w:color w:val="000000" w:themeColor="text1"/>
          <w:sz w:val="20"/>
          <w:szCs w:val="20"/>
        </w:rPr>
        <w:t xml:space="preserve">debido a la falta de garantía de un juez imparcial, lo cual se vio sustentado en el uso de estereotipos discriminatorios y la exigencia de un estándar probatorio difícilmente alcanzable y desproporcionado. </w:t>
      </w:r>
    </w:p>
    <w:p w14:paraId="24ACCDBE" w14:textId="77777777" w:rsidR="00716143" w:rsidRDefault="00716143">
      <w:pPr>
        <w:rPr>
          <w:rFonts w:ascii="Verdana" w:hAnsi="Verdana"/>
          <w:b/>
          <w:bCs/>
          <w:color w:val="000000" w:themeColor="text1"/>
          <w:sz w:val="20"/>
          <w:szCs w:val="20"/>
        </w:rPr>
      </w:pPr>
      <w:r>
        <w:rPr>
          <w:rFonts w:ascii="Verdana" w:hAnsi="Verdana"/>
          <w:b/>
          <w:bCs/>
          <w:color w:val="000000" w:themeColor="text1"/>
          <w:sz w:val="20"/>
          <w:szCs w:val="20"/>
        </w:rPr>
        <w:br w:type="page"/>
      </w:r>
    </w:p>
    <w:p w14:paraId="7ABD92FA" w14:textId="44E0B3D3" w:rsidR="003A673A" w:rsidRPr="008B7099" w:rsidRDefault="002A5213" w:rsidP="003A673A">
      <w:pPr>
        <w:spacing w:after="0" w:line="240" w:lineRule="auto"/>
        <w:ind w:firstLine="708"/>
        <w:jc w:val="both"/>
        <w:rPr>
          <w:rFonts w:ascii="Verdana" w:hAnsi="Verdana"/>
          <w:i/>
          <w:color w:val="000000" w:themeColor="text1"/>
          <w:sz w:val="20"/>
          <w:szCs w:val="20"/>
        </w:rPr>
      </w:pPr>
      <w:r w:rsidRPr="008B7099">
        <w:rPr>
          <w:rFonts w:ascii="Verdana" w:hAnsi="Verdana"/>
          <w:i/>
          <w:color w:val="000000" w:themeColor="text1"/>
          <w:sz w:val="20"/>
          <w:szCs w:val="20"/>
        </w:rPr>
        <w:lastRenderedPageBreak/>
        <w:t>A.</w:t>
      </w:r>
      <w:r w:rsidR="003A673A" w:rsidRPr="008B7099">
        <w:rPr>
          <w:rFonts w:ascii="Verdana" w:hAnsi="Verdana"/>
          <w:i/>
          <w:color w:val="000000" w:themeColor="text1"/>
          <w:sz w:val="20"/>
          <w:szCs w:val="20"/>
        </w:rPr>
        <w:t xml:space="preserve">2. Consideraciones de la Corte </w:t>
      </w:r>
    </w:p>
    <w:p w14:paraId="164FA859" w14:textId="77777777" w:rsidR="00CC78F1" w:rsidRDefault="00CC78F1" w:rsidP="001F6CBA">
      <w:pPr>
        <w:pStyle w:val="Prrafodelista"/>
        <w:spacing w:after="0" w:line="240" w:lineRule="auto"/>
        <w:ind w:left="0"/>
        <w:jc w:val="both"/>
        <w:rPr>
          <w:rFonts w:ascii="Verdana" w:hAnsi="Verdana"/>
          <w:color w:val="000000" w:themeColor="text1"/>
          <w:sz w:val="20"/>
          <w:szCs w:val="20"/>
        </w:rPr>
      </w:pPr>
    </w:p>
    <w:p w14:paraId="46EAA5E0" w14:textId="6A703A18" w:rsidR="00032504" w:rsidRPr="00E620EC" w:rsidRDefault="001F6CBA" w:rsidP="001F6CBA">
      <w:pPr>
        <w:pStyle w:val="Prrafodelista"/>
        <w:numPr>
          <w:ilvl w:val="0"/>
          <w:numId w:val="1"/>
        </w:numPr>
        <w:spacing w:after="0" w:line="240" w:lineRule="auto"/>
        <w:ind w:left="0" w:firstLine="0"/>
        <w:jc w:val="both"/>
        <w:rPr>
          <w:rFonts w:ascii="Verdana" w:hAnsi="Verdana"/>
          <w:color w:val="000000" w:themeColor="text1"/>
          <w:sz w:val="20"/>
          <w:szCs w:val="20"/>
        </w:rPr>
      </w:pPr>
      <w:r w:rsidRPr="00E620EC">
        <w:rPr>
          <w:rFonts w:ascii="Verdana" w:hAnsi="Verdana"/>
          <w:color w:val="000000" w:themeColor="text1"/>
          <w:sz w:val="20"/>
          <w:szCs w:val="20"/>
        </w:rPr>
        <w:t xml:space="preserve">En lo que concierne a la </w:t>
      </w:r>
      <w:r w:rsidR="00D506C7" w:rsidRPr="00E620EC">
        <w:rPr>
          <w:rFonts w:ascii="Verdana" w:hAnsi="Verdana"/>
          <w:color w:val="000000" w:themeColor="text1"/>
          <w:sz w:val="20"/>
          <w:szCs w:val="20"/>
        </w:rPr>
        <w:t>violación del artículo 8.1 de la Convención Americana</w:t>
      </w:r>
      <w:r w:rsidRPr="00E620EC">
        <w:rPr>
          <w:rFonts w:ascii="Verdana" w:hAnsi="Verdana"/>
          <w:color w:val="000000" w:themeColor="text1"/>
          <w:sz w:val="20"/>
          <w:szCs w:val="20"/>
        </w:rPr>
        <w:t xml:space="preserve"> </w:t>
      </w:r>
      <w:r w:rsidR="00AD0DD7">
        <w:rPr>
          <w:rFonts w:ascii="Verdana" w:hAnsi="Verdana"/>
          <w:color w:val="000000" w:themeColor="text1"/>
          <w:sz w:val="20"/>
          <w:szCs w:val="20"/>
        </w:rPr>
        <w:t>determinada</w:t>
      </w:r>
      <w:r w:rsidR="00AD0DD7" w:rsidRPr="00E620EC">
        <w:rPr>
          <w:rFonts w:ascii="Verdana" w:hAnsi="Verdana"/>
          <w:color w:val="000000" w:themeColor="text1"/>
          <w:sz w:val="20"/>
          <w:szCs w:val="20"/>
        </w:rPr>
        <w:t xml:space="preserve"> </w:t>
      </w:r>
      <w:r w:rsidRPr="00E620EC">
        <w:rPr>
          <w:rFonts w:ascii="Verdana" w:hAnsi="Verdana"/>
          <w:color w:val="000000" w:themeColor="text1"/>
          <w:sz w:val="20"/>
          <w:szCs w:val="20"/>
        </w:rPr>
        <w:t>en la Sentencia</w:t>
      </w:r>
      <w:r w:rsidR="00952282" w:rsidRPr="00E620EC">
        <w:rPr>
          <w:rFonts w:ascii="Verdana" w:hAnsi="Verdana"/>
          <w:color w:val="000000" w:themeColor="text1"/>
          <w:sz w:val="20"/>
          <w:szCs w:val="20"/>
        </w:rPr>
        <w:t xml:space="preserve"> y que es objeto de </w:t>
      </w:r>
      <w:r w:rsidR="00C4080F" w:rsidRPr="00E620EC">
        <w:rPr>
          <w:rFonts w:ascii="Verdana" w:hAnsi="Verdana"/>
          <w:color w:val="000000" w:themeColor="text1"/>
          <w:sz w:val="20"/>
          <w:szCs w:val="20"/>
        </w:rPr>
        <w:t xml:space="preserve">la solicitud de interpretación </w:t>
      </w:r>
      <w:r w:rsidR="00952282" w:rsidRPr="00E620EC">
        <w:rPr>
          <w:rFonts w:ascii="Verdana" w:hAnsi="Verdana"/>
          <w:color w:val="000000" w:themeColor="text1"/>
          <w:sz w:val="20"/>
          <w:szCs w:val="20"/>
        </w:rPr>
        <w:t>por parte del Estado</w:t>
      </w:r>
      <w:r w:rsidRPr="00E620EC">
        <w:rPr>
          <w:rFonts w:ascii="Verdana" w:hAnsi="Verdana"/>
          <w:color w:val="000000" w:themeColor="text1"/>
          <w:sz w:val="20"/>
          <w:szCs w:val="20"/>
        </w:rPr>
        <w:t>, est</w:t>
      </w:r>
      <w:r w:rsidR="00AD0DD7">
        <w:rPr>
          <w:rFonts w:ascii="Verdana" w:hAnsi="Verdana"/>
          <w:color w:val="000000" w:themeColor="text1"/>
          <w:sz w:val="20"/>
          <w:szCs w:val="20"/>
        </w:rPr>
        <w:t>a</w:t>
      </w:r>
      <w:r w:rsidRPr="00E620EC">
        <w:rPr>
          <w:rFonts w:ascii="Verdana" w:hAnsi="Verdana"/>
          <w:color w:val="000000" w:themeColor="text1"/>
          <w:sz w:val="20"/>
          <w:szCs w:val="20"/>
        </w:rPr>
        <w:t xml:space="preserve"> </w:t>
      </w:r>
      <w:r w:rsidR="00AD0DD7">
        <w:rPr>
          <w:rFonts w:ascii="Verdana" w:hAnsi="Verdana"/>
          <w:b/>
          <w:bCs/>
          <w:i/>
          <w:iCs/>
          <w:color w:val="000000" w:themeColor="text1"/>
          <w:sz w:val="20"/>
          <w:szCs w:val="20"/>
        </w:rPr>
        <w:t>Corte</w:t>
      </w:r>
      <w:r w:rsidRPr="00E620EC">
        <w:rPr>
          <w:rFonts w:ascii="Verdana" w:hAnsi="Verdana"/>
          <w:color w:val="000000" w:themeColor="text1"/>
          <w:sz w:val="20"/>
          <w:szCs w:val="20"/>
        </w:rPr>
        <w:t xml:space="preserve"> recuerda que el </w:t>
      </w:r>
      <w:r w:rsidR="00C07DC7">
        <w:rPr>
          <w:rFonts w:ascii="Verdana" w:hAnsi="Verdana"/>
          <w:color w:val="000000" w:themeColor="text1"/>
          <w:sz w:val="20"/>
          <w:szCs w:val="20"/>
        </w:rPr>
        <w:t>Punto Resolutivo</w:t>
      </w:r>
      <w:r w:rsidR="00522781">
        <w:rPr>
          <w:rFonts w:ascii="Verdana" w:hAnsi="Verdana"/>
          <w:color w:val="000000" w:themeColor="text1"/>
          <w:sz w:val="20"/>
          <w:szCs w:val="20"/>
        </w:rPr>
        <w:t xml:space="preserve"> </w:t>
      </w:r>
      <w:r w:rsidR="00D506C7" w:rsidRPr="00E620EC">
        <w:rPr>
          <w:rFonts w:ascii="Verdana" w:hAnsi="Verdana"/>
          <w:color w:val="000000" w:themeColor="text1"/>
          <w:sz w:val="20"/>
          <w:szCs w:val="20"/>
        </w:rPr>
        <w:t>3</w:t>
      </w:r>
      <w:r w:rsidRPr="00E620EC">
        <w:rPr>
          <w:rFonts w:ascii="Verdana" w:hAnsi="Verdana"/>
          <w:color w:val="000000" w:themeColor="text1"/>
          <w:sz w:val="20"/>
          <w:szCs w:val="20"/>
        </w:rPr>
        <w:t xml:space="preserve"> de </w:t>
      </w:r>
      <w:r w:rsidR="00E048E7" w:rsidRPr="00E620EC">
        <w:rPr>
          <w:rFonts w:ascii="Verdana" w:hAnsi="Verdana"/>
          <w:color w:val="000000" w:themeColor="text1"/>
          <w:sz w:val="20"/>
          <w:szCs w:val="20"/>
        </w:rPr>
        <w:t>dicha</w:t>
      </w:r>
      <w:r w:rsidRPr="00E620EC">
        <w:rPr>
          <w:rFonts w:ascii="Verdana" w:hAnsi="Verdana"/>
          <w:color w:val="000000" w:themeColor="text1"/>
          <w:sz w:val="20"/>
          <w:szCs w:val="20"/>
        </w:rPr>
        <w:t xml:space="preserve"> Sentencia dispuso lo siguiente:</w:t>
      </w:r>
    </w:p>
    <w:p w14:paraId="6DE45C71" w14:textId="77777777" w:rsidR="001F6CBA" w:rsidRDefault="001F6CBA" w:rsidP="001F6CBA">
      <w:pPr>
        <w:pStyle w:val="Prrafodelista"/>
        <w:spacing w:after="0" w:line="240" w:lineRule="auto"/>
        <w:ind w:left="0"/>
        <w:jc w:val="both"/>
        <w:rPr>
          <w:rFonts w:ascii="Verdana" w:hAnsi="Verdana"/>
          <w:color w:val="000000" w:themeColor="text1"/>
          <w:sz w:val="20"/>
          <w:szCs w:val="20"/>
        </w:rPr>
      </w:pPr>
    </w:p>
    <w:p w14:paraId="1240D155" w14:textId="6580DFB1" w:rsidR="001F6CBA" w:rsidRPr="007B5773" w:rsidRDefault="007B5773" w:rsidP="007B5773">
      <w:pPr>
        <w:spacing w:after="0" w:line="240" w:lineRule="auto"/>
        <w:ind w:left="851" w:right="815"/>
        <w:jc w:val="both"/>
        <w:rPr>
          <w:rFonts w:ascii="Verdana" w:hAnsi="Verdana"/>
          <w:sz w:val="18"/>
          <w:szCs w:val="18"/>
        </w:rPr>
      </w:pPr>
      <w:r w:rsidRPr="007B5773">
        <w:rPr>
          <w:rFonts w:ascii="Verdana" w:hAnsi="Verdana"/>
          <w:sz w:val="18"/>
          <w:szCs w:val="18"/>
        </w:rPr>
        <w:t xml:space="preserve">El Estado es responsable por la violación de los artículos 7.1, 8.1, 11.2, 24 y 25.1 de la Convención Americana sobre Derechos Humanos, en relación con el artículo 1.1 del mismo instrumento, en perjuicio del señor </w:t>
      </w:r>
      <w:proofErr w:type="spellStart"/>
      <w:r w:rsidRPr="007B5773">
        <w:rPr>
          <w:rFonts w:ascii="Verdana" w:hAnsi="Verdana"/>
          <w:sz w:val="18"/>
          <w:szCs w:val="18"/>
        </w:rPr>
        <w:t>Crissthian</w:t>
      </w:r>
      <w:proofErr w:type="spellEnd"/>
      <w:r w:rsidRPr="007B5773">
        <w:rPr>
          <w:rFonts w:ascii="Verdana" w:hAnsi="Verdana"/>
          <w:sz w:val="18"/>
          <w:szCs w:val="18"/>
        </w:rPr>
        <w:t xml:space="preserve"> Manuel Olivera Fuentes, en los términos de los párrafos 105 a 129 de la presente Sentencia.</w:t>
      </w:r>
    </w:p>
    <w:p w14:paraId="0C6E550C" w14:textId="77777777" w:rsidR="001F6CBA" w:rsidRPr="008B7099" w:rsidRDefault="001F6CBA" w:rsidP="00F579E4">
      <w:pPr>
        <w:pStyle w:val="Prrafodelista"/>
        <w:spacing w:after="0" w:line="240" w:lineRule="auto"/>
        <w:ind w:left="0"/>
        <w:jc w:val="both"/>
        <w:rPr>
          <w:rFonts w:ascii="Verdana" w:hAnsi="Verdana"/>
          <w:color w:val="000000" w:themeColor="text1"/>
          <w:sz w:val="20"/>
          <w:szCs w:val="20"/>
        </w:rPr>
      </w:pPr>
    </w:p>
    <w:p w14:paraId="4107409B" w14:textId="6F50FA8F" w:rsidR="0067162B" w:rsidRDefault="001F6CBA" w:rsidP="006221D1">
      <w:pPr>
        <w:pStyle w:val="Prrafodelista"/>
        <w:numPr>
          <w:ilvl w:val="0"/>
          <w:numId w:val="1"/>
        </w:numPr>
        <w:spacing w:after="0" w:line="240" w:lineRule="auto"/>
        <w:ind w:left="0" w:firstLine="0"/>
        <w:jc w:val="both"/>
        <w:rPr>
          <w:rFonts w:ascii="Verdana" w:hAnsi="Verdana"/>
          <w:color w:val="000000" w:themeColor="text1"/>
          <w:sz w:val="20"/>
          <w:szCs w:val="20"/>
        </w:rPr>
      </w:pPr>
      <w:r w:rsidRPr="002347B5">
        <w:rPr>
          <w:rFonts w:ascii="Verdana" w:hAnsi="Verdana"/>
          <w:color w:val="000000" w:themeColor="text1"/>
          <w:sz w:val="20"/>
          <w:szCs w:val="20"/>
        </w:rPr>
        <w:t xml:space="preserve">Asimismo, y en tanto es pertinente para la resolución de la presente solicitud de interpretación, el Tribunal </w:t>
      </w:r>
      <w:r w:rsidR="00716143">
        <w:rPr>
          <w:rFonts w:ascii="Verdana" w:hAnsi="Verdana"/>
          <w:color w:val="000000" w:themeColor="text1"/>
          <w:sz w:val="20"/>
          <w:szCs w:val="20"/>
        </w:rPr>
        <w:t>destaca</w:t>
      </w:r>
      <w:r w:rsidR="0067162B">
        <w:rPr>
          <w:rFonts w:ascii="Verdana" w:hAnsi="Verdana"/>
          <w:color w:val="000000" w:themeColor="text1"/>
          <w:sz w:val="20"/>
          <w:szCs w:val="20"/>
        </w:rPr>
        <w:t xml:space="preserve"> que la Sentencia indica </w:t>
      </w:r>
      <w:r w:rsidR="00716143">
        <w:rPr>
          <w:rFonts w:ascii="Verdana" w:hAnsi="Verdana"/>
          <w:color w:val="000000" w:themeColor="text1"/>
          <w:sz w:val="20"/>
          <w:szCs w:val="20"/>
        </w:rPr>
        <w:t xml:space="preserve">expresamente </w:t>
      </w:r>
      <w:r w:rsidR="0067162B">
        <w:rPr>
          <w:rFonts w:ascii="Verdana" w:hAnsi="Verdana"/>
          <w:color w:val="000000" w:themeColor="text1"/>
          <w:sz w:val="20"/>
          <w:szCs w:val="20"/>
        </w:rPr>
        <w:t xml:space="preserve">que la violación del artículo 8.1 de la Convención Americana se produjo por dos motivos. </w:t>
      </w:r>
    </w:p>
    <w:p w14:paraId="4ABF6E42" w14:textId="77777777" w:rsidR="0067162B" w:rsidRDefault="0067162B" w:rsidP="004F0051">
      <w:pPr>
        <w:pStyle w:val="Prrafodelista"/>
        <w:spacing w:after="0" w:line="240" w:lineRule="auto"/>
        <w:ind w:left="0"/>
        <w:jc w:val="both"/>
        <w:rPr>
          <w:rFonts w:ascii="Verdana" w:hAnsi="Verdana"/>
          <w:color w:val="000000" w:themeColor="text1"/>
          <w:sz w:val="20"/>
          <w:szCs w:val="20"/>
        </w:rPr>
      </w:pPr>
    </w:p>
    <w:p w14:paraId="55A6A5FA" w14:textId="763B511E" w:rsidR="0067162B" w:rsidRDefault="0067162B" w:rsidP="006221D1">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rPr>
        <w:t>Por un lado, la violación de dicho artículo se produjo</w:t>
      </w:r>
      <w:r w:rsidR="00716143">
        <w:rPr>
          <w:rFonts w:ascii="Verdana" w:hAnsi="Verdana"/>
          <w:color w:val="000000" w:themeColor="text1"/>
          <w:sz w:val="20"/>
          <w:szCs w:val="20"/>
        </w:rPr>
        <w:t xml:space="preserve"> </w:t>
      </w:r>
      <w:r>
        <w:rPr>
          <w:rFonts w:ascii="Verdana" w:hAnsi="Verdana"/>
          <w:color w:val="000000" w:themeColor="text1"/>
          <w:sz w:val="20"/>
          <w:szCs w:val="20"/>
        </w:rPr>
        <w:t>por el estándar de prueba aplicado al caso en sede administrativa y judicial. Lo anterior se ve claramente desarrollado en los párrafos 106 a 117. Adicionalmente, en el párrafo 129 el Tribunal concluyó que “</w:t>
      </w:r>
      <w:r w:rsidRPr="0067162B">
        <w:rPr>
          <w:rFonts w:ascii="Verdana" w:hAnsi="Verdana"/>
          <w:color w:val="000000" w:themeColor="text1"/>
          <w:sz w:val="20"/>
          <w:szCs w:val="20"/>
        </w:rPr>
        <w:t>los parámetros y las exigencias sobre la carga de la prueba impuestos por los órganos administrativos y judiciales internos hicieron nugatorio el derecho al acceso a la justicia en condiciones de igualdad del señor Olivera</w:t>
      </w:r>
      <w:r>
        <w:rPr>
          <w:rFonts w:ascii="Verdana" w:hAnsi="Verdana"/>
          <w:color w:val="000000" w:themeColor="text1"/>
          <w:sz w:val="20"/>
          <w:szCs w:val="20"/>
        </w:rPr>
        <w:t>”, todo lo cual llevó a la violación de, entre otros, el referido artículo 8.1.</w:t>
      </w:r>
    </w:p>
    <w:p w14:paraId="6DE16FD6" w14:textId="77777777" w:rsidR="0067162B" w:rsidRDefault="0067162B" w:rsidP="004F0051">
      <w:pPr>
        <w:pStyle w:val="Prrafodelista"/>
        <w:spacing w:after="0" w:line="240" w:lineRule="auto"/>
        <w:ind w:left="0"/>
        <w:jc w:val="both"/>
        <w:rPr>
          <w:rFonts w:ascii="Verdana" w:hAnsi="Verdana"/>
          <w:color w:val="000000" w:themeColor="text1"/>
          <w:sz w:val="20"/>
          <w:szCs w:val="20"/>
        </w:rPr>
      </w:pPr>
    </w:p>
    <w:p w14:paraId="4B48A29A" w14:textId="30794826" w:rsidR="001F6CBA" w:rsidRPr="002347B5" w:rsidRDefault="0067162B" w:rsidP="004F0051">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rPr>
        <w:t xml:space="preserve">Por otro lado, la violación de dicho artículo también se produjo por la falta de garantía de acceso a un órgano imparcial. A estos efectos la Corte </w:t>
      </w:r>
      <w:r w:rsidR="001F6CBA" w:rsidRPr="002347B5">
        <w:rPr>
          <w:rFonts w:ascii="Verdana" w:hAnsi="Verdana"/>
          <w:color w:val="000000" w:themeColor="text1"/>
          <w:sz w:val="20"/>
          <w:szCs w:val="20"/>
        </w:rPr>
        <w:t xml:space="preserve">recuerda lo señalado en </w:t>
      </w:r>
      <w:r w:rsidR="00F51CBE" w:rsidRPr="002347B5">
        <w:rPr>
          <w:rFonts w:ascii="Verdana" w:hAnsi="Verdana"/>
          <w:color w:val="000000" w:themeColor="text1"/>
          <w:sz w:val="20"/>
          <w:szCs w:val="20"/>
        </w:rPr>
        <w:t>los</w:t>
      </w:r>
      <w:r w:rsidR="001F6CBA" w:rsidRPr="002347B5">
        <w:rPr>
          <w:rFonts w:ascii="Verdana" w:hAnsi="Verdana"/>
          <w:color w:val="000000" w:themeColor="text1"/>
          <w:sz w:val="20"/>
          <w:szCs w:val="20"/>
        </w:rPr>
        <w:t xml:space="preserve"> párrafo</w:t>
      </w:r>
      <w:r w:rsidR="00F51CBE" w:rsidRPr="002347B5">
        <w:rPr>
          <w:rFonts w:ascii="Verdana" w:hAnsi="Verdana"/>
          <w:color w:val="000000" w:themeColor="text1"/>
          <w:sz w:val="20"/>
          <w:szCs w:val="20"/>
        </w:rPr>
        <w:t>s</w:t>
      </w:r>
      <w:r w:rsidR="002347B5" w:rsidRPr="002347B5">
        <w:rPr>
          <w:rFonts w:ascii="Verdana" w:hAnsi="Verdana"/>
          <w:color w:val="000000" w:themeColor="text1"/>
          <w:sz w:val="20"/>
          <w:szCs w:val="20"/>
        </w:rPr>
        <w:t xml:space="preserve"> 123,</w:t>
      </w:r>
      <w:r w:rsidR="001F6CBA" w:rsidRPr="002347B5">
        <w:rPr>
          <w:rFonts w:ascii="Verdana" w:hAnsi="Verdana"/>
          <w:color w:val="000000" w:themeColor="text1"/>
          <w:sz w:val="20"/>
          <w:szCs w:val="20"/>
        </w:rPr>
        <w:t xml:space="preserve"> </w:t>
      </w:r>
      <w:r w:rsidR="007B5773" w:rsidRPr="002347B5">
        <w:rPr>
          <w:rFonts w:ascii="Verdana" w:hAnsi="Verdana"/>
          <w:color w:val="000000" w:themeColor="text1"/>
          <w:sz w:val="20"/>
          <w:szCs w:val="20"/>
        </w:rPr>
        <w:t>124</w:t>
      </w:r>
      <w:r w:rsidR="00F51CBE" w:rsidRPr="002347B5">
        <w:rPr>
          <w:rFonts w:ascii="Verdana" w:hAnsi="Verdana"/>
          <w:color w:val="000000" w:themeColor="text1"/>
          <w:sz w:val="20"/>
          <w:szCs w:val="20"/>
        </w:rPr>
        <w:t xml:space="preserve"> y 129</w:t>
      </w:r>
      <w:r w:rsidR="001F6CBA" w:rsidRPr="002347B5">
        <w:rPr>
          <w:rFonts w:ascii="Verdana" w:hAnsi="Verdana"/>
          <w:color w:val="000000" w:themeColor="text1"/>
          <w:sz w:val="20"/>
          <w:szCs w:val="20"/>
        </w:rPr>
        <w:t xml:space="preserve"> de la referida Sentencia</w:t>
      </w:r>
      <w:r w:rsidR="002347B5" w:rsidRPr="002347B5">
        <w:rPr>
          <w:rFonts w:ascii="Verdana" w:hAnsi="Verdana"/>
          <w:color w:val="000000" w:themeColor="text1"/>
          <w:sz w:val="20"/>
          <w:szCs w:val="20"/>
        </w:rPr>
        <w:t>. Así, el párrafo 123 desarrolla el derecho a ser juzgado por un juez o tribunal imparcial, considerado como “una garantía fundamental del debido proceso”. A continuación, en el párrafo 124 se procede a analizar el caso concreto, advirtiéndose que</w:t>
      </w:r>
      <w:r w:rsidR="003C648E" w:rsidRPr="002347B5">
        <w:rPr>
          <w:rFonts w:ascii="Verdana" w:hAnsi="Verdana"/>
          <w:color w:val="000000" w:themeColor="text1"/>
          <w:sz w:val="20"/>
          <w:szCs w:val="20"/>
        </w:rPr>
        <w:t xml:space="preserve"> las resoluciones administrativas</w:t>
      </w:r>
      <w:r w:rsidR="002347B5" w:rsidRPr="002347B5">
        <w:rPr>
          <w:rFonts w:ascii="Verdana" w:hAnsi="Verdana"/>
          <w:color w:val="000000" w:themeColor="text1"/>
          <w:sz w:val="20"/>
          <w:szCs w:val="20"/>
        </w:rPr>
        <w:t xml:space="preserve"> recaídas</w:t>
      </w:r>
      <w:r w:rsidR="003C648E" w:rsidRPr="002347B5">
        <w:rPr>
          <w:rFonts w:ascii="Verdana" w:hAnsi="Verdana"/>
          <w:color w:val="000000" w:themeColor="text1"/>
          <w:sz w:val="20"/>
          <w:szCs w:val="20"/>
        </w:rPr>
        <w:t xml:space="preserve"> </w:t>
      </w:r>
      <w:r>
        <w:rPr>
          <w:rFonts w:ascii="Verdana" w:hAnsi="Verdana"/>
          <w:color w:val="000000" w:themeColor="text1"/>
          <w:sz w:val="20"/>
          <w:szCs w:val="20"/>
        </w:rPr>
        <w:t xml:space="preserve">en el presente caso </w:t>
      </w:r>
      <w:r w:rsidR="002347B5" w:rsidRPr="002347B5">
        <w:rPr>
          <w:rFonts w:ascii="Verdana" w:hAnsi="Verdana"/>
          <w:color w:val="000000" w:themeColor="text1"/>
          <w:sz w:val="20"/>
          <w:szCs w:val="20"/>
        </w:rPr>
        <w:t>“</w:t>
      </w:r>
      <w:r w:rsidR="003C648E" w:rsidRPr="002347B5">
        <w:rPr>
          <w:rFonts w:ascii="Verdana" w:hAnsi="Verdana"/>
          <w:color w:val="000000" w:themeColor="text1"/>
          <w:sz w:val="20"/>
          <w:szCs w:val="20"/>
        </w:rPr>
        <w:t>estuvieron motivadas por razones discriminatorias con base en la orientación sexual del señor Olivera y su pareja</w:t>
      </w:r>
      <w:r w:rsidR="002347B5" w:rsidRPr="002347B5">
        <w:rPr>
          <w:rFonts w:ascii="Verdana" w:hAnsi="Verdana"/>
          <w:color w:val="000000" w:themeColor="text1"/>
          <w:sz w:val="20"/>
          <w:szCs w:val="20"/>
        </w:rPr>
        <w:t>”, lo cual impidió “</w:t>
      </w:r>
      <w:r w:rsidR="003C648E" w:rsidRPr="004F0051">
        <w:rPr>
          <w:rFonts w:ascii="Verdana" w:hAnsi="Verdana"/>
          <w:sz w:val="20"/>
          <w:szCs w:val="20"/>
          <w:lang w:val="es-ES"/>
        </w:rPr>
        <w:t>el acceso de este a un órgano imparcial que analizara la denuncia de conformidad con los estándares interamericanos del debido proceso</w:t>
      </w:r>
      <w:r w:rsidR="002347B5" w:rsidRPr="004F0051">
        <w:rPr>
          <w:rFonts w:ascii="Verdana" w:hAnsi="Verdana"/>
          <w:sz w:val="20"/>
          <w:szCs w:val="20"/>
          <w:lang w:val="es-ES"/>
        </w:rPr>
        <w:t xml:space="preserve">”. </w:t>
      </w:r>
      <w:r w:rsidR="00A75E73">
        <w:rPr>
          <w:rFonts w:ascii="Verdana" w:hAnsi="Verdana"/>
          <w:sz w:val="20"/>
          <w:szCs w:val="20"/>
          <w:lang w:val="es-ES"/>
        </w:rPr>
        <w:t>Por ello</w:t>
      </w:r>
      <w:r w:rsidR="002347B5" w:rsidRPr="004F0051">
        <w:rPr>
          <w:rFonts w:ascii="Verdana" w:hAnsi="Verdana"/>
          <w:sz w:val="20"/>
          <w:szCs w:val="20"/>
          <w:lang w:val="es-ES"/>
        </w:rPr>
        <w:t xml:space="preserve">, el Tribunal </w:t>
      </w:r>
      <w:r>
        <w:rPr>
          <w:rFonts w:ascii="Verdana" w:hAnsi="Verdana"/>
          <w:sz w:val="20"/>
          <w:szCs w:val="20"/>
          <w:lang w:val="es-ES"/>
        </w:rPr>
        <w:t>concluyó</w:t>
      </w:r>
      <w:r w:rsidR="002347B5" w:rsidRPr="004F0051">
        <w:rPr>
          <w:rFonts w:ascii="Verdana" w:hAnsi="Verdana"/>
          <w:sz w:val="20"/>
          <w:szCs w:val="20"/>
          <w:lang w:val="es-ES"/>
        </w:rPr>
        <w:t xml:space="preserve"> en </w:t>
      </w:r>
      <w:r>
        <w:rPr>
          <w:rFonts w:ascii="Verdana" w:hAnsi="Verdana"/>
          <w:sz w:val="20"/>
          <w:szCs w:val="20"/>
          <w:lang w:val="es-ES"/>
        </w:rPr>
        <w:t>el</w:t>
      </w:r>
      <w:r w:rsidR="002347B5" w:rsidRPr="004F0051">
        <w:rPr>
          <w:rFonts w:ascii="Verdana" w:hAnsi="Verdana"/>
          <w:sz w:val="20"/>
          <w:szCs w:val="20"/>
          <w:lang w:val="es-ES"/>
        </w:rPr>
        <w:t xml:space="preserve"> párrafo 129 que se había producido una violación del artículo 8.1</w:t>
      </w:r>
      <w:r w:rsidR="00E834EE">
        <w:rPr>
          <w:rFonts w:ascii="Verdana" w:hAnsi="Verdana"/>
          <w:sz w:val="20"/>
          <w:szCs w:val="20"/>
          <w:lang w:val="es-ES"/>
        </w:rPr>
        <w:t>.</w:t>
      </w:r>
      <w:r w:rsidR="001F6CBA" w:rsidRPr="002347B5">
        <w:rPr>
          <w:rFonts w:ascii="Verdana" w:hAnsi="Verdana"/>
          <w:color w:val="000000" w:themeColor="text1"/>
          <w:sz w:val="20"/>
          <w:szCs w:val="20"/>
        </w:rPr>
        <w:t xml:space="preserve"> </w:t>
      </w:r>
    </w:p>
    <w:p w14:paraId="4351294D" w14:textId="13732BB4" w:rsidR="001F6CBA" w:rsidRDefault="001F6CBA" w:rsidP="001F6CBA">
      <w:pPr>
        <w:spacing w:after="0" w:line="240" w:lineRule="auto"/>
        <w:jc w:val="both"/>
        <w:rPr>
          <w:rFonts w:ascii="Verdana" w:hAnsi="Verdana"/>
          <w:color w:val="000000" w:themeColor="text1"/>
          <w:sz w:val="20"/>
          <w:szCs w:val="20"/>
        </w:rPr>
      </w:pPr>
    </w:p>
    <w:p w14:paraId="27F72B0F" w14:textId="7D7AA27B" w:rsidR="00030E4B" w:rsidRDefault="00A552BD" w:rsidP="00A0275C">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rPr>
        <w:t xml:space="preserve">En vista de lo anterior, la Corte considera que el contenido y el alcance de lo señalado en </w:t>
      </w:r>
      <w:r w:rsidR="0067162B">
        <w:rPr>
          <w:rFonts w:ascii="Verdana" w:hAnsi="Verdana"/>
          <w:color w:val="000000" w:themeColor="text1"/>
          <w:sz w:val="20"/>
          <w:szCs w:val="20"/>
        </w:rPr>
        <w:t xml:space="preserve">los párrafos citados, </w:t>
      </w:r>
      <w:r>
        <w:rPr>
          <w:rFonts w:ascii="Verdana" w:hAnsi="Verdana"/>
          <w:color w:val="000000" w:themeColor="text1"/>
          <w:sz w:val="20"/>
          <w:szCs w:val="20"/>
        </w:rPr>
        <w:t xml:space="preserve">en relación con el </w:t>
      </w:r>
      <w:r w:rsidR="00C07DC7">
        <w:rPr>
          <w:rFonts w:ascii="Verdana" w:hAnsi="Verdana"/>
          <w:color w:val="000000" w:themeColor="text1"/>
          <w:sz w:val="20"/>
          <w:szCs w:val="20"/>
        </w:rPr>
        <w:t>Punto Resolutivo</w:t>
      </w:r>
      <w:r w:rsidR="003F62CC">
        <w:rPr>
          <w:rFonts w:ascii="Verdana" w:hAnsi="Verdana"/>
          <w:color w:val="000000" w:themeColor="text1"/>
          <w:sz w:val="20"/>
          <w:szCs w:val="20"/>
        </w:rPr>
        <w:t xml:space="preserve"> </w:t>
      </w:r>
      <w:r w:rsidR="008778A3">
        <w:rPr>
          <w:rFonts w:ascii="Verdana" w:hAnsi="Verdana"/>
          <w:color w:val="000000" w:themeColor="text1"/>
          <w:sz w:val="20"/>
          <w:szCs w:val="20"/>
        </w:rPr>
        <w:t>3</w:t>
      </w:r>
      <w:r w:rsidR="0067162B">
        <w:rPr>
          <w:rFonts w:ascii="Verdana" w:hAnsi="Verdana"/>
          <w:color w:val="000000" w:themeColor="text1"/>
          <w:sz w:val="20"/>
          <w:szCs w:val="20"/>
        </w:rPr>
        <w:t>,</w:t>
      </w:r>
      <w:r w:rsidR="008778A3">
        <w:rPr>
          <w:rFonts w:ascii="Verdana" w:hAnsi="Verdana"/>
          <w:color w:val="000000" w:themeColor="text1"/>
          <w:sz w:val="20"/>
          <w:szCs w:val="20"/>
        </w:rPr>
        <w:t xml:space="preserve"> </w:t>
      </w:r>
      <w:r>
        <w:rPr>
          <w:rFonts w:ascii="Verdana" w:hAnsi="Verdana"/>
          <w:color w:val="000000" w:themeColor="text1"/>
          <w:sz w:val="20"/>
          <w:szCs w:val="20"/>
        </w:rPr>
        <w:t xml:space="preserve">es </w:t>
      </w:r>
      <w:r w:rsidR="00CA746B">
        <w:rPr>
          <w:rFonts w:ascii="Verdana" w:hAnsi="Verdana"/>
          <w:color w:val="000000" w:themeColor="text1"/>
          <w:sz w:val="20"/>
          <w:szCs w:val="20"/>
        </w:rPr>
        <w:t xml:space="preserve">suficientemente </w:t>
      </w:r>
      <w:r>
        <w:rPr>
          <w:rFonts w:ascii="Verdana" w:hAnsi="Verdana"/>
          <w:color w:val="000000" w:themeColor="text1"/>
          <w:sz w:val="20"/>
          <w:szCs w:val="20"/>
        </w:rPr>
        <w:t>claro y preciso</w:t>
      </w:r>
      <w:r w:rsidR="00CA746B">
        <w:rPr>
          <w:rFonts w:ascii="Verdana" w:hAnsi="Verdana"/>
          <w:color w:val="000000" w:themeColor="text1"/>
          <w:sz w:val="20"/>
          <w:szCs w:val="20"/>
        </w:rPr>
        <w:t xml:space="preserve"> y</w:t>
      </w:r>
      <w:r w:rsidR="0067162B">
        <w:rPr>
          <w:rFonts w:ascii="Verdana" w:hAnsi="Verdana"/>
          <w:color w:val="000000" w:themeColor="text1"/>
          <w:sz w:val="20"/>
          <w:szCs w:val="20"/>
        </w:rPr>
        <w:t xml:space="preserve">, por tanto, </w:t>
      </w:r>
      <w:r w:rsidR="00CA746B">
        <w:rPr>
          <w:rFonts w:ascii="Verdana" w:hAnsi="Verdana"/>
          <w:color w:val="000000" w:themeColor="text1"/>
          <w:sz w:val="20"/>
          <w:szCs w:val="20"/>
        </w:rPr>
        <w:t xml:space="preserve">la solicitud de interpretación interpuesta por el Estado </w:t>
      </w:r>
      <w:r>
        <w:rPr>
          <w:rFonts w:ascii="Verdana" w:hAnsi="Verdana"/>
          <w:color w:val="000000" w:themeColor="text1"/>
          <w:sz w:val="20"/>
          <w:szCs w:val="20"/>
        </w:rPr>
        <w:t>resulta improcedente</w:t>
      </w:r>
      <w:r w:rsidR="00F6289E">
        <w:rPr>
          <w:rFonts w:ascii="Verdana" w:hAnsi="Verdana"/>
          <w:color w:val="000000" w:themeColor="text1"/>
          <w:sz w:val="20"/>
          <w:szCs w:val="20"/>
        </w:rPr>
        <w:t xml:space="preserve"> </w:t>
      </w:r>
      <w:r w:rsidR="00F6289E">
        <w:rPr>
          <w:rFonts w:ascii="Verdana" w:hAnsi="Verdana"/>
          <w:iCs/>
          <w:color w:val="000000" w:themeColor="text1"/>
          <w:sz w:val="20"/>
          <w:szCs w:val="20"/>
        </w:rPr>
        <w:t>sobre este extremo.</w:t>
      </w:r>
      <w:r>
        <w:rPr>
          <w:rFonts w:ascii="Verdana" w:hAnsi="Verdana"/>
          <w:color w:val="000000" w:themeColor="text1"/>
          <w:sz w:val="20"/>
          <w:szCs w:val="20"/>
        </w:rPr>
        <w:t xml:space="preserve"> </w:t>
      </w:r>
    </w:p>
    <w:p w14:paraId="045428B6" w14:textId="77777777" w:rsidR="00FE1513" w:rsidRPr="00FE1513" w:rsidRDefault="00FE1513" w:rsidP="00FE1513">
      <w:pPr>
        <w:pStyle w:val="Prrafodelista"/>
        <w:spacing w:after="0" w:line="240" w:lineRule="auto"/>
        <w:ind w:left="0"/>
        <w:jc w:val="both"/>
        <w:rPr>
          <w:rFonts w:ascii="Verdana" w:hAnsi="Verdana"/>
          <w:color w:val="000000" w:themeColor="text1"/>
          <w:sz w:val="20"/>
          <w:szCs w:val="20"/>
        </w:rPr>
      </w:pPr>
    </w:p>
    <w:p w14:paraId="74B404D7" w14:textId="05E2B440" w:rsidR="00D506C7" w:rsidRPr="00D506C7" w:rsidRDefault="00674885" w:rsidP="00D506C7">
      <w:pPr>
        <w:pStyle w:val="Prrafodelista"/>
        <w:numPr>
          <w:ilvl w:val="0"/>
          <w:numId w:val="2"/>
        </w:numPr>
        <w:spacing w:after="0" w:line="240" w:lineRule="auto"/>
        <w:ind w:left="426"/>
        <w:jc w:val="both"/>
        <w:rPr>
          <w:rFonts w:ascii="Verdana" w:hAnsi="Verdana"/>
          <w:b/>
          <w:i/>
          <w:iCs/>
          <w:color w:val="000000" w:themeColor="text1"/>
          <w:sz w:val="20"/>
          <w:szCs w:val="20"/>
        </w:rPr>
      </w:pPr>
      <w:r>
        <w:rPr>
          <w:rFonts w:ascii="Verdana" w:hAnsi="Verdana"/>
          <w:b/>
          <w:i/>
          <w:iCs/>
          <w:color w:val="000000" w:themeColor="text1"/>
          <w:sz w:val="20"/>
          <w:szCs w:val="20"/>
        </w:rPr>
        <w:t>Solicitud de interpretación respecto de</w:t>
      </w:r>
      <w:r w:rsidR="00D506C7">
        <w:rPr>
          <w:rFonts w:ascii="Verdana" w:hAnsi="Verdana"/>
          <w:b/>
          <w:i/>
          <w:iCs/>
          <w:color w:val="000000" w:themeColor="text1"/>
          <w:sz w:val="20"/>
          <w:szCs w:val="20"/>
        </w:rPr>
        <w:t xml:space="preserve"> la medida de rehabilitación </w:t>
      </w:r>
    </w:p>
    <w:p w14:paraId="392AA69D" w14:textId="77777777" w:rsidR="00D506C7" w:rsidRPr="008B7099" w:rsidRDefault="00D506C7" w:rsidP="00D506C7">
      <w:pPr>
        <w:spacing w:after="0" w:line="240" w:lineRule="auto"/>
        <w:jc w:val="both"/>
        <w:rPr>
          <w:rFonts w:ascii="Verdana" w:hAnsi="Verdana"/>
          <w:b/>
          <w:color w:val="000000" w:themeColor="text1"/>
          <w:sz w:val="20"/>
          <w:szCs w:val="20"/>
        </w:rPr>
      </w:pPr>
    </w:p>
    <w:p w14:paraId="3446AE47" w14:textId="36B141C5" w:rsidR="00D506C7" w:rsidRPr="008B7099" w:rsidRDefault="008B5494" w:rsidP="00D506C7">
      <w:pPr>
        <w:spacing w:after="0" w:line="240" w:lineRule="auto"/>
        <w:ind w:firstLine="708"/>
        <w:jc w:val="both"/>
        <w:rPr>
          <w:rFonts w:ascii="Verdana" w:hAnsi="Verdana"/>
          <w:i/>
          <w:color w:val="000000" w:themeColor="text1"/>
          <w:sz w:val="20"/>
          <w:szCs w:val="20"/>
        </w:rPr>
      </w:pPr>
      <w:r>
        <w:rPr>
          <w:rFonts w:ascii="Verdana" w:hAnsi="Verdana"/>
          <w:i/>
          <w:color w:val="000000" w:themeColor="text1"/>
          <w:sz w:val="20"/>
          <w:szCs w:val="20"/>
        </w:rPr>
        <w:t>B</w:t>
      </w:r>
      <w:r w:rsidR="00D506C7" w:rsidRPr="008B7099">
        <w:rPr>
          <w:rFonts w:ascii="Verdana" w:hAnsi="Verdana"/>
          <w:i/>
          <w:color w:val="000000" w:themeColor="text1"/>
          <w:sz w:val="20"/>
          <w:szCs w:val="20"/>
        </w:rPr>
        <w:t xml:space="preserve">.1. Argumentos de las partes y de la Comisión </w:t>
      </w:r>
    </w:p>
    <w:p w14:paraId="16989A16" w14:textId="77777777" w:rsidR="00D506C7" w:rsidRPr="008B7099" w:rsidRDefault="00D506C7" w:rsidP="00D506C7">
      <w:pPr>
        <w:pStyle w:val="Prrafodelista"/>
        <w:spacing w:after="0" w:line="240" w:lineRule="auto"/>
        <w:ind w:left="426"/>
        <w:jc w:val="both"/>
        <w:rPr>
          <w:rFonts w:ascii="Verdana" w:hAnsi="Verdana"/>
          <w:b/>
          <w:color w:val="000000" w:themeColor="text1"/>
          <w:sz w:val="20"/>
          <w:szCs w:val="20"/>
        </w:rPr>
      </w:pPr>
    </w:p>
    <w:p w14:paraId="775BEB9F" w14:textId="0A7E32CE" w:rsidR="00D506C7" w:rsidRPr="00B2526A" w:rsidRDefault="00D506C7" w:rsidP="00B2526A">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Pr="008B7099">
        <w:rPr>
          <w:rFonts w:ascii="Verdana" w:hAnsi="Verdana"/>
          <w:b/>
          <w:bCs/>
          <w:i/>
          <w:iCs/>
          <w:color w:val="000000" w:themeColor="text1"/>
          <w:sz w:val="20"/>
          <w:szCs w:val="20"/>
        </w:rPr>
        <w:t>Estado</w:t>
      </w:r>
      <w:r w:rsidRPr="008B7099">
        <w:rPr>
          <w:rFonts w:ascii="Verdana" w:hAnsi="Verdana"/>
          <w:color w:val="000000" w:themeColor="text1"/>
          <w:sz w:val="20"/>
          <w:szCs w:val="20"/>
        </w:rPr>
        <w:t xml:space="preserve"> </w:t>
      </w:r>
      <w:r w:rsidR="00C07DC7">
        <w:rPr>
          <w:rFonts w:ascii="Verdana" w:hAnsi="Verdana"/>
          <w:color w:val="000000" w:themeColor="text1"/>
          <w:sz w:val="20"/>
          <w:szCs w:val="20"/>
        </w:rPr>
        <w:t xml:space="preserve">señaló </w:t>
      </w:r>
      <w:r w:rsidR="00FE297B">
        <w:rPr>
          <w:rFonts w:ascii="Verdana" w:hAnsi="Verdana"/>
          <w:color w:val="000000" w:themeColor="text1"/>
          <w:sz w:val="20"/>
          <w:szCs w:val="20"/>
        </w:rPr>
        <w:t xml:space="preserve">que en el </w:t>
      </w:r>
      <w:r w:rsidR="00C07DC7">
        <w:rPr>
          <w:rFonts w:ascii="Verdana" w:hAnsi="Verdana"/>
          <w:color w:val="000000" w:themeColor="text1"/>
          <w:sz w:val="20"/>
          <w:szCs w:val="20"/>
        </w:rPr>
        <w:t xml:space="preserve">Punto Resolutivo </w:t>
      </w:r>
      <w:r w:rsidR="00FE297B">
        <w:rPr>
          <w:rFonts w:ascii="Verdana" w:hAnsi="Verdana"/>
          <w:color w:val="000000" w:themeColor="text1"/>
          <w:sz w:val="20"/>
          <w:szCs w:val="20"/>
        </w:rPr>
        <w:t xml:space="preserve">5 de la Sentencia la Corte ordenó brindar tratamiento psicológico </w:t>
      </w:r>
      <w:r w:rsidR="00AD0DD7">
        <w:rPr>
          <w:rFonts w:ascii="Verdana" w:hAnsi="Verdana"/>
          <w:color w:val="000000" w:themeColor="text1"/>
          <w:sz w:val="20"/>
          <w:szCs w:val="20"/>
        </w:rPr>
        <w:t>y/</w:t>
      </w:r>
      <w:r w:rsidR="00FE297B">
        <w:rPr>
          <w:rFonts w:ascii="Verdana" w:hAnsi="Verdana"/>
          <w:color w:val="000000" w:themeColor="text1"/>
          <w:sz w:val="20"/>
          <w:szCs w:val="20"/>
        </w:rPr>
        <w:t xml:space="preserve">o psiquiátrico al señor Olivera Fuentes, concediéndole un plazo de tres meses a partir de la solicitud de la víctima para otorgar dicha atención de manera efectiva. No obstante, el Estado indicó que en la Sentencia no se otorgó un plazo determinado a la víctima o sus representantes para que </w:t>
      </w:r>
      <w:r w:rsidR="00C07DC7">
        <w:rPr>
          <w:rFonts w:ascii="Verdana" w:hAnsi="Verdana"/>
          <w:color w:val="000000" w:themeColor="text1"/>
          <w:sz w:val="20"/>
          <w:szCs w:val="20"/>
        </w:rPr>
        <w:t xml:space="preserve">presentaran </w:t>
      </w:r>
      <w:r w:rsidR="00FE297B">
        <w:rPr>
          <w:rFonts w:ascii="Verdana" w:hAnsi="Verdana"/>
          <w:color w:val="000000" w:themeColor="text1"/>
          <w:sz w:val="20"/>
          <w:szCs w:val="20"/>
        </w:rPr>
        <w:t xml:space="preserve">la solicitud relativa a recibir o no tratamiento médico, ni </w:t>
      </w:r>
      <w:r w:rsidR="00C07DC7">
        <w:rPr>
          <w:rFonts w:ascii="Verdana" w:hAnsi="Verdana"/>
          <w:color w:val="000000" w:themeColor="text1"/>
          <w:sz w:val="20"/>
          <w:szCs w:val="20"/>
        </w:rPr>
        <w:t xml:space="preserve">se </w:t>
      </w:r>
      <w:r w:rsidR="00FE297B">
        <w:rPr>
          <w:rFonts w:ascii="Verdana" w:hAnsi="Verdana"/>
          <w:color w:val="000000" w:themeColor="text1"/>
          <w:sz w:val="20"/>
          <w:szCs w:val="20"/>
        </w:rPr>
        <w:t xml:space="preserve">precisó la duración </w:t>
      </w:r>
      <w:r w:rsidR="00C07DC7">
        <w:rPr>
          <w:rFonts w:ascii="Verdana" w:hAnsi="Verdana"/>
          <w:color w:val="000000" w:themeColor="text1"/>
          <w:sz w:val="20"/>
          <w:szCs w:val="20"/>
        </w:rPr>
        <w:t>de dicha medida de rehabilitación.</w:t>
      </w:r>
      <w:r w:rsidR="00A90AB8" w:rsidRPr="00B2526A">
        <w:rPr>
          <w:rFonts w:ascii="Verdana" w:hAnsi="Verdana"/>
          <w:color w:val="000000" w:themeColor="text1"/>
          <w:sz w:val="20"/>
          <w:szCs w:val="20"/>
        </w:rPr>
        <w:t xml:space="preserve"> </w:t>
      </w:r>
    </w:p>
    <w:p w14:paraId="1C6B245B" w14:textId="77777777" w:rsidR="00D506C7" w:rsidRPr="008B7099" w:rsidRDefault="00D506C7" w:rsidP="00D506C7">
      <w:pPr>
        <w:spacing w:after="0" w:line="240" w:lineRule="auto"/>
        <w:jc w:val="both"/>
        <w:rPr>
          <w:rFonts w:ascii="Verdana" w:hAnsi="Verdana"/>
          <w:color w:val="000000" w:themeColor="text1"/>
          <w:sz w:val="20"/>
          <w:szCs w:val="20"/>
        </w:rPr>
      </w:pPr>
    </w:p>
    <w:p w14:paraId="299D57A0" w14:textId="76631470" w:rsidR="00A75E73" w:rsidRDefault="00D506C7" w:rsidP="00E834EE">
      <w:pPr>
        <w:pStyle w:val="Prrafodelista"/>
        <w:numPr>
          <w:ilvl w:val="0"/>
          <w:numId w:val="1"/>
        </w:numPr>
        <w:spacing w:after="0" w:line="240" w:lineRule="auto"/>
        <w:ind w:left="0" w:firstLine="0"/>
        <w:jc w:val="both"/>
        <w:rPr>
          <w:rFonts w:ascii="Verdana" w:hAnsi="Verdana"/>
          <w:color w:val="000000" w:themeColor="text1"/>
          <w:sz w:val="20"/>
          <w:szCs w:val="20"/>
        </w:rPr>
      </w:pPr>
      <w:r w:rsidRPr="00C07DC7">
        <w:rPr>
          <w:rFonts w:ascii="Verdana" w:hAnsi="Verdana"/>
          <w:color w:val="000000" w:themeColor="text1"/>
          <w:sz w:val="20"/>
          <w:szCs w:val="20"/>
        </w:rPr>
        <w:t xml:space="preserve">Los </w:t>
      </w:r>
      <w:r w:rsidRPr="00C07DC7">
        <w:rPr>
          <w:rFonts w:ascii="Verdana" w:hAnsi="Verdana"/>
          <w:b/>
          <w:bCs/>
          <w:i/>
          <w:iCs/>
          <w:color w:val="000000" w:themeColor="text1"/>
          <w:sz w:val="20"/>
          <w:szCs w:val="20"/>
        </w:rPr>
        <w:t xml:space="preserve">representantes </w:t>
      </w:r>
      <w:r w:rsidR="00B2526A" w:rsidRPr="00C07DC7">
        <w:rPr>
          <w:rFonts w:ascii="Verdana" w:hAnsi="Verdana"/>
          <w:color w:val="000000" w:themeColor="text1"/>
          <w:sz w:val="20"/>
          <w:szCs w:val="20"/>
        </w:rPr>
        <w:t>señalaron que la medida de reparación en salud mental fue el resultado de un</w:t>
      </w:r>
      <w:r w:rsidR="00E834EE">
        <w:rPr>
          <w:rFonts w:ascii="Verdana" w:hAnsi="Verdana"/>
          <w:color w:val="000000" w:themeColor="text1"/>
          <w:sz w:val="20"/>
          <w:szCs w:val="20"/>
        </w:rPr>
        <w:t>a</w:t>
      </w:r>
      <w:r w:rsidR="00B2526A" w:rsidRPr="00C07DC7">
        <w:rPr>
          <w:rFonts w:ascii="Verdana" w:hAnsi="Verdana"/>
          <w:color w:val="000000" w:themeColor="text1"/>
          <w:sz w:val="20"/>
          <w:szCs w:val="20"/>
        </w:rPr>
        <w:t xml:space="preserve"> </w:t>
      </w:r>
      <w:r w:rsidR="00E834EE">
        <w:rPr>
          <w:rFonts w:ascii="Verdana" w:hAnsi="Verdana"/>
          <w:color w:val="000000" w:themeColor="text1"/>
          <w:sz w:val="20"/>
          <w:szCs w:val="20"/>
        </w:rPr>
        <w:t>solicitud</w:t>
      </w:r>
      <w:r w:rsidR="00B2526A" w:rsidRPr="00C07DC7">
        <w:rPr>
          <w:rFonts w:ascii="Verdana" w:hAnsi="Verdana"/>
          <w:color w:val="000000" w:themeColor="text1"/>
          <w:sz w:val="20"/>
          <w:szCs w:val="20"/>
        </w:rPr>
        <w:t xml:space="preserve"> explícit</w:t>
      </w:r>
      <w:r w:rsidR="00E834EE">
        <w:rPr>
          <w:rFonts w:ascii="Verdana" w:hAnsi="Verdana"/>
          <w:color w:val="000000" w:themeColor="text1"/>
          <w:sz w:val="20"/>
          <w:szCs w:val="20"/>
        </w:rPr>
        <w:t>a</w:t>
      </w:r>
      <w:r w:rsidR="00B2526A" w:rsidRPr="00C07DC7">
        <w:rPr>
          <w:rFonts w:ascii="Verdana" w:hAnsi="Verdana"/>
          <w:color w:val="000000" w:themeColor="text1"/>
          <w:sz w:val="20"/>
          <w:szCs w:val="20"/>
        </w:rPr>
        <w:t xml:space="preserve"> realizad</w:t>
      </w:r>
      <w:r w:rsidR="00E834EE">
        <w:rPr>
          <w:rFonts w:ascii="Verdana" w:hAnsi="Verdana"/>
          <w:color w:val="000000" w:themeColor="text1"/>
          <w:sz w:val="20"/>
          <w:szCs w:val="20"/>
        </w:rPr>
        <w:t>a</w:t>
      </w:r>
      <w:r w:rsidR="00B2526A" w:rsidRPr="00C07DC7">
        <w:rPr>
          <w:rFonts w:ascii="Verdana" w:hAnsi="Verdana"/>
          <w:color w:val="000000" w:themeColor="text1"/>
          <w:sz w:val="20"/>
          <w:szCs w:val="20"/>
        </w:rPr>
        <w:t xml:space="preserve"> en el marco del trámite del caso en</w:t>
      </w:r>
      <w:r w:rsidR="00D6729D" w:rsidRPr="00C07DC7">
        <w:rPr>
          <w:rFonts w:ascii="Verdana" w:hAnsi="Verdana"/>
          <w:color w:val="000000" w:themeColor="text1"/>
          <w:sz w:val="20"/>
          <w:szCs w:val="20"/>
        </w:rPr>
        <w:t>,</w:t>
      </w:r>
      <w:r w:rsidR="00B2526A" w:rsidRPr="00C07DC7">
        <w:rPr>
          <w:rFonts w:ascii="Verdana" w:hAnsi="Verdana"/>
          <w:color w:val="000000" w:themeColor="text1"/>
          <w:sz w:val="20"/>
          <w:szCs w:val="20"/>
        </w:rPr>
        <w:t xml:space="preserve"> al menos</w:t>
      </w:r>
      <w:r w:rsidR="00D6729D" w:rsidRPr="00C07DC7">
        <w:rPr>
          <w:rFonts w:ascii="Verdana" w:hAnsi="Verdana"/>
          <w:color w:val="000000" w:themeColor="text1"/>
          <w:sz w:val="20"/>
          <w:szCs w:val="20"/>
        </w:rPr>
        <w:t xml:space="preserve">, </w:t>
      </w:r>
      <w:r w:rsidR="00B2526A" w:rsidRPr="00C07DC7">
        <w:rPr>
          <w:rFonts w:ascii="Verdana" w:hAnsi="Verdana"/>
          <w:color w:val="000000" w:themeColor="text1"/>
          <w:sz w:val="20"/>
          <w:szCs w:val="20"/>
        </w:rPr>
        <w:t>tres momentos procesales: (i) el escrito de solicitudes, argumentos y pruebas; (</w:t>
      </w:r>
      <w:proofErr w:type="spellStart"/>
      <w:r w:rsidR="00B2526A" w:rsidRPr="00C07DC7">
        <w:rPr>
          <w:rFonts w:ascii="Verdana" w:hAnsi="Verdana"/>
          <w:color w:val="000000" w:themeColor="text1"/>
          <w:sz w:val="20"/>
          <w:szCs w:val="20"/>
        </w:rPr>
        <w:t>ii</w:t>
      </w:r>
      <w:proofErr w:type="spellEnd"/>
      <w:r w:rsidR="00B2526A" w:rsidRPr="00C07DC7">
        <w:rPr>
          <w:rFonts w:ascii="Verdana" w:hAnsi="Verdana"/>
          <w:color w:val="000000" w:themeColor="text1"/>
          <w:sz w:val="20"/>
          <w:szCs w:val="20"/>
        </w:rPr>
        <w:t>) los alegatos finales orales en la audiencia del caso, y (</w:t>
      </w:r>
      <w:proofErr w:type="spellStart"/>
      <w:r w:rsidR="00B2526A" w:rsidRPr="00C07DC7">
        <w:rPr>
          <w:rFonts w:ascii="Verdana" w:hAnsi="Verdana"/>
          <w:color w:val="000000" w:themeColor="text1"/>
          <w:sz w:val="20"/>
          <w:szCs w:val="20"/>
        </w:rPr>
        <w:t>iii</w:t>
      </w:r>
      <w:proofErr w:type="spellEnd"/>
      <w:r w:rsidR="00B2526A" w:rsidRPr="00C07DC7">
        <w:rPr>
          <w:rFonts w:ascii="Verdana" w:hAnsi="Verdana"/>
          <w:color w:val="000000" w:themeColor="text1"/>
          <w:sz w:val="20"/>
          <w:szCs w:val="20"/>
        </w:rPr>
        <w:t xml:space="preserve">) en el escrito de alegatos finales escritos. </w:t>
      </w:r>
      <w:r w:rsidR="00FE6398" w:rsidRPr="00C07DC7">
        <w:rPr>
          <w:rFonts w:ascii="Verdana" w:hAnsi="Verdana"/>
          <w:color w:val="000000" w:themeColor="text1"/>
          <w:sz w:val="20"/>
          <w:szCs w:val="20"/>
        </w:rPr>
        <w:t xml:space="preserve">Por esta razón, la </w:t>
      </w:r>
      <w:r w:rsidR="00FE6398" w:rsidRPr="00C07DC7">
        <w:rPr>
          <w:rFonts w:ascii="Verdana" w:hAnsi="Verdana"/>
          <w:color w:val="000000" w:themeColor="text1"/>
          <w:sz w:val="20"/>
          <w:szCs w:val="20"/>
        </w:rPr>
        <w:lastRenderedPageBreak/>
        <w:t xml:space="preserve">Corte estableció en el </w:t>
      </w:r>
      <w:r w:rsidR="00C07DC7" w:rsidRPr="00C07DC7">
        <w:rPr>
          <w:rFonts w:ascii="Verdana" w:hAnsi="Verdana"/>
          <w:color w:val="000000" w:themeColor="text1"/>
          <w:sz w:val="20"/>
          <w:szCs w:val="20"/>
        </w:rPr>
        <w:t>Punto Resolutivo</w:t>
      </w:r>
      <w:r w:rsidR="00522781">
        <w:rPr>
          <w:rFonts w:ascii="Verdana" w:hAnsi="Verdana"/>
          <w:color w:val="000000" w:themeColor="text1"/>
          <w:sz w:val="20"/>
          <w:szCs w:val="20"/>
        </w:rPr>
        <w:t xml:space="preserve"> </w:t>
      </w:r>
      <w:r w:rsidR="00FE6398" w:rsidRPr="00C07DC7">
        <w:rPr>
          <w:rFonts w:ascii="Verdana" w:hAnsi="Verdana"/>
          <w:color w:val="000000" w:themeColor="text1"/>
          <w:sz w:val="20"/>
          <w:szCs w:val="20"/>
        </w:rPr>
        <w:t xml:space="preserve">5 de la Sentencia la obligación de brindar atención médica “de forma inmediata”, precisando en el párrafo 140 que el Estado cuenta con un plazo de “tres meses, contados a partir de la recepción de dicha solicitud, para brindar de manera efectiva la </w:t>
      </w:r>
      <w:r w:rsidR="009243DA" w:rsidRPr="00C07DC7">
        <w:rPr>
          <w:rFonts w:ascii="Verdana" w:hAnsi="Verdana"/>
          <w:color w:val="000000" w:themeColor="text1"/>
          <w:sz w:val="20"/>
          <w:szCs w:val="20"/>
        </w:rPr>
        <w:t>atención psicológica</w:t>
      </w:r>
      <w:r w:rsidR="00FE6398" w:rsidRPr="00C07DC7">
        <w:rPr>
          <w:rFonts w:ascii="Verdana" w:hAnsi="Verdana"/>
          <w:color w:val="000000" w:themeColor="text1"/>
          <w:sz w:val="20"/>
          <w:szCs w:val="20"/>
        </w:rPr>
        <w:t xml:space="preserve"> y/o psiquiátrica solicitada”. </w:t>
      </w:r>
    </w:p>
    <w:p w14:paraId="04C8EB53" w14:textId="77777777" w:rsidR="00EC2D6F" w:rsidRPr="00C07DC7" w:rsidRDefault="00EC2D6F" w:rsidP="00B916ED">
      <w:pPr>
        <w:pStyle w:val="Prrafodelista"/>
        <w:spacing w:after="0" w:line="240" w:lineRule="auto"/>
        <w:ind w:left="0"/>
        <w:jc w:val="both"/>
        <w:rPr>
          <w:rFonts w:ascii="Verdana" w:hAnsi="Verdana"/>
          <w:color w:val="000000" w:themeColor="text1"/>
          <w:sz w:val="20"/>
          <w:szCs w:val="20"/>
        </w:rPr>
      </w:pPr>
    </w:p>
    <w:p w14:paraId="59888DD5" w14:textId="6EDC88D7" w:rsidR="00754C67" w:rsidRPr="00754C67" w:rsidRDefault="00754C67" w:rsidP="00754C67">
      <w:pPr>
        <w:pStyle w:val="Prrafodelista"/>
        <w:numPr>
          <w:ilvl w:val="0"/>
          <w:numId w:val="1"/>
        </w:numPr>
        <w:spacing w:after="0" w:line="240" w:lineRule="auto"/>
        <w:ind w:left="0" w:firstLine="0"/>
        <w:jc w:val="both"/>
        <w:rPr>
          <w:rFonts w:ascii="Verdana" w:hAnsi="Verdana"/>
          <w:color w:val="000000" w:themeColor="text1"/>
          <w:sz w:val="20"/>
          <w:szCs w:val="20"/>
        </w:rPr>
      </w:pPr>
      <w:r w:rsidRPr="00754C67">
        <w:rPr>
          <w:rFonts w:ascii="Verdana" w:hAnsi="Verdana"/>
          <w:color w:val="000000" w:themeColor="text1"/>
          <w:sz w:val="20"/>
          <w:szCs w:val="20"/>
        </w:rPr>
        <w:t xml:space="preserve">En lo que respecta a la duración del tratamiento, los representantes señalaron que el </w:t>
      </w:r>
      <w:r w:rsidR="00C07DC7">
        <w:rPr>
          <w:rFonts w:ascii="Verdana" w:hAnsi="Verdana"/>
          <w:color w:val="000000" w:themeColor="text1"/>
          <w:sz w:val="20"/>
          <w:szCs w:val="20"/>
        </w:rPr>
        <w:t xml:space="preserve">Punto Resolutivo </w:t>
      </w:r>
      <w:r w:rsidRPr="00754C67">
        <w:rPr>
          <w:rFonts w:ascii="Verdana" w:hAnsi="Verdana"/>
          <w:color w:val="000000" w:themeColor="text1"/>
          <w:sz w:val="20"/>
          <w:szCs w:val="20"/>
        </w:rPr>
        <w:t xml:space="preserve">5 y el párrafo 140 de la Sentencia, leídos de forma integral, conducen a la conclusión de que el tratamiento debe ser brindado “por el tiempo que sea necesario”. </w:t>
      </w:r>
    </w:p>
    <w:p w14:paraId="24464321" w14:textId="77777777" w:rsidR="00D506C7" w:rsidRPr="008B7099" w:rsidRDefault="00D506C7" w:rsidP="00D506C7">
      <w:pPr>
        <w:autoSpaceDE w:val="0"/>
        <w:autoSpaceDN w:val="0"/>
        <w:adjustRightInd w:val="0"/>
        <w:spacing w:after="0" w:line="240" w:lineRule="auto"/>
        <w:rPr>
          <w:rFonts w:ascii="Verdana" w:hAnsi="Verdana"/>
          <w:color w:val="000000" w:themeColor="text1"/>
          <w:sz w:val="20"/>
          <w:szCs w:val="20"/>
        </w:rPr>
      </w:pPr>
    </w:p>
    <w:p w14:paraId="368A1AE3" w14:textId="2A962845" w:rsidR="00D506C7" w:rsidRPr="008B7099" w:rsidRDefault="00D506C7" w:rsidP="00D506C7">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La </w:t>
      </w:r>
      <w:r w:rsidRPr="008B7099">
        <w:rPr>
          <w:rFonts w:ascii="Verdana" w:hAnsi="Verdana"/>
          <w:b/>
          <w:bCs/>
          <w:i/>
          <w:iCs/>
          <w:color w:val="000000" w:themeColor="text1"/>
          <w:sz w:val="20"/>
          <w:szCs w:val="20"/>
        </w:rPr>
        <w:t>Comisión</w:t>
      </w:r>
      <w:r w:rsidRPr="008B7099">
        <w:rPr>
          <w:rFonts w:ascii="Verdana" w:hAnsi="Verdana"/>
          <w:color w:val="000000" w:themeColor="text1"/>
          <w:sz w:val="20"/>
          <w:szCs w:val="20"/>
        </w:rPr>
        <w:t xml:space="preserve"> </w:t>
      </w:r>
      <w:r w:rsidR="00754C67">
        <w:rPr>
          <w:rFonts w:ascii="Verdana" w:hAnsi="Verdana"/>
          <w:color w:val="000000" w:themeColor="text1"/>
          <w:sz w:val="20"/>
          <w:szCs w:val="20"/>
        </w:rPr>
        <w:t xml:space="preserve">indicó que la Corte ha aclarado en otros casos el plazo con el que cuentan las víctimas para acceder a una reparación y ha determinado la duración de un tratamiento, por medio de Resoluciones de Interpretación de Sentencia. En vista de lo anterior solicitó que la Corte clarifique el alcance de su decisión a la luz de las interrogantes planteadas por el Estado.  </w:t>
      </w:r>
      <w:r w:rsidR="00A90AB8">
        <w:rPr>
          <w:rFonts w:ascii="Verdana" w:hAnsi="Verdana"/>
          <w:color w:val="000000" w:themeColor="text1"/>
          <w:sz w:val="20"/>
          <w:szCs w:val="20"/>
        </w:rPr>
        <w:t xml:space="preserve"> </w:t>
      </w:r>
    </w:p>
    <w:p w14:paraId="6B363E65" w14:textId="77777777" w:rsidR="00D506C7" w:rsidRPr="008B7099" w:rsidRDefault="00D506C7" w:rsidP="00D506C7">
      <w:pPr>
        <w:spacing w:after="0" w:line="240" w:lineRule="auto"/>
        <w:ind w:firstLine="708"/>
        <w:jc w:val="both"/>
        <w:rPr>
          <w:rFonts w:ascii="Verdana" w:hAnsi="Verdana"/>
          <w:i/>
          <w:color w:val="000000" w:themeColor="text1"/>
          <w:sz w:val="20"/>
          <w:szCs w:val="20"/>
        </w:rPr>
      </w:pPr>
    </w:p>
    <w:p w14:paraId="1EEC6E3C" w14:textId="0FF6B7E2" w:rsidR="006F2BB2" w:rsidRDefault="008B5494" w:rsidP="006F2BB2">
      <w:pPr>
        <w:spacing w:after="0" w:line="240" w:lineRule="auto"/>
        <w:ind w:firstLine="708"/>
        <w:jc w:val="both"/>
        <w:rPr>
          <w:rFonts w:ascii="Verdana" w:hAnsi="Verdana"/>
          <w:i/>
          <w:color w:val="000000" w:themeColor="text1"/>
          <w:sz w:val="20"/>
          <w:szCs w:val="20"/>
        </w:rPr>
      </w:pPr>
      <w:r>
        <w:rPr>
          <w:rFonts w:ascii="Verdana" w:hAnsi="Verdana"/>
          <w:i/>
          <w:color w:val="000000" w:themeColor="text1"/>
          <w:sz w:val="20"/>
          <w:szCs w:val="20"/>
        </w:rPr>
        <w:t>B</w:t>
      </w:r>
      <w:r w:rsidR="00D506C7" w:rsidRPr="008B7099">
        <w:rPr>
          <w:rFonts w:ascii="Verdana" w:hAnsi="Verdana"/>
          <w:i/>
          <w:color w:val="000000" w:themeColor="text1"/>
          <w:sz w:val="20"/>
          <w:szCs w:val="20"/>
        </w:rPr>
        <w:t xml:space="preserve">.2. Consideraciones de la Corte </w:t>
      </w:r>
    </w:p>
    <w:p w14:paraId="1E2A5B7F" w14:textId="77777777" w:rsidR="006F2BB2" w:rsidRPr="006F2BB2" w:rsidRDefault="006F2BB2" w:rsidP="006F2BB2">
      <w:pPr>
        <w:spacing w:after="0" w:line="240" w:lineRule="auto"/>
        <w:ind w:firstLine="708"/>
        <w:jc w:val="both"/>
        <w:rPr>
          <w:rFonts w:ascii="Verdana" w:hAnsi="Verdana"/>
          <w:i/>
          <w:color w:val="000000" w:themeColor="text1"/>
          <w:sz w:val="20"/>
          <w:szCs w:val="20"/>
        </w:rPr>
      </w:pPr>
    </w:p>
    <w:p w14:paraId="4DE90F1E" w14:textId="604B906B" w:rsidR="00A363CB" w:rsidRDefault="006F2BB2" w:rsidP="00A363CB">
      <w:pPr>
        <w:pStyle w:val="Prrafodelista"/>
        <w:numPr>
          <w:ilvl w:val="0"/>
          <w:numId w:val="1"/>
        </w:numPr>
        <w:spacing w:after="0" w:line="240" w:lineRule="auto"/>
        <w:ind w:left="0" w:firstLine="0"/>
        <w:jc w:val="both"/>
        <w:rPr>
          <w:rFonts w:ascii="Verdana" w:hAnsi="Verdana"/>
          <w:color w:val="000000" w:themeColor="text1"/>
          <w:sz w:val="20"/>
          <w:szCs w:val="20"/>
        </w:rPr>
      </w:pPr>
      <w:r w:rsidRPr="00A363CB">
        <w:rPr>
          <w:rFonts w:ascii="Verdana" w:hAnsi="Verdana"/>
          <w:color w:val="000000" w:themeColor="text1"/>
          <w:sz w:val="20"/>
          <w:szCs w:val="20"/>
        </w:rPr>
        <w:t>Con base en lo señalado por las partes</w:t>
      </w:r>
      <w:r w:rsidR="005B3E42">
        <w:rPr>
          <w:rFonts w:ascii="Verdana" w:hAnsi="Verdana"/>
          <w:color w:val="000000" w:themeColor="text1"/>
          <w:sz w:val="20"/>
          <w:szCs w:val="20"/>
        </w:rPr>
        <w:t xml:space="preserve"> y la Comisión Interamericana</w:t>
      </w:r>
      <w:r w:rsidRPr="00A363CB">
        <w:rPr>
          <w:rFonts w:ascii="Verdana" w:hAnsi="Verdana"/>
          <w:color w:val="000000" w:themeColor="text1"/>
          <w:sz w:val="20"/>
          <w:szCs w:val="20"/>
        </w:rPr>
        <w:t xml:space="preserve">, la Corte considera necesario referirse, </w:t>
      </w:r>
      <w:r w:rsidR="00A363CB" w:rsidRPr="00A363CB">
        <w:rPr>
          <w:rFonts w:ascii="Verdana" w:hAnsi="Verdana"/>
          <w:color w:val="000000" w:themeColor="text1"/>
          <w:sz w:val="20"/>
          <w:szCs w:val="20"/>
        </w:rPr>
        <w:t>en primer lugar,</w:t>
      </w:r>
      <w:r w:rsidRPr="00A363CB">
        <w:rPr>
          <w:rFonts w:ascii="Verdana" w:hAnsi="Verdana"/>
          <w:color w:val="000000" w:themeColor="text1"/>
          <w:sz w:val="20"/>
          <w:szCs w:val="20"/>
        </w:rPr>
        <w:t xml:space="preserve"> </w:t>
      </w:r>
      <w:r w:rsidR="00A363CB">
        <w:rPr>
          <w:rFonts w:ascii="Verdana" w:hAnsi="Verdana"/>
          <w:color w:val="000000" w:themeColor="text1"/>
          <w:sz w:val="20"/>
          <w:szCs w:val="20"/>
        </w:rPr>
        <w:t>al requerimiento</w:t>
      </w:r>
      <w:r w:rsidR="00141768">
        <w:rPr>
          <w:rFonts w:ascii="Verdana" w:hAnsi="Verdana"/>
          <w:color w:val="000000" w:themeColor="text1"/>
          <w:sz w:val="20"/>
          <w:szCs w:val="20"/>
        </w:rPr>
        <w:t xml:space="preserve"> del Estado</w:t>
      </w:r>
      <w:r w:rsidRPr="00A363CB">
        <w:rPr>
          <w:rFonts w:ascii="Verdana" w:hAnsi="Verdana"/>
          <w:color w:val="000000" w:themeColor="text1"/>
          <w:sz w:val="20"/>
          <w:szCs w:val="20"/>
        </w:rPr>
        <w:t xml:space="preserve"> de establecer un plazo para que los representantes soliciten </w:t>
      </w:r>
      <w:r w:rsidR="00A363CB" w:rsidRPr="00A363CB">
        <w:rPr>
          <w:rFonts w:ascii="Verdana" w:hAnsi="Verdana"/>
          <w:color w:val="000000" w:themeColor="text1"/>
          <w:sz w:val="20"/>
          <w:szCs w:val="20"/>
        </w:rPr>
        <w:t xml:space="preserve">la medida de rehabilitación ordenada en el </w:t>
      </w:r>
      <w:r w:rsidR="00C07DC7">
        <w:rPr>
          <w:rFonts w:ascii="Verdana" w:hAnsi="Verdana"/>
          <w:color w:val="000000" w:themeColor="text1"/>
          <w:sz w:val="20"/>
          <w:szCs w:val="20"/>
        </w:rPr>
        <w:t xml:space="preserve">Punto Resolutivo </w:t>
      </w:r>
      <w:r w:rsidR="00A363CB" w:rsidRPr="00A363CB">
        <w:rPr>
          <w:rFonts w:ascii="Verdana" w:hAnsi="Verdana"/>
          <w:color w:val="000000" w:themeColor="text1"/>
          <w:sz w:val="20"/>
          <w:szCs w:val="20"/>
        </w:rPr>
        <w:t>5 de la Sentencia</w:t>
      </w:r>
      <w:r w:rsidR="00A363CB">
        <w:rPr>
          <w:rFonts w:ascii="Verdana" w:hAnsi="Verdana"/>
          <w:color w:val="000000" w:themeColor="text1"/>
          <w:sz w:val="20"/>
          <w:szCs w:val="20"/>
        </w:rPr>
        <w:t xml:space="preserve">. Al respecto, la Corte advierte que </w:t>
      </w:r>
      <w:r w:rsidR="00C07DC7">
        <w:rPr>
          <w:rFonts w:ascii="Verdana" w:hAnsi="Verdana"/>
          <w:color w:val="000000" w:themeColor="text1"/>
          <w:sz w:val="20"/>
          <w:szCs w:val="20"/>
        </w:rPr>
        <w:t xml:space="preserve">esta </w:t>
      </w:r>
      <w:r w:rsidR="00A363CB">
        <w:rPr>
          <w:rFonts w:ascii="Verdana" w:hAnsi="Verdana"/>
          <w:color w:val="000000" w:themeColor="text1"/>
          <w:sz w:val="20"/>
          <w:szCs w:val="20"/>
        </w:rPr>
        <w:t xml:space="preserve">solicitud resulta improcedente toda vez que los representantes han sido consistentes a lo largo del trámite ante la Corte en </w:t>
      </w:r>
      <w:r w:rsidR="00716143">
        <w:rPr>
          <w:rFonts w:ascii="Verdana" w:hAnsi="Verdana"/>
          <w:color w:val="000000" w:themeColor="text1"/>
          <w:sz w:val="20"/>
          <w:szCs w:val="20"/>
        </w:rPr>
        <w:t xml:space="preserve">mostrar una clara voluntad del señor Olivera </w:t>
      </w:r>
      <w:r w:rsidR="00E834EE">
        <w:rPr>
          <w:rFonts w:ascii="Verdana" w:hAnsi="Verdana"/>
          <w:color w:val="000000" w:themeColor="text1"/>
          <w:sz w:val="20"/>
          <w:szCs w:val="20"/>
        </w:rPr>
        <w:t xml:space="preserve">Fuentes </w:t>
      </w:r>
      <w:r w:rsidR="00716143">
        <w:rPr>
          <w:rFonts w:ascii="Verdana" w:hAnsi="Verdana"/>
          <w:color w:val="000000" w:themeColor="text1"/>
          <w:sz w:val="20"/>
          <w:szCs w:val="20"/>
        </w:rPr>
        <w:t>de</w:t>
      </w:r>
      <w:r w:rsidR="00A363CB">
        <w:rPr>
          <w:rFonts w:ascii="Verdana" w:hAnsi="Verdana"/>
          <w:color w:val="000000" w:themeColor="text1"/>
          <w:sz w:val="20"/>
          <w:szCs w:val="20"/>
        </w:rPr>
        <w:t xml:space="preserve"> recibir la atención psicológica y/o psiquiátrica ordenada en el </w:t>
      </w:r>
      <w:r w:rsidR="00C07DC7">
        <w:rPr>
          <w:rFonts w:ascii="Verdana" w:hAnsi="Verdana"/>
          <w:color w:val="000000" w:themeColor="text1"/>
          <w:sz w:val="20"/>
          <w:szCs w:val="20"/>
        </w:rPr>
        <w:t xml:space="preserve">Punto Resolutivo </w:t>
      </w:r>
      <w:r w:rsidR="00D6729D">
        <w:rPr>
          <w:rFonts w:ascii="Verdana" w:hAnsi="Verdana"/>
          <w:color w:val="000000" w:themeColor="text1"/>
          <w:sz w:val="20"/>
          <w:szCs w:val="20"/>
        </w:rPr>
        <w:t>5</w:t>
      </w:r>
      <w:r w:rsidR="00A363CB">
        <w:rPr>
          <w:rFonts w:ascii="Verdana" w:hAnsi="Verdana"/>
          <w:color w:val="000000" w:themeColor="text1"/>
          <w:sz w:val="20"/>
          <w:szCs w:val="20"/>
        </w:rPr>
        <w:t xml:space="preserve">. Lo anterior se desprende de la solicitud </w:t>
      </w:r>
      <w:r w:rsidR="00C81B77">
        <w:rPr>
          <w:rFonts w:ascii="Verdana" w:hAnsi="Verdana"/>
          <w:color w:val="000000" w:themeColor="text1"/>
          <w:sz w:val="20"/>
          <w:szCs w:val="20"/>
        </w:rPr>
        <w:t xml:space="preserve">de atención médica </w:t>
      </w:r>
      <w:r w:rsidR="00A363CB">
        <w:rPr>
          <w:rFonts w:ascii="Verdana" w:hAnsi="Verdana"/>
          <w:color w:val="000000" w:themeColor="text1"/>
          <w:sz w:val="20"/>
          <w:szCs w:val="20"/>
        </w:rPr>
        <w:t>efectuada por los representantes en todos sus escritos principales</w:t>
      </w:r>
      <w:r w:rsidR="00A363CB">
        <w:rPr>
          <w:rStyle w:val="Refdenotaalpie"/>
          <w:rFonts w:ascii="Verdana" w:hAnsi="Verdana"/>
          <w:color w:val="000000" w:themeColor="text1"/>
          <w:sz w:val="20"/>
          <w:szCs w:val="20"/>
        </w:rPr>
        <w:footnoteReference w:id="8"/>
      </w:r>
      <w:r w:rsidR="00380FBA">
        <w:rPr>
          <w:rFonts w:ascii="Verdana" w:hAnsi="Verdana"/>
          <w:color w:val="000000" w:themeColor="text1"/>
          <w:sz w:val="20"/>
          <w:szCs w:val="20"/>
        </w:rPr>
        <w:t>, así como e</w:t>
      </w:r>
      <w:r w:rsidR="00A363CB">
        <w:rPr>
          <w:rFonts w:ascii="Verdana" w:hAnsi="Verdana"/>
          <w:color w:val="000000" w:themeColor="text1"/>
          <w:sz w:val="20"/>
          <w:szCs w:val="20"/>
        </w:rPr>
        <w:t xml:space="preserve">n la audiencia pública celebrada en relación con el presente caso. Por ello, la Corte, dando por constatada la voluntad de recibir tratamiento </w:t>
      </w:r>
      <w:r w:rsidR="00AD0DD7">
        <w:rPr>
          <w:rFonts w:ascii="Verdana" w:hAnsi="Verdana"/>
          <w:color w:val="000000" w:themeColor="text1"/>
          <w:sz w:val="20"/>
          <w:szCs w:val="20"/>
        </w:rPr>
        <w:t>psicológico y/o psiquiátrico</w:t>
      </w:r>
      <w:r w:rsidR="00A363CB">
        <w:rPr>
          <w:rFonts w:ascii="Verdana" w:hAnsi="Verdana"/>
          <w:color w:val="000000" w:themeColor="text1"/>
          <w:sz w:val="20"/>
          <w:szCs w:val="20"/>
        </w:rPr>
        <w:t xml:space="preserve">, estableció en el </w:t>
      </w:r>
      <w:r w:rsidR="00C07DC7">
        <w:rPr>
          <w:rFonts w:ascii="Verdana" w:hAnsi="Verdana"/>
          <w:color w:val="000000" w:themeColor="text1"/>
          <w:sz w:val="20"/>
          <w:szCs w:val="20"/>
        </w:rPr>
        <w:t xml:space="preserve">Punto Resolutivo </w:t>
      </w:r>
      <w:r w:rsidR="00A363CB">
        <w:rPr>
          <w:rFonts w:ascii="Verdana" w:hAnsi="Verdana"/>
          <w:color w:val="000000" w:themeColor="text1"/>
          <w:sz w:val="20"/>
          <w:szCs w:val="20"/>
        </w:rPr>
        <w:t>5 de la Sentencia que</w:t>
      </w:r>
      <w:r w:rsidR="00716143">
        <w:rPr>
          <w:rFonts w:ascii="Verdana" w:hAnsi="Verdana"/>
          <w:color w:val="000000" w:themeColor="text1"/>
          <w:sz w:val="20"/>
          <w:szCs w:val="20"/>
        </w:rPr>
        <w:t xml:space="preserve"> dicho tratamiento debía ser brindado de forma “inmediata”</w:t>
      </w:r>
      <w:r w:rsidR="00A363CB">
        <w:rPr>
          <w:rFonts w:ascii="Verdana" w:hAnsi="Verdana"/>
          <w:color w:val="000000" w:themeColor="text1"/>
          <w:sz w:val="20"/>
          <w:szCs w:val="20"/>
        </w:rPr>
        <w:t xml:space="preserve">: </w:t>
      </w:r>
    </w:p>
    <w:p w14:paraId="52F42698" w14:textId="03B61BA6" w:rsidR="00A363CB" w:rsidRDefault="0077206F" w:rsidP="00A363CB">
      <w:pPr>
        <w:spacing w:after="0" w:line="240" w:lineRule="auto"/>
        <w:jc w:val="both"/>
        <w:rPr>
          <w:rFonts w:ascii="Verdana" w:hAnsi="Verdana"/>
          <w:color w:val="000000" w:themeColor="text1"/>
          <w:sz w:val="20"/>
          <w:szCs w:val="20"/>
        </w:rPr>
      </w:pPr>
      <w:r>
        <w:rPr>
          <w:rFonts w:ascii="Verdana" w:hAnsi="Verdana"/>
          <w:color w:val="000000" w:themeColor="text1"/>
          <w:sz w:val="20"/>
          <w:szCs w:val="20"/>
        </w:rPr>
        <w:t xml:space="preserve">  </w:t>
      </w:r>
    </w:p>
    <w:p w14:paraId="5DCD3FB7" w14:textId="54E43C8F" w:rsidR="00A363CB" w:rsidRPr="00A363CB" w:rsidRDefault="00A363CB" w:rsidP="00A363CB">
      <w:pPr>
        <w:tabs>
          <w:tab w:val="num" w:pos="1569"/>
          <w:tab w:val="num" w:pos="12305"/>
        </w:tabs>
        <w:spacing w:after="0" w:line="240" w:lineRule="auto"/>
        <w:ind w:left="851" w:right="815"/>
        <w:jc w:val="both"/>
        <w:rPr>
          <w:rFonts w:ascii="Verdana" w:hAnsi="Verdana"/>
          <w:sz w:val="18"/>
          <w:szCs w:val="18"/>
          <w:lang w:val="es-ES"/>
        </w:rPr>
      </w:pPr>
      <w:r w:rsidRPr="00A363CB">
        <w:rPr>
          <w:rFonts w:ascii="Verdana" w:hAnsi="Verdana"/>
          <w:sz w:val="18"/>
          <w:szCs w:val="18"/>
          <w:lang w:val="es-ES"/>
        </w:rPr>
        <w:t xml:space="preserve">El Estado brindará gratuitamente, y de forma inmediata, oportuna, adecuada y efectiva, tratamiento psicológico y/o psiquiátrico a </w:t>
      </w:r>
      <w:proofErr w:type="spellStart"/>
      <w:r w:rsidRPr="00A363CB">
        <w:rPr>
          <w:rFonts w:ascii="Verdana" w:hAnsi="Verdana"/>
          <w:sz w:val="18"/>
          <w:szCs w:val="18"/>
          <w:lang w:val="es-ES"/>
        </w:rPr>
        <w:t>Crissthian</w:t>
      </w:r>
      <w:proofErr w:type="spellEnd"/>
      <w:r w:rsidRPr="00A363CB">
        <w:rPr>
          <w:rFonts w:ascii="Verdana" w:hAnsi="Verdana"/>
          <w:sz w:val="18"/>
          <w:szCs w:val="18"/>
          <w:lang w:val="es-ES"/>
        </w:rPr>
        <w:t xml:space="preserve"> Manuel Olivera Fuentes, de conformidad con lo establecido en el párrafo 140 de esta Sentencia.</w:t>
      </w:r>
    </w:p>
    <w:p w14:paraId="3B6C5DC1" w14:textId="77777777" w:rsidR="00A363CB" w:rsidRDefault="00A363CB" w:rsidP="00A363CB">
      <w:pPr>
        <w:spacing w:after="0" w:line="240" w:lineRule="auto"/>
        <w:jc w:val="both"/>
        <w:rPr>
          <w:rFonts w:ascii="Verdana" w:hAnsi="Verdana"/>
          <w:color w:val="000000" w:themeColor="text1"/>
          <w:sz w:val="20"/>
          <w:szCs w:val="20"/>
          <w:lang w:val="es-ES"/>
        </w:rPr>
      </w:pPr>
    </w:p>
    <w:p w14:paraId="78E7E963" w14:textId="760AC0A0" w:rsidR="00A363CB" w:rsidRPr="00A363CB" w:rsidRDefault="00A363CB" w:rsidP="001E2331">
      <w:pPr>
        <w:pStyle w:val="Prrafodelista"/>
        <w:numPr>
          <w:ilvl w:val="0"/>
          <w:numId w:val="1"/>
        </w:numPr>
        <w:spacing w:after="0" w:line="240" w:lineRule="auto"/>
        <w:ind w:left="0" w:firstLine="0"/>
        <w:jc w:val="both"/>
        <w:rPr>
          <w:rFonts w:ascii="Verdana" w:hAnsi="Verdana"/>
          <w:color w:val="000000" w:themeColor="text1"/>
          <w:sz w:val="20"/>
          <w:szCs w:val="20"/>
          <w:lang w:val="es-ES"/>
        </w:rPr>
      </w:pPr>
      <w:r>
        <w:rPr>
          <w:rFonts w:ascii="Verdana" w:hAnsi="Verdana"/>
          <w:color w:val="000000" w:themeColor="text1"/>
          <w:sz w:val="20"/>
          <w:szCs w:val="20"/>
          <w:lang w:val="es-ES"/>
        </w:rPr>
        <w:t xml:space="preserve">Aunado a lo anterior, la Corte </w:t>
      </w:r>
      <w:r w:rsidR="001E2331">
        <w:rPr>
          <w:rFonts w:ascii="Verdana" w:hAnsi="Verdana"/>
          <w:color w:val="000000" w:themeColor="text1"/>
          <w:sz w:val="20"/>
          <w:szCs w:val="20"/>
          <w:lang w:val="es-ES"/>
        </w:rPr>
        <w:t>observa</w:t>
      </w:r>
      <w:r>
        <w:rPr>
          <w:rFonts w:ascii="Verdana" w:hAnsi="Verdana"/>
          <w:color w:val="000000" w:themeColor="text1"/>
          <w:sz w:val="20"/>
          <w:szCs w:val="20"/>
          <w:lang w:val="es-ES"/>
        </w:rPr>
        <w:t xml:space="preserve"> que </w:t>
      </w:r>
      <w:r w:rsidR="001E2331">
        <w:rPr>
          <w:rFonts w:ascii="Verdana" w:hAnsi="Verdana"/>
          <w:color w:val="000000" w:themeColor="text1"/>
          <w:sz w:val="20"/>
          <w:szCs w:val="20"/>
          <w:lang w:val="es-ES"/>
        </w:rPr>
        <w:t xml:space="preserve">los representantes y el Estado han intercambiado </w:t>
      </w:r>
      <w:r w:rsidR="001E2331" w:rsidRPr="001E2331">
        <w:rPr>
          <w:rFonts w:ascii="Verdana" w:hAnsi="Verdana"/>
          <w:color w:val="000000" w:themeColor="text1"/>
          <w:sz w:val="20"/>
          <w:szCs w:val="20"/>
        </w:rPr>
        <w:t>comunicaciones</w:t>
      </w:r>
      <w:r w:rsidR="001E2331">
        <w:rPr>
          <w:rStyle w:val="Refdenotaalpie"/>
          <w:rFonts w:ascii="Verdana" w:hAnsi="Verdana"/>
          <w:color w:val="000000" w:themeColor="text1"/>
          <w:sz w:val="20"/>
          <w:szCs w:val="20"/>
          <w:lang w:val="es-ES"/>
        </w:rPr>
        <w:footnoteReference w:id="9"/>
      </w:r>
      <w:r w:rsidR="001E2331">
        <w:rPr>
          <w:rFonts w:ascii="Verdana" w:hAnsi="Verdana"/>
          <w:color w:val="000000" w:themeColor="text1"/>
          <w:sz w:val="20"/>
          <w:szCs w:val="20"/>
          <w:lang w:val="es-ES"/>
        </w:rPr>
        <w:t xml:space="preserve"> para entablar una reunión atinente a la </w:t>
      </w:r>
      <w:r w:rsidR="00D6729D">
        <w:rPr>
          <w:rFonts w:ascii="Verdana" w:hAnsi="Verdana"/>
          <w:color w:val="000000" w:themeColor="text1"/>
          <w:sz w:val="20"/>
          <w:szCs w:val="20"/>
          <w:lang w:val="es-ES"/>
        </w:rPr>
        <w:t xml:space="preserve">implementación de la </w:t>
      </w:r>
      <w:r w:rsidR="001E2331">
        <w:rPr>
          <w:rFonts w:ascii="Verdana" w:hAnsi="Verdana"/>
          <w:color w:val="000000" w:themeColor="text1"/>
          <w:sz w:val="20"/>
          <w:szCs w:val="20"/>
          <w:lang w:val="es-ES"/>
        </w:rPr>
        <w:t xml:space="preserve">medida de rehabilitación ordenada por la Corte. Este Tribunal advierte que, tal y como </w:t>
      </w:r>
      <w:r w:rsidR="00E834EE">
        <w:rPr>
          <w:rFonts w:ascii="Verdana" w:hAnsi="Verdana"/>
          <w:color w:val="000000" w:themeColor="text1"/>
          <w:sz w:val="20"/>
          <w:szCs w:val="20"/>
          <w:lang w:val="es-ES"/>
        </w:rPr>
        <w:t>se</w:t>
      </w:r>
      <w:r w:rsidR="001E2331">
        <w:rPr>
          <w:rFonts w:ascii="Verdana" w:hAnsi="Verdana"/>
          <w:color w:val="000000" w:themeColor="text1"/>
          <w:sz w:val="20"/>
          <w:szCs w:val="20"/>
          <w:lang w:val="es-ES"/>
        </w:rPr>
        <w:t xml:space="preserve"> deriva de los alegatos de los representantes, existe una voluntad expresa de que el señor Olivera Fuentes reciba tratamiento psicológico y/o psiquiátrico, sin perjuicio de los señalamientos que puedan realizarse sobre las condiciones de dicho tratamiento, aspecto que, en todo caso, corresponde ser valorado en la etapa de </w:t>
      </w:r>
      <w:r w:rsidR="001E7D23">
        <w:rPr>
          <w:rFonts w:ascii="Verdana" w:hAnsi="Verdana"/>
          <w:color w:val="000000" w:themeColor="text1"/>
          <w:sz w:val="20"/>
          <w:szCs w:val="20"/>
          <w:lang w:val="es-ES"/>
        </w:rPr>
        <w:t>s</w:t>
      </w:r>
      <w:r w:rsidR="001E2331">
        <w:rPr>
          <w:rFonts w:ascii="Verdana" w:hAnsi="Verdana"/>
          <w:color w:val="000000" w:themeColor="text1"/>
          <w:sz w:val="20"/>
          <w:szCs w:val="20"/>
          <w:lang w:val="es-ES"/>
        </w:rPr>
        <w:t>upervisión de</w:t>
      </w:r>
      <w:r w:rsidR="001E7D23">
        <w:rPr>
          <w:rFonts w:ascii="Verdana" w:hAnsi="Verdana"/>
          <w:color w:val="000000" w:themeColor="text1"/>
          <w:sz w:val="20"/>
          <w:szCs w:val="20"/>
          <w:lang w:val="es-ES"/>
        </w:rPr>
        <w:t xml:space="preserve"> cumplimiento de</w:t>
      </w:r>
      <w:r w:rsidR="001E2331">
        <w:rPr>
          <w:rFonts w:ascii="Verdana" w:hAnsi="Verdana"/>
          <w:color w:val="000000" w:themeColor="text1"/>
          <w:sz w:val="20"/>
          <w:szCs w:val="20"/>
          <w:lang w:val="es-ES"/>
        </w:rPr>
        <w:t xml:space="preserve"> Sentencia. </w:t>
      </w:r>
      <w:r w:rsidR="00C37358">
        <w:rPr>
          <w:rFonts w:ascii="Verdana" w:hAnsi="Verdana"/>
          <w:color w:val="000000" w:themeColor="text1"/>
          <w:sz w:val="20"/>
          <w:szCs w:val="20"/>
          <w:lang w:val="es-ES"/>
        </w:rPr>
        <w:t>En vista de lo expuesto</w:t>
      </w:r>
      <w:r w:rsidR="00EC7212" w:rsidRPr="00EC7212">
        <w:rPr>
          <w:rFonts w:ascii="Verdana" w:hAnsi="Verdana"/>
          <w:color w:val="000000" w:themeColor="text1"/>
          <w:sz w:val="20"/>
          <w:szCs w:val="20"/>
          <w:lang w:val="es-ES"/>
        </w:rPr>
        <w:t xml:space="preserve">, este Tribunal considera que la solicitud del Estado </w:t>
      </w:r>
      <w:r w:rsidR="00EC7212">
        <w:rPr>
          <w:rFonts w:ascii="Verdana" w:hAnsi="Verdana"/>
          <w:color w:val="000000" w:themeColor="text1"/>
          <w:sz w:val="20"/>
          <w:szCs w:val="20"/>
          <w:lang w:val="es-ES"/>
        </w:rPr>
        <w:t>sobre este extremo es</w:t>
      </w:r>
      <w:r w:rsidR="00EC7212" w:rsidRPr="00EC7212">
        <w:rPr>
          <w:rFonts w:ascii="Verdana" w:hAnsi="Verdana"/>
          <w:color w:val="000000" w:themeColor="text1"/>
          <w:sz w:val="20"/>
          <w:szCs w:val="20"/>
          <w:lang w:val="es-ES"/>
        </w:rPr>
        <w:t xml:space="preserve"> improcedente.</w:t>
      </w:r>
    </w:p>
    <w:p w14:paraId="7D09C9AF" w14:textId="77777777" w:rsidR="00A363CB" w:rsidRDefault="00A363CB" w:rsidP="00A363CB">
      <w:pPr>
        <w:pStyle w:val="Prrafodelista"/>
        <w:spacing w:after="0" w:line="240" w:lineRule="auto"/>
        <w:ind w:left="0"/>
        <w:jc w:val="both"/>
        <w:rPr>
          <w:rFonts w:ascii="Verdana" w:hAnsi="Verdana"/>
          <w:color w:val="000000" w:themeColor="text1"/>
          <w:sz w:val="20"/>
          <w:szCs w:val="20"/>
        </w:rPr>
      </w:pPr>
    </w:p>
    <w:p w14:paraId="5484D161" w14:textId="39C78C57" w:rsidR="00141768" w:rsidRDefault="00141768" w:rsidP="00141768">
      <w:pPr>
        <w:pStyle w:val="Prrafodelista"/>
        <w:numPr>
          <w:ilvl w:val="0"/>
          <w:numId w:val="1"/>
        </w:numPr>
        <w:spacing w:after="0" w:line="240" w:lineRule="auto"/>
        <w:ind w:left="0" w:firstLine="0"/>
        <w:jc w:val="both"/>
        <w:rPr>
          <w:rFonts w:ascii="Verdana" w:hAnsi="Verdana"/>
          <w:color w:val="000000" w:themeColor="text1"/>
          <w:sz w:val="20"/>
          <w:szCs w:val="20"/>
        </w:rPr>
      </w:pPr>
      <w:r w:rsidRPr="00141768">
        <w:rPr>
          <w:rFonts w:ascii="Verdana" w:hAnsi="Verdana"/>
          <w:color w:val="000000" w:themeColor="text1"/>
          <w:sz w:val="20"/>
          <w:szCs w:val="20"/>
        </w:rPr>
        <w:t xml:space="preserve">En segundo lugar, la Corte considera pertinente </w:t>
      </w:r>
      <w:r w:rsidR="00A648E5">
        <w:rPr>
          <w:rFonts w:ascii="Verdana" w:hAnsi="Verdana"/>
          <w:color w:val="000000" w:themeColor="text1"/>
          <w:sz w:val="20"/>
          <w:szCs w:val="20"/>
        </w:rPr>
        <w:t>referirse</w:t>
      </w:r>
      <w:r w:rsidRPr="00141768">
        <w:rPr>
          <w:rFonts w:ascii="Verdana" w:hAnsi="Verdana"/>
          <w:color w:val="000000" w:themeColor="text1"/>
          <w:sz w:val="20"/>
          <w:szCs w:val="20"/>
        </w:rPr>
        <w:t xml:space="preserve"> </w:t>
      </w:r>
      <w:r w:rsidR="00AD0DD7">
        <w:rPr>
          <w:rFonts w:ascii="Verdana" w:hAnsi="Verdana"/>
          <w:color w:val="000000" w:themeColor="text1"/>
          <w:sz w:val="20"/>
          <w:szCs w:val="20"/>
        </w:rPr>
        <w:t xml:space="preserve">a </w:t>
      </w:r>
      <w:r w:rsidRPr="00141768">
        <w:rPr>
          <w:rFonts w:ascii="Verdana" w:hAnsi="Verdana"/>
          <w:color w:val="000000" w:themeColor="text1"/>
          <w:sz w:val="20"/>
          <w:szCs w:val="20"/>
        </w:rPr>
        <w:t xml:space="preserve">lo relativo a la duración </w:t>
      </w:r>
      <w:r w:rsidR="00AD0DD7">
        <w:rPr>
          <w:rFonts w:ascii="Verdana" w:hAnsi="Verdana"/>
          <w:color w:val="000000" w:themeColor="text1"/>
          <w:sz w:val="20"/>
          <w:szCs w:val="20"/>
        </w:rPr>
        <w:t>de la medida</w:t>
      </w:r>
      <w:r w:rsidRPr="00141768">
        <w:rPr>
          <w:rFonts w:ascii="Verdana" w:hAnsi="Verdana"/>
          <w:color w:val="000000" w:themeColor="text1"/>
          <w:sz w:val="20"/>
          <w:szCs w:val="20"/>
        </w:rPr>
        <w:t xml:space="preserve"> ordenad</w:t>
      </w:r>
      <w:r w:rsidR="00AD0DD7">
        <w:rPr>
          <w:rFonts w:ascii="Verdana" w:hAnsi="Verdana"/>
          <w:color w:val="000000" w:themeColor="text1"/>
          <w:sz w:val="20"/>
          <w:szCs w:val="20"/>
        </w:rPr>
        <w:t>a</w:t>
      </w:r>
      <w:r w:rsidRPr="00141768">
        <w:rPr>
          <w:rFonts w:ascii="Verdana" w:hAnsi="Verdana"/>
          <w:color w:val="000000" w:themeColor="text1"/>
          <w:sz w:val="20"/>
          <w:szCs w:val="20"/>
        </w:rPr>
        <w:t xml:space="preserve"> en el </w:t>
      </w:r>
      <w:r w:rsidR="00C07DC7">
        <w:rPr>
          <w:rFonts w:ascii="Verdana" w:hAnsi="Verdana"/>
          <w:color w:val="000000" w:themeColor="text1"/>
          <w:sz w:val="20"/>
          <w:szCs w:val="20"/>
        </w:rPr>
        <w:t xml:space="preserve">Punto Resolutivo </w:t>
      </w:r>
      <w:r w:rsidRPr="00141768">
        <w:rPr>
          <w:rFonts w:ascii="Verdana" w:hAnsi="Verdana"/>
          <w:color w:val="000000" w:themeColor="text1"/>
          <w:sz w:val="20"/>
          <w:szCs w:val="20"/>
        </w:rPr>
        <w:t>5 de la Sentencia. Al respecto</w:t>
      </w:r>
      <w:r w:rsidR="00C07DC7">
        <w:rPr>
          <w:rFonts w:ascii="Verdana" w:hAnsi="Verdana"/>
          <w:color w:val="000000" w:themeColor="text1"/>
          <w:sz w:val="20"/>
          <w:szCs w:val="20"/>
        </w:rPr>
        <w:t xml:space="preserve">, </w:t>
      </w:r>
      <w:r>
        <w:rPr>
          <w:rFonts w:ascii="Verdana" w:hAnsi="Verdana"/>
          <w:color w:val="000000" w:themeColor="text1"/>
          <w:sz w:val="20"/>
          <w:szCs w:val="20"/>
        </w:rPr>
        <w:t xml:space="preserve">el Tribunal recuerda lo señalado en el párrafo 140 de la Sentencia: </w:t>
      </w:r>
    </w:p>
    <w:p w14:paraId="40D1DFCC" w14:textId="06616656" w:rsidR="00A363CB" w:rsidRDefault="00A363CB" w:rsidP="00141768">
      <w:pPr>
        <w:pStyle w:val="Prrafodelista"/>
        <w:spacing w:after="0" w:line="240" w:lineRule="auto"/>
        <w:ind w:left="0"/>
        <w:jc w:val="both"/>
        <w:rPr>
          <w:rFonts w:ascii="Verdana" w:hAnsi="Verdana"/>
          <w:color w:val="000000" w:themeColor="text1"/>
          <w:sz w:val="20"/>
          <w:szCs w:val="20"/>
        </w:rPr>
      </w:pPr>
    </w:p>
    <w:p w14:paraId="5A66A75C" w14:textId="42DEC4A6" w:rsidR="00A648E5" w:rsidRPr="00A648E5" w:rsidRDefault="00A648E5" w:rsidP="00A648E5">
      <w:pPr>
        <w:tabs>
          <w:tab w:val="num" w:pos="1569"/>
          <w:tab w:val="num" w:pos="12305"/>
        </w:tabs>
        <w:spacing w:after="0" w:line="240" w:lineRule="auto"/>
        <w:ind w:left="851" w:right="815"/>
        <w:jc w:val="both"/>
        <w:rPr>
          <w:rFonts w:ascii="Verdana" w:hAnsi="Verdana"/>
          <w:sz w:val="18"/>
          <w:szCs w:val="18"/>
          <w:lang w:val="es-ES"/>
        </w:rPr>
      </w:pPr>
      <w:r w:rsidRPr="00A648E5">
        <w:rPr>
          <w:rFonts w:ascii="Verdana" w:hAnsi="Verdana"/>
          <w:sz w:val="18"/>
          <w:szCs w:val="18"/>
          <w:lang w:val="es-ES"/>
        </w:rPr>
        <w:t xml:space="preserve">Esta Corte constata, por tanto, que el señor Olivera padeció un profundo sufrimiento y angustia en detrimento de su integridad psíquica y moral. En vista de lo anterior, la Corte </w:t>
      </w:r>
      <w:r w:rsidRPr="00A648E5">
        <w:rPr>
          <w:rFonts w:ascii="Verdana" w:hAnsi="Verdana"/>
          <w:sz w:val="18"/>
          <w:szCs w:val="18"/>
          <w:lang w:val="es-ES"/>
        </w:rPr>
        <w:lastRenderedPageBreak/>
        <w:t>ordena al Estado brindar gratuitamente, de forma prioritaria, tratamiento psicológico y/o psiquiátrico, según corresponda, para el señor Olivera Fuentes, el cual deberá incluir la provisión de medicamentos y, en su caso, transporte y otros gastos directamente relacionados y necesarios. Dicho tratamiento psicológico y/o psiquiátrico deberá ser prestado por psicólogos o psiquiatras debiendo considerar las circunstancias y necesidades particulares de la víctima, según lo que se acuerde con ella y después de una evaluación individual. En caso de no contar con este tipo de expertos en el servicio general de atención psicológica y psiquiátrica del Sistema Integral de Salud o el Seguro Social de Salud, el Estado tendrá que proveer el tratamiento especializado en un centro de salud privado. El Estado dispondrá del plazo de tres meses, contado a partir de la recepción de dicha solicitud, para brindar de manera efectiva la atención psicológica y/o psiquiátrica solicitada.</w:t>
      </w:r>
    </w:p>
    <w:p w14:paraId="64591629" w14:textId="77777777" w:rsidR="00A363CB" w:rsidRDefault="00A363CB" w:rsidP="00A363CB">
      <w:pPr>
        <w:pStyle w:val="Prrafodelista"/>
        <w:spacing w:after="0" w:line="240" w:lineRule="auto"/>
        <w:ind w:left="0"/>
        <w:jc w:val="both"/>
        <w:rPr>
          <w:rFonts w:ascii="Verdana" w:hAnsi="Verdana"/>
          <w:color w:val="000000" w:themeColor="text1"/>
          <w:sz w:val="20"/>
          <w:szCs w:val="20"/>
        </w:rPr>
      </w:pPr>
    </w:p>
    <w:p w14:paraId="7582AF34" w14:textId="20BBB210" w:rsidR="00A648E5" w:rsidRPr="002B3C3D" w:rsidRDefault="00380FBA" w:rsidP="002B3C3D">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lang w:val="es-ES"/>
        </w:rPr>
        <w:t xml:space="preserve">A este respecto, cabe advertir que la Corte no suele establecer un plazo determinado de duración de este tipo de medida de reparación, toda vez que dependerá de la situación específica de cada víctima y su evolución, debiendo, por tanto, </w:t>
      </w:r>
      <w:r w:rsidR="002B3C3D">
        <w:rPr>
          <w:rFonts w:ascii="Verdana" w:hAnsi="Verdana"/>
          <w:color w:val="000000" w:themeColor="text1"/>
          <w:sz w:val="20"/>
          <w:szCs w:val="20"/>
          <w:lang w:val="es-ES"/>
        </w:rPr>
        <w:t>interpretarse</w:t>
      </w:r>
      <w:r>
        <w:rPr>
          <w:rFonts w:ascii="Verdana" w:hAnsi="Verdana"/>
          <w:color w:val="000000" w:themeColor="text1"/>
          <w:sz w:val="20"/>
          <w:szCs w:val="20"/>
          <w:lang w:val="es-ES"/>
        </w:rPr>
        <w:t>,</w:t>
      </w:r>
      <w:r w:rsidR="002B3C3D">
        <w:rPr>
          <w:rFonts w:ascii="Verdana" w:hAnsi="Verdana"/>
          <w:color w:val="000000" w:themeColor="text1"/>
          <w:sz w:val="20"/>
          <w:szCs w:val="20"/>
          <w:lang w:val="es-ES"/>
        </w:rPr>
        <w:t xml:space="preserve"> que la atención </w:t>
      </w:r>
      <w:r w:rsidR="00CC7574">
        <w:rPr>
          <w:rFonts w:ascii="Verdana" w:hAnsi="Verdana"/>
          <w:color w:val="000000" w:themeColor="text1"/>
          <w:sz w:val="20"/>
          <w:szCs w:val="20"/>
        </w:rPr>
        <w:t xml:space="preserve">psicológica y/o psiquiátrica </w:t>
      </w:r>
      <w:r w:rsidR="002B3C3D">
        <w:rPr>
          <w:rFonts w:ascii="Verdana" w:hAnsi="Verdana"/>
          <w:color w:val="000000" w:themeColor="text1"/>
          <w:sz w:val="20"/>
          <w:szCs w:val="20"/>
          <w:lang w:val="es-ES"/>
        </w:rPr>
        <w:t xml:space="preserve">debe ser brindada “por el tiempo </w:t>
      </w:r>
      <w:r w:rsidR="00E834EE">
        <w:rPr>
          <w:rFonts w:ascii="Verdana" w:hAnsi="Verdana"/>
          <w:color w:val="000000" w:themeColor="text1"/>
          <w:sz w:val="20"/>
          <w:szCs w:val="20"/>
          <w:lang w:val="es-ES"/>
        </w:rPr>
        <w:t xml:space="preserve">que sea </w:t>
      </w:r>
      <w:r w:rsidR="002B3C3D">
        <w:rPr>
          <w:rFonts w:ascii="Verdana" w:hAnsi="Verdana"/>
          <w:color w:val="000000" w:themeColor="text1"/>
          <w:sz w:val="20"/>
          <w:szCs w:val="20"/>
          <w:lang w:val="es-ES"/>
        </w:rPr>
        <w:t>necesario”</w:t>
      </w:r>
      <w:r w:rsidR="00C07DC7">
        <w:rPr>
          <w:rStyle w:val="Refdenotaalpie"/>
          <w:rFonts w:ascii="Verdana" w:hAnsi="Verdana"/>
          <w:color w:val="000000" w:themeColor="text1"/>
          <w:sz w:val="20"/>
          <w:szCs w:val="20"/>
          <w:lang w:val="es-ES"/>
        </w:rPr>
        <w:footnoteReference w:id="10"/>
      </w:r>
      <w:r w:rsidR="002B3C3D">
        <w:rPr>
          <w:rFonts w:ascii="Verdana" w:hAnsi="Verdana"/>
          <w:color w:val="000000" w:themeColor="text1"/>
          <w:sz w:val="20"/>
          <w:szCs w:val="20"/>
          <w:lang w:val="es-ES"/>
        </w:rPr>
        <w:t xml:space="preserve">. La </w:t>
      </w:r>
      <w:r w:rsidR="00D6729D">
        <w:rPr>
          <w:rFonts w:ascii="Verdana" w:hAnsi="Verdana"/>
          <w:color w:val="000000" w:themeColor="text1"/>
          <w:sz w:val="20"/>
          <w:szCs w:val="20"/>
          <w:lang w:val="es-ES"/>
        </w:rPr>
        <w:t>determinación</w:t>
      </w:r>
      <w:r w:rsidR="002B3C3D">
        <w:rPr>
          <w:rFonts w:ascii="Verdana" w:hAnsi="Verdana"/>
          <w:color w:val="000000" w:themeColor="text1"/>
          <w:sz w:val="20"/>
          <w:szCs w:val="20"/>
          <w:lang w:val="es-ES"/>
        </w:rPr>
        <w:t xml:space="preserve"> en </w:t>
      </w:r>
      <w:r w:rsidR="00D6729D">
        <w:rPr>
          <w:rFonts w:ascii="Verdana" w:hAnsi="Verdana"/>
          <w:color w:val="000000" w:themeColor="text1"/>
          <w:sz w:val="20"/>
          <w:szCs w:val="20"/>
          <w:lang w:val="es-ES"/>
        </w:rPr>
        <w:t xml:space="preserve">el caso </w:t>
      </w:r>
      <w:r w:rsidR="002B3C3D">
        <w:rPr>
          <w:rFonts w:ascii="Verdana" w:hAnsi="Verdana"/>
          <w:color w:val="000000" w:themeColor="text1"/>
          <w:sz w:val="20"/>
          <w:szCs w:val="20"/>
          <w:lang w:val="es-ES"/>
        </w:rPr>
        <w:t>concreto del cumplimiento pleno de la medida de rehabilitación será realizada por este Tribunal en la etapa de supervisión de cumplimiento de Sentencia</w:t>
      </w:r>
      <w:r w:rsidR="00D6729D">
        <w:rPr>
          <w:rFonts w:ascii="Verdana" w:hAnsi="Verdana"/>
          <w:color w:val="000000" w:themeColor="text1"/>
          <w:sz w:val="20"/>
          <w:szCs w:val="20"/>
          <w:lang w:val="es-ES"/>
        </w:rPr>
        <w:t xml:space="preserve">, con base en los informes que presente el Estado y las observaciones que </w:t>
      </w:r>
      <w:r w:rsidR="00CD398F">
        <w:rPr>
          <w:rFonts w:ascii="Verdana" w:hAnsi="Verdana"/>
          <w:color w:val="000000" w:themeColor="text1"/>
          <w:sz w:val="20"/>
          <w:szCs w:val="20"/>
          <w:lang w:val="es-ES"/>
        </w:rPr>
        <w:t xml:space="preserve">remitan </w:t>
      </w:r>
      <w:r w:rsidR="00D6729D">
        <w:rPr>
          <w:rFonts w:ascii="Verdana" w:hAnsi="Verdana"/>
          <w:color w:val="000000" w:themeColor="text1"/>
          <w:sz w:val="20"/>
          <w:szCs w:val="20"/>
          <w:lang w:val="es-ES"/>
        </w:rPr>
        <w:t xml:space="preserve">los representantes y la Comisión. </w:t>
      </w:r>
    </w:p>
    <w:p w14:paraId="5B94885B" w14:textId="77777777" w:rsidR="006F2BB2" w:rsidRDefault="006F2BB2" w:rsidP="00030E4B">
      <w:pPr>
        <w:pStyle w:val="Prrafodelista"/>
        <w:spacing w:after="0" w:line="240" w:lineRule="auto"/>
        <w:ind w:left="0"/>
        <w:jc w:val="both"/>
        <w:rPr>
          <w:rFonts w:ascii="Verdana" w:hAnsi="Verdana"/>
          <w:color w:val="000000" w:themeColor="text1"/>
          <w:sz w:val="20"/>
          <w:szCs w:val="20"/>
        </w:rPr>
      </w:pPr>
    </w:p>
    <w:p w14:paraId="11CD7398" w14:textId="0D87CC56" w:rsidR="008B5494" w:rsidRPr="00D506C7" w:rsidRDefault="00674885" w:rsidP="008B5494">
      <w:pPr>
        <w:pStyle w:val="Prrafodelista"/>
        <w:numPr>
          <w:ilvl w:val="0"/>
          <w:numId w:val="2"/>
        </w:numPr>
        <w:spacing w:after="0" w:line="240" w:lineRule="auto"/>
        <w:ind w:left="426"/>
        <w:jc w:val="both"/>
        <w:rPr>
          <w:rFonts w:ascii="Verdana" w:hAnsi="Verdana"/>
          <w:b/>
          <w:i/>
          <w:iCs/>
          <w:color w:val="000000" w:themeColor="text1"/>
          <w:sz w:val="20"/>
          <w:szCs w:val="20"/>
        </w:rPr>
      </w:pPr>
      <w:r>
        <w:rPr>
          <w:rFonts w:ascii="Verdana" w:hAnsi="Verdana"/>
          <w:b/>
          <w:i/>
          <w:iCs/>
          <w:color w:val="000000" w:themeColor="text1"/>
          <w:sz w:val="20"/>
          <w:szCs w:val="20"/>
        </w:rPr>
        <w:t xml:space="preserve">Solicitud de interpretación respecto de </w:t>
      </w:r>
      <w:r w:rsidR="008B5494">
        <w:rPr>
          <w:rFonts w:ascii="Verdana" w:hAnsi="Verdana"/>
          <w:b/>
          <w:i/>
          <w:iCs/>
          <w:color w:val="000000" w:themeColor="text1"/>
          <w:sz w:val="20"/>
          <w:szCs w:val="20"/>
        </w:rPr>
        <w:t>la garantía de no repetición relativa a implementar un plan pedagógico integral en materia de diversidad sexual y de género, igualdad y no discriminación, perspectiva de género y derechos humanos de las personas LGBTIQ+ en el ámbito del co</w:t>
      </w:r>
      <w:r w:rsidR="003072FD">
        <w:rPr>
          <w:rFonts w:ascii="Verdana" w:hAnsi="Verdana"/>
          <w:b/>
          <w:i/>
          <w:iCs/>
          <w:color w:val="000000" w:themeColor="text1"/>
          <w:sz w:val="20"/>
          <w:szCs w:val="20"/>
        </w:rPr>
        <w:t>n</w:t>
      </w:r>
      <w:r w:rsidR="008B5494">
        <w:rPr>
          <w:rFonts w:ascii="Verdana" w:hAnsi="Verdana"/>
          <w:b/>
          <w:i/>
          <w:iCs/>
          <w:color w:val="000000" w:themeColor="text1"/>
          <w:sz w:val="20"/>
          <w:szCs w:val="20"/>
        </w:rPr>
        <w:t>sumo</w:t>
      </w:r>
    </w:p>
    <w:p w14:paraId="11D84D29" w14:textId="77777777" w:rsidR="008B5494" w:rsidRPr="008B7099" w:rsidRDefault="008B5494" w:rsidP="008B5494">
      <w:pPr>
        <w:spacing w:after="0" w:line="240" w:lineRule="auto"/>
        <w:jc w:val="both"/>
        <w:rPr>
          <w:rFonts w:ascii="Verdana" w:hAnsi="Verdana"/>
          <w:b/>
          <w:color w:val="000000" w:themeColor="text1"/>
          <w:sz w:val="20"/>
          <w:szCs w:val="20"/>
        </w:rPr>
      </w:pPr>
    </w:p>
    <w:p w14:paraId="3214E78D" w14:textId="71840FB1" w:rsidR="008B5494" w:rsidRPr="008B7099" w:rsidRDefault="008B5494" w:rsidP="008B5494">
      <w:pPr>
        <w:spacing w:after="0" w:line="240" w:lineRule="auto"/>
        <w:ind w:firstLine="708"/>
        <w:jc w:val="both"/>
        <w:rPr>
          <w:rFonts w:ascii="Verdana" w:hAnsi="Verdana"/>
          <w:i/>
          <w:color w:val="000000" w:themeColor="text1"/>
          <w:sz w:val="20"/>
          <w:szCs w:val="20"/>
        </w:rPr>
      </w:pPr>
      <w:r>
        <w:rPr>
          <w:rFonts w:ascii="Verdana" w:hAnsi="Verdana"/>
          <w:i/>
          <w:color w:val="000000" w:themeColor="text1"/>
          <w:sz w:val="20"/>
          <w:szCs w:val="20"/>
        </w:rPr>
        <w:t>C</w:t>
      </w:r>
      <w:r w:rsidRPr="008B7099">
        <w:rPr>
          <w:rFonts w:ascii="Verdana" w:hAnsi="Verdana"/>
          <w:i/>
          <w:color w:val="000000" w:themeColor="text1"/>
          <w:sz w:val="20"/>
          <w:szCs w:val="20"/>
        </w:rPr>
        <w:t xml:space="preserve">.1. Argumentos de las partes y de la Comisión </w:t>
      </w:r>
    </w:p>
    <w:p w14:paraId="6703D4E7" w14:textId="77777777" w:rsidR="008B5494" w:rsidRPr="008B7099" w:rsidRDefault="008B5494" w:rsidP="008B5494">
      <w:pPr>
        <w:pStyle w:val="Prrafodelista"/>
        <w:spacing w:after="0" w:line="240" w:lineRule="auto"/>
        <w:ind w:left="426"/>
        <w:jc w:val="both"/>
        <w:rPr>
          <w:rFonts w:ascii="Verdana" w:hAnsi="Verdana"/>
          <w:b/>
          <w:color w:val="000000" w:themeColor="text1"/>
          <w:sz w:val="20"/>
          <w:szCs w:val="20"/>
        </w:rPr>
      </w:pPr>
    </w:p>
    <w:p w14:paraId="190B831A" w14:textId="31035B3E" w:rsidR="008B5494" w:rsidRPr="00B77813" w:rsidRDefault="008B5494" w:rsidP="008B5494">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Pr="008B7099">
        <w:rPr>
          <w:rFonts w:ascii="Verdana" w:hAnsi="Verdana"/>
          <w:b/>
          <w:bCs/>
          <w:i/>
          <w:iCs/>
          <w:color w:val="000000" w:themeColor="text1"/>
          <w:sz w:val="20"/>
          <w:szCs w:val="20"/>
        </w:rPr>
        <w:t>Estado</w:t>
      </w:r>
      <w:r w:rsidRPr="008B7099">
        <w:rPr>
          <w:rFonts w:ascii="Verdana" w:hAnsi="Verdana"/>
          <w:color w:val="000000" w:themeColor="text1"/>
          <w:sz w:val="20"/>
          <w:szCs w:val="20"/>
        </w:rPr>
        <w:t xml:space="preserve"> </w:t>
      </w:r>
      <w:r w:rsidR="009C5E97">
        <w:rPr>
          <w:rFonts w:ascii="Verdana" w:hAnsi="Verdana"/>
          <w:color w:val="000000" w:themeColor="text1"/>
          <w:sz w:val="20"/>
          <w:szCs w:val="20"/>
        </w:rPr>
        <w:t>señaló que</w:t>
      </w:r>
      <w:r w:rsidR="00CC7574">
        <w:rPr>
          <w:rFonts w:ascii="Verdana" w:hAnsi="Verdana"/>
          <w:color w:val="000000" w:themeColor="text1"/>
          <w:sz w:val="20"/>
          <w:szCs w:val="20"/>
        </w:rPr>
        <w:t>,</w:t>
      </w:r>
      <w:r w:rsidR="009C5E97">
        <w:rPr>
          <w:rFonts w:ascii="Verdana" w:hAnsi="Verdana"/>
          <w:color w:val="000000" w:themeColor="text1"/>
          <w:sz w:val="20"/>
          <w:szCs w:val="20"/>
        </w:rPr>
        <w:t xml:space="preserve"> en el </w:t>
      </w:r>
      <w:r w:rsidR="00C07DC7">
        <w:rPr>
          <w:rFonts w:ascii="Verdana" w:hAnsi="Verdana"/>
          <w:color w:val="000000" w:themeColor="text1"/>
          <w:sz w:val="20"/>
          <w:szCs w:val="20"/>
        </w:rPr>
        <w:t xml:space="preserve">Punto Resolutivo </w:t>
      </w:r>
      <w:r w:rsidR="009C5E97">
        <w:rPr>
          <w:rFonts w:ascii="Verdana" w:hAnsi="Verdana"/>
          <w:color w:val="000000" w:themeColor="text1"/>
          <w:sz w:val="20"/>
          <w:szCs w:val="20"/>
        </w:rPr>
        <w:t>8 de la Sentencia</w:t>
      </w:r>
      <w:r w:rsidR="00CC7574">
        <w:rPr>
          <w:rFonts w:ascii="Verdana" w:hAnsi="Verdana"/>
          <w:color w:val="000000" w:themeColor="text1"/>
          <w:sz w:val="20"/>
          <w:szCs w:val="20"/>
        </w:rPr>
        <w:t>,</w:t>
      </w:r>
      <w:r w:rsidR="009C5E97">
        <w:rPr>
          <w:rFonts w:ascii="Verdana" w:hAnsi="Verdana"/>
          <w:color w:val="000000" w:themeColor="text1"/>
          <w:sz w:val="20"/>
          <w:szCs w:val="20"/>
        </w:rPr>
        <w:t xml:space="preserve"> la Corte ordenó la implementación de un plan pedagógico integral en materia de diversidad sexual</w:t>
      </w:r>
      <w:r w:rsidR="00945825">
        <w:rPr>
          <w:rFonts w:ascii="Verdana" w:hAnsi="Verdana"/>
          <w:color w:val="000000" w:themeColor="text1"/>
          <w:sz w:val="20"/>
          <w:szCs w:val="20"/>
        </w:rPr>
        <w:t xml:space="preserve"> </w:t>
      </w:r>
      <w:r w:rsidR="00945825" w:rsidRPr="00945825">
        <w:rPr>
          <w:rFonts w:ascii="Verdana" w:hAnsi="Verdana"/>
          <w:color w:val="000000" w:themeColor="text1"/>
          <w:sz w:val="20"/>
          <w:szCs w:val="20"/>
        </w:rPr>
        <w:t>y de género, igualdad y no discriminación, perspectiva de género y derechos humanos</w:t>
      </w:r>
      <w:r w:rsidR="009C5E97">
        <w:rPr>
          <w:rFonts w:ascii="Verdana" w:hAnsi="Verdana"/>
          <w:color w:val="000000" w:themeColor="text1"/>
          <w:sz w:val="20"/>
          <w:szCs w:val="20"/>
        </w:rPr>
        <w:t>, que sea aplicable al ámbito del consumo, así como en los cursos de formación de autoridades administrativas y judiciales. Al respecto, indicó que el término “plan pedagógico” podría estar destinado a situaciones de “aprendizaje y sensibilización”</w:t>
      </w:r>
      <w:r w:rsidR="00945825">
        <w:rPr>
          <w:rFonts w:ascii="Verdana" w:hAnsi="Verdana"/>
          <w:color w:val="000000" w:themeColor="text1"/>
          <w:sz w:val="20"/>
          <w:szCs w:val="20"/>
        </w:rPr>
        <w:t>. N</w:t>
      </w:r>
      <w:r w:rsidR="009C5E97">
        <w:rPr>
          <w:rFonts w:ascii="Verdana" w:hAnsi="Verdana"/>
          <w:color w:val="000000" w:themeColor="text1"/>
          <w:sz w:val="20"/>
          <w:szCs w:val="20"/>
        </w:rPr>
        <w:t>o obstante, dado que la Corte ordenó que dicho plan sea incorporado</w:t>
      </w:r>
      <w:r w:rsidR="00945825">
        <w:rPr>
          <w:rFonts w:ascii="Verdana" w:hAnsi="Verdana"/>
          <w:color w:val="000000" w:themeColor="text1"/>
          <w:sz w:val="20"/>
          <w:szCs w:val="20"/>
        </w:rPr>
        <w:t xml:space="preserve"> </w:t>
      </w:r>
      <w:r w:rsidR="009C5E97">
        <w:rPr>
          <w:rFonts w:ascii="Verdana" w:hAnsi="Verdana"/>
          <w:color w:val="000000" w:themeColor="text1"/>
          <w:sz w:val="20"/>
          <w:szCs w:val="20"/>
        </w:rPr>
        <w:t>en la formación regular de autoridades administrativas y judiciales</w:t>
      </w:r>
      <w:r w:rsidR="00B77813">
        <w:rPr>
          <w:rFonts w:ascii="Verdana" w:hAnsi="Verdana"/>
          <w:color w:val="000000" w:themeColor="text1"/>
          <w:sz w:val="20"/>
          <w:szCs w:val="20"/>
        </w:rPr>
        <w:t xml:space="preserve">, </w:t>
      </w:r>
      <w:r w:rsidR="00A552BD">
        <w:rPr>
          <w:rFonts w:ascii="Verdana" w:hAnsi="Verdana"/>
          <w:color w:val="000000" w:themeColor="text1"/>
          <w:sz w:val="20"/>
          <w:szCs w:val="20"/>
        </w:rPr>
        <w:t>el Estado señaló</w:t>
      </w:r>
      <w:r w:rsidR="00B77813">
        <w:rPr>
          <w:rFonts w:ascii="Verdana" w:hAnsi="Verdana"/>
          <w:color w:val="000000" w:themeColor="text1"/>
          <w:sz w:val="20"/>
          <w:szCs w:val="20"/>
        </w:rPr>
        <w:t xml:space="preserve"> que el referido plan ostentaría un carácter “técnico, especializado y jurídico”, lo cual resulta</w:t>
      </w:r>
      <w:r w:rsidR="00945825">
        <w:rPr>
          <w:rFonts w:ascii="Verdana" w:hAnsi="Verdana"/>
          <w:color w:val="000000" w:themeColor="text1"/>
          <w:sz w:val="20"/>
          <w:szCs w:val="20"/>
        </w:rPr>
        <w:t>ría</w:t>
      </w:r>
      <w:r w:rsidR="00B77813">
        <w:rPr>
          <w:rFonts w:ascii="Verdana" w:hAnsi="Verdana"/>
          <w:color w:val="000000" w:themeColor="text1"/>
          <w:sz w:val="20"/>
          <w:szCs w:val="20"/>
        </w:rPr>
        <w:t xml:space="preserve"> “distinto a un carácter </w:t>
      </w:r>
      <w:r w:rsidR="00E834EE">
        <w:rPr>
          <w:rFonts w:ascii="Verdana" w:hAnsi="Verdana"/>
          <w:color w:val="000000" w:themeColor="text1"/>
          <w:sz w:val="20"/>
          <w:szCs w:val="20"/>
        </w:rPr>
        <w:t>netamente</w:t>
      </w:r>
      <w:r w:rsidR="00B77813">
        <w:rPr>
          <w:rFonts w:ascii="Verdana" w:hAnsi="Verdana"/>
          <w:color w:val="000000" w:themeColor="text1"/>
          <w:sz w:val="20"/>
          <w:szCs w:val="20"/>
        </w:rPr>
        <w:t xml:space="preserve"> pedagógico”. </w:t>
      </w:r>
    </w:p>
    <w:p w14:paraId="3BF13E59" w14:textId="77777777" w:rsidR="00B77813" w:rsidRPr="00B77813" w:rsidRDefault="00B77813" w:rsidP="00B77813">
      <w:pPr>
        <w:pStyle w:val="Prrafodelista"/>
        <w:spacing w:after="0" w:line="240" w:lineRule="auto"/>
        <w:ind w:left="0"/>
        <w:jc w:val="both"/>
        <w:rPr>
          <w:rFonts w:ascii="Verdana" w:hAnsi="Verdana"/>
          <w:color w:val="000000" w:themeColor="text1"/>
          <w:sz w:val="20"/>
          <w:szCs w:val="20"/>
        </w:rPr>
      </w:pPr>
    </w:p>
    <w:p w14:paraId="69B14679" w14:textId="68F6A719" w:rsidR="008B5494" w:rsidRPr="00B77813" w:rsidRDefault="00B77813" w:rsidP="005B2FE5">
      <w:pPr>
        <w:pStyle w:val="Prrafodelista"/>
        <w:numPr>
          <w:ilvl w:val="0"/>
          <w:numId w:val="1"/>
        </w:numPr>
        <w:spacing w:after="0" w:line="240" w:lineRule="auto"/>
        <w:ind w:left="0" w:firstLine="0"/>
        <w:jc w:val="both"/>
        <w:rPr>
          <w:rFonts w:ascii="Verdana" w:hAnsi="Verdana"/>
          <w:color w:val="000000" w:themeColor="text1"/>
          <w:sz w:val="20"/>
          <w:szCs w:val="20"/>
        </w:rPr>
      </w:pPr>
      <w:r w:rsidRPr="00B77813">
        <w:rPr>
          <w:rFonts w:ascii="Verdana" w:hAnsi="Verdana"/>
          <w:color w:val="000000" w:themeColor="text1"/>
          <w:sz w:val="20"/>
          <w:szCs w:val="20"/>
        </w:rPr>
        <w:t>En tal sentido, solicitó a la Corte que precise si el plan pedagógico ordenado se encuentra dirigido a la enseñanza, a la administración de justicia, o</w:t>
      </w:r>
      <w:r w:rsidR="00A552BD">
        <w:rPr>
          <w:rFonts w:ascii="Verdana" w:hAnsi="Verdana"/>
          <w:color w:val="000000" w:themeColor="text1"/>
          <w:sz w:val="20"/>
          <w:szCs w:val="20"/>
        </w:rPr>
        <w:t xml:space="preserve"> en su defecto,</w:t>
      </w:r>
      <w:r w:rsidRPr="00B77813">
        <w:rPr>
          <w:rFonts w:ascii="Verdana" w:hAnsi="Verdana"/>
          <w:color w:val="000000" w:themeColor="text1"/>
          <w:sz w:val="20"/>
          <w:szCs w:val="20"/>
        </w:rPr>
        <w:t xml:space="preserve"> a ambas situaciones. Indicó que lo anterior adquiere relevancia </w:t>
      </w:r>
      <w:r w:rsidR="00A552BD">
        <w:rPr>
          <w:rFonts w:ascii="Verdana" w:hAnsi="Verdana"/>
          <w:color w:val="000000" w:themeColor="text1"/>
          <w:sz w:val="20"/>
          <w:szCs w:val="20"/>
        </w:rPr>
        <w:t xml:space="preserve">debido a </w:t>
      </w:r>
      <w:r w:rsidRPr="00B77813">
        <w:rPr>
          <w:rFonts w:ascii="Verdana" w:hAnsi="Verdana"/>
          <w:color w:val="000000" w:themeColor="text1"/>
          <w:sz w:val="20"/>
          <w:szCs w:val="20"/>
        </w:rPr>
        <w:t>que el plan pedagógico coexistiría con el Plan Nacional de Acción de Empresas y Derechos Humanos (2021-2025)</w:t>
      </w:r>
      <w:r w:rsidR="00E834EE">
        <w:rPr>
          <w:rFonts w:ascii="Verdana" w:hAnsi="Verdana"/>
          <w:color w:val="000000" w:themeColor="text1"/>
          <w:sz w:val="20"/>
          <w:szCs w:val="20"/>
        </w:rPr>
        <w:t xml:space="preserve"> (en adelante “el Plan Nacional de Acción”)</w:t>
      </w:r>
      <w:r w:rsidRPr="00B77813">
        <w:rPr>
          <w:rFonts w:ascii="Verdana" w:hAnsi="Verdana"/>
          <w:color w:val="000000" w:themeColor="text1"/>
          <w:sz w:val="20"/>
          <w:szCs w:val="20"/>
        </w:rPr>
        <w:t xml:space="preserve">, el cual contempla lineamientos y acciones para la debida diligencia empresarial en materia de derechos humanos. </w:t>
      </w:r>
    </w:p>
    <w:p w14:paraId="6C73E602" w14:textId="77777777" w:rsidR="00B77813" w:rsidRPr="00B77813" w:rsidRDefault="00B77813" w:rsidP="00B77813">
      <w:pPr>
        <w:pStyle w:val="Prrafodelista"/>
        <w:spacing w:after="0" w:line="240" w:lineRule="auto"/>
        <w:ind w:left="0"/>
        <w:jc w:val="both"/>
        <w:rPr>
          <w:rFonts w:ascii="Verdana" w:hAnsi="Verdana"/>
          <w:color w:val="000000" w:themeColor="text1"/>
          <w:sz w:val="20"/>
          <w:szCs w:val="20"/>
        </w:rPr>
      </w:pPr>
    </w:p>
    <w:p w14:paraId="50E97B7A" w14:textId="3E6DC1D9" w:rsidR="008B5494" w:rsidRPr="008B7099" w:rsidRDefault="008B5494" w:rsidP="008B5494">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L</w:t>
      </w:r>
      <w:r>
        <w:rPr>
          <w:rFonts w:ascii="Verdana" w:hAnsi="Verdana"/>
          <w:color w:val="000000" w:themeColor="text1"/>
          <w:sz w:val="20"/>
          <w:szCs w:val="20"/>
        </w:rPr>
        <w:t>os</w:t>
      </w:r>
      <w:r w:rsidRPr="008B7099">
        <w:rPr>
          <w:rFonts w:ascii="Verdana" w:hAnsi="Verdana"/>
          <w:color w:val="000000" w:themeColor="text1"/>
          <w:sz w:val="20"/>
          <w:szCs w:val="20"/>
        </w:rPr>
        <w:t xml:space="preserve"> </w:t>
      </w:r>
      <w:r w:rsidRPr="008B7099">
        <w:rPr>
          <w:rFonts w:ascii="Verdana" w:hAnsi="Verdana"/>
          <w:b/>
          <w:bCs/>
          <w:i/>
          <w:iCs/>
          <w:color w:val="000000" w:themeColor="text1"/>
          <w:sz w:val="20"/>
          <w:szCs w:val="20"/>
        </w:rPr>
        <w:t>representante</w:t>
      </w:r>
      <w:r>
        <w:rPr>
          <w:rFonts w:ascii="Verdana" w:hAnsi="Verdana"/>
          <w:b/>
          <w:bCs/>
          <w:i/>
          <w:iCs/>
          <w:color w:val="000000" w:themeColor="text1"/>
          <w:sz w:val="20"/>
          <w:szCs w:val="20"/>
        </w:rPr>
        <w:t>s</w:t>
      </w:r>
      <w:r w:rsidRPr="008B7099">
        <w:rPr>
          <w:rFonts w:ascii="Verdana" w:hAnsi="Verdana"/>
          <w:b/>
          <w:bCs/>
          <w:i/>
          <w:iCs/>
          <w:color w:val="000000" w:themeColor="text1"/>
          <w:sz w:val="20"/>
          <w:szCs w:val="20"/>
        </w:rPr>
        <w:t xml:space="preserve"> </w:t>
      </w:r>
      <w:r w:rsidR="00FC6636" w:rsidRPr="00FC6636">
        <w:rPr>
          <w:rFonts w:ascii="Verdana" w:hAnsi="Verdana"/>
          <w:color w:val="000000" w:themeColor="text1"/>
          <w:sz w:val="20"/>
          <w:szCs w:val="20"/>
        </w:rPr>
        <w:t>indicaron que</w:t>
      </w:r>
      <w:r w:rsidR="00FC6636">
        <w:rPr>
          <w:rFonts w:ascii="Verdana" w:hAnsi="Verdana"/>
          <w:i/>
          <w:iCs/>
          <w:color w:val="000000" w:themeColor="text1"/>
          <w:sz w:val="20"/>
          <w:szCs w:val="20"/>
        </w:rPr>
        <w:t xml:space="preserve"> </w:t>
      </w:r>
      <w:r w:rsidR="00FC6636">
        <w:rPr>
          <w:rFonts w:ascii="Verdana" w:hAnsi="Verdana"/>
          <w:color w:val="000000" w:themeColor="text1"/>
          <w:sz w:val="20"/>
          <w:szCs w:val="20"/>
        </w:rPr>
        <w:t xml:space="preserve">la Corte precisó con claridad </w:t>
      </w:r>
      <w:r w:rsidR="00A552BD">
        <w:rPr>
          <w:rFonts w:ascii="Verdana" w:hAnsi="Verdana"/>
          <w:color w:val="000000" w:themeColor="text1"/>
          <w:sz w:val="20"/>
          <w:szCs w:val="20"/>
        </w:rPr>
        <w:t xml:space="preserve">en la Sentencia </w:t>
      </w:r>
      <w:r w:rsidR="00FC6636">
        <w:rPr>
          <w:rFonts w:ascii="Verdana" w:hAnsi="Verdana"/>
          <w:color w:val="000000" w:themeColor="text1"/>
          <w:sz w:val="20"/>
          <w:szCs w:val="20"/>
        </w:rPr>
        <w:t xml:space="preserve">el contenido y alcance del plan pedagógico, así como el público al que se dirige. </w:t>
      </w:r>
      <w:r w:rsidR="00A4434F">
        <w:rPr>
          <w:rFonts w:ascii="Verdana" w:hAnsi="Verdana"/>
          <w:color w:val="000000" w:themeColor="text1"/>
          <w:sz w:val="20"/>
          <w:szCs w:val="20"/>
        </w:rPr>
        <w:t>Señalaron</w:t>
      </w:r>
      <w:r w:rsidR="00FC6636">
        <w:rPr>
          <w:rFonts w:ascii="Verdana" w:hAnsi="Verdana"/>
          <w:color w:val="000000" w:themeColor="text1"/>
          <w:sz w:val="20"/>
          <w:szCs w:val="20"/>
        </w:rPr>
        <w:t xml:space="preserve"> que la valoración sobre si el Plan Nacional de Acción cumple con los alcances de la medida de reparación </w:t>
      </w:r>
      <w:r w:rsidR="00FC6636">
        <w:rPr>
          <w:rFonts w:ascii="Verdana" w:hAnsi="Verdana"/>
          <w:color w:val="000000" w:themeColor="text1"/>
          <w:sz w:val="20"/>
          <w:szCs w:val="20"/>
        </w:rPr>
        <w:lastRenderedPageBreak/>
        <w:t xml:space="preserve">ordenada constituye una controversia que debe ser dilucidada en </w:t>
      </w:r>
      <w:r w:rsidR="00513930">
        <w:rPr>
          <w:rFonts w:ascii="Verdana" w:hAnsi="Verdana"/>
          <w:color w:val="000000" w:themeColor="text1"/>
          <w:sz w:val="20"/>
          <w:szCs w:val="20"/>
        </w:rPr>
        <w:t xml:space="preserve">la etapa de </w:t>
      </w:r>
      <w:r w:rsidR="00FC6636">
        <w:rPr>
          <w:rFonts w:ascii="Verdana" w:hAnsi="Verdana"/>
          <w:color w:val="000000" w:themeColor="text1"/>
          <w:sz w:val="20"/>
          <w:szCs w:val="20"/>
        </w:rPr>
        <w:t>supervisión de cumplimiento de Sentencia.</w:t>
      </w:r>
      <w:r w:rsidR="00513930">
        <w:rPr>
          <w:rFonts w:ascii="Verdana" w:hAnsi="Verdana"/>
          <w:color w:val="000000" w:themeColor="text1"/>
          <w:sz w:val="20"/>
          <w:szCs w:val="20"/>
        </w:rPr>
        <w:t xml:space="preserve"> </w:t>
      </w:r>
      <w:r w:rsidR="00A4434F">
        <w:rPr>
          <w:rFonts w:ascii="Verdana" w:hAnsi="Verdana"/>
          <w:color w:val="000000" w:themeColor="text1"/>
          <w:sz w:val="20"/>
          <w:szCs w:val="20"/>
        </w:rPr>
        <w:t>Asimismo,</w:t>
      </w:r>
      <w:r w:rsidR="00403A0C">
        <w:rPr>
          <w:rFonts w:ascii="Verdana" w:hAnsi="Verdana"/>
          <w:color w:val="000000" w:themeColor="text1"/>
          <w:sz w:val="20"/>
          <w:szCs w:val="20"/>
        </w:rPr>
        <w:t xml:space="preserve"> argumentaron que la Corte ya valoró </w:t>
      </w:r>
      <w:r w:rsidR="00A552BD">
        <w:rPr>
          <w:rFonts w:ascii="Verdana" w:hAnsi="Verdana"/>
          <w:color w:val="000000" w:themeColor="text1"/>
          <w:sz w:val="20"/>
          <w:szCs w:val="20"/>
        </w:rPr>
        <w:t>el</w:t>
      </w:r>
      <w:r w:rsidR="00403A0C">
        <w:rPr>
          <w:rFonts w:ascii="Verdana" w:hAnsi="Verdana"/>
          <w:color w:val="000000" w:themeColor="text1"/>
          <w:sz w:val="20"/>
          <w:szCs w:val="20"/>
        </w:rPr>
        <w:t xml:space="preserve"> Plan Nacional de Acción en el párrafo 151 de la Sentencia, por lo que la solicitud de interpretación pretende reintroducir en el debate un aspecto que ya fue </w:t>
      </w:r>
      <w:r w:rsidR="00A552BD">
        <w:rPr>
          <w:rFonts w:ascii="Verdana" w:hAnsi="Verdana"/>
          <w:color w:val="000000" w:themeColor="text1"/>
          <w:sz w:val="20"/>
          <w:szCs w:val="20"/>
        </w:rPr>
        <w:t>considerado</w:t>
      </w:r>
      <w:r w:rsidR="00403A0C">
        <w:rPr>
          <w:rFonts w:ascii="Verdana" w:hAnsi="Verdana"/>
          <w:color w:val="000000" w:themeColor="text1"/>
          <w:sz w:val="20"/>
          <w:szCs w:val="20"/>
        </w:rPr>
        <w:t xml:space="preserve"> por el Tribunal. Finalmente </w:t>
      </w:r>
      <w:r w:rsidR="00E834EE">
        <w:rPr>
          <w:rFonts w:ascii="Verdana" w:hAnsi="Verdana"/>
          <w:color w:val="000000" w:themeColor="text1"/>
          <w:sz w:val="20"/>
          <w:szCs w:val="20"/>
        </w:rPr>
        <w:t>arguyeron</w:t>
      </w:r>
      <w:r w:rsidR="00A552BD">
        <w:rPr>
          <w:rFonts w:ascii="Verdana" w:hAnsi="Verdana"/>
          <w:color w:val="000000" w:themeColor="text1"/>
          <w:sz w:val="20"/>
          <w:szCs w:val="20"/>
        </w:rPr>
        <w:t>,</w:t>
      </w:r>
      <w:r w:rsidR="00403A0C">
        <w:rPr>
          <w:rFonts w:ascii="Verdana" w:hAnsi="Verdana"/>
          <w:color w:val="000000" w:themeColor="text1"/>
          <w:sz w:val="20"/>
          <w:szCs w:val="20"/>
        </w:rPr>
        <w:t xml:space="preserve"> con carácter subsidiario</w:t>
      </w:r>
      <w:r w:rsidR="00A552BD">
        <w:rPr>
          <w:rFonts w:ascii="Verdana" w:hAnsi="Verdana"/>
          <w:color w:val="000000" w:themeColor="text1"/>
          <w:sz w:val="20"/>
          <w:szCs w:val="20"/>
        </w:rPr>
        <w:t>,</w:t>
      </w:r>
      <w:r w:rsidR="00403A0C">
        <w:rPr>
          <w:rFonts w:ascii="Verdana" w:hAnsi="Verdana"/>
          <w:color w:val="000000" w:themeColor="text1"/>
          <w:sz w:val="20"/>
          <w:szCs w:val="20"/>
        </w:rPr>
        <w:t xml:space="preserve"> que el Plan Nacional de Acción no es equiparable a la medida de reparación ordenada por medio del </w:t>
      </w:r>
      <w:r w:rsidR="00C07DC7">
        <w:rPr>
          <w:rFonts w:ascii="Verdana" w:hAnsi="Verdana"/>
          <w:color w:val="000000" w:themeColor="text1"/>
          <w:sz w:val="20"/>
          <w:szCs w:val="20"/>
        </w:rPr>
        <w:t>Punto Resolutivo</w:t>
      </w:r>
      <w:r w:rsidR="00522781">
        <w:rPr>
          <w:rFonts w:ascii="Verdana" w:hAnsi="Verdana"/>
          <w:color w:val="000000" w:themeColor="text1"/>
          <w:sz w:val="20"/>
          <w:szCs w:val="20"/>
        </w:rPr>
        <w:t xml:space="preserve"> </w:t>
      </w:r>
      <w:r w:rsidR="00403A0C">
        <w:rPr>
          <w:rFonts w:ascii="Verdana" w:hAnsi="Verdana"/>
          <w:color w:val="000000" w:themeColor="text1"/>
          <w:sz w:val="20"/>
          <w:szCs w:val="20"/>
        </w:rPr>
        <w:t>8</w:t>
      </w:r>
      <w:r w:rsidR="00A552BD">
        <w:rPr>
          <w:rFonts w:ascii="Verdana" w:hAnsi="Verdana"/>
          <w:color w:val="000000" w:themeColor="text1"/>
          <w:sz w:val="20"/>
          <w:szCs w:val="20"/>
        </w:rPr>
        <w:t>, debido a que posee una naturaleza, contenido, público meta y alcance diferentes.</w:t>
      </w:r>
      <w:r w:rsidR="00403A0C">
        <w:rPr>
          <w:rFonts w:ascii="Verdana" w:hAnsi="Verdana"/>
          <w:color w:val="000000" w:themeColor="text1"/>
          <w:sz w:val="20"/>
          <w:szCs w:val="20"/>
        </w:rPr>
        <w:t xml:space="preserve"> </w:t>
      </w:r>
    </w:p>
    <w:p w14:paraId="2832EA43" w14:textId="77777777" w:rsidR="008B5494" w:rsidRPr="008B7099" w:rsidRDefault="008B5494" w:rsidP="008B5494">
      <w:pPr>
        <w:autoSpaceDE w:val="0"/>
        <w:autoSpaceDN w:val="0"/>
        <w:adjustRightInd w:val="0"/>
        <w:spacing w:after="0" w:line="240" w:lineRule="auto"/>
        <w:rPr>
          <w:rFonts w:ascii="Verdana" w:hAnsi="Verdana"/>
          <w:color w:val="000000" w:themeColor="text1"/>
          <w:sz w:val="20"/>
          <w:szCs w:val="20"/>
        </w:rPr>
      </w:pPr>
    </w:p>
    <w:p w14:paraId="4451D83E" w14:textId="2DEE2192" w:rsidR="008B5494" w:rsidRPr="008B7099" w:rsidRDefault="008B5494" w:rsidP="008B5494">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La </w:t>
      </w:r>
      <w:r w:rsidRPr="008B7099">
        <w:rPr>
          <w:rFonts w:ascii="Verdana" w:hAnsi="Verdana"/>
          <w:b/>
          <w:bCs/>
          <w:i/>
          <w:iCs/>
          <w:color w:val="000000" w:themeColor="text1"/>
          <w:sz w:val="20"/>
          <w:szCs w:val="20"/>
        </w:rPr>
        <w:t>Comisión</w:t>
      </w:r>
      <w:r w:rsidRPr="008B7099">
        <w:rPr>
          <w:rFonts w:ascii="Verdana" w:hAnsi="Verdana"/>
          <w:color w:val="000000" w:themeColor="text1"/>
          <w:sz w:val="20"/>
          <w:szCs w:val="20"/>
        </w:rPr>
        <w:t xml:space="preserve"> </w:t>
      </w:r>
      <w:r w:rsidR="00403A0C">
        <w:rPr>
          <w:rFonts w:ascii="Verdana" w:hAnsi="Verdana"/>
          <w:color w:val="000000" w:themeColor="text1"/>
          <w:sz w:val="20"/>
          <w:szCs w:val="20"/>
        </w:rPr>
        <w:t xml:space="preserve">señaló que, con independencia de la nomenclatura utilizada en cuanto a la terminología “plan pedagógico”, de la lectura del párrafo 155 y el </w:t>
      </w:r>
      <w:r w:rsidR="00C07DC7">
        <w:rPr>
          <w:rFonts w:ascii="Verdana" w:hAnsi="Verdana"/>
          <w:color w:val="000000" w:themeColor="text1"/>
          <w:sz w:val="20"/>
          <w:szCs w:val="20"/>
        </w:rPr>
        <w:t>Punto Resolutivo</w:t>
      </w:r>
      <w:r w:rsidR="00522781">
        <w:rPr>
          <w:rFonts w:ascii="Verdana" w:hAnsi="Verdana"/>
          <w:color w:val="000000" w:themeColor="text1"/>
          <w:sz w:val="20"/>
          <w:szCs w:val="20"/>
        </w:rPr>
        <w:t xml:space="preserve"> </w:t>
      </w:r>
      <w:r w:rsidR="00403A0C">
        <w:rPr>
          <w:rFonts w:ascii="Verdana" w:hAnsi="Verdana"/>
          <w:color w:val="000000" w:themeColor="text1"/>
          <w:sz w:val="20"/>
          <w:szCs w:val="20"/>
        </w:rPr>
        <w:t xml:space="preserve">8 </w:t>
      </w:r>
      <w:r w:rsidR="001B44DA">
        <w:rPr>
          <w:rFonts w:ascii="Verdana" w:hAnsi="Verdana"/>
          <w:color w:val="000000" w:themeColor="text1"/>
          <w:sz w:val="20"/>
          <w:szCs w:val="20"/>
        </w:rPr>
        <w:t>de la Sentencia es claro e</w:t>
      </w:r>
      <w:r w:rsidR="00490A09">
        <w:rPr>
          <w:rFonts w:ascii="Verdana" w:hAnsi="Verdana"/>
          <w:color w:val="000000" w:themeColor="text1"/>
          <w:sz w:val="20"/>
          <w:szCs w:val="20"/>
        </w:rPr>
        <w:t>l</w:t>
      </w:r>
      <w:r w:rsidR="001B44DA">
        <w:rPr>
          <w:rFonts w:ascii="Verdana" w:hAnsi="Verdana"/>
          <w:color w:val="000000" w:themeColor="text1"/>
          <w:sz w:val="20"/>
          <w:szCs w:val="20"/>
        </w:rPr>
        <w:t xml:space="preserve"> sentido de la medida reparación en cuanto a su contenido, destinatarios y alcance, por lo que consideró que la solicitud respecto de dicho extremo es improcedente. </w:t>
      </w:r>
    </w:p>
    <w:p w14:paraId="12E19C71" w14:textId="77777777" w:rsidR="008B5494" w:rsidRPr="008B7099" w:rsidRDefault="008B5494" w:rsidP="008B5494">
      <w:pPr>
        <w:spacing w:after="0" w:line="240" w:lineRule="auto"/>
        <w:ind w:firstLine="708"/>
        <w:jc w:val="both"/>
        <w:rPr>
          <w:rFonts w:ascii="Verdana" w:hAnsi="Verdana"/>
          <w:i/>
          <w:color w:val="000000" w:themeColor="text1"/>
          <w:sz w:val="20"/>
          <w:szCs w:val="20"/>
        </w:rPr>
      </w:pPr>
    </w:p>
    <w:p w14:paraId="743B4D53" w14:textId="27E33306" w:rsidR="008B5494" w:rsidRDefault="008B5494" w:rsidP="008B5494">
      <w:pPr>
        <w:spacing w:after="0" w:line="240" w:lineRule="auto"/>
        <w:ind w:firstLine="708"/>
        <w:jc w:val="both"/>
        <w:rPr>
          <w:rFonts w:ascii="Verdana" w:hAnsi="Verdana"/>
          <w:i/>
          <w:color w:val="000000" w:themeColor="text1"/>
          <w:sz w:val="20"/>
          <w:szCs w:val="20"/>
        </w:rPr>
      </w:pPr>
      <w:r>
        <w:rPr>
          <w:rFonts w:ascii="Verdana" w:hAnsi="Verdana"/>
          <w:i/>
          <w:color w:val="000000" w:themeColor="text1"/>
          <w:sz w:val="20"/>
          <w:szCs w:val="20"/>
        </w:rPr>
        <w:t>C</w:t>
      </w:r>
      <w:r w:rsidRPr="008B7099">
        <w:rPr>
          <w:rFonts w:ascii="Verdana" w:hAnsi="Verdana"/>
          <w:i/>
          <w:color w:val="000000" w:themeColor="text1"/>
          <w:sz w:val="20"/>
          <w:szCs w:val="20"/>
        </w:rPr>
        <w:t xml:space="preserve">.2. Consideraciones de la Corte </w:t>
      </w:r>
    </w:p>
    <w:p w14:paraId="468BD07D" w14:textId="77777777" w:rsidR="002B3C3D" w:rsidRDefault="002B3C3D" w:rsidP="008B5494">
      <w:pPr>
        <w:spacing w:after="0" w:line="240" w:lineRule="auto"/>
        <w:ind w:firstLine="708"/>
        <w:jc w:val="both"/>
        <w:rPr>
          <w:rFonts w:ascii="Verdana" w:hAnsi="Verdana"/>
          <w:i/>
          <w:color w:val="000000" w:themeColor="text1"/>
          <w:sz w:val="20"/>
          <w:szCs w:val="20"/>
        </w:rPr>
      </w:pPr>
    </w:p>
    <w:p w14:paraId="74961C4E" w14:textId="68DD8DCF" w:rsidR="002B3C3D" w:rsidRDefault="00490A09" w:rsidP="00145CBA">
      <w:pPr>
        <w:pStyle w:val="Prrafodelista"/>
        <w:numPr>
          <w:ilvl w:val="0"/>
          <w:numId w:val="1"/>
        </w:numPr>
        <w:spacing w:after="0" w:line="240" w:lineRule="auto"/>
        <w:ind w:left="0" w:firstLine="0"/>
        <w:jc w:val="both"/>
        <w:rPr>
          <w:rFonts w:ascii="Verdana" w:hAnsi="Verdana"/>
          <w:iCs/>
          <w:color w:val="000000" w:themeColor="text1"/>
          <w:sz w:val="20"/>
          <w:szCs w:val="20"/>
        </w:rPr>
      </w:pPr>
      <w:r w:rsidRPr="00145CBA">
        <w:rPr>
          <w:rFonts w:ascii="Verdana" w:hAnsi="Verdana"/>
          <w:color w:val="000000" w:themeColor="text1"/>
          <w:sz w:val="20"/>
          <w:szCs w:val="20"/>
        </w:rPr>
        <w:t>En</w:t>
      </w:r>
      <w:r>
        <w:rPr>
          <w:rFonts w:ascii="Verdana" w:hAnsi="Verdana"/>
          <w:iCs/>
          <w:color w:val="000000" w:themeColor="text1"/>
          <w:sz w:val="20"/>
          <w:szCs w:val="20"/>
        </w:rPr>
        <w:t xml:space="preserve"> lo que concierne a la medida de reparación ordenada </w:t>
      </w:r>
      <w:r w:rsidR="00DE70D8">
        <w:rPr>
          <w:rFonts w:ascii="Verdana" w:hAnsi="Verdana"/>
          <w:iCs/>
          <w:color w:val="000000" w:themeColor="text1"/>
          <w:sz w:val="20"/>
          <w:szCs w:val="20"/>
        </w:rPr>
        <w:t xml:space="preserve">en </w:t>
      </w:r>
      <w:r>
        <w:rPr>
          <w:rFonts w:ascii="Verdana" w:hAnsi="Verdana"/>
          <w:iCs/>
          <w:color w:val="000000" w:themeColor="text1"/>
          <w:sz w:val="20"/>
          <w:szCs w:val="20"/>
        </w:rPr>
        <w:t xml:space="preserve">la Sentencia y que es objeto de la solicitud de </w:t>
      </w:r>
      <w:r w:rsidRPr="00945825">
        <w:rPr>
          <w:rFonts w:ascii="Verdana" w:hAnsi="Verdana"/>
          <w:color w:val="000000" w:themeColor="text1"/>
          <w:sz w:val="20"/>
          <w:szCs w:val="20"/>
        </w:rPr>
        <w:t>interpretación</w:t>
      </w:r>
      <w:r>
        <w:rPr>
          <w:rFonts w:ascii="Verdana" w:hAnsi="Verdana"/>
          <w:iCs/>
          <w:color w:val="000000" w:themeColor="text1"/>
          <w:sz w:val="20"/>
          <w:szCs w:val="20"/>
        </w:rPr>
        <w:t xml:space="preserve"> </w:t>
      </w:r>
      <w:r w:rsidRPr="00945825">
        <w:rPr>
          <w:rFonts w:ascii="Verdana" w:hAnsi="Verdana"/>
          <w:color w:val="000000" w:themeColor="text1"/>
          <w:sz w:val="20"/>
          <w:szCs w:val="20"/>
        </w:rPr>
        <w:t>por</w:t>
      </w:r>
      <w:r>
        <w:rPr>
          <w:rFonts w:ascii="Verdana" w:hAnsi="Verdana"/>
          <w:iCs/>
          <w:color w:val="000000" w:themeColor="text1"/>
          <w:sz w:val="20"/>
          <w:szCs w:val="20"/>
        </w:rPr>
        <w:t xml:space="preserve"> parte del Estado, </w:t>
      </w:r>
      <w:r w:rsidR="00CE05B6">
        <w:rPr>
          <w:rFonts w:ascii="Verdana" w:hAnsi="Verdana"/>
          <w:iCs/>
          <w:color w:val="000000" w:themeColor="text1"/>
          <w:sz w:val="20"/>
          <w:szCs w:val="20"/>
        </w:rPr>
        <w:t>la Corte</w:t>
      </w:r>
      <w:r>
        <w:rPr>
          <w:rFonts w:ascii="Verdana" w:hAnsi="Verdana"/>
          <w:iCs/>
          <w:color w:val="000000" w:themeColor="text1"/>
          <w:sz w:val="20"/>
          <w:szCs w:val="20"/>
        </w:rPr>
        <w:t xml:space="preserve"> recuerda que el </w:t>
      </w:r>
      <w:r w:rsidR="00C07DC7">
        <w:rPr>
          <w:rFonts w:ascii="Verdana" w:hAnsi="Verdana"/>
          <w:iCs/>
          <w:color w:val="000000" w:themeColor="text1"/>
          <w:sz w:val="20"/>
          <w:szCs w:val="20"/>
        </w:rPr>
        <w:t>Punto Resolutivo</w:t>
      </w:r>
      <w:r w:rsidR="00522781">
        <w:rPr>
          <w:rFonts w:ascii="Verdana" w:hAnsi="Verdana"/>
          <w:iCs/>
          <w:color w:val="000000" w:themeColor="text1"/>
          <w:sz w:val="20"/>
          <w:szCs w:val="20"/>
        </w:rPr>
        <w:t xml:space="preserve"> </w:t>
      </w:r>
      <w:r w:rsidR="004B695A">
        <w:rPr>
          <w:rFonts w:ascii="Verdana" w:hAnsi="Verdana"/>
          <w:iCs/>
          <w:color w:val="000000" w:themeColor="text1"/>
          <w:sz w:val="20"/>
          <w:szCs w:val="20"/>
        </w:rPr>
        <w:t xml:space="preserve">8 </w:t>
      </w:r>
      <w:r>
        <w:rPr>
          <w:rFonts w:ascii="Verdana" w:hAnsi="Verdana"/>
          <w:iCs/>
          <w:color w:val="000000" w:themeColor="text1"/>
          <w:sz w:val="20"/>
          <w:szCs w:val="20"/>
        </w:rPr>
        <w:t xml:space="preserve">de dicha Sentencia dispuso lo siguiente: </w:t>
      </w:r>
    </w:p>
    <w:p w14:paraId="098D58A4" w14:textId="77777777" w:rsidR="00490A09" w:rsidRDefault="00490A09" w:rsidP="008B5494">
      <w:pPr>
        <w:spacing w:after="0" w:line="240" w:lineRule="auto"/>
        <w:ind w:firstLine="708"/>
        <w:jc w:val="both"/>
        <w:rPr>
          <w:rFonts w:ascii="Verdana" w:hAnsi="Verdana"/>
          <w:iCs/>
          <w:color w:val="000000" w:themeColor="text1"/>
          <w:sz w:val="20"/>
          <w:szCs w:val="20"/>
        </w:rPr>
      </w:pPr>
    </w:p>
    <w:p w14:paraId="19146B29" w14:textId="394458D6" w:rsidR="00945825" w:rsidRPr="00145CBA" w:rsidRDefault="00145CBA" w:rsidP="00145CBA">
      <w:pPr>
        <w:tabs>
          <w:tab w:val="num" w:pos="1569"/>
          <w:tab w:val="num" w:pos="12305"/>
        </w:tabs>
        <w:spacing w:after="0" w:line="240" w:lineRule="auto"/>
        <w:ind w:left="851" w:right="815"/>
        <w:jc w:val="both"/>
        <w:rPr>
          <w:rFonts w:ascii="Verdana" w:hAnsi="Verdana"/>
          <w:sz w:val="18"/>
          <w:szCs w:val="18"/>
          <w:lang w:val="es-ES"/>
        </w:rPr>
      </w:pPr>
      <w:r w:rsidRPr="00145CBA">
        <w:rPr>
          <w:rFonts w:ascii="Verdana" w:hAnsi="Verdana"/>
          <w:sz w:val="18"/>
          <w:szCs w:val="18"/>
          <w:lang w:val="es-ES"/>
        </w:rPr>
        <w:t>El Estado elaborará un plan pedagógico integral en materia de diversidad sexual y de género, igualdad y no discriminación, perspectiva de género y derechos humanos de las personas LGBTIQ+ en el ámbito de consumo, el cual deberá ser incorporado en los cursos de formación regular de autoridades administrativas y judiciales y de cualquier otro órgano que ejerza funciones relativas a velar por el cumplimiento de la normativa interna en este ámbito, así como un manual de razonamiento jurídico sobre los estándares interamericanos en casos de discriminación hacia personas LGBTIQ+, en los términos del párrafo 155 de esta Sentencia</w:t>
      </w:r>
      <w:r w:rsidR="00945825">
        <w:rPr>
          <w:rFonts w:ascii="Verdana" w:hAnsi="Verdana"/>
          <w:i/>
          <w:color w:val="000000" w:themeColor="text1"/>
          <w:sz w:val="20"/>
          <w:szCs w:val="20"/>
        </w:rPr>
        <w:t xml:space="preserve">. </w:t>
      </w:r>
    </w:p>
    <w:p w14:paraId="1268998A" w14:textId="77777777" w:rsidR="00945825" w:rsidRDefault="00945825" w:rsidP="009243DA">
      <w:pPr>
        <w:tabs>
          <w:tab w:val="num" w:pos="1569"/>
          <w:tab w:val="num" w:pos="12305"/>
        </w:tabs>
        <w:spacing w:after="0" w:line="240" w:lineRule="auto"/>
        <w:ind w:left="851" w:right="815"/>
        <w:jc w:val="both"/>
        <w:rPr>
          <w:rFonts w:ascii="Verdana" w:hAnsi="Verdana"/>
          <w:i/>
          <w:color w:val="000000" w:themeColor="text1"/>
          <w:sz w:val="20"/>
          <w:szCs w:val="20"/>
        </w:rPr>
      </w:pPr>
    </w:p>
    <w:p w14:paraId="2B1EA7C9" w14:textId="6B4EE8D5" w:rsidR="00945825" w:rsidRDefault="00945825" w:rsidP="00DC7AF6">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rPr>
        <w:t xml:space="preserve">Asimismo, </w:t>
      </w:r>
      <w:r w:rsidRPr="0008627B">
        <w:rPr>
          <w:rFonts w:ascii="Verdana" w:hAnsi="Verdana"/>
          <w:color w:val="000000" w:themeColor="text1"/>
          <w:sz w:val="20"/>
          <w:szCs w:val="20"/>
        </w:rPr>
        <w:t xml:space="preserve">y en tanto es relevante a efectos de resolver la presente solicitud de interpretación, el Tribunal también recuerda que el párrafo 155 de la mencionada Sentencia añade que, en el marco de dicho plan pedagógico, el Estado deberá en el plazo de un año, </w:t>
      </w:r>
      <w:r w:rsidR="00682158">
        <w:rPr>
          <w:rFonts w:ascii="Verdana" w:hAnsi="Verdana"/>
          <w:color w:val="000000" w:themeColor="text1"/>
          <w:sz w:val="20"/>
          <w:szCs w:val="20"/>
        </w:rPr>
        <w:t xml:space="preserve">elaborar </w:t>
      </w:r>
      <w:r w:rsidRPr="0008627B">
        <w:rPr>
          <w:rFonts w:ascii="Verdana" w:hAnsi="Verdana"/>
          <w:color w:val="000000" w:themeColor="text1"/>
          <w:sz w:val="20"/>
          <w:szCs w:val="20"/>
        </w:rPr>
        <w:t>un manual de razonamiento jurídico sobre los estándares interamericanos en casos de discriminación hacia personas LGBTIQ+.</w:t>
      </w:r>
    </w:p>
    <w:p w14:paraId="145D244C" w14:textId="77777777" w:rsidR="00945825" w:rsidRDefault="00945825" w:rsidP="009243DA">
      <w:pPr>
        <w:pStyle w:val="Prrafodelista"/>
        <w:spacing w:after="0" w:line="240" w:lineRule="auto"/>
        <w:ind w:left="0"/>
        <w:jc w:val="both"/>
        <w:rPr>
          <w:rFonts w:ascii="Verdana" w:hAnsi="Verdana"/>
          <w:color w:val="000000" w:themeColor="text1"/>
          <w:sz w:val="20"/>
          <w:szCs w:val="20"/>
        </w:rPr>
      </w:pPr>
    </w:p>
    <w:p w14:paraId="20491F2C" w14:textId="2224ABB1" w:rsidR="00CE05B6" w:rsidRDefault="00145CBA" w:rsidP="00945825">
      <w:pPr>
        <w:pStyle w:val="Prrafodelista"/>
        <w:numPr>
          <w:ilvl w:val="0"/>
          <w:numId w:val="1"/>
        </w:numPr>
        <w:spacing w:after="0" w:line="240" w:lineRule="auto"/>
        <w:ind w:left="0" w:firstLine="0"/>
        <w:jc w:val="both"/>
        <w:rPr>
          <w:rFonts w:ascii="Verdana" w:hAnsi="Verdana"/>
          <w:iCs/>
          <w:color w:val="000000" w:themeColor="text1"/>
          <w:sz w:val="20"/>
          <w:szCs w:val="20"/>
        </w:rPr>
      </w:pPr>
      <w:r w:rsidRPr="00945825">
        <w:rPr>
          <w:rFonts w:ascii="Verdana" w:hAnsi="Verdana"/>
          <w:color w:val="000000" w:themeColor="text1"/>
          <w:sz w:val="20"/>
          <w:szCs w:val="20"/>
        </w:rPr>
        <w:t xml:space="preserve">La Corte </w:t>
      </w:r>
      <w:r w:rsidR="0039099D" w:rsidRPr="00945825">
        <w:rPr>
          <w:rFonts w:ascii="Verdana" w:hAnsi="Verdana"/>
          <w:color w:val="000000" w:themeColor="text1"/>
          <w:sz w:val="20"/>
          <w:szCs w:val="20"/>
        </w:rPr>
        <w:t>considera pertinente señalar que</w:t>
      </w:r>
      <w:r w:rsidR="00716143">
        <w:rPr>
          <w:rFonts w:ascii="Verdana" w:hAnsi="Verdana"/>
          <w:color w:val="000000" w:themeColor="text1"/>
          <w:sz w:val="20"/>
          <w:szCs w:val="20"/>
        </w:rPr>
        <w:t>,</w:t>
      </w:r>
      <w:r w:rsidR="0039099D" w:rsidRPr="00945825">
        <w:rPr>
          <w:rFonts w:ascii="Verdana" w:hAnsi="Verdana"/>
          <w:color w:val="000000" w:themeColor="text1"/>
          <w:sz w:val="20"/>
          <w:szCs w:val="20"/>
        </w:rPr>
        <w:t xml:space="preserve"> </w:t>
      </w:r>
      <w:r w:rsidR="00F6289E">
        <w:rPr>
          <w:rFonts w:ascii="Verdana" w:hAnsi="Verdana"/>
          <w:color w:val="000000" w:themeColor="text1"/>
          <w:sz w:val="20"/>
          <w:szCs w:val="20"/>
        </w:rPr>
        <w:t xml:space="preserve">tanto el Punto Resolutivo 8 como </w:t>
      </w:r>
      <w:r w:rsidR="0039099D" w:rsidRPr="00945825">
        <w:rPr>
          <w:rFonts w:ascii="Verdana" w:hAnsi="Verdana"/>
          <w:color w:val="000000" w:themeColor="text1"/>
          <w:sz w:val="20"/>
          <w:szCs w:val="20"/>
        </w:rPr>
        <w:t>el párrafo 155</w:t>
      </w:r>
      <w:r w:rsidR="00F6289E">
        <w:rPr>
          <w:rFonts w:ascii="Verdana" w:hAnsi="Verdana"/>
          <w:color w:val="000000" w:themeColor="text1"/>
          <w:sz w:val="20"/>
          <w:szCs w:val="20"/>
        </w:rPr>
        <w:t>, leídos de forma integral,</w:t>
      </w:r>
      <w:r w:rsidR="0039099D" w:rsidRPr="00945825">
        <w:rPr>
          <w:rFonts w:ascii="Verdana" w:hAnsi="Verdana"/>
          <w:color w:val="000000" w:themeColor="text1"/>
          <w:sz w:val="20"/>
          <w:szCs w:val="20"/>
        </w:rPr>
        <w:t xml:space="preserve"> resulta</w:t>
      </w:r>
      <w:r w:rsidR="00F6289E">
        <w:rPr>
          <w:rFonts w:ascii="Verdana" w:hAnsi="Verdana"/>
          <w:color w:val="000000" w:themeColor="text1"/>
          <w:sz w:val="20"/>
          <w:szCs w:val="20"/>
        </w:rPr>
        <w:t>n</w:t>
      </w:r>
      <w:r w:rsidR="0039099D" w:rsidRPr="00945825">
        <w:rPr>
          <w:rFonts w:ascii="Verdana" w:hAnsi="Verdana"/>
          <w:color w:val="000000" w:themeColor="text1"/>
          <w:sz w:val="20"/>
          <w:szCs w:val="20"/>
        </w:rPr>
        <w:t xml:space="preserve"> claro</w:t>
      </w:r>
      <w:r w:rsidR="00F6289E">
        <w:rPr>
          <w:rFonts w:ascii="Verdana" w:hAnsi="Verdana"/>
          <w:color w:val="000000" w:themeColor="text1"/>
          <w:sz w:val="20"/>
          <w:szCs w:val="20"/>
        </w:rPr>
        <w:t>s</w:t>
      </w:r>
      <w:r w:rsidR="00682158" w:rsidRPr="00682158">
        <w:rPr>
          <w:rFonts w:ascii="Verdana" w:hAnsi="Verdana"/>
          <w:color w:val="000000" w:themeColor="text1"/>
          <w:sz w:val="20"/>
          <w:szCs w:val="20"/>
        </w:rPr>
        <w:t xml:space="preserve"> </w:t>
      </w:r>
      <w:r w:rsidR="00682158" w:rsidRPr="00945825">
        <w:rPr>
          <w:rFonts w:ascii="Verdana" w:hAnsi="Verdana"/>
          <w:color w:val="000000" w:themeColor="text1"/>
          <w:sz w:val="20"/>
          <w:szCs w:val="20"/>
        </w:rPr>
        <w:t>en su literalidad</w:t>
      </w:r>
      <w:r w:rsidR="0039099D" w:rsidRPr="00945825">
        <w:rPr>
          <w:rFonts w:ascii="Verdana" w:hAnsi="Verdana"/>
          <w:color w:val="000000" w:themeColor="text1"/>
          <w:sz w:val="20"/>
          <w:szCs w:val="20"/>
        </w:rPr>
        <w:t xml:space="preserve"> respecto del contenido, alcance y destinatarios</w:t>
      </w:r>
      <w:r w:rsidR="00C81B77" w:rsidRPr="00945825">
        <w:rPr>
          <w:rFonts w:ascii="Verdana" w:hAnsi="Verdana"/>
          <w:color w:val="000000" w:themeColor="text1"/>
          <w:sz w:val="20"/>
          <w:szCs w:val="20"/>
        </w:rPr>
        <w:t xml:space="preserve"> de la medida de reparación ordenada</w:t>
      </w:r>
      <w:r w:rsidR="0039099D" w:rsidRPr="00945825">
        <w:rPr>
          <w:rFonts w:ascii="Verdana" w:hAnsi="Verdana"/>
          <w:color w:val="000000" w:themeColor="text1"/>
          <w:sz w:val="20"/>
          <w:szCs w:val="20"/>
        </w:rPr>
        <w:t xml:space="preserve">. En </w:t>
      </w:r>
      <w:r w:rsidR="00F6289E">
        <w:rPr>
          <w:rFonts w:ascii="Verdana" w:hAnsi="Verdana"/>
          <w:color w:val="000000" w:themeColor="text1"/>
          <w:sz w:val="20"/>
          <w:szCs w:val="20"/>
        </w:rPr>
        <w:t xml:space="preserve">particular, en </w:t>
      </w:r>
      <w:r w:rsidR="0039099D" w:rsidRPr="00945825">
        <w:rPr>
          <w:rFonts w:ascii="Verdana" w:hAnsi="Verdana"/>
          <w:color w:val="000000" w:themeColor="text1"/>
          <w:sz w:val="20"/>
          <w:szCs w:val="20"/>
        </w:rPr>
        <w:t xml:space="preserve">relación </w:t>
      </w:r>
      <w:r w:rsidR="00C81B77" w:rsidRPr="00945825">
        <w:rPr>
          <w:rFonts w:ascii="Verdana" w:hAnsi="Verdana"/>
          <w:color w:val="000000" w:themeColor="text1"/>
          <w:sz w:val="20"/>
          <w:szCs w:val="20"/>
        </w:rPr>
        <w:t>con los destinatarios de la garantía</w:t>
      </w:r>
      <w:r w:rsidR="00C81B77" w:rsidRPr="00CA746B">
        <w:rPr>
          <w:rFonts w:ascii="Verdana" w:hAnsi="Verdana"/>
          <w:iCs/>
          <w:color w:val="000000" w:themeColor="text1"/>
          <w:sz w:val="20"/>
          <w:szCs w:val="20"/>
        </w:rPr>
        <w:t xml:space="preserve"> de no repetición</w:t>
      </w:r>
      <w:r w:rsidR="0039099D" w:rsidRPr="00CA746B">
        <w:rPr>
          <w:rFonts w:ascii="Verdana" w:hAnsi="Verdana"/>
          <w:iCs/>
          <w:color w:val="000000" w:themeColor="text1"/>
          <w:sz w:val="20"/>
          <w:szCs w:val="20"/>
        </w:rPr>
        <w:t xml:space="preserve">, la Corte advierte que, tal y como se desprende del </w:t>
      </w:r>
      <w:r w:rsidR="00513930" w:rsidRPr="00CA746B">
        <w:rPr>
          <w:rFonts w:ascii="Verdana" w:hAnsi="Verdana"/>
          <w:iCs/>
          <w:color w:val="000000" w:themeColor="text1"/>
          <w:sz w:val="20"/>
          <w:szCs w:val="20"/>
        </w:rPr>
        <w:t xml:space="preserve">referido </w:t>
      </w:r>
      <w:r w:rsidR="00C81B77" w:rsidRPr="00CA746B">
        <w:rPr>
          <w:rFonts w:ascii="Verdana" w:hAnsi="Verdana"/>
          <w:iCs/>
          <w:color w:val="000000" w:themeColor="text1"/>
          <w:sz w:val="20"/>
          <w:szCs w:val="20"/>
        </w:rPr>
        <w:t>párrafo</w:t>
      </w:r>
      <w:r w:rsidR="0039099D" w:rsidRPr="00CA746B">
        <w:rPr>
          <w:rFonts w:ascii="Verdana" w:hAnsi="Verdana"/>
          <w:iCs/>
          <w:color w:val="000000" w:themeColor="text1"/>
          <w:sz w:val="20"/>
          <w:szCs w:val="20"/>
        </w:rPr>
        <w:t xml:space="preserve"> 155</w:t>
      </w:r>
      <w:r w:rsidR="00C81B77" w:rsidRPr="00CA746B">
        <w:rPr>
          <w:rFonts w:ascii="Verdana" w:hAnsi="Verdana"/>
          <w:iCs/>
          <w:color w:val="000000" w:themeColor="text1"/>
          <w:sz w:val="20"/>
          <w:szCs w:val="20"/>
        </w:rPr>
        <w:t xml:space="preserve"> de la Sentencia</w:t>
      </w:r>
      <w:r w:rsidR="0039099D" w:rsidRPr="00CA746B">
        <w:rPr>
          <w:rFonts w:ascii="Verdana" w:hAnsi="Verdana"/>
          <w:iCs/>
          <w:color w:val="000000" w:themeColor="text1"/>
          <w:sz w:val="20"/>
          <w:szCs w:val="20"/>
        </w:rPr>
        <w:t xml:space="preserve">, el plan pedagógico integral deberá ser incorporado en los cursos de formación regular </w:t>
      </w:r>
      <w:r w:rsidR="00CE05B6">
        <w:rPr>
          <w:rFonts w:ascii="Verdana" w:hAnsi="Verdana"/>
          <w:iCs/>
          <w:color w:val="000000" w:themeColor="text1"/>
          <w:sz w:val="20"/>
          <w:szCs w:val="20"/>
        </w:rPr>
        <w:t xml:space="preserve">dirigidos a </w:t>
      </w:r>
      <w:r w:rsidR="00C81B77" w:rsidRPr="00CA746B">
        <w:rPr>
          <w:rFonts w:ascii="Verdana" w:hAnsi="Verdana"/>
          <w:iCs/>
          <w:color w:val="000000" w:themeColor="text1"/>
          <w:sz w:val="20"/>
          <w:szCs w:val="20"/>
        </w:rPr>
        <w:t>“</w:t>
      </w:r>
      <w:r w:rsidR="0039099D" w:rsidRPr="00CA746B">
        <w:rPr>
          <w:rFonts w:ascii="Verdana" w:hAnsi="Verdana"/>
          <w:iCs/>
          <w:color w:val="000000" w:themeColor="text1"/>
          <w:sz w:val="20"/>
          <w:szCs w:val="20"/>
        </w:rPr>
        <w:t>autoridades administrativa</w:t>
      </w:r>
      <w:r w:rsidR="00C81B77" w:rsidRPr="00CA746B">
        <w:rPr>
          <w:rFonts w:ascii="Verdana" w:hAnsi="Verdana"/>
          <w:iCs/>
          <w:color w:val="000000" w:themeColor="text1"/>
          <w:sz w:val="20"/>
          <w:szCs w:val="20"/>
        </w:rPr>
        <w:t>s</w:t>
      </w:r>
      <w:r w:rsidR="0039099D" w:rsidRPr="00CA746B">
        <w:rPr>
          <w:rFonts w:ascii="Verdana" w:hAnsi="Verdana"/>
          <w:iCs/>
          <w:color w:val="000000" w:themeColor="text1"/>
          <w:sz w:val="20"/>
          <w:szCs w:val="20"/>
        </w:rPr>
        <w:t xml:space="preserve"> y judiciales, así como cualquier otro órgano que ejerza funciones relativas a velar por el cumplimiento de la normativa interna en este ámbito [el del consumo]”. </w:t>
      </w:r>
    </w:p>
    <w:p w14:paraId="2649A798" w14:textId="77777777" w:rsidR="00CE05B6" w:rsidRPr="00380FBA" w:rsidRDefault="00CE05B6" w:rsidP="00380FBA">
      <w:pPr>
        <w:pStyle w:val="Prrafodelista"/>
        <w:rPr>
          <w:rFonts w:ascii="Verdana" w:hAnsi="Verdana"/>
          <w:iCs/>
          <w:color w:val="000000" w:themeColor="text1"/>
          <w:sz w:val="20"/>
          <w:szCs w:val="20"/>
        </w:rPr>
      </w:pPr>
    </w:p>
    <w:p w14:paraId="35D33578" w14:textId="77777777" w:rsidR="00380FBA" w:rsidRDefault="00380FBA" w:rsidP="00945825">
      <w:pPr>
        <w:pStyle w:val="Prrafodelista"/>
        <w:numPr>
          <w:ilvl w:val="0"/>
          <w:numId w:val="1"/>
        </w:numPr>
        <w:spacing w:after="0" w:line="240" w:lineRule="auto"/>
        <w:ind w:left="0" w:firstLine="0"/>
        <w:jc w:val="both"/>
        <w:rPr>
          <w:rFonts w:ascii="Verdana" w:hAnsi="Verdana"/>
          <w:iCs/>
          <w:color w:val="000000" w:themeColor="text1"/>
          <w:sz w:val="20"/>
          <w:szCs w:val="20"/>
        </w:rPr>
      </w:pPr>
      <w:r>
        <w:rPr>
          <w:rFonts w:ascii="Verdana" w:hAnsi="Verdana"/>
          <w:iCs/>
          <w:color w:val="000000" w:themeColor="text1"/>
          <w:sz w:val="20"/>
          <w:szCs w:val="20"/>
        </w:rPr>
        <w:t xml:space="preserve">Por otro lado, la Corte advierte que las consideraciones del Estado relacionados con la alegada “similitud” entre el plan pedagógico ordenado por el Tribunal y el Plan Nacional de Acción sobre Empresas y Derechos Humanos </w:t>
      </w:r>
      <w:r>
        <w:rPr>
          <w:rFonts w:ascii="Verdana" w:hAnsi="Verdana"/>
          <w:color w:val="000000" w:themeColor="text1"/>
          <w:sz w:val="20"/>
          <w:szCs w:val="20"/>
        </w:rPr>
        <w:t xml:space="preserve">(2021-2025) </w:t>
      </w:r>
      <w:r>
        <w:rPr>
          <w:rFonts w:ascii="Verdana" w:hAnsi="Verdana"/>
          <w:iCs/>
          <w:color w:val="000000" w:themeColor="text1"/>
          <w:sz w:val="20"/>
          <w:szCs w:val="20"/>
        </w:rPr>
        <w:t>corresponden en realidad a argumentos que deberán ser presentados en la etapa de supervisión de cumplimiento de Sentencia</w:t>
      </w:r>
      <w:r>
        <w:rPr>
          <w:rStyle w:val="Refdenotaalpie"/>
          <w:rFonts w:ascii="Verdana" w:hAnsi="Verdana"/>
          <w:iCs/>
          <w:color w:val="000000" w:themeColor="text1"/>
          <w:sz w:val="20"/>
          <w:szCs w:val="20"/>
        </w:rPr>
        <w:footnoteReference w:id="11"/>
      </w:r>
      <w:r>
        <w:rPr>
          <w:rFonts w:ascii="Verdana" w:hAnsi="Verdana"/>
          <w:iCs/>
          <w:color w:val="000000" w:themeColor="text1"/>
          <w:sz w:val="20"/>
          <w:szCs w:val="20"/>
        </w:rPr>
        <w:t xml:space="preserve">. Por tanto, la Corte concluye que la solicitud del Estado es improcedente sobre este extremo. </w:t>
      </w:r>
    </w:p>
    <w:p w14:paraId="1EB18A6F" w14:textId="77777777" w:rsidR="00380FBA" w:rsidRPr="00380FBA" w:rsidRDefault="00380FBA" w:rsidP="00380FBA">
      <w:pPr>
        <w:pStyle w:val="Prrafodelista"/>
        <w:rPr>
          <w:rFonts w:ascii="Verdana" w:hAnsi="Verdana"/>
          <w:iCs/>
          <w:color w:val="000000" w:themeColor="text1"/>
          <w:sz w:val="20"/>
          <w:szCs w:val="20"/>
        </w:rPr>
      </w:pPr>
    </w:p>
    <w:p w14:paraId="451B6DC9" w14:textId="7D4C2C18" w:rsidR="00C81B77" w:rsidRPr="00380FBA" w:rsidRDefault="0039099D" w:rsidP="00380FBA">
      <w:pPr>
        <w:pStyle w:val="Prrafodelista"/>
        <w:numPr>
          <w:ilvl w:val="0"/>
          <w:numId w:val="1"/>
        </w:numPr>
        <w:spacing w:after="0" w:line="240" w:lineRule="auto"/>
        <w:ind w:left="0" w:firstLine="0"/>
        <w:jc w:val="both"/>
        <w:rPr>
          <w:rFonts w:ascii="Verdana" w:hAnsi="Verdana"/>
          <w:iCs/>
          <w:color w:val="000000" w:themeColor="text1"/>
          <w:sz w:val="20"/>
          <w:szCs w:val="20"/>
        </w:rPr>
      </w:pPr>
      <w:r w:rsidRPr="00380FBA">
        <w:rPr>
          <w:rFonts w:ascii="Verdana" w:hAnsi="Verdana"/>
          <w:iCs/>
          <w:color w:val="000000" w:themeColor="text1"/>
          <w:sz w:val="20"/>
          <w:szCs w:val="20"/>
        </w:rPr>
        <w:lastRenderedPageBreak/>
        <w:t>En vista de lo expuesto, la Corte considera que</w:t>
      </w:r>
      <w:r w:rsidR="00CA746B" w:rsidRPr="00380FBA">
        <w:rPr>
          <w:rFonts w:ascii="Verdana" w:hAnsi="Verdana"/>
          <w:iCs/>
          <w:color w:val="000000" w:themeColor="text1"/>
          <w:sz w:val="20"/>
          <w:szCs w:val="20"/>
        </w:rPr>
        <w:t xml:space="preserve"> la garantía de no repetición ordenada en el Fallo es suficientemente clara y precisa respecto de</w:t>
      </w:r>
      <w:r w:rsidRPr="00380FBA">
        <w:rPr>
          <w:rFonts w:ascii="Verdana" w:hAnsi="Verdana"/>
          <w:iCs/>
          <w:color w:val="000000" w:themeColor="text1"/>
          <w:sz w:val="20"/>
          <w:szCs w:val="20"/>
        </w:rPr>
        <w:t xml:space="preserve"> </w:t>
      </w:r>
      <w:r w:rsidR="00CA746B" w:rsidRPr="00380FBA">
        <w:rPr>
          <w:rFonts w:ascii="Verdana" w:hAnsi="Verdana"/>
          <w:iCs/>
          <w:color w:val="000000" w:themeColor="text1"/>
          <w:sz w:val="20"/>
          <w:szCs w:val="20"/>
        </w:rPr>
        <w:t>sus</w:t>
      </w:r>
      <w:r w:rsidRPr="00380FBA">
        <w:rPr>
          <w:rFonts w:ascii="Verdana" w:hAnsi="Verdana"/>
          <w:iCs/>
          <w:color w:val="000000" w:themeColor="text1"/>
          <w:sz w:val="20"/>
          <w:szCs w:val="20"/>
        </w:rPr>
        <w:t xml:space="preserve"> destinatarios</w:t>
      </w:r>
      <w:r w:rsidR="00CA746B" w:rsidRPr="00380FBA">
        <w:rPr>
          <w:rFonts w:ascii="Verdana" w:hAnsi="Verdana"/>
          <w:iCs/>
          <w:color w:val="000000" w:themeColor="text1"/>
          <w:sz w:val="20"/>
          <w:szCs w:val="20"/>
        </w:rPr>
        <w:t xml:space="preserve">, y que, en consecuencia, la solicitud de interpretación presentada por el Estado es incompatible con los supuestos previstos en el artículo 67 de la Convención Americana. </w:t>
      </w:r>
    </w:p>
    <w:p w14:paraId="5BA0EA0B" w14:textId="77777777" w:rsidR="00682158" w:rsidRDefault="00682158" w:rsidP="00B916ED">
      <w:pPr>
        <w:pStyle w:val="Prrafodelista"/>
        <w:rPr>
          <w:rFonts w:ascii="Verdana" w:hAnsi="Verdana"/>
          <w:iCs/>
          <w:color w:val="000000" w:themeColor="text1"/>
          <w:sz w:val="20"/>
          <w:szCs w:val="20"/>
        </w:rPr>
      </w:pPr>
    </w:p>
    <w:p w14:paraId="3A97B0F9" w14:textId="4A994929" w:rsidR="008B5494" w:rsidRPr="00674885" w:rsidRDefault="00674885" w:rsidP="009243DA">
      <w:pPr>
        <w:pStyle w:val="Prrafodelista"/>
        <w:numPr>
          <w:ilvl w:val="0"/>
          <w:numId w:val="2"/>
        </w:numPr>
        <w:spacing w:after="0" w:line="240" w:lineRule="auto"/>
        <w:ind w:left="426"/>
        <w:jc w:val="both"/>
        <w:rPr>
          <w:rFonts w:ascii="Verdana" w:hAnsi="Verdana"/>
          <w:b/>
          <w:i/>
          <w:iCs/>
          <w:color w:val="000000" w:themeColor="text1"/>
          <w:sz w:val="20"/>
          <w:szCs w:val="20"/>
        </w:rPr>
      </w:pPr>
      <w:r w:rsidRPr="00674885">
        <w:rPr>
          <w:rFonts w:ascii="Verdana" w:hAnsi="Verdana"/>
          <w:b/>
          <w:i/>
          <w:iCs/>
          <w:color w:val="000000" w:themeColor="text1"/>
          <w:sz w:val="20"/>
          <w:szCs w:val="20"/>
        </w:rPr>
        <w:t xml:space="preserve">Solicitud de interpretación respecto </w:t>
      </w:r>
      <w:r w:rsidR="008B5494" w:rsidRPr="00674885">
        <w:rPr>
          <w:rFonts w:ascii="Verdana" w:hAnsi="Verdana"/>
          <w:b/>
          <w:i/>
          <w:iCs/>
          <w:color w:val="000000" w:themeColor="text1"/>
          <w:sz w:val="20"/>
          <w:szCs w:val="20"/>
        </w:rPr>
        <w:t xml:space="preserve">la garantía de no repetición relativa al diseño e implementación de una política pública </w:t>
      </w:r>
      <w:r w:rsidRPr="00674885">
        <w:rPr>
          <w:rFonts w:ascii="Verdana" w:hAnsi="Verdana"/>
          <w:b/>
          <w:i/>
          <w:iCs/>
          <w:color w:val="000000" w:themeColor="text1"/>
          <w:sz w:val="20"/>
          <w:szCs w:val="20"/>
        </w:rPr>
        <w:t>con el objetivo monitorear</w:t>
      </w:r>
      <w:r>
        <w:rPr>
          <w:rFonts w:ascii="Verdana" w:hAnsi="Verdana"/>
          <w:b/>
          <w:i/>
          <w:iCs/>
          <w:color w:val="000000" w:themeColor="text1"/>
          <w:sz w:val="20"/>
          <w:szCs w:val="20"/>
        </w:rPr>
        <w:t xml:space="preserve"> </w:t>
      </w:r>
      <w:r w:rsidRPr="00674885">
        <w:rPr>
          <w:rFonts w:ascii="Verdana" w:hAnsi="Verdana"/>
          <w:b/>
          <w:i/>
          <w:iCs/>
          <w:color w:val="000000" w:themeColor="text1"/>
          <w:sz w:val="20"/>
          <w:szCs w:val="20"/>
        </w:rPr>
        <w:t>y fiscalizar que las empresas y sus trabajadores, trabajadoras y colaboradores cumplan con la legislación nacional, así como con los estándares interamericanos sobre igualdad y no discriminación de las personas LGBTIQ+</w:t>
      </w:r>
    </w:p>
    <w:p w14:paraId="686D1BDF" w14:textId="77777777" w:rsidR="008B5494" w:rsidRPr="008B7099" w:rsidRDefault="008B5494" w:rsidP="008B5494">
      <w:pPr>
        <w:spacing w:after="0" w:line="240" w:lineRule="auto"/>
        <w:jc w:val="both"/>
        <w:rPr>
          <w:rFonts w:ascii="Verdana" w:hAnsi="Verdana"/>
          <w:b/>
          <w:color w:val="000000" w:themeColor="text1"/>
          <w:sz w:val="20"/>
          <w:szCs w:val="20"/>
        </w:rPr>
      </w:pPr>
    </w:p>
    <w:p w14:paraId="3CD31B92" w14:textId="5717C90D" w:rsidR="008B5494" w:rsidRPr="008B7099" w:rsidRDefault="008B5494" w:rsidP="008B5494">
      <w:pPr>
        <w:spacing w:after="0" w:line="240" w:lineRule="auto"/>
        <w:ind w:firstLine="708"/>
        <w:jc w:val="both"/>
        <w:rPr>
          <w:rFonts w:ascii="Verdana" w:hAnsi="Verdana"/>
          <w:i/>
          <w:color w:val="000000" w:themeColor="text1"/>
          <w:sz w:val="20"/>
          <w:szCs w:val="20"/>
        </w:rPr>
      </w:pPr>
      <w:r>
        <w:rPr>
          <w:rFonts w:ascii="Verdana" w:hAnsi="Verdana"/>
          <w:i/>
          <w:color w:val="000000" w:themeColor="text1"/>
          <w:sz w:val="20"/>
          <w:szCs w:val="20"/>
        </w:rPr>
        <w:t>D</w:t>
      </w:r>
      <w:r w:rsidRPr="008B7099">
        <w:rPr>
          <w:rFonts w:ascii="Verdana" w:hAnsi="Verdana"/>
          <w:i/>
          <w:color w:val="000000" w:themeColor="text1"/>
          <w:sz w:val="20"/>
          <w:szCs w:val="20"/>
        </w:rPr>
        <w:t xml:space="preserve">.1. Argumentos de las partes y </w:t>
      </w:r>
      <w:r w:rsidR="004608EB">
        <w:rPr>
          <w:rFonts w:ascii="Verdana" w:hAnsi="Verdana"/>
          <w:i/>
          <w:color w:val="000000" w:themeColor="text1"/>
          <w:sz w:val="20"/>
          <w:szCs w:val="20"/>
        </w:rPr>
        <w:t>d</w:t>
      </w:r>
      <w:r w:rsidRPr="008B7099">
        <w:rPr>
          <w:rFonts w:ascii="Verdana" w:hAnsi="Verdana"/>
          <w:i/>
          <w:color w:val="000000" w:themeColor="text1"/>
          <w:sz w:val="20"/>
          <w:szCs w:val="20"/>
        </w:rPr>
        <w:t xml:space="preserve">e la Comisión </w:t>
      </w:r>
    </w:p>
    <w:p w14:paraId="09D5768D" w14:textId="77777777" w:rsidR="008B5494" w:rsidRPr="008B7099" w:rsidRDefault="008B5494" w:rsidP="008B5494">
      <w:pPr>
        <w:pStyle w:val="Prrafodelista"/>
        <w:spacing w:after="0" w:line="240" w:lineRule="auto"/>
        <w:ind w:left="426"/>
        <w:jc w:val="both"/>
        <w:rPr>
          <w:rFonts w:ascii="Verdana" w:hAnsi="Verdana"/>
          <w:b/>
          <w:color w:val="000000" w:themeColor="text1"/>
          <w:sz w:val="20"/>
          <w:szCs w:val="20"/>
        </w:rPr>
      </w:pPr>
    </w:p>
    <w:p w14:paraId="4E5BD3A6" w14:textId="238AAA2B" w:rsidR="00C33A99" w:rsidRPr="00C33A99" w:rsidRDefault="008B5494" w:rsidP="00C33A99">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Pr="008B7099">
        <w:rPr>
          <w:rFonts w:ascii="Verdana" w:hAnsi="Verdana"/>
          <w:b/>
          <w:bCs/>
          <w:i/>
          <w:iCs/>
          <w:color w:val="000000" w:themeColor="text1"/>
          <w:sz w:val="20"/>
          <w:szCs w:val="20"/>
        </w:rPr>
        <w:t>Estado</w:t>
      </w:r>
      <w:r w:rsidRPr="008B7099">
        <w:rPr>
          <w:rFonts w:ascii="Verdana" w:hAnsi="Verdana"/>
          <w:color w:val="000000" w:themeColor="text1"/>
          <w:sz w:val="20"/>
          <w:szCs w:val="20"/>
        </w:rPr>
        <w:t xml:space="preserve"> </w:t>
      </w:r>
      <w:r w:rsidR="001B44DA">
        <w:rPr>
          <w:rFonts w:ascii="Verdana" w:hAnsi="Verdana"/>
          <w:color w:val="000000" w:themeColor="text1"/>
          <w:sz w:val="20"/>
          <w:szCs w:val="20"/>
        </w:rPr>
        <w:t>refirió que</w:t>
      </w:r>
      <w:r w:rsidR="004608EB">
        <w:rPr>
          <w:rFonts w:ascii="Verdana" w:hAnsi="Verdana"/>
          <w:color w:val="000000" w:themeColor="text1"/>
          <w:sz w:val="20"/>
          <w:szCs w:val="20"/>
        </w:rPr>
        <w:t>,</w:t>
      </w:r>
      <w:r w:rsidR="001B44DA">
        <w:rPr>
          <w:rFonts w:ascii="Verdana" w:hAnsi="Verdana"/>
          <w:color w:val="000000" w:themeColor="text1"/>
          <w:sz w:val="20"/>
          <w:szCs w:val="20"/>
        </w:rPr>
        <w:t xml:space="preserve"> en el </w:t>
      </w:r>
      <w:r w:rsidR="00C07DC7">
        <w:rPr>
          <w:rFonts w:ascii="Verdana" w:hAnsi="Verdana"/>
          <w:color w:val="000000" w:themeColor="text1"/>
          <w:sz w:val="20"/>
          <w:szCs w:val="20"/>
        </w:rPr>
        <w:t>Punto Resolutivo</w:t>
      </w:r>
      <w:r w:rsidR="00161E81">
        <w:rPr>
          <w:rFonts w:ascii="Verdana" w:hAnsi="Verdana"/>
          <w:color w:val="000000" w:themeColor="text1"/>
          <w:sz w:val="20"/>
          <w:szCs w:val="20"/>
        </w:rPr>
        <w:t xml:space="preserve"> </w:t>
      </w:r>
      <w:r w:rsidR="001B44DA">
        <w:rPr>
          <w:rFonts w:ascii="Verdana" w:hAnsi="Verdana"/>
          <w:color w:val="000000" w:themeColor="text1"/>
          <w:sz w:val="20"/>
          <w:szCs w:val="20"/>
        </w:rPr>
        <w:t>9 y el párrafo 156 de la Sentencia</w:t>
      </w:r>
      <w:r w:rsidR="004608EB">
        <w:rPr>
          <w:rFonts w:ascii="Verdana" w:hAnsi="Verdana"/>
          <w:color w:val="000000" w:themeColor="text1"/>
          <w:sz w:val="20"/>
          <w:szCs w:val="20"/>
        </w:rPr>
        <w:t>,</w:t>
      </w:r>
      <w:r w:rsidR="001B44DA">
        <w:rPr>
          <w:rFonts w:ascii="Verdana" w:hAnsi="Verdana"/>
          <w:color w:val="000000" w:themeColor="text1"/>
          <w:sz w:val="20"/>
          <w:szCs w:val="20"/>
        </w:rPr>
        <w:t xml:space="preserve"> la Corte ordenó el diseño e implementación de una política pública que tenga como principal objetivo fiscalizar y monitorear que las empresas privadas cumplan con la legislación nacional</w:t>
      </w:r>
      <w:r w:rsidR="00267DA3">
        <w:rPr>
          <w:rFonts w:ascii="Verdana" w:hAnsi="Verdana"/>
          <w:color w:val="000000" w:themeColor="text1"/>
          <w:sz w:val="20"/>
          <w:szCs w:val="20"/>
        </w:rPr>
        <w:t>. Como parte de la política pública se ordenó al Estado requerir a las empresas que brinden acciones de capacitación a sus trabajadores y colaboradores</w:t>
      </w:r>
      <w:r w:rsidR="00246C1A">
        <w:rPr>
          <w:rFonts w:ascii="Verdana" w:hAnsi="Verdana"/>
          <w:color w:val="000000" w:themeColor="text1"/>
          <w:sz w:val="20"/>
          <w:szCs w:val="20"/>
        </w:rPr>
        <w:t xml:space="preserve"> </w:t>
      </w:r>
      <w:r w:rsidR="00267DA3">
        <w:rPr>
          <w:rFonts w:ascii="Verdana" w:hAnsi="Verdana"/>
          <w:color w:val="000000" w:themeColor="text1"/>
          <w:sz w:val="20"/>
          <w:szCs w:val="20"/>
        </w:rPr>
        <w:t xml:space="preserve">en los relativo al respeto de las personas LGBTIQ+. Al respecto, </w:t>
      </w:r>
      <w:r w:rsidR="0063286A">
        <w:rPr>
          <w:rFonts w:ascii="Verdana" w:hAnsi="Verdana"/>
          <w:color w:val="000000" w:themeColor="text1"/>
          <w:sz w:val="20"/>
          <w:szCs w:val="20"/>
        </w:rPr>
        <w:t>señaló</w:t>
      </w:r>
      <w:r w:rsidR="00267DA3">
        <w:rPr>
          <w:rFonts w:ascii="Verdana" w:hAnsi="Verdana"/>
          <w:color w:val="000000" w:themeColor="text1"/>
          <w:sz w:val="20"/>
          <w:szCs w:val="20"/>
        </w:rPr>
        <w:t xml:space="preserve"> que, de acuerdo con el contenido del Decreto Supremo No. 029-2018-PCM que “Aprueba el Reglamento que regula las Políticas Públicas Nacionales”, </w:t>
      </w:r>
      <w:r w:rsidR="00267DA3" w:rsidRPr="00267DA3">
        <w:rPr>
          <w:rFonts w:ascii="Verdana" w:hAnsi="Verdana"/>
          <w:color w:val="000000" w:themeColor="text1"/>
          <w:sz w:val="20"/>
          <w:szCs w:val="20"/>
        </w:rPr>
        <w:t>“no es posible requerir el cumplimiento de obligaciones determinadas a privados</w:t>
      </w:r>
      <w:r w:rsidR="00267DA3">
        <w:rPr>
          <w:rFonts w:ascii="Verdana" w:hAnsi="Verdana"/>
          <w:color w:val="000000" w:themeColor="text1"/>
          <w:sz w:val="20"/>
          <w:szCs w:val="20"/>
        </w:rPr>
        <w:t xml:space="preserve"> </w:t>
      </w:r>
      <w:r w:rsidR="00267DA3" w:rsidRPr="00267DA3">
        <w:rPr>
          <w:rFonts w:ascii="Verdana" w:hAnsi="Verdana"/>
          <w:color w:val="000000" w:themeColor="text1"/>
          <w:sz w:val="20"/>
          <w:szCs w:val="20"/>
        </w:rPr>
        <w:t>ajenos a las funciones estatales, como pueden serlo las empresas, puesto que el alcance de dichas políticas</w:t>
      </w:r>
      <w:r w:rsidR="00267DA3">
        <w:rPr>
          <w:rFonts w:ascii="Verdana" w:hAnsi="Verdana"/>
          <w:color w:val="000000" w:themeColor="text1"/>
          <w:sz w:val="20"/>
          <w:szCs w:val="20"/>
        </w:rPr>
        <w:t xml:space="preserve"> </w:t>
      </w:r>
      <w:r w:rsidR="00267DA3" w:rsidRPr="00267DA3">
        <w:rPr>
          <w:rFonts w:ascii="Verdana" w:hAnsi="Verdana"/>
          <w:color w:val="000000" w:themeColor="text1"/>
          <w:sz w:val="20"/>
          <w:szCs w:val="20"/>
        </w:rPr>
        <w:t>públicas se limita a los organismos pertenecientes al sector público</w:t>
      </w:r>
      <w:r w:rsidR="00267DA3">
        <w:rPr>
          <w:rFonts w:ascii="Verdana" w:hAnsi="Verdana"/>
          <w:color w:val="000000" w:themeColor="text1"/>
          <w:sz w:val="20"/>
          <w:szCs w:val="20"/>
        </w:rPr>
        <w:t xml:space="preserve">”. En vista de lo anterior, solicitó que la Corte esclarezca el sentido del fallo respecto al término “requerir a las empresas” establecido dentro del párrafo 156 de la Sentencia, en relación con lo dictado por el Tribunal en el </w:t>
      </w:r>
      <w:r w:rsidR="00C07DC7">
        <w:rPr>
          <w:rFonts w:ascii="Verdana" w:hAnsi="Verdana"/>
          <w:color w:val="000000" w:themeColor="text1"/>
          <w:sz w:val="20"/>
          <w:szCs w:val="20"/>
        </w:rPr>
        <w:t>Punto Resolutivo</w:t>
      </w:r>
      <w:r w:rsidR="00522781">
        <w:rPr>
          <w:rFonts w:ascii="Verdana" w:hAnsi="Verdana"/>
          <w:color w:val="000000" w:themeColor="text1"/>
          <w:sz w:val="20"/>
          <w:szCs w:val="20"/>
        </w:rPr>
        <w:t xml:space="preserve"> </w:t>
      </w:r>
      <w:r w:rsidR="00267DA3">
        <w:rPr>
          <w:rFonts w:ascii="Verdana" w:hAnsi="Verdana"/>
          <w:color w:val="000000" w:themeColor="text1"/>
          <w:sz w:val="20"/>
          <w:szCs w:val="20"/>
        </w:rPr>
        <w:t xml:space="preserve">9. </w:t>
      </w:r>
    </w:p>
    <w:p w14:paraId="7516C7E4" w14:textId="77777777" w:rsidR="00C33A99" w:rsidRDefault="00C33A99" w:rsidP="00C33A99">
      <w:pPr>
        <w:pStyle w:val="Prrafodelista"/>
        <w:spacing w:after="0" w:line="240" w:lineRule="auto"/>
        <w:ind w:left="0"/>
        <w:jc w:val="both"/>
        <w:rPr>
          <w:rFonts w:ascii="Verdana" w:hAnsi="Verdana"/>
          <w:color w:val="000000" w:themeColor="text1"/>
          <w:sz w:val="20"/>
          <w:szCs w:val="20"/>
        </w:rPr>
      </w:pPr>
    </w:p>
    <w:p w14:paraId="16C625EF" w14:textId="0AFCFB9E" w:rsidR="00522781" w:rsidRDefault="008B5494" w:rsidP="00357EA4">
      <w:pPr>
        <w:pStyle w:val="Prrafodelista"/>
        <w:numPr>
          <w:ilvl w:val="0"/>
          <w:numId w:val="1"/>
        </w:numPr>
        <w:spacing w:after="0" w:line="240" w:lineRule="auto"/>
        <w:ind w:left="0" w:firstLine="0"/>
        <w:jc w:val="both"/>
        <w:rPr>
          <w:rFonts w:ascii="Verdana" w:hAnsi="Verdana"/>
          <w:color w:val="000000" w:themeColor="text1"/>
          <w:sz w:val="20"/>
          <w:szCs w:val="20"/>
        </w:rPr>
      </w:pPr>
      <w:r w:rsidRPr="00970576">
        <w:rPr>
          <w:rFonts w:ascii="Verdana" w:hAnsi="Verdana"/>
          <w:color w:val="000000" w:themeColor="text1"/>
          <w:sz w:val="20"/>
          <w:szCs w:val="20"/>
        </w:rPr>
        <w:t xml:space="preserve">Los </w:t>
      </w:r>
      <w:r w:rsidRPr="00970576">
        <w:rPr>
          <w:rFonts w:ascii="Verdana" w:hAnsi="Verdana"/>
          <w:b/>
          <w:bCs/>
          <w:i/>
          <w:iCs/>
          <w:color w:val="000000" w:themeColor="text1"/>
          <w:sz w:val="20"/>
          <w:szCs w:val="20"/>
        </w:rPr>
        <w:t xml:space="preserve">representantes </w:t>
      </w:r>
      <w:r w:rsidR="00F51054" w:rsidRPr="00970576">
        <w:rPr>
          <w:rFonts w:ascii="Verdana" w:hAnsi="Verdana"/>
          <w:color w:val="000000" w:themeColor="text1"/>
          <w:sz w:val="20"/>
          <w:szCs w:val="20"/>
        </w:rPr>
        <w:t xml:space="preserve">señalaron que el </w:t>
      </w:r>
      <w:r w:rsidR="00C07DC7" w:rsidRPr="00970576">
        <w:rPr>
          <w:rFonts w:ascii="Verdana" w:hAnsi="Verdana"/>
          <w:color w:val="000000" w:themeColor="text1"/>
          <w:sz w:val="20"/>
          <w:szCs w:val="20"/>
        </w:rPr>
        <w:t>Punto Resolutivo</w:t>
      </w:r>
      <w:r w:rsidR="00522781" w:rsidRPr="00970576">
        <w:rPr>
          <w:rFonts w:ascii="Verdana" w:hAnsi="Verdana"/>
          <w:color w:val="000000" w:themeColor="text1"/>
          <w:sz w:val="20"/>
          <w:szCs w:val="20"/>
        </w:rPr>
        <w:t xml:space="preserve"> </w:t>
      </w:r>
      <w:r w:rsidR="00F51054" w:rsidRPr="00970576">
        <w:rPr>
          <w:rFonts w:ascii="Verdana" w:hAnsi="Verdana"/>
          <w:color w:val="000000" w:themeColor="text1"/>
          <w:sz w:val="20"/>
          <w:szCs w:val="20"/>
        </w:rPr>
        <w:t>9 y párrafo 156 de la Sentencia describe</w:t>
      </w:r>
      <w:r w:rsidR="00246C1A" w:rsidRPr="00970576">
        <w:rPr>
          <w:rFonts w:ascii="Verdana" w:hAnsi="Verdana"/>
          <w:color w:val="000000" w:themeColor="text1"/>
          <w:sz w:val="20"/>
          <w:szCs w:val="20"/>
        </w:rPr>
        <w:t>n</w:t>
      </w:r>
      <w:r w:rsidR="00F51054" w:rsidRPr="00970576">
        <w:rPr>
          <w:rFonts w:ascii="Verdana" w:hAnsi="Verdana"/>
          <w:color w:val="000000" w:themeColor="text1"/>
          <w:sz w:val="20"/>
          <w:szCs w:val="20"/>
        </w:rPr>
        <w:t xml:space="preserve"> “con suficiente claridad y precisión” la medida de reparación ordenada, por lo que </w:t>
      </w:r>
      <w:r w:rsidR="00246C1A" w:rsidRPr="00970576">
        <w:rPr>
          <w:rFonts w:ascii="Verdana" w:hAnsi="Verdana"/>
          <w:color w:val="000000" w:themeColor="text1"/>
          <w:sz w:val="20"/>
          <w:szCs w:val="20"/>
        </w:rPr>
        <w:t xml:space="preserve">argumentaron que </w:t>
      </w:r>
      <w:r w:rsidR="00F51054" w:rsidRPr="00970576">
        <w:rPr>
          <w:rFonts w:ascii="Verdana" w:hAnsi="Verdana"/>
          <w:color w:val="000000" w:themeColor="text1"/>
          <w:sz w:val="20"/>
          <w:szCs w:val="20"/>
        </w:rPr>
        <w:t xml:space="preserve">no resulta necesaria la interpretación solicitada. Asimismo, </w:t>
      </w:r>
      <w:r w:rsidR="00246C1A" w:rsidRPr="00970576">
        <w:rPr>
          <w:rFonts w:ascii="Verdana" w:hAnsi="Verdana"/>
          <w:color w:val="000000" w:themeColor="text1"/>
          <w:sz w:val="20"/>
          <w:szCs w:val="20"/>
        </w:rPr>
        <w:t>arguyeron</w:t>
      </w:r>
      <w:r w:rsidR="00F51054" w:rsidRPr="00970576">
        <w:rPr>
          <w:rFonts w:ascii="Verdana" w:hAnsi="Verdana"/>
          <w:color w:val="000000" w:themeColor="text1"/>
          <w:sz w:val="20"/>
          <w:szCs w:val="20"/>
        </w:rPr>
        <w:t xml:space="preserve"> que, </w:t>
      </w:r>
      <w:r w:rsidR="00223E1E" w:rsidRPr="00970576">
        <w:rPr>
          <w:rFonts w:ascii="Verdana" w:hAnsi="Verdana"/>
          <w:color w:val="000000" w:themeColor="text1"/>
          <w:sz w:val="20"/>
          <w:szCs w:val="20"/>
        </w:rPr>
        <w:t>por medio de la solicitud de interpretación</w:t>
      </w:r>
      <w:r w:rsidR="00F51054" w:rsidRPr="00970576">
        <w:rPr>
          <w:rFonts w:ascii="Verdana" w:hAnsi="Verdana"/>
          <w:color w:val="000000" w:themeColor="text1"/>
          <w:sz w:val="20"/>
          <w:szCs w:val="20"/>
        </w:rPr>
        <w:t xml:space="preserve"> el Estado busca </w:t>
      </w:r>
      <w:r w:rsidR="00223E1E" w:rsidRPr="00970576">
        <w:rPr>
          <w:rFonts w:ascii="Verdana" w:hAnsi="Verdana"/>
          <w:color w:val="000000" w:themeColor="text1"/>
          <w:sz w:val="20"/>
          <w:szCs w:val="20"/>
        </w:rPr>
        <w:t xml:space="preserve">en realidad </w:t>
      </w:r>
      <w:r w:rsidR="00F51054" w:rsidRPr="00970576">
        <w:rPr>
          <w:rFonts w:ascii="Verdana" w:hAnsi="Verdana"/>
          <w:color w:val="000000" w:themeColor="text1"/>
          <w:sz w:val="20"/>
          <w:szCs w:val="20"/>
        </w:rPr>
        <w:t xml:space="preserve">evadir el cumplimiento de la medida de reparación alegando supuestas incompatibilidades con disposiciones de su derecho interno. </w:t>
      </w:r>
      <w:r w:rsidR="00A4434F" w:rsidRPr="00970576">
        <w:rPr>
          <w:rFonts w:ascii="Verdana" w:hAnsi="Verdana"/>
          <w:color w:val="000000" w:themeColor="text1"/>
          <w:sz w:val="20"/>
          <w:szCs w:val="20"/>
        </w:rPr>
        <w:t>Indicaron</w:t>
      </w:r>
      <w:r w:rsidR="00F51054" w:rsidRPr="00970576">
        <w:rPr>
          <w:rFonts w:ascii="Verdana" w:hAnsi="Verdana"/>
          <w:color w:val="000000" w:themeColor="text1"/>
          <w:sz w:val="20"/>
          <w:szCs w:val="20"/>
        </w:rPr>
        <w:t xml:space="preserve"> que la Corte ha reiterado en su jurisprudencia que el Estado no puede invocar disposiciones de derecho interno para justificar una falta de cumplimiento de la Sentencia. En vista de lo anterior, solicitaron que la Corte declare como “improcedente” la solicitud de interpretación del Estado, dada su incompatibilidad con los supuestos previstos en los artículos 67 de la Convención Americana y 68 del Reglamento de la Corte. </w:t>
      </w:r>
    </w:p>
    <w:p w14:paraId="19A368EA" w14:textId="77777777" w:rsidR="00970576" w:rsidRPr="00970576" w:rsidRDefault="00970576" w:rsidP="00970576">
      <w:pPr>
        <w:pStyle w:val="Prrafodelista"/>
        <w:rPr>
          <w:rFonts w:ascii="Verdana" w:hAnsi="Verdana"/>
          <w:color w:val="000000" w:themeColor="text1"/>
          <w:sz w:val="20"/>
          <w:szCs w:val="20"/>
        </w:rPr>
      </w:pPr>
    </w:p>
    <w:p w14:paraId="090D2B56" w14:textId="1AFC1D14" w:rsidR="00B32CD8" w:rsidRDefault="008B5494" w:rsidP="00B32CD8">
      <w:pPr>
        <w:pStyle w:val="Prrafodelista"/>
        <w:numPr>
          <w:ilvl w:val="0"/>
          <w:numId w:val="1"/>
        </w:numPr>
        <w:spacing w:after="0" w:line="240" w:lineRule="auto"/>
        <w:ind w:left="0" w:firstLine="0"/>
        <w:jc w:val="both"/>
        <w:rPr>
          <w:rFonts w:ascii="Verdana" w:hAnsi="Verdana"/>
          <w:b/>
          <w:bCs/>
          <w:sz w:val="20"/>
          <w:szCs w:val="20"/>
        </w:rPr>
      </w:pPr>
      <w:r w:rsidRPr="009243DA">
        <w:rPr>
          <w:rFonts w:ascii="Verdana" w:hAnsi="Verdana"/>
          <w:sz w:val="20"/>
          <w:szCs w:val="20"/>
        </w:rPr>
        <w:t xml:space="preserve">La </w:t>
      </w:r>
      <w:r w:rsidRPr="009243DA">
        <w:rPr>
          <w:rFonts w:ascii="Verdana" w:hAnsi="Verdana"/>
          <w:b/>
          <w:bCs/>
          <w:i/>
          <w:iCs/>
          <w:sz w:val="20"/>
          <w:szCs w:val="20"/>
        </w:rPr>
        <w:t>Comisión</w:t>
      </w:r>
      <w:r w:rsidRPr="009243DA">
        <w:rPr>
          <w:rFonts w:ascii="Verdana" w:hAnsi="Verdana"/>
          <w:sz w:val="20"/>
          <w:szCs w:val="20"/>
        </w:rPr>
        <w:t xml:space="preserve"> </w:t>
      </w:r>
      <w:r w:rsidR="00223E1E" w:rsidRPr="009243DA">
        <w:rPr>
          <w:rFonts w:ascii="Verdana" w:hAnsi="Verdana"/>
          <w:sz w:val="20"/>
          <w:szCs w:val="20"/>
        </w:rPr>
        <w:t xml:space="preserve">indicó que la consulta efectuada por el Estado no corresponde a los supuestos de interpretación establecidos en el </w:t>
      </w:r>
      <w:r w:rsidR="00223E1E" w:rsidRPr="009243DA">
        <w:rPr>
          <w:rFonts w:ascii="Verdana" w:hAnsi="Verdana"/>
          <w:color w:val="000000" w:themeColor="text1"/>
          <w:sz w:val="20"/>
          <w:szCs w:val="20"/>
        </w:rPr>
        <w:t>artículo</w:t>
      </w:r>
      <w:r w:rsidR="00223E1E" w:rsidRPr="009243DA">
        <w:rPr>
          <w:rFonts w:ascii="Verdana" w:hAnsi="Verdana"/>
          <w:sz w:val="20"/>
          <w:szCs w:val="20"/>
        </w:rPr>
        <w:t xml:space="preserve"> 67 de la Convención en tanto “no versa sobre el sentido o alcance del fallo”, sino que más bien alude a una disconformidad con lo ordenado en la Sentencia sobre la base de nuevos alegatos que no fueron presentados ante la Corte en los momentos procesales oportun</w:t>
      </w:r>
      <w:r w:rsidR="00DE70D8">
        <w:rPr>
          <w:rFonts w:ascii="Verdana" w:hAnsi="Verdana"/>
          <w:sz w:val="20"/>
          <w:szCs w:val="20"/>
        </w:rPr>
        <w:t>o</w:t>
      </w:r>
      <w:r w:rsidR="00223E1E" w:rsidRPr="009243DA">
        <w:rPr>
          <w:rFonts w:ascii="Verdana" w:hAnsi="Verdana"/>
          <w:sz w:val="20"/>
          <w:szCs w:val="20"/>
        </w:rPr>
        <w:t xml:space="preserve">s. En tal sentido, consideró que la solicitud efectuada por el Estado resulta improcedente. </w:t>
      </w:r>
    </w:p>
    <w:p w14:paraId="2B77A432" w14:textId="77777777" w:rsidR="00B32CD8" w:rsidRPr="00B32CD8" w:rsidRDefault="00B32CD8" w:rsidP="00B32CD8">
      <w:pPr>
        <w:pStyle w:val="Prrafodelista"/>
        <w:rPr>
          <w:rFonts w:ascii="Verdana" w:hAnsi="Verdana"/>
          <w:b/>
          <w:bCs/>
          <w:sz w:val="20"/>
          <w:szCs w:val="20"/>
        </w:rPr>
      </w:pPr>
    </w:p>
    <w:p w14:paraId="27B64317" w14:textId="77777777" w:rsidR="00B32CD8" w:rsidRPr="00B32CD8" w:rsidRDefault="00B32CD8" w:rsidP="00B32CD8">
      <w:pPr>
        <w:pStyle w:val="Prrafodelista"/>
        <w:spacing w:after="0" w:line="240" w:lineRule="auto"/>
        <w:ind w:left="0"/>
        <w:jc w:val="both"/>
        <w:rPr>
          <w:rFonts w:ascii="Verdana" w:hAnsi="Verdana"/>
          <w:b/>
          <w:bCs/>
          <w:sz w:val="20"/>
          <w:szCs w:val="20"/>
        </w:rPr>
      </w:pPr>
    </w:p>
    <w:p w14:paraId="61B4A5B3" w14:textId="591AF004" w:rsidR="008B5494" w:rsidRPr="008B7099" w:rsidRDefault="008B5494" w:rsidP="008B5494">
      <w:pPr>
        <w:spacing w:after="0" w:line="240" w:lineRule="auto"/>
        <w:ind w:firstLine="708"/>
        <w:jc w:val="both"/>
        <w:rPr>
          <w:rFonts w:ascii="Verdana" w:hAnsi="Verdana"/>
          <w:i/>
          <w:color w:val="000000" w:themeColor="text1"/>
          <w:sz w:val="20"/>
          <w:szCs w:val="20"/>
        </w:rPr>
      </w:pPr>
      <w:r>
        <w:rPr>
          <w:rFonts w:ascii="Verdana" w:hAnsi="Verdana"/>
          <w:i/>
          <w:color w:val="000000" w:themeColor="text1"/>
          <w:sz w:val="20"/>
          <w:szCs w:val="20"/>
        </w:rPr>
        <w:t>D</w:t>
      </w:r>
      <w:r w:rsidRPr="008B7099">
        <w:rPr>
          <w:rFonts w:ascii="Verdana" w:hAnsi="Verdana"/>
          <w:i/>
          <w:color w:val="000000" w:themeColor="text1"/>
          <w:sz w:val="20"/>
          <w:szCs w:val="20"/>
        </w:rPr>
        <w:t xml:space="preserve">.2. Consideraciones de la Corte </w:t>
      </w:r>
    </w:p>
    <w:p w14:paraId="1791B684" w14:textId="3D54E764" w:rsidR="002B3C3D" w:rsidRDefault="002B3C3D" w:rsidP="0019570B">
      <w:pPr>
        <w:spacing w:after="0" w:line="240" w:lineRule="auto"/>
        <w:jc w:val="both"/>
        <w:rPr>
          <w:rFonts w:ascii="Verdana" w:hAnsi="Verdana"/>
          <w:iCs/>
          <w:color w:val="000000" w:themeColor="text1"/>
          <w:sz w:val="20"/>
          <w:szCs w:val="20"/>
        </w:rPr>
      </w:pPr>
    </w:p>
    <w:p w14:paraId="12926010" w14:textId="4DAAD8A2" w:rsidR="000A60E9" w:rsidRDefault="000A60E9" w:rsidP="00511555">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rPr>
        <w:t xml:space="preserve">En lo que respecta a la garantía de no repetición ordenada en la Sentencia, y que es objeto de la solicitud de interpretación por parte del Estado, la Corte recuerda que el </w:t>
      </w:r>
      <w:r w:rsidR="00C07DC7">
        <w:rPr>
          <w:rFonts w:ascii="Verdana" w:hAnsi="Verdana"/>
          <w:color w:val="000000" w:themeColor="text1"/>
          <w:sz w:val="20"/>
          <w:szCs w:val="20"/>
        </w:rPr>
        <w:t xml:space="preserve">Punto Resolutivo </w:t>
      </w:r>
      <w:r>
        <w:rPr>
          <w:rFonts w:ascii="Verdana" w:hAnsi="Verdana"/>
          <w:color w:val="000000" w:themeColor="text1"/>
          <w:sz w:val="20"/>
          <w:szCs w:val="20"/>
        </w:rPr>
        <w:t xml:space="preserve">9 </w:t>
      </w:r>
      <w:r w:rsidR="00E834EE">
        <w:rPr>
          <w:rFonts w:ascii="Verdana" w:hAnsi="Verdana"/>
          <w:color w:val="000000" w:themeColor="text1"/>
          <w:sz w:val="20"/>
          <w:szCs w:val="20"/>
        </w:rPr>
        <w:t xml:space="preserve">de </w:t>
      </w:r>
      <w:r>
        <w:rPr>
          <w:rFonts w:ascii="Verdana" w:hAnsi="Verdana"/>
          <w:color w:val="000000" w:themeColor="text1"/>
          <w:sz w:val="20"/>
          <w:szCs w:val="20"/>
        </w:rPr>
        <w:t xml:space="preserve">dicha Sentencia dispuso que: </w:t>
      </w:r>
    </w:p>
    <w:p w14:paraId="7E039B95" w14:textId="77777777" w:rsidR="000A60E9" w:rsidRDefault="000A60E9" w:rsidP="000A60E9">
      <w:pPr>
        <w:spacing w:after="0" w:line="240" w:lineRule="auto"/>
        <w:jc w:val="both"/>
        <w:rPr>
          <w:rFonts w:ascii="Verdana" w:hAnsi="Verdana"/>
          <w:color w:val="000000" w:themeColor="text1"/>
          <w:sz w:val="20"/>
          <w:szCs w:val="20"/>
        </w:rPr>
      </w:pPr>
    </w:p>
    <w:p w14:paraId="595CE0BD" w14:textId="66FE3C6D" w:rsidR="000A60E9" w:rsidRPr="000A60E9" w:rsidRDefault="000A60E9" w:rsidP="000A60E9">
      <w:pPr>
        <w:tabs>
          <w:tab w:val="num" w:pos="1569"/>
          <w:tab w:val="num" w:pos="12305"/>
        </w:tabs>
        <w:spacing w:after="0" w:line="240" w:lineRule="auto"/>
        <w:ind w:left="851" w:right="815"/>
        <w:jc w:val="both"/>
        <w:rPr>
          <w:rFonts w:ascii="Verdana" w:hAnsi="Verdana"/>
          <w:sz w:val="18"/>
          <w:szCs w:val="18"/>
          <w:lang w:val="es-ES"/>
        </w:rPr>
      </w:pPr>
      <w:r w:rsidRPr="000A60E9">
        <w:rPr>
          <w:rFonts w:ascii="Verdana" w:hAnsi="Verdana"/>
          <w:sz w:val="18"/>
          <w:szCs w:val="18"/>
          <w:lang w:val="es-ES"/>
        </w:rPr>
        <w:lastRenderedPageBreak/>
        <w:t>El Estado diseñará e implementará una política pública con el objetivo monitorear y fiscalizar que las empresas y sus trabajadores, trabajadoras y colaboradores cumplan con la legislación nacional, así como con los estándares interamericanos sobre igualdad y no discriminación de las personas LGBTIQ+, en los términos del párrafo 156 de esta Sentencia.</w:t>
      </w:r>
    </w:p>
    <w:p w14:paraId="17F9612E" w14:textId="4CF174C9" w:rsidR="000A60E9" w:rsidRDefault="000A60E9" w:rsidP="00C72FF3">
      <w:pPr>
        <w:tabs>
          <w:tab w:val="num" w:pos="1569"/>
          <w:tab w:val="num" w:pos="12305"/>
        </w:tabs>
        <w:spacing w:after="0" w:line="240" w:lineRule="auto"/>
        <w:ind w:right="815"/>
        <w:jc w:val="both"/>
        <w:rPr>
          <w:rFonts w:ascii="Verdana" w:hAnsi="Verdana"/>
          <w:color w:val="000000" w:themeColor="text1"/>
          <w:sz w:val="20"/>
          <w:szCs w:val="20"/>
        </w:rPr>
      </w:pPr>
    </w:p>
    <w:p w14:paraId="140B4780" w14:textId="451DA208" w:rsidR="00C72FF3" w:rsidRDefault="00C72FF3" w:rsidP="00511555">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rPr>
        <w:t>Asimismo</w:t>
      </w:r>
      <w:r w:rsidR="009A2439">
        <w:rPr>
          <w:rFonts w:ascii="Verdana" w:hAnsi="Verdana"/>
          <w:color w:val="000000" w:themeColor="text1"/>
          <w:sz w:val="20"/>
          <w:szCs w:val="20"/>
        </w:rPr>
        <w:t>,</w:t>
      </w:r>
      <w:r>
        <w:rPr>
          <w:rFonts w:ascii="Verdana" w:hAnsi="Verdana"/>
          <w:color w:val="000000" w:themeColor="text1"/>
          <w:sz w:val="20"/>
          <w:szCs w:val="20"/>
        </w:rPr>
        <w:t xml:space="preserve"> en tanto resulta pertinente para la resolución de la presente solicitud de interpretación, la Corte recuerda lo señalado en el párrafo 156 de la mencionada Sentencia:</w:t>
      </w:r>
    </w:p>
    <w:p w14:paraId="46E95383" w14:textId="77777777" w:rsidR="00C72FF3" w:rsidRDefault="00C72FF3" w:rsidP="00C72FF3">
      <w:pPr>
        <w:spacing w:after="0" w:line="240" w:lineRule="auto"/>
        <w:jc w:val="both"/>
        <w:rPr>
          <w:rFonts w:ascii="Verdana" w:hAnsi="Verdana"/>
          <w:color w:val="000000" w:themeColor="text1"/>
          <w:sz w:val="20"/>
          <w:szCs w:val="20"/>
        </w:rPr>
      </w:pPr>
    </w:p>
    <w:p w14:paraId="4B6F8C7C" w14:textId="1AA5CDC1" w:rsidR="00C72FF3" w:rsidRPr="00C72FF3" w:rsidRDefault="00C72FF3" w:rsidP="00C72FF3">
      <w:pPr>
        <w:tabs>
          <w:tab w:val="num" w:pos="1569"/>
          <w:tab w:val="num" w:pos="12305"/>
        </w:tabs>
        <w:spacing w:after="0" w:line="240" w:lineRule="auto"/>
        <w:ind w:left="851" w:right="815"/>
        <w:jc w:val="both"/>
        <w:rPr>
          <w:rFonts w:ascii="Verdana" w:hAnsi="Verdana"/>
          <w:sz w:val="18"/>
          <w:szCs w:val="18"/>
          <w:lang w:val="es-ES"/>
        </w:rPr>
      </w:pPr>
      <w:r w:rsidRPr="00C72FF3">
        <w:rPr>
          <w:rFonts w:ascii="Verdana" w:hAnsi="Verdana"/>
          <w:sz w:val="18"/>
          <w:szCs w:val="18"/>
          <w:lang w:val="es-ES"/>
        </w:rPr>
        <w:t xml:space="preserve">En relación con la recomendación </w:t>
      </w:r>
      <w:proofErr w:type="spellStart"/>
      <w:r w:rsidRPr="00C72FF3">
        <w:rPr>
          <w:rFonts w:ascii="Verdana" w:hAnsi="Verdana"/>
          <w:sz w:val="18"/>
          <w:szCs w:val="18"/>
          <w:lang w:val="es-ES"/>
        </w:rPr>
        <w:t>n.°</w:t>
      </w:r>
      <w:proofErr w:type="spellEnd"/>
      <w:r w:rsidRPr="00C72FF3">
        <w:rPr>
          <w:rFonts w:ascii="Verdana" w:hAnsi="Verdana"/>
          <w:sz w:val="18"/>
          <w:szCs w:val="18"/>
          <w:lang w:val="es-ES"/>
        </w:rPr>
        <w:t xml:space="preserve"> 3 solicitada por la Comisión (supra párr. 148) y la solicitud de reparación </w:t>
      </w:r>
      <w:proofErr w:type="spellStart"/>
      <w:r w:rsidRPr="00C72FF3">
        <w:rPr>
          <w:rFonts w:ascii="Verdana" w:hAnsi="Verdana"/>
          <w:sz w:val="18"/>
          <w:szCs w:val="18"/>
          <w:lang w:val="es-ES"/>
        </w:rPr>
        <w:t>n.°</w:t>
      </w:r>
      <w:proofErr w:type="spellEnd"/>
      <w:r w:rsidRPr="00C72FF3">
        <w:rPr>
          <w:rFonts w:ascii="Verdana" w:hAnsi="Verdana"/>
          <w:sz w:val="18"/>
          <w:szCs w:val="18"/>
          <w:lang w:val="es-ES"/>
        </w:rPr>
        <w:t xml:space="preserve"> 4 solicitada por los representantes (supra párr. 149), la Corte considera que las medidas adoptadas por el Estado en materia de Derechos Humanos y empresas implican un avance progresivo en la incorporación de la debida diligencia de las empresas respecto a la garantía y respeto de los derechos de los consumidores. No </w:t>
      </w:r>
      <w:proofErr w:type="gramStart"/>
      <w:r w:rsidRPr="00C72FF3">
        <w:rPr>
          <w:rFonts w:ascii="Verdana" w:hAnsi="Verdana"/>
          <w:sz w:val="18"/>
          <w:szCs w:val="18"/>
          <w:lang w:val="es-ES"/>
        </w:rPr>
        <w:t>obstante</w:t>
      </w:r>
      <w:proofErr w:type="gramEnd"/>
      <w:r w:rsidRPr="00C72FF3">
        <w:rPr>
          <w:rFonts w:ascii="Verdana" w:hAnsi="Verdana"/>
          <w:sz w:val="18"/>
          <w:szCs w:val="18"/>
          <w:lang w:val="es-ES"/>
        </w:rPr>
        <w:t xml:space="preserve"> lo anterior, el Tribunal considera necesario adoptar medidas específicas en materia de igualdad y no discriminación de las personas LGBTIQ+ en el ámbito de las relaciones entre consumidor y empresa privada. Para ello, el Estado deberá diseñar e implementar, en el plazo de dos años a partir de la notificación de la presente </w:t>
      </w:r>
      <w:r w:rsidR="00161E81" w:rsidRPr="00C72FF3">
        <w:rPr>
          <w:rFonts w:ascii="Verdana" w:hAnsi="Verdana"/>
          <w:sz w:val="18"/>
          <w:szCs w:val="18"/>
          <w:lang w:val="es-ES"/>
        </w:rPr>
        <w:t>s</w:t>
      </w:r>
      <w:r w:rsidRPr="00C72FF3">
        <w:rPr>
          <w:rFonts w:ascii="Verdana" w:hAnsi="Verdana"/>
          <w:sz w:val="18"/>
          <w:szCs w:val="18"/>
          <w:lang w:val="es-ES"/>
        </w:rPr>
        <w:t>entencia, una política pública con el objetivo de monitorear y fiscalizar que las empresas cumplan con la legislación nacional, así como con los estándares interamericanos sobre igualdad y no discriminación de las personas LGBTIQ+. Como parte de esta política pública, el Estado debe requerir a las empresas capacitar a sus trabajadores, trabajadoras y colaboradores (incluyendo el personal de seguridad) en el respeto a los consumidores LGBTIQ+. El Estado deberá presentar a la Corte un informe anual durante cinco años a partir de la implementación de la política pública, en el que indique las acciones que se han realizado para tal fin.</w:t>
      </w:r>
    </w:p>
    <w:p w14:paraId="5D0E7B0F" w14:textId="77777777" w:rsidR="00C72FF3" w:rsidRDefault="00C72FF3" w:rsidP="00C72FF3">
      <w:pPr>
        <w:pStyle w:val="Prrafodelista"/>
        <w:spacing w:after="0" w:line="240" w:lineRule="auto"/>
        <w:ind w:left="0"/>
        <w:jc w:val="both"/>
        <w:rPr>
          <w:rFonts w:ascii="Verdana" w:hAnsi="Verdana"/>
          <w:color w:val="000000" w:themeColor="text1"/>
          <w:sz w:val="20"/>
          <w:szCs w:val="20"/>
        </w:rPr>
      </w:pPr>
    </w:p>
    <w:p w14:paraId="79712EF6" w14:textId="6AC618B7" w:rsidR="00CD398F" w:rsidRDefault="0063286A" w:rsidP="00161E81">
      <w:pPr>
        <w:pStyle w:val="Prrafodelista"/>
        <w:numPr>
          <w:ilvl w:val="0"/>
          <w:numId w:val="1"/>
        </w:numPr>
        <w:spacing w:after="0" w:line="240" w:lineRule="auto"/>
        <w:ind w:left="0" w:firstLine="0"/>
        <w:jc w:val="both"/>
        <w:rPr>
          <w:rFonts w:ascii="Verdana" w:hAnsi="Verdana"/>
          <w:color w:val="000000" w:themeColor="text1"/>
          <w:sz w:val="20"/>
          <w:szCs w:val="20"/>
        </w:rPr>
      </w:pPr>
      <w:r w:rsidRPr="00D35E2A">
        <w:rPr>
          <w:rFonts w:ascii="Verdana" w:hAnsi="Verdana"/>
          <w:color w:val="000000" w:themeColor="text1"/>
          <w:sz w:val="20"/>
          <w:szCs w:val="20"/>
        </w:rPr>
        <w:t>La Corte nota que</w:t>
      </w:r>
      <w:r w:rsidR="009A2439">
        <w:rPr>
          <w:rFonts w:ascii="Verdana" w:hAnsi="Verdana"/>
          <w:color w:val="000000" w:themeColor="text1"/>
          <w:sz w:val="20"/>
          <w:szCs w:val="20"/>
        </w:rPr>
        <w:t xml:space="preserve"> la formulación de la medida de reparación y su contenido es clara.</w:t>
      </w:r>
      <w:r w:rsidRPr="00D35E2A">
        <w:rPr>
          <w:rFonts w:ascii="Verdana" w:hAnsi="Verdana"/>
          <w:color w:val="000000" w:themeColor="text1"/>
          <w:sz w:val="20"/>
          <w:szCs w:val="20"/>
        </w:rPr>
        <w:t xml:space="preserve"> </w:t>
      </w:r>
      <w:r w:rsidR="009A2439">
        <w:rPr>
          <w:rFonts w:ascii="Verdana" w:hAnsi="Verdana"/>
          <w:color w:val="000000" w:themeColor="text1"/>
          <w:sz w:val="20"/>
          <w:szCs w:val="20"/>
        </w:rPr>
        <w:t>L</w:t>
      </w:r>
      <w:r w:rsidRPr="00D35E2A">
        <w:rPr>
          <w:rFonts w:ascii="Verdana" w:hAnsi="Verdana"/>
          <w:color w:val="000000" w:themeColor="text1"/>
          <w:sz w:val="20"/>
          <w:szCs w:val="20"/>
        </w:rPr>
        <w:t xml:space="preserve">a solicitud de interpretación presentada por el Estado se centra en la alegada imposibilidad de requerir el cumplimiento de obligaciones determinadas a </w:t>
      </w:r>
      <w:r w:rsidR="00CA746B">
        <w:rPr>
          <w:rFonts w:ascii="Verdana" w:hAnsi="Verdana"/>
          <w:color w:val="000000" w:themeColor="text1"/>
          <w:sz w:val="20"/>
          <w:szCs w:val="20"/>
        </w:rPr>
        <w:t>sujetos</w:t>
      </w:r>
      <w:r w:rsidRPr="00D35E2A">
        <w:rPr>
          <w:rFonts w:ascii="Verdana" w:hAnsi="Verdana"/>
          <w:color w:val="000000" w:themeColor="text1"/>
          <w:sz w:val="20"/>
          <w:szCs w:val="20"/>
        </w:rPr>
        <w:t xml:space="preserve"> privados, ajenos a las funciones estatales, a la luz de lo consagrado en el Decreto Supremo No. 029-2018-PCM. Al respecto, la Corte advierte que la consulta realizada por el Estado no corresponde a los supuestos de interpretación establecidos en el artículo 67 de la Convención Americana, en tanto no versa sobre el sentido o alcance del fallo, sino en una alegada imposibilidad de cumplimiento de la medida de reparación ordenada por la Corte en el </w:t>
      </w:r>
      <w:r w:rsidR="00C07DC7">
        <w:rPr>
          <w:rFonts w:ascii="Verdana" w:hAnsi="Verdana"/>
          <w:color w:val="000000" w:themeColor="text1"/>
          <w:sz w:val="20"/>
          <w:szCs w:val="20"/>
        </w:rPr>
        <w:t xml:space="preserve">Punto Resolutivo </w:t>
      </w:r>
      <w:r w:rsidRPr="00D35E2A">
        <w:rPr>
          <w:rFonts w:ascii="Verdana" w:hAnsi="Verdana"/>
          <w:color w:val="000000" w:themeColor="text1"/>
          <w:sz w:val="20"/>
          <w:szCs w:val="20"/>
        </w:rPr>
        <w:t>9 de la Sentencia</w:t>
      </w:r>
      <w:r w:rsidR="00D35E2A">
        <w:rPr>
          <w:rFonts w:ascii="Verdana" w:hAnsi="Verdana"/>
          <w:color w:val="000000" w:themeColor="text1"/>
          <w:sz w:val="20"/>
          <w:szCs w:val="20"/>
        </w:rPr>
        <w:t xml:space="preserve"> </w:t>
      </w:r>
      <w:r w:rsidRPr="00D35E2A">
        <w:rPr>
          <w:rFonts w:ascii="Verdana" w:hAnsi="Verdana"/>
          <w:color w:val="000000" w:themeColor="text1"/>
          <w:sz w:val="20"/>
          <w:szCs w:val="20"/>
        </w:rPr>
        <w:t>con base en disposiciones de derecho interno</w:t>
      </w:r>
      <w:r w:rsidR="00161E81">
        <w:rPr>
          <w:rFonts w:ascii="Verdana" w:hAnsi="Verdana"/>
          <w:color w:val="000000" w:themeColor="text1"/>
          <w:sz w:val="20"/>
          <w:szCs w:val="20"/>
        </w:rPr>
        <w:t xml:space="preserve">. </w:t>
      </w:r>
    </w:p>
    <w:p w14:paraId="41F3F8EA" w14:textId="77777777" w:rsidR="00CD398F" w:rsidRDefault="00CD398F" w:rsidP="00B916ED">
      <w:pPr>
        <w:pStyle w:val="Prrafodelista"/>
        <w:spacing w:after="0" w:line="240" w:lineRule="auto"/>
        <w:ind w:left="0"/>
        <w:jc w:val="both"/>
        <w:rPr>
          <w:rFonts w:ascii="Verdana" w:hAnsi="Verdana"/>
          <w:color w:val="000000" w:themeColor="text1"/>
          <w:sz w:val="20"/>
          <w:szCs w:val="20"/>
        </w:rPr>
      </w:pPr>
    </w:p>
    <w:p w14:paraId="105FB7CE" w14:textId="289BBB67" w:rsidR="00511555" w:rsidRPr="00161E81" w:rsidRDefault="00161E81" w:rsidP="00161E81">
      <w:pPr>
        <w:pStyle w:val="Prrafodelista"/>
        <w:numPr>
          <w:ilvl w:val="0"/>
          <w:numId w:val="1"/>
        </w:numPr>
        <w:spacing w:after="0" w:line="240" w:lineRule="auto"/>
        <w:ind w:left="0" w:firstLine="0"/>
        <w:jc w:val="both"/>
        <w:rPr>
          <w:rFonts w:ascii="Verdana" w:hAnsi="Verdana"/>
          <w:color w:val="000000" w:themeColor="text1"/>
          <w:sz w:val="20"/>
          <w:szCs w:val="20"/>
        </w:rPr>
      </w:pPr>
      <w:r w:rsidRPr="00522781">
        <w:rPr>
          <w:rFonts w:ascii="Verdana" w:hAnsi="Verdana"/>
          <w:color w:val="000000" w:themeColor="text1"/>
          <w:sz w:val="20"/>
          <w:szCs w:val="20"/>
        </w:rPr>
        <w:t xml:space="preserve">La Corte recuerda que los </w:t>
      </w:r>
      <w:proofErr w:type="gramStart"/>
      <w:r w:rsidRPr="00522781">
        <w:rPr>
          <w:rFonts w:ascii="Verdana" w:hAnsi="Verdana"/>
          <w:color w:val="000000" w:themeColor="text1"/>
          <w:sz w:val="20"/>
          <w:szCs w:val="20"/>
        </w:rPr>
        <w:t>Estados Partes</w:t>
      </w:r>
      <w:proofErr w:type="gramEnd"/>
      <w:r w:rsidRPr="00522781">
        <w:rPr>
          <w:rFonts w:ascii="Verdana" w:hAnsi="Verdana"/>
          <w:color w:val="000000" w:themeColor="text1"/>
          <w:sz w:val="20"/>
          <w:szCs w:val="20"/>
        </w:rPr>
        <w:t xml:space="preserve"> de la Convención Americana tienen la obligación convencional de implementar tanto a nivel internacional como interno y de forma pronta e íntegra, lo dispuesto por el Tribunal en las Sentencias que a ellos conciernan, obligación que, como lo señala el derecho internacional consuetudinario y lo ha recordado la Corte, vincula a todos los poderes y órganos estatales</w:t>
      </w:r>
      <w:r>
        <w:rPr>
          <w:rStyle w:val="Refdenotaalpie"/>
          <w:rFonts w:ascii="Verdana" w:hAnsi="Verdana"/>
          <w:color w:val="000000" w:themeColor="text1"/>
          <w:sz w:val="20"/>
          <w:szCs w:val="20"/>
        </w:rPr>
        <w:footnoteReference w:id="12"/>
      </w:r>
      <w:r w:rsidRPr="00522781">
        <w:rPr>
          <w:rFonts w:ascii="Verdana" w:hAnsi="Verdana"/>
          <w:color w:val="000000" w:themeColor="text1"/>
          <w:sz w:val="20"/>
          <w:szCs w:val="20"/>
        </w:rPr>
        <w:t>, y de no cumplirse se incurre en un ilícito internacional</w:t>
      </w:r>
      <w:r>
        <w:rPr>
          <w:rStyle w:val="Refdenotaalpie"/>
          <w:rFonts w:ascii="Verdana" w:hAnsi="Verdana"/>
          <w:color w:val="000000" w:themeColor="text1"/>
          <w:sz w:val="20"/>
          <w:szCs w:val="20"/>
        </w:rPr>
        <w:footnoteReference w:id="13"/>
      </w:r>
      <w:r w:rsidRPr="00522781">
        <w:rPr>
          <w:rFonts w:ascii="Verdana" w:hAnsi="Verdana"/>
          <w:color w:val="000000" w:themeColor="text1"/>
          <w:sz w:val="20"/>
          <w:szCs w:val="20"/>
        </w:rPr>
        <w:t>. La obligación de cumplir lo dispuesto en las decisiones del Tribunal corresponde a un principio básico del derecho sobre la responsabilidad internacional del Estado, respaldado por la jurisprudencia internacional, según el cual los Estados deben cumplir sus obligaciones convencionales internacionales de buena fe (</w:t>
      </w:r>
      <w:r w:rsidRPr="00522781">
        <w:rPr>
          <w:rFonts w:ascii="Verdana" w:hAnsi="Verdana"/>
          <w:i/>
          <w:iCs/>
          <w:color w:val="000000" w:themeColor="text1"/>
          <w:sz w:val="20"/>
          <w:szCs w:val="20"/>
        </w:rPr>
        <w:t xml:space="preserve">pacta sunt </w:t>
      </w:r>
      <w:proofErr w:type="spellStart"/>
      <w:r w:rsidRPr="00522781">
        <w:rPr>
          <w:rFonts w:ascii="Verdana" w:hAnsi="Verdana"/>
          <w:i/>
          <w:iCs/>
          <w:color w:val="000000" w:themeColor="text1"/>
          <w:sz w:val="20"/>
          <w:szCs w:val="20"/>
        </w:rPr>
        <w:t>servanda</w:t>
      </w:r>
      <w:proofErr w:type="spellEnd"/>
      <w:r w:rsidRPr="00522781">
        <w:rPr>
          <w:rFonts w:ascii="Verdana" w:hAnsi="Verdana"/>
          <w:color w:val="000000" w:themeColor="text1"/>
          <w:sz w:val="20"/>
          <w:szCs w:val="20"/>
        </w:rPr>
        <w:t xml:space="preserve">) y, como ya ha señalado este Tribunal y lo dispone el artículo 27 de la Convención de Viena sobre el Derecho de los Tratados de 1969, los Estados “no pueden por razones de orden interno dejar de asumir la responsabilidad internacional </w:t>
      </w:r>
      <w:r w:rsidRPr="00522781">
        <w:rPr>
          <w:rFonts w:ascii="Verdana" w:hAnsi="Verdana"/>
          <w:color w:val="000000" w:themeColor="text1"/>
          <w:sz w:val="20"/>
          <w:szCs w:val="20"/>
        </w:rPr>
        <w:lastRenderedPageBreak/>
        <w:t>ya establecida”</w:t>
      </w:r>
      <w:r>
        <w:rPr>
          <w:rStyle w:val="Refdenotaalpie"/>
          <w:rFonts w:ascii="Verdana" w:hAnsi="Verdana"/>
          <w:color w:val="000000" w:themeColor="text1"/>
          <w:sz w:val="20"/>
          <w:szCs w:val="20"/>
        </w:rPr>
        <w:footnoteReference w:id="14"/>
      </w:r>
      <w:r>
        <w:rPr>
          <w:rFonts w:ascii="Verdana" w:hAnsi="Verdana"/>
          <w:color w:val="000000" w:themeColor="text1"/>
          <w:sz w:val="20"/>
          <w:szCs w:val="20"/>
        </w:rPr>
        <w:t xml:space="preserve">. </w:t>
      </w:r>
      <w:proofErr w:type="gramStart"/>
      <w:r w:rsidR="004F0051" w:rsidRPr="00161E81">
        <w:rPr>
          <w:rFonts w:ascii="Verdana" w:hAnsi="Verdana"/>
          <w:color w:val="000000" w:themeColor="text1"/>
          <w:sz w:val="20"/>
          <w:szCs w:val="20"/>
        </w:rPr>
        <w:t>En razón de</w:t>
      </w:r>
      <w:proofErr w:type="gramEnd"/>
      <w:r w:rsidR="004F0051" w:rsidRPr="00161E81">
        <w:rPr>
          <w:rFonts w:ascii="Verdana" w:hAnsi="Verdana"/>
          <w:color w:val="000000" w:themeColor="text1"/>
          <w:sz w:val="20"/>
          <w:szCs w:val="20"/>
        </w:rPr>
        <w:t xml:space="preserve"> lo anterior, este Tribunal considera que la solicitud del Estado es improcedente</w:t>
      </w:r>
      <w:r w:rsidR="00F6289E">
        <w:rPr>
          <w:rFonts w:ascii="Verdana" w:hAnsi="Verdana"/>
          <w:color w:val="000000" w:themeColor="text1"/>
          <w:sz w:val="20"/>
          <w:szCs w:val="20"/>
        </w:rPr>
        <w:t xml:space="preserve"> </w:t>
      </w:r>
      <w:r w:rsidR="00F6289E">
        <w:rPr>
          <w:rFonts w:ascii="Verdana" w:hAnsi="Verdana"/>
          <w:iCs/>
          <w:color w:val="000000" w:themeColor="text1"/>
          <w:sz w:val="20"/>
          <w:szCs w:val="20"/>
        </w:rPr>
        <w:t>sobre este extremo.</w:t>
      </w:r>
    </w:p>
    <w:p w14:paraId="2207A6F9" w14:textId="77777777" w:rsidR="0019570B" w:rsidRPr="002B3C3D" w:rsidRDefault="0019570B" w:rsidP="0019570B">
      <w:pPr>
        <w:spacing w:after="0" w:line="240" w:lineRule="auto"/>
        <w:jc w:val="both"/>
        <w:rPr>
          <w:rFonts w:ascii="Verdana" w:hAnsi="Verdana"/>
          <w:iCs/>
          <w:color w:val="000000" w:themeColor="text1"/>
          <w:sz w:val="20"/>
          <w:szCs w:val="20"/>
        </w:rPr>
      </w:pPr>
    </w:p>
    <w:p w14:paraId="49BA7954" w14:textId="77777777" w:rsidR="008B5494" w:rsidRPr="008B7099" w:rsidRDefault="008B5494" w:rsidP="00030E4B">
      <w:pPr>
        <w:pStyle w:val="Prrafodelista"/>
        <w:spacing w:after="0" w:line="240" w:lineRule="auto"/>
        <w:ind w:left="0"/>
        <w:jc w:val="both"/>
        <w:rPr>
          <w:rFonts w:ascii="Verdana" w:hAnsi="Verdana"/>
          <w:color w:val="000000" w:themeColor="text1"/>
          <w:sz w:val="20"/>
          <w:szCs w:val="20"/>
        </w:rPr>
      </w:pPr>
    </w:p>
    <w:p w14:paraId="699CA4A1" w14:textId="77777777" w:rsidR="00A03487" w:rsidRPr="008B7099" w:rsidRDefault="00A03487" w:rsidP="00A03487">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V</w:t>
      </w:r>
    </w:p>
    <w:p w14:paraId="3964A050" w14:textId="77777777" w:rsidR="00A03487" w:rsidRPr="008B7099" w:rsidRDefault="00A03487" w:rsidP="00A03487">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PUNTOS RESOLUTIVOS</w:t>
      </w:r>
    </w:p>
    <w:p w14:paraId="6466DF26" w14:textId="77777777" w:rsidR="00A03487" w:rsidRPr="008B7099" w:rsidRDefault="00A03487" w:rsidP="0019570B">
      <w:pPr>
        <w:spacing w:after="0" w:line="240" w:lineRule="auto"/>
        <w:jc w:val="both"/>
        <w:rPr>
          <w:rFonts w:ascii="Verdana" w:hAnsi="Verdana"/>
          <w:color w:val="000000" w:themeColor="text1"/>
          <w:sz w:val="20"/>
          <w:szCs w:val="20"/>
        </w:rPr>
      </w:pPr>
    </w:p>
    <w:p w14:paraId="598B9696" w14:textId="77777777" w:rsidR="00A03487" w:rsidRPr="0019570B" w:rsidRDefault="00A03487" w:rsidP="0019570B">
      <w:pPr>
        <w:pStyle w:val="Prrafodelista"/>
        <w:numPr>
          <w:ilvl w:val="0"/>
          <w:numId w:val="1"/>
        </w:numPr>
        <w:spacing w:after="0" w:line="240" w:lineRule="auto"/>
        <w:ind w:left="0" w:firstLine="0"/>
        <w:jc w:val="both"/>
        <w:rPr>
          <w:rFonts w:ascii="Verdana" w:hAnsi="Verdana"/>
          <w:color w:val="000000" w:themeColor="text1"/>
          <w:sz w:val="20"/>
          <w:szCs w:val="20"/>
        </w:rPr>
      </w:pPr>
      <w:r w:rsidRPr="0019570B">
        <w:rPr>
          <w:rFonts w:ascii="Verdana" w:hAnsi="Verdana"/>
          <w:color w:val="000000" w:themeColor="text1"/>
          <w:sz w:val="20"/>
          <w:szCs w:val="20"/>
        </w:rPr>
        <w:t>Por tanto,</w:t>
      </w:r>
    </w:p>
    <w:p w14:paraId="5B1CD3E7" w14:textId="77777777" w:rsidR="00A03487" w:rsidRPr="0019570B" w:rsidRDefault="00A03487" w:rsidP="0019570B">
      <w:pPr>
        <w:spacing w:after="0" w:line="240" w:lineRule="auto"/>
        <w:jc w:val="both"/>
        <w:rPr>
          <w:rFonts w:ascii="Verdana" w:hAnsi="Verdana"/>
          <w:color w:val="000000" w:themeColor="text1"/>
          <w:sz w:val="20"/>
          <w:szCs w:val="20"/>
        </w:rPr>
      </w:pPr>
    </w:p>
    <w:p w14:paraId="7BFA35D5" w14:textId="77777777" w:rsidR="00A03487" w:rsidRPr="0019570B" w:rsidRDefault="00A03487" w:rsidP="0019570B">
      <w:pPr>
        <w:spacing w:after="0" w:line="240" w:lineRule="auto"/>
        <w:jc w:val="both"/>
        <w:rPr>
          <w:rFonts w:ascii="Verdana" w:hAnsi="Verdana"/>
          <w:b/>
          <w:color w:val="000000" w:themeColor="text1"/>
          <w:sz w:val="20"/>
          <w:szCs w:val="20"/>
        </w:rPr>
      </w:pPr>
      <w:r w:rsidRPr="0019570B">
        <w:rPr>
          <w:rFonts w:ascii="Verdana" w:hAnsi="Verdana"/>
          <w:b/>
          <w:color w:val="000000" w:themeColor="text1"/>
          <w:sz w:val="20"/>
          <w:szCs w:val="20"/>
        </w:rPr>
        <w:t xml:space="preserve">LA CORTE, </w:t>
      </w:r>
    </w:p>
    <w:p w14:paraId="48F02251" w14:textId="77777777" w:rsidR="00A03487" w:rsidRPr="0019570B" w:rsidRDefault="00A03487" w:rsidP="0019570B">
      <w:pPr>
        <w:spacing w:after="0" w:line="240" w:lineRule="auto"/>
        <w:jc w:val="both"/>
        <w:rPr>
          <w:rFonts w:ascii="Verdana" w:hAnsi="Verdana"/>
          <w:b/>
          <w:color w:val="000000" w:themeColor="text1"/>
          <w:sz w:val="20"/>
          <w:szCs w:val="20"/>
        </w:rPr>
      </w:pPr>
    </w:p>
    <w:p w14:paraId="3F6153AB" w14:textId="77777777" w:rsidR="00A03487" w:rsidRPr="0019570B" w:rsidRDefault="00A03487" w:rsidP="0019570B">
      <w:pPr>
        <w:spacing w:after="0" w:line="240" w:lineRule="auto"/>
        <w:jc w:val="both"/>
        <w:rPr>
          <w:rFonts w:ascii="Verdana" w:hAnsi="Verdana"/>
          <w:color w:val="000000" w:themeColor="text1"/>
          <w:sz w:val="20"/>
          <w:szCs w:val="20"/>
        </w:rPr>
      </w:pPr>
      <w:r w:rsidRPr="0019570B">
        <w:rPr>
          <w:rFonts w:ascii="Verdana" w:hAnsi="Verdana"/>
          <w:color w:val="000000" w:themeColor="text1"/>
          <w:sz w:val="20"/>
          <w:szCs w:val="20"/>
        </w:rPr>
        <w:t>de conformidad con el artículo 67 de la Convención Americana sobre Derechos Humanos y los artículos 31.3 y 68 del Reglamento,</w:t>
      </w:r>
    </w:p>
    <w:p w14:paraId="13D3A396" w14:textId="77777777" w:rsidR="00A03487" w:rsidRPr="00C72FF3" w:rsidRDefault="00A03487" w:rsidP="00A03487">
      <w:pPr>
        <w:spacing w:after="0" w:line="240" w:lineRule="auto"/>
        <w:rPr>
          <w:rFonts w:ascii="Verdana" w:hAnsi="Verdana"/>
          <w:color w:val="000000" w:themeColor="text1"/>
          <w:sz w:val="20"/>
          <w:szCs w:val="20"/>
        </w:rPr>
      </w:pPr>
    </w:p>
    <w:p w14:paraId="39376A83" w14:textId="77777777" w:rsidR="00A03487" w:rsidRPr="00C72FF3" w:rsidRDefault="00A03487" w:rsidP="00A03487">
      <w:pPr>
        <w:spacing w:after="0" w:line="240" w:lineRule="auto"/>
        <w:rPr>
          <w:rFonts w:ascii="Verdana" w:hAnsi="Verdana"/>
          <w:b/>
          <w:color w:val="000000" w:themeColor="text1"/>
          <w:sz w:val="20"/>
          <w:szCs w:val="20"/>
        </w:rPr>
      </w:pPr>
      <w:r w:rsidRPr="00C72FF3">
        <w:rPr>
          <w:rFonts w:ascii="Verdana" w:hAnsi="Verdana"/>
          <w:b/>
          <w:color w:val="000000" w:themeColor="text1"/>
          <w:sz w:val="20"/>
          <w:szCs w:val="20"/>
        </w:rPr>
        <w:t>DECIDE:</w:t>
      </w:r>
    </w:p>
    <w:p w14:paraId="1DFE0633" w14:textId="77777777" w:rsidR="00A03487" w:rsidRPr="00C72FF3" w:rsidRDefault="00A03487" w:rsidP="00A03487">
      <w:pPr>
        <w:spacing w:after="0" w:line="240" w:lineRule="auto"/>
        <w:rPr>
          <w:rFonts w:ascii="Verdana" w:hAnsi="Verdana"/>
          <w:b/>
          <w:color w:val="000000" w:themeColor="text1"/>
          <w:sz w:val="20"/>
          <w:szCs w:val="20"/>
        </w:rPr>
      </w:pPr>
    </w:p>
    <w:p w14:paraId="35408781" w14:textId="1D88AF56" w:rsidR="00A03487" w:rsidRPr="00C72FF3" w:rsidRDefault="00A03487" w:rsidP="00A03487">
      <w:pPr>
        <w:spacing w:after="0" w:line="240" w:lineRule="auto"/>
        <w:rPr>
          <w:rFonts w:ascii="Verdana" w:hAnsi="Verdana"/>
          <w:color w:val="000000" w:themeColor="text1"/>
          <w:sz w:val="20"/>
          <w:szCs w:val="20"/>
        </w:rPr>
      </w:pPr>
      <w:r w:rsidRPr="00C72FF3">
        <w:rPr>
          <w:rFonts w:ascii="Verdana" w:hAnsi="Verdana"/>
          <w:color w:val="000000" w:themeColor="text1"/>
          <w:sz w:val="20"/>
          <w:szCs w:val="20"/>
        </w:rPr>
        <w:t xml:space="preserve">Por </w:t>
      </w:r>
      <w:r w:rsidR="00384A26" w:rsidRPr="00C72FF3">
        <w:rPr>
          <w:rFonts w:ascii="Verdana" w:hAnsi="Verdana"/>
          <w:color w:val="000000" w:themeColor="text1"/>
          <w:sz w:val="20"/>
          <w:szCs w:val="20"/>
        </w:rPr>
        <w:t>unanimidad,</w:t>
      </w:r>
    </w:p>
    <w:p w14:paraId="079B2374" w14:textId="77777777" w:rsidR="00A03487" w:rsidRPr="00C72FF3" w:rsidRDefault="00A03487" w:rsidP="00A03487">
      <w:pPr>
        <w:spacing w:after="0" w:line="240" w:lineRule="auto"/>
        <w:rPr>
          <w:rFonts w:ascii="Verdana" w:hAnsi="Verdana"/>
          <w:color w:val="000000" w:themeColor="text1"/>
          <w:sz w:val="20"/>
          <w:szCs w:val="20"/>
        </w:rPr>
      </w:pPr>
    </w:p>
    <w:p w14:paraId="78287C1E" w14:textId="5BBF6CBD" w:rsidR="00434EA5" w:rsidRPr="00B916ED" w:rsidRDefault="00434EA5" w:rsidP="00434EA5">
      <w:pPr>
        <w:pStyle w:val="Prrafodelista"/>
        <w:numPr>
          <w:ilvl w:val="0"/>
          <w:numId w:val="3"/>
        </w:numPr>
        <w:spacing w:after="0" w:line="240" w:lineRule="auto"/>
        <w:ind w:left="0" w:firstLine="0"/>
        <w:jc w:val="both"/>
        <w:rPr>
          <w:rFonts w:ascii="Verdana" w:hAnsi="Verdana"/>
          <w:color w:val="000000" w:themeColor="text1"/>
          <w:sz w:val="20"/>
          <w:szCs w:val="20"/>
        </w:rPr>
      </w:pPr>
      <w:r w:rsidRPr="00B916ED">
        <w:rPr>
          <w:rFonts w:ascii="Verdana" w:hAnsi="Verdana"/>
          <w:color w:val="000000" w:themeColor="text1"/>
          <w:sz w:val="20"/>
          <w:szCs w:val="20"/>
        </w:rPr>
        <w:t>Declarar admisible la solicitud de interpretación de la Sentencia de Excepci</w:t>
      </w:r>
      <w:r w:rsidR="0088232E" w:rsidRPr="00B916ED">
        <w:rPr>
          <w:rFonts w:ascii="Verdana" w:hAnsi="Verdana"/>
          <w:color w:val="000000" w:themeColor="text1"/>
          <w:sz w:val="20"/>
          <w:szCs w:val="20"/>
        </w:rPr>
        <w:t>o</w:t>
      </w:r>
      <w:r w:rsidRPr="00B916ED">
        <w:rPr>
          <w:rFonts w:ascii="Verdana" w:hAnsi="Verdana"/>
          <w:color w:val="000000" w:themeColor="text1"/>
          <w:sz w:val="20"/>
          <w:szCs w:val="20"/>
        </w:rPr>
        <w:t>n</w:t>
      </w:r>
      <w:r w:rsidR="0088232E" w:rsidRPr="00B916ED">
        <w:rPr>
          <w:rFonts w:ascii="Verdana" w:hAnsi="Verdana"/>
          <w:color w:val="000000" w:themeColor="text1"/>
          <w:sz w:val="20"/>
          <w:szCs w:val="20"/>
        </w:rPr>
        <w:t>es</w:t>
      </w:r>
      <w:r w:rsidRPr="00B916ED">
        <w:rPr>
          <w:rFonts w:ascii="Verdana" w:hAnsi="Verdana"/>
          <w:color w:val="000000" w:themeColor="text1"/>
          <w:sz w:val="20"/>
          <w:szCs w:val="20"/>
        </w:rPr>
        <w:t xml:space="preserve"> Preliminar</w:t>
      </w:r>
      <w:r w:rsidR="0088232E" w:rsidRPr="00B916ED">
        <w:rPr>
          <w:rFonts w:ascii="Verdana" w:hAnsi="Verdana"/>
          <w:color w:val="000000" w:themeColor="text1"/>
          <w:sz w:val="20"/>
          <w:szCs w:val="20"/>
        </w:rPr>
        <w:t>es</w:t>
      </w:r>
      <w:r w:rsidRPr="00B916ED">
        <w:rPr>
          <w:rFonts w:ascii="Verdana" w:hAnsi="Verdana"/>
          <w:color w:val="000000" w:themeColor="text1"/>
          <w:sz w:val="20"/>
          <w:szCs w:val="20"/>
        </w:rPr>
        <w:t xml:space="preserve">, </w:t>
      </w:r>
      <w:r w:rsidR="00B52065" w:rsidRPr="00B916ED">
        <w:rPr>
          <w:rFonts w:ascii="Verdana" w:hAnsi="Verdana"/>
          <w:color w:val="000000" w:themeColor="text1"/>
          <w:sz w:val="20"/>
          <w:szCs w:val="20"/>
        </w:rPr>
        <w:t>Fondo</w:t>
      </w:r>
      <w:r w:rsidR="00C72FF3" w:rsidRPr="00B916ED">
        <w:rPr>
          <w:rFonts w:ascii="Verdana" w:hAnsi="Verdana"/>
          <w:color w:val="000000" w:themeColor="text1"/>
          <w:sz w:val="20"/>
          <w:szCs w:val="20"/>
        </w:rPr>
        <w:t>,</w:t>
      </w:r>
      <w:r w:rsidR="00B52065" w:rsidRPr="00B916ED">
        <w:rPr>
          <w:rFonts w:ascii="Verdana" w:hAnsi="Verdana"/>
          <w:color w:val="000000" w:themeColor="text1"/>
          <w:sz w:val="20"/>
          <w:szCs w:val="20"/>
        </w:rPr>
        <w:t xml:space="preserve"> </w:t>
      </w:r>
      <w:r w:rsidRPr="00B916ED">
        <w:rPr>
          <w:rFonts w:ascii="Verdana" w:hAnsi="Verdana"/>
          <w:color w:val="000000" w:themeColor="text1"/>
          <w:sz w:val="20"/>
          <w:szCs w:val="20"/>
        </w:rPr>
        <w:t>Reparaciones</w:t>
      </w:r>
      <w:r w:rsidR="00C72FF3" w:rsidRPr="00B916ED">
        <w:rPr>
          <w:rFonts w:ascii="Verdana" w:hAnsi="Verdana"/>
          <w:color w:val="000000" w:themeColor="text1"/>
          <w:sz w:val="20"/>
          <w:szCs w:val="20"/>
        </w:rPr>
        <w:t xml:space="preserve"> y Costas</w:t>
      </w:r>
      <w:r w:rsidRPr="00B916ED">
        <w:rPr>
          <w:rFonts w:ascii="Verdana" w:hAnsi="Verdana"/>
          <w:color w:val="000000" w:themeColor="text1"/>
          <w:sz w:val="20"/>
          <w:szCs w:val="20"/>
        </w:rPr>
        <w:t xml:space="preserve"> emitida en el </w:t>
      </w:r>
      <w:r w:rsidRPr="00B916ED">
        <w:rPr>
          <w:rFonts w:ascii="Verdana" w:hAnsi="Verdana"/>
          <w:i/>
          <w:iCs/>
          <w:color w:val="000000" w:themeColor="text1"/>
          <w:sz w:val="20"/>
          <w:szCs w:val="20"/>
        </w:rPr>
        <w:t xml:space="preserve">Caso </w:t>
      </w:r>
      <w:r w:rsidR="00C72FF3" w:rsidRPr="00B916ED">
        <w:rPr>
          <w:rFonts w:ascii="Verdana" w:hAnsi="Verdana"/>
          <w:i/>
          <w:iCs/>
          <w:color w:val="000000" w:themeColor="text1"/>
          <w:sz w:val="20"/>
          <w:szCs w:val="20"/>
        </w:rPr>
        <w:t>Olivera Fuentes</w:t>
      </w:r>
      <w:r w:rsidR="0088232E" w:rsidRPr="00B916ED">
        <w:rPr>
          <w:rFonts w:ascii="Verdana" w:hAnsi="Verdana"/>
          <w:i/>
          <w:iCs/>
          <w:color w:val="000000" w:themeColor="text1"/>
          <w:sz w:val="20"/>
          <w:szCs w:val="20"/>
        </w:rPr>
        <w:t xml:space="preserve"> Vs. Perú, </w:t>
      </w:r>
      <w:r w:rsidRPr="00B916ED">
        <w:rPr>
          <w:rFonts w:ascii="Verdana" w:hAnsi="Verdana"/>
          <w:color w:val="000000" w:themeColor="text1"/>
          <w:sz w:val="20"/>
          <w:szCs w:val="20"/>
        </w:rPr>
        <w:t xml:space="preserve">presentada por el Estado, en los términos del párrafo </w:t>
      </w:r>
      <w:r w:rsidR="00C72FF3" w:rsidRPr="00B916ED">
        <w:rPr>
          <w:rFonts w:ascii="Verdana" w:hAnsi="Verdana"/>
          <w:color w:val="000000" w:themeColor="text1"/>
          <w:sz w:val="20"/>
          <w:szCs w:val="20"/>
        </w:rPr>
        <w:t>7</w:t>
      </w:r>
      <w:r w:rsidRPr="00B916ED">
        <w:rPr>
          <w:rFonts w:ascii="Verdana" w:hAnsi="Verdana"/>
          <w:color w:val="000000" w:themeColor="text1"/>
          <w:sz w:val="20"/>
          <w:szCs w:val="20"/>
        </w:rPr>
        <w:t xml:space="preserve"> de la presente Sentencia de Interpretación.</w:t>
      </w:r>
    </w:p>
    <w:p w14:paraId="054C305B" w14:textId="77777777" w:rsidR="00434EA5" w:rsidRPr="002B3C3D" w:rsidRDefault="00434EA5" w:rsidP="00434EA5">
      <w:pPr>
        <w:pStyle w:val="Prrafodelista"/>
        <w:spacing w:after="0" w:line="240" w:lineRule="auto"/>
        <w:ind w:left="0"/>
        <w:jc w:val="both"/>
        <w:rPr>
          <w:rFonts w:ascii="Verdana" w:hAnsi="Verdana"/>
          <w:color w:val="000000" w:themeColor="text1"/>
          <w:sz w:val="20"/>
          <w:szCs w:val="20"/>
          <w:highlight w:val="yellow"/>
        </w:rPr>
      </w:pPr>
    </w:p>
    <w:p w14:paraId="32AFCE9F" w14:textId="6DAFB246" w:rsidR="00394024" w:rsidRPr="00B916ED" w:rsidRDefault="00394024" w:rsidP="00394024">
      <w:pPr>
        <w:pStyle w:val="Prrafodelista"/>
        <w:numPr>
          <w:ilvl w:val="0"/>
          <w:numId w:val="3"/>
        </w:numPr>
        <w:spacing w:after="0" w:line="240" w:lineRule="auto"/>
        <w:ind w:left="0" w:firstLine="0"/>
        <w:jc w:val="both"/>
        <w:rPr>
          <w:rFonts w:ascii="Verdana" w:hAnsi="Verdana"/>
          <w:color w:val="000000" w:themeColor="text1"/>
          <w:sz w:val="20"/>
          <w:szCs w:val="20"/>
        </w:rPr>
      </w:pPr>
      <w:r w:rsidRPr="00C72FF3">
        <w:rPr>
          <w:rFonts w:ascii="Verdana" w:hAnsi="Verdana"/>
          <w:color w:val="000000" w:themeColor="text1"/>
          <w:sz w:val="20"/>
          <w:szCs w:val="20"/>
        </w:rPr>
        <w:t xml:space="preserve">Desestimar por improcedente </w:t>
      </w:r>
      <w:r w:rsidRPr="00B916ED">
        <w:rPr>
          <w:rFonts w:ascii="Verdana" w:hAnsi="Verdana"/>
          <w:color w:val="000000" w:themeColor="text1"/>
          <w:sz w:val="20"/>
          <w:szCs w:val="20"/>
        </w:rPr>
        <w:t xml:space="preserve">la solicitud de interpretación de la Sentencia de Excepciones Preliminares, </w:t>
      </w:r>
      <w:r w:rsidR="00B52065" w:rsidRPr="00B916ED">
        <w:rPr>
          <w:rFonts w:ascii="Verdana" w:hAnsi="Verdana"/>
          <w:color w:val="000000" w:themeColor="text1"/>
          <w:sz w:val="20"/>
          <w:szCs w:val="20"/>
        </w:rPr>
        <w:t xml:space="preserve">Fondo y Reparaciones </w:t>
      </w:r>
      <w:r w:rsidRPr="00B916ED">
        <w:rPr>
          <w:rFonts w:ascii="Verdana" w:hAnsi="Verdana"/>
          <w:color w:val="000000" w:themeColor="text1"/>
          <w:sz w:val="20"/>
          <w:szCs w:val="20"/>
        </w:rPr>
        <w:t xml:space="preserve">emitida en el </w:t>
      </w:r>
      <w:r w:rsidRPr="00B916ED">
        <w:rPr>
          <w:rFonts w:ascii="Verdana" w:hAnsi="Verdana"/>
          <w:i/>
          <w:iCs/>
          <w:color w:val="000000" w:themeColor="text1"/>
          <w:sz w:val="20"/>
          <w:szCs w:val="20"/>
        </w:rPr>
        <w:t xml:space="preserve">Caso </w:t>
      </w:r>
      <w:r w:rsidR="00C72FF3" w:rsidRPr="00B916ED">
        <w:rPr>
          <w:rFonts w:ascii="Verdana" w:hAnsi="Verdana"/>
          <w:i/>
          <w:iCs/>
          <w:color w:val="000000" w:themeColor="text1"/>
          <w:sz w:val="20"/>
          <w:szCs w:val="20"/>
        </w:rPr>
        <w:t>Olivera Fuentes</w:t>
      </w:r>
      <w:r w:rsidRPr="00B916ED">
        <w:rPr>
          <w:rFonts w:ascii="Verdana" w:hAnsi="Verdana"/>
          <w:i/>
          <w:iCs/>
          <w:color w:val="000000" w:themeColor="text1"/>
          <w:sz w:val="20"/>
          <w:szCs w:val="20"/>
        </w:rPr>
        <w:t xml:space="preserve"> Vs. Perú </w:t>
      </w:r>
      <w:r w:rsidRPr="00B916ED">
        <w:rPr>
          <w:rFonts w:ascii="Verdana" w:hAnsi="Verdana"/>
          <w:color w:val="000000" w:themeColor="text1"/>
          <w:sz w:val="20"/>
          <w:szCs w:val="20"/>
        </w:rPr>
        <w:t xml:space="preserve">presentada por </w:t>
      </w:r>
      <w:r w:rsidR="00C72FF3" w:rsidRPr="00B916ED">
        <w:rPr>
          <w:rFonts w:ascii="Verdana" w:hAnsi="Verdana"/>
          <w:color w:val="000000" w:themeColor="text1"/>
          <w:sz w:val="20"/>
          <w:szCs w:val="20"/>
        </w:rPr>
        <w:t>el Estado</w:t>
      </w:r>
      <w:r w:rsidRPr="00B916ED">
        <w:rPr>
          <w:rFonts w:ascii="Verdana" w:hAnsi="Verdana"/>
          <w:color w:val="000000" w:themeColor="text1"/>
          <w:sz w:val="20"/>
          <w:szCs w:val="20"/>
        </w:rPr>
        <w:t xml:space="preserve">, en los términos de los párrafos </w:t>
      </w:r>
      <w:r w:rsidR="00C72FF3" w:rsidRPr="00B916ED">
        <w:rPr>
          <w:rFonts w:ascii="Verdana" w:hAnsi="Verdana"/>
          <w:color w:val="000000" w:themeColor="text1"/>
          <w:sz w:val="20"/>
          <w:szCs w:val="20"/>
        </w:rPr>
        <w:t>15</w:t>
      </w:r>
      <w:r w:rsidR="00C8748C" w:rsidRPr="00B916ED">
        <w:rPr>
          <w:rFonts w:ascii="Verdana" w:hAnsi="Verdana"/>
          <w:color w:val="000000" w:themeColor="text1"/>
          <w:sz w:val="20"/>
          <w:szCs w:val="20"/>
        </w:rPr>
        <w:t xml:space="preserve"> a</w:t>
      </w:r>
      <w:r w:rsidRPr="00B916ED">
        <w:rPr>
          <w:rFonts w:ascii="Verdana" w:hAnsi="Verdana"/>
          <w:color w:val="000000" w:themeColor="text1"/>
          <w:sz w:val="20"/>
          <w:szCs w:val="20"/>
        </w:rPr>
        <w:t xml:space="preserve"> </w:t>
      </w:r>
      <w:r w:rsidR="003F62CC" w:rsidRPr="00B916ED">
        <w:rPr>
          <w:rFonts w:ascii="Verdana" w:hAnsi="Verdana"/>
          <w:color w:val="000000" w:themeColor="text1"/>
          <w:sz w:val="20"/>
          <w:szCs w:val="20"/>
        </w:rPr>
        <w:t xml:space="preserve">19 </w:t>
      </w:r>
      <w:r w:rsidRPr="00B916ED">
        <w:rPr>
          <w:rFonts w:ascii="Verdana" w:hAnsi="Verdana"/>
          <w:color w:val="000000" w:themeColor="text1"/>
          <w:sz w:val="20"/>
          <w:szCs w:val="20"/>
        </w:rPr>
        <w:t>de la presente Sentencia de Interpretación.</w:t>
      </w:r>
    </w:p>
    <w:p w14:paraId="05377E5E" w14:textId="77777777" w:rsidR="00C72FF3" w:rsidRPr="00B916ED" w:rsidRDefault="00C72FF3" w:rsidP="00C72FF3">
      <w:pPr>
        <w:pStyle w:val="Prrafodelista"/>
        <w:rPr>
          <w:rFonts w:ascii="Verdana" w:hAnsi="Verdana"/>
          <w:color w:val="000000" w:themeColor="text1"/>
          <w:sz w:val="20"/>
          <w:szCs w:val="20"/>
        </w:rPr>
      </w:pPr>
    </w:p>
    <w:p w14:paraId="027AE3F0" w14:textId="491CE59C" w:rsidR="00C72FF3" w:rsidRPr="00B916ED" w:rsidRDefault="003F62CC" w:rsidP="00522781">
      <w:pPr>
        <w:pStyle w:val="Prrafodelista"/>
        <w:numPr>
          <w:ilvl w:val="0"/>
          <w:numId w:val="3"/>
        </w:numPr>
        <w:spacing w:after="0" w:line="240" w:lineRule="auto"/>
        <w:ind w:left="0" w:firstLine="0"/>
        <w:jc w:val="both"/>
        <w:rPr>
          <w:rFonts w:ascii="Verdana" w:hAnsi="Verdana"/>
          <w:color w:val="000000" w:themeColor="text1"/>
          <w:sz w:val="20"/>
          <w:szCs w:val="20"/>
        </w:rPr>
      </w:pPr>
      <w:r w:rsidRPr="00B916ED">
        <w:rPr>
          <w:rFonts w:ascii="Verdana" w:hAnsi="Verdana"/>
          <w:color w:val="000000" w:themeColor="text1"/>
          <w:sz w:val="20"/>
          <w:szCs w:val="20"/>
        </w:rPr>
        <w:t xml:space="preserve">Aclarar, por medio de Interpretación, la Sentencia de Excepciones </w:t>
      </w:r>
      <w:r w:rsidR="009243DA" w:rsidRPr="00B916ED">
        <w:rPr>
          <w:rFonts w:ascii="Verdana" w:hAnsi="Verdana"/>
          <w:color w:val="000000" w:themeColor="text1"/>
          <w:sz w:val="20"/>
          <w:szCs w:val="20"/>
        </w:rPr>
        <w:t>Preliminares</w:t>
      </w:r>
      <w:r w:rsidRPr="00B916ED">
        <w:rPr>
          <w:rFonts w:ascii="Verdana" w:hAnsi="Verdana"/>
          <w:color w:val="000000" w:themeColor="text1"/>
          <w:sz w:val="20"/>
          <w:szCs w:val="20"/>
        </w:rPr>
        <w:t xml:space="preserve">, Fondo y Reparaciones en el </w:t>
      </w:r>
      <w:r w:rsidR="00FD1A39" w:rsidRPr="001C7DE9">
        <w:rPr>
          <w:rFonts w:ascii="Verdana" w:hAnsi="Verdana"/>
          <w:i/>
          <w:iCs/>
          <w:color w:val="000000" w:themeColor="text1"/>
          <w:sz w:val="20"/>
          <w:szCs w:val="20"/>
        </w:rPr>
        <w:t>C</w:t>
      </w:r>
      <w:r w:rsidRPr="001C7DE9">
        <w:rPr>
          <w:rFonts w:ascii="Verdana" w:hAnsi="Verdana"/>
          <w:i/>
          <w:iCs/>
          <w:color w:val="000000" w:themeColor="text1"/>
          <w:sz w:val="20"/>
          <w:szCs w:val="20"/>
        </w:rPr>
        <w:t>aso Olivera Fuentes Vs. Perú</w:t>
      </w:r>
      <w:r w:rsidRPr="00B916ED">
        <w:rPr>
          <w:rFonts w:ascii="Verdana" w:hAnsi="Verdana"/>
          <w:color w:val="000000" w:themeColor="text1"/>
          <w:sz w:val="20"/>
          <w:szCs w:val="20"/>
        </w:rPr>
        <w:t xml:space="preserve">, la medida de rehabilitación ordenada en el Punto Resolutivo 5, </w:t>
      </w:r>
      <w:r w:rsidR="00C72FF3" w:rsidRPr="00B916ED">
        <w:rPr>
          <w:rFonts w:ascii="Verdana" w:hAnsi="Verdana"/>
          <w:color w:val="000000" w:themeColor="text1"/>
          <w:sz w:val="20"/>
          <w:szCs w:val="20"/>
        </w:rPr>
        <w:t xml:space="preserve">en los términos de los párrafos </w:t>
      </w:r>
      <w:r w:rsidRPr="00B916ED">
        <w:rPr>
          <w:rFonts w:ascii="Verdana" w:hAnsi="Verdana"/>
          <w:color w:val="000000" w:themeColor="text1"/>
          <w:sz w:val="20"/>
          <w:szCs w:val="20"/>
        </w:rPr>
        <w:t>2</w:t>
      </w:r>
      <w:r w:rsidR="001C7DE9">
        <w:rPr>
          <w:rFonts w:ascii="Verdana" w:hAnsi="Verdana"/>
          <w:color w:val="000000" w:themeColor="text1"/>
          <w:sz w:val="20"/>
          <w:szCs w:val="20"/>
        </w:rPr>
        <w:t>4</w:t>
      </w:r>
      <w:r w:rsidRPr="00B916ED">
        <w:rPr>
          <w:rFonts w:ascii="Verdana" w:hAnsi="Verdana"/>
          <w:color w:val="000000" w:themeColor="text1"/>
          <w:sz w:val="20"/>
          <w:szCs w:val="20"/>
        </w:rPr>
        <w:t xml:space="preserve"> </w:t>
      </w:r>
      <w:r w:rsidR="00C72FF3" w:rsidRPr="00B916ED">
        <w:rPr>
          <w:rFonts w:ascii="Verdana" w:hAnsi="Verdana"/>
          <w:color w:val="000000" w:themeColor="text1"/>
          <w:sz w:val="20"/>
          <w:szCs w:val="20"/>
        </w:rPr>
        <w:t xml:space="preserve">a </w:t>
      </w:r>
      <w:r w:rsidRPr="00B916ED">
        <w:rPr>
          <w:rFonts w:ascii="Verdana" w:hAnsi="Verdana"/>
          <w:color w:val="000000" w:themeColor="text1"/>
          <w:sz w:val="20"/>
          <w:szCs w:val="20"/>
        </w:rPr>
        <w:t>2</w:t>
      </w:r>
      <w:r w:rsidR="001C7DE9">
        <w:rPr>
          <w:rFonts w:ascii="Verdana" w:hAnsi="Verdana"/>
          <w:color w:val="000000" w:themeColor="text1"/>
          <w:sz w:val="20"/>
          <w:szCs w:val="20"/>
        </w:rPr>
        <w:t>7</w:t>
      </w:r>
      <w:r w:rsidRPr="00B916ED">
        <w:rPr>
          <w:rFonts w:ascii="Verdana" w:hAnsi="Verdana"/>
          <w:color w:val="000000" w:themeColor="text1"/>
          <w:sz w:val="20"/>
          <w:szCs w:val="20"/>
        </w:rPr>
        <w:t xml:space="preserve"> </w:t>
      </w:r>
      <w:r w:rsidR="00C72FF3" w:rsidRPr="00B916ED">
        <w:rPr>
          <w:rFonts w:ascii="Verdana" w:hAnsi="Verdana"/>
          <w:color w:val="000000" w:themeColor="text1"/>
          <w:sz w:val="20"/>
          <w:szCs w:val="20"/>
        </w:rPr>
        <w:t>de la presente Sentencia de Interpretación.</w:t>
      </w:r>
    </w:p>
    <w:p w14:paraId="538A8C5C" w14:textId="77777777" w:rsidR="00C72FF3" w:rsidRPr="00B916ED" w:rsidRDefault="00C72FF3" w:rsidP="00C72FF3">
      <w:pPr>
        <w:spacing w:after="0" w:line="240" w:lineRule="auto"/>
        <w:jc w:val="both"/>
        <w:rPr>
          <w:rFonts w:ascii="Verdana" w:hAnsi="Verdana"/>
          <w:color w:val="000000" w:themeColor="text1"/>
          <w:sz w:val="20"/>
          <w:szCs w:val="20"/>
        </w:rPr>
      </w:pPr>
    </w:p>
    <w:p w14:paraId="0FA40CD7" w14:textId="2C0716E7" w:rsidR="00C72FF3" w:rsidRPr="00B916ED" w:rsidRDefault="00C72FF3" w:rsidP="00C72FF3">
      <w:pPr>
        <w:pStyle w:val="Prrafodelista"/>
        <w:numPr>
          <w:ilvl w:val="0"/>
          <w:numId w:val="3"/>
        </w:numPr>
        <w:spacing w:after="0" w:line="240" w:lineRule="auto"/>
        <w:ind w:left="0" w:firstLine="0"/>
        <w:jc w:val="both"/>
        <w:rPr>
          <w:rFonts w:ascii="Verdana" w:hAnsi="Verdana"/>
          <w:color w:val="000000" w:themeColor="text1"/>
          <w:sz w:val="20"/>
          <w:szCs w:val="20"/>
        </w:rPr>
      </w:pPr>
      <w:r w:rsidRPr="00B916ED">
        <w:rPr>
          <w:rFonts w:ascii="Verdana" w:hAnsi="Verdana"/>
          <w:color w:val="000000" w:themeColor="text1"/>
          <w:sz w:val="20"/>
          <w:szCs w:val="20"/>
        </w:rPr>
        <w:t xml:space="preserve">Desestimar por improcedente la solicitud de interpretación de la Sentencia de Excepciones Preliminares, Fondo y Reparaciones emitida en el </w:t>
      </w:r>
      <w:r w:rsidRPr="00B916ED">
        <w:rPr>
          <w:rFonts w:ascii="Verdana" w:hAnsi="Verdana"/>
          <w:i/>
          <w:iCs/>
          <w:color w:val="000000" w:themeColor="text1"/>
          <w:sz w:val="20"/>
          <w:szCs w:val="20"/>
        </w:rPr>
        <w:t xml:space="preserve">Caso Olivera Fuentes Vs. Perú </w:t>
      </w:r>
      <w:r w:rsidRPr="00B916ED">
        <w:rPr>
          <w:rFonts w:ascii="Verdana" w:hAnsi="Verdana"/>
          <w:color w:val="000000" w:themeColor="text1"/>
          <w:sz w:val="20"/>
          <w:szCs w:val="20"/>
        </w:rPr>
        <w:t xml:space="preserve">presentada por el Estado, en los términos de los párrafos </w:t>
      </w:r>
      <w:r w:rsidR="009243DA" w:rsidRPr="00B916ED">
        <w:rPr>
          <w:rFonts w:ascii="Verdana" w:hAnsi="Verdana"/>
          <w:color w:val="000000" w:themeColor="text1"/>
          <w:sz w:val="20"/>
          <w:szCs w:val="20"/>
        </w:rPr>
        <w:t>3</w:t>
      </w:r>
      <w:r w:rsidR="00DD6119">
        <w:rPr>
          <w:rFonts w:ascii="Verdana" w:hAnsi="Verdana"/>
          <w:color w:val="000000" w:themeColor="text1"/>
          <w:sz w:val="20"/>
          <w:szCs w:val="20"/>
        </w:rPr>
        <w:t>2</w:t>
      </w:r>
      <w:r w:rsidR="009243DA" w:rsidRPr="00B916ED">
        <w:rPr>
          <w:rFonts w:ascii="Verdana" w:hAnsi="Verdana"/>
          <w:color w:val="000000" w:themeColor="text1"/>
          <w:sz w:val="20"/>
          <w:szCs w:val="20"/>
        </w:rPr>
        <w:t xml:space="preserve"> </w:t>
      </w:r>
      <w:r w:rsidRPr="00B916ED">
        <w:rPr>
          <w:rFonts w:ascii="Verdana" w:hAnsi="Verdana"/>
          <w:color w:val="000000" w:themeColor="text1"/>
          <w:sz w:val="20"/>
          <w:szCs w:val="20"/>
        </w:rPr>
        <w:t xml:space="preserve">a </w:t>
      </w:r>
      <w:r w:rsidR="0070326D">
        <w:rPr>
          <w:rFonts w:ascii="Verdana" w:hAnsi="Verdana"/>
          <w:color w:val="000000" w:themeColor="text1"/>
          <w:sz w:val="20"/>
          <w:szCs w:val="20"/>
        </w:rPr>
        <w:t>3</w:t>
      </w:r>
      <w:r w:rsidR="00DD6119">
        <w:rPr>
          <w:rFonts w:ascii="Verdana" w:hAnsi="Verdana"/>
          <w:color w:val="000000" w:themeColor="text1"/>
          <w:sz w:val="20"/>
          <w:szCs w:val="20"/>
        </w:rPr>
        <w:t>6</w:t>
      </w:r>
      <w:r w:rsidRPr="00B916ED">
        <w:rPr>
          <w:rFonts w:ascii="Verdana" w:hAnsi="Verdana"/>
          <w:color w:val="000000" w:themeColor="text1"/>
          <w:sz w:val="20"/>
          <w:szCs w:val="20"/>
        </w:rPr>
        <w:t xml:space="preserve"> de la presente Sentencia de Interpretación.</w:t>
      </w:r>
    </w:p>
    <w:p w14:paraId="71E59578" w14:textId="77777777" w:rsidR="00C72FF3" w:rsidRPr="00C72FF3" w:rsidRDefault="00C72FF3" w:rsidP="00C72FF3">
      <w:pPr>
        <w:spacing w:after="0" w:line="240" w:lineRule="auto"/>
        <w:jc w:val="both"/>
        <w:rPr>
          <w:rFonts w:ascii="Verdana" w:hAnsi="Verdana"/>
          <w:color w:val="000000" w:themeColor="text1"/>
          <w:sz w:val="20"/>
          <w:szCs w:val="20"/>
        </w:rPr>
      </w:pPr>
    </w:p>
    <w:p w14:paraId="7E956A13" w14:textId="2FD010AD" w:rsidR="00C72FF3" w:rsidRPr="00B916ED" w:rsidRDefault="00C72FF3" w:rsidP="00C72FF3">
      <w:pPr>
        <w:pStyle w:val="Prrafodelista"/>
        <w:numPr>
          <w:ilvl w:val="0"/>
          <w:numId w:val="3"/>
        </w:numPr>
        <w:spacing w:after="0" w:line="240" w:lineRule="auto"/>
        <w:ind w:left="0" w:firstLine="0"/>
        <w:jc w:val="both"/>
        <w:rPr>
          <w:rFonts w:ascii="Verdana" w:hAnsi="Verdana"/>
          <w:color w:val="000000" w:themeColor="text1"/>
          <w:sz w:val="20"/>
          <w:szCs w:val="20"/>
        </w:rPr>
      </w:pPr>
      <w:r w:rsidRPr="00B916ED">
        <w:rPr>
          <w:rFonts w:ascii="Verdana" w:hAnsi="Verdana"/>
          <w:color w:val="000000" w:themeColor="text1"/>
          <w:sz w:val="20"/>
          <w:szCs w:val="20"/>
        </w:rPr>
        <w:t xml:space="preserve">Desestimar por improcedente la solicitud de interpretación de la Sentencia de Excepciones Preliminares, Fondo y Reparaciones emitida en el </w:t>
      </w:r>
      <w:r w:rsidRPr="00B916ED">
        <w:rPr>
          <w:rFonts w:ascii="Verdana" w:hAnsi="Verdana"/>
          <w:i/>
          <w:iCs/>
          <w:color w:val="000000" w:themeColor="text1"/>
          <w:sz w:val="20"/>
          <w:szCs w:val="20"/>
        </w:rPr>
        <w:t xml:space="preserve">Caso Olivera Fuentes Vs. Perú </w:t>
      </w:r>
      <w:r w:rsidRPr="00B916ED">
        <w:rPr>
          <w:rFonts w:ascii="Verdana" w:hAnsi="Verdana"/>
          <w:color w:val="000000" w:themeColor="text1"/>
          <w:sz w:val="20"/>
          <w:szCs w:val="20"/>
        </w:rPr>
        <w:t xml:space="preserve">presentada por el Estado, en los términos de los párrafos </w:t>
      </w:r>
      <w:r w:rsidR="00DD6119">
        <w:rPr>
          <w:rFonts w:ascii="Verdana" w:hAnsi="Verdana"/>
          <w:color w:val="000000" w:themeColor="text1"/>
          <w:sz w:val="20"/>
          <w:szCs w:val="20"/>
        </w:rPr>
        <w:t>40</w:t>
      </w:r>
      <w:r w:rsidR="003F62CC" w:rsidRPr="00B916ED">
        <w:rPr>
          <w:rFonts w:ascii="Verdana" w:hAnsi="Verdana"/>
          <w:color w:val="000000" w:themeColor="text1"/>
          <w:sz w:val="20"/>
          <w:szCs w:val="20"/>
        </w:rPr>
        <w:t xml:space="preserve"> </w:t>
      </w:r>
      <w:r w:rsidRPr="00B916ED">
        <w:rPr>
          <w:rFonts w:ascii="Verdana" w:hAnsi="Verdana"/>
          <w:color w:val="000000" w:themeColor="text1"/>
          <w:sz w:val="20"/>
          <w:szCs w:val="20"/>
        </w:rPr>
        <w:t xml:space="preserve">a </w:t>
      </w:r>
      <w:r w:rsidR="0070326D">
        <w:rPr>
          <w:rFonts w:ascii="Verdana" w:hAnsi="Verdana"/>
          <w:color w:val="000000" w:themeColor="text1"/>
          <w:sz w:val="20"/>
          <w:szCs w:val="20"/>
        </w:rPr>
        <w:t>4</w:t>
      </w:r>
      <w:r w:rsidR="00DD6119">
        <w:rPr>
          <w:rFonts w:ascii="Verdana" w:hAnsi="Verdana"/>
          <w:color w:val="000000" w:themeColor="text1"/>
          <w:sz w:val="20"/>
          <w:szCs w:val="20"/>
        </w:rPr>
        <w:t>3</w:t>
      </w:r>
      <w:r w:rsidR="00522781" w:rsidRPr="00B916ED">
        <w:rPr>
          <w:rFonts w:ascii="Verdana" w:hAnsi="Verdana"/>
          <w:color w:val="000000" w:themeColor="text1"/>
          <w:sz w:val="20"/>
          <w:szCs w:val="20"/>
        </w:rPr>
        <w:t xml:space="preserve"> </w:t>
      </w:r>
      <w:r w:rsidRPr="00B916ED">
        <w:rPr>
          <w:rFonts w:ascii="Verdana" w:hAnsi="Verdana"/>
          <w:color w:val="000000" w:themeColor="text1"/>
          <w:sz w:val="20"/>
          <w:szCs w:val="20"/>
        </w:rPr>
        <w:t>de la presente Sentencia de Interpretación.</w:t>
      </w:r>
    </w:p>
    <w:p w14:paraId="5424F195" w14:textId="77777777" w:rsidR="00522A34" w:rsidRPr="0019570B" w:rsidRDefault="00522A34" w:rsidP="00522A34">
      <w:pPr>
        <w:pStyle w:val="Prrafodelista"/>
        <w:spacing w:after="0" w:line="240" w:lineRule="auto"/>
        <w:ind w:left="0"/>
        <w:jc w:val="both"/>
        <w:rPr>
          <w:rFonts w:ascii="Verdana" w:hAnsi="Verdana"/>
          <w:color w:val="000000" w:themeColor="text1"/>
          <w:sz w:val="20"/>
          <w:szCs w:val="20"/>
        </w:rPr>
      </w:pPr>
    </w:p>
    <w:p w14:paraId="6D756124" w14:textId="49CB873F" w:rsidR="00CD398F" w:rsidRDefault="008976FB" w:rsidP="00CD398F">
      <w:pPr>
        <w:pStyle w:val="Prrafodelista"/>
        <w:numPr>
          <w:ilvl w:val="0"/>
          <w:numId w:val="3"/>
        </w:numPr>
        <w:spacing w:after="0" w:line="240" w:lineRule="auto"/>
        <w:ind w:left="0" w:firstLine="0"/>
        <w:jc w:val="both"/>
        <w:rPr>
          <w:rFonts w:ascii="Verdana" w:hAnsi="Verdana"/>
          <w:color w:val="000000" w:themeColor="text1"/>
          <w:sz w:val="20"/>
          <w:szCs w:val="20"/>
        </w:rPr>
      </w:pPr>
      <w:r w:rsidRPr="0019570B">
        <w:rPr>
          <w:rFonts w:ascii="Verdana" w:hAnsi="Verdana"/>
          <w:color w:val="000000" w:themeColor="text1"/>
          <w:sz w:val="20"/>
          <w:szCs w:val="20"/>
        </w:rPr>
        <w:t xml:space="preserve">Disponer que la Secretaría de la Corte notifique la presente Sentencia de </w:t>
      </w:r>
      <w:r w:rsidR="007311BD" w:rsidRPr="0019570B">
        <w:rPr>
          <w:rFonts w:ascii="Verdana" w:hAnsi="Verdana"/>
          <w:color w:val="000000" w:themeColor="text1"/>
          <w:sz w:val="20"/>
          <w:szCs w:val="20"/>
        </w:rPr>
        <w:t>I</w:t>
      </w:r>
      <w:r w:rsidRPr="0019570B">
        <w:rPr>
          <w:rFonts w:ascii="Verdana" w:hAnsi="Verdana"/>
          <w:color w:val="000000" w:themeColor="text1"/>
          <w:sz w:val="20"/>
          <w:szCs w:val="20"/>
        </w:rPr>
        <w:t xml:space="preserve">nterpretación a la República </w:t>
      </w:r>
      <w:r w:rsidR="00710618" w:rsidRPr="0019570B">
        <w:rPr>
          <w:rFonts w:ascii="Verdana" w:hAnsi="Verdana"/>
          <w:color w:val="000000" w:themeColor="text1"/>
          <w:sz w:val="20"/>
          <w:szCs w:val="20"/>
        </w:rPr>
        <w:t xml:space="preserve">de </w:t>
      </w:r>
      <w:r w:rsidR="00A7146F" w:rsidRPr="0019570B">
        <w:rPr>
          <w:rFonts w:ascii="Verdana" w:hAnsi="Verdana"/>
          <w:color w:val="000000" w:themeColor="text1"/>
          <w:sz w:val="20"/>
          <w:szCs w:val="20"/>
        </w:rPr>
        <w:t>Perú</w:t>
      </w:r>
      <w:r w:rsidRPr="0019570B">
        <w:rPr>
          <w:rFonts w:ascii="Verdana" w:hAnsi="Verdana"/>
          <w:color w:val="000000" w:themeColor="text1"/>
          <w:sz w:val="20"/>
          <w:szCs w:val="20"/>
        </w:rPr>
        <w:t>, a</w:t>
      </w:r>
      <w:r w:rsidR="001D3FC0" w:rsidRPr="0019570B">
        <w:rPr>
          <w:rFonts w:ascii="Verdana" w:hAnsi="Verdana"/>
          <w:color w:val="000000" w:themeColor="text1"/>
          <w:sz w:val="20"/>
          <w:szCs w:val="20"/>
        </w:rPr>
        <w:t xml:space="preserve"> los representantes </w:t>
      </w:r>
      <w:r w:rsidRPr="0019570B">
        <w:rPr>
          <w:rFonts w:ascii="Verdana" w:hAnsi="Verdana"/>
          <w:color w:val="000000" w:themeColor="text1"/>
          <w:sz w:val="20"/>
          <w:szCs w:val="20"/>
        </w:rPr>
        <w:t>de las víctimas y a la Comisión Interamericana de Derechos Humanos.</w:t>
      </w:r>
    </w:p>
    <w:p w14:paraId="72C5B5F9" w14:textId="77777777" w:rsidR="00B916ED" w:rsidRDefault="00B916ED" w:rsidP="001D3FC0">
      <w:pPr>
        <w:spacing w:after="0"/>
        <w:jc w:val="both"/>
        <w:rPr>
          <w:rFonts w:ascii="Verdana" w:hAnsi="Verdana"/>
          <w:color w:val="000000" w:themeColor="text1"/>
          <w:sz w:val="20"/>
          <w:szCs w:val="20"/>
        </w:rPr>
      </w:pPr>
    </w:p>
    <w:p w14:paraId="2B6F14EE" w14:textId="77777777" w:rsidR="009170BD" w:rsidRPr="003F7CE6" w:rsidRDefault="009170BD" w:rsidP="001D3FC0">
      <w:pPr>
        <w:spacing w:after="0"/>
        <w:jc w:val="both"/>
        <w:rPr>
          <w:rFonts w:ascii="Verdana" w:hAnsi="Verdana"/>
          <w:color w:val="000000" w:themeColor="text1"/>
          <w:sz w:val="20"/>
          <w:szCs w:val="20"/>
        </w:rPr>
      </w:pPr>
    </w:p>
    <w:p w14:paraId="371A3CD9" w14:textId="77777777" w:rsidR="009170BD" w:rsidRPr="003F7CE6" w:rsidRDefault="009170BD" w:rsidP="001D3FC0">
      <w:pPr>
        <w:spacing w:after="0"/>
        <w:jc w:val="both"/>
        <w:rPr>
          <w:rFonts w:ascii="Verdana" w:hAnsi="Verdana"/>
          <w:color w:val="000000" w:themeColor="text1"/>
          <w:sz w:val="20"/>
          <w:szCs w:val="20"/>
        </w:rPr>
      </w:pPr>
    </w:p>
    <w:p w14:paraId="1A0DF618" w14:textId="77777777" w:rsidR="009170BD" w:rsidRPr="003F7CE6" w:rsidRDefault="009170BD" w:rsidP="001D3FC0">
      <w:pPr>
        <w:spacing w:after="0"/>
        <w:jc w:val="both"/>
        <w:rPr>
          <w:rFonts w:ascii="Verdana" w:hAnsi="Verdana"/>
          <w:color w:val="000000" w:themeColor="text1"/>
          <w:sz w:val="20"/>
          <w:szCs w:val="20"/>
        </w:rPr>
      </w:pPr>
    </w:p>
    <w:p w14:paraId="5A6B9ECE" w14:textId="77777777" w:rsidR="009170BD" w:rsidRPr="00DD6119" w:rsidRDefault="009170BD" w:rsidP="009170BD">
      <w:pPr>
        <w:spacing w:after="0" w:line="240" w:lineRule="auto"/>
        <w:jc w:val="both"/>
        <w:rPr>
          <w:rFonts w:ascii="Verdana" w:eastAsia="Times" w:hAnsi="Verdana" w:cs="Times New Roman"/>
          <w:color w:val="000000" w:themeColor="text1"/>
          <w:sz w:val="20"/>
          <w:szCs w:val="20"/>
        </w:rPr>
      </w:pPr>
      <w:r w:rsidRPr="009170BD">
        <w:rPr>
          <w:rFonts w:ascii="Verdana" w:eastAsia="Times" w:hAnsi="Verdana" w:cs="Times New Roman"/>
          <w:color w:val="000000" w:themeColor="text1"/>
          <w:sz w:val="20"/>
          <w:szCs w:val="20"/>
          <w:lang w:val="pt-BR"/>
        </w:rPr>
        <w:lastRenderedPageBreak/>
        <w:t xml:space="preserve">Corte IDH. </w:t>
      </w:r>
      <w:r w:rsidRPr="009170BD">
        <w:rPr>
          <w:rFonts w:ascii="Verdana" w:eastAsia="Times" w:hAnsi="Verdana" w:cs="Times New Roman"/>
          <w:i/>
          <w:iCs/>
          <w:color w:val="000000" w:themeColor="text1"/>
          <w:sz w:val="20"/>
          <w:szCs w:val="20"/>
          <w:lang w:val="pt-BR"/>
        </w:rPr>
        <w:t xml:space="preserve">Caso Olivera Fuentes Vs. </w:t>
      </w:r>
      <w:r w:rsidRPr="00DD6119">
        <w:rPr>
          <w:rFonts w:ascii="Verdana" w:eastAsia="Times" w:hAnsi="Verdana" w:cs="Times New Roman"/>
          <w:i/>
          <w:iCs/>
          <w:color w:val="000000" w:themeColor="text1"/>
          <w:sz w:val="20"/>
          <w:szCs w:val="20"/>
        </w:rPr>
        <w:t>Perú</w:t>
      </w:r>
      <w:r w:rsidRPr="009170BD">
        <w:rPr>
          <w:rFonts w:ascii="Verdana" w:eastAsia="Times" w:hAnsi="Verdana" w:cs="Times New Roman"/>
          <w:i/>
          <w:color w:val="000000" w:themeColor="text1"/>
          <w:sz w:val="20"/>
          <w:szCs w:val="20"/>
          <w:lang w:val="es-ES"/>
        </w:rPr>
        <w:t xml:space="preserve">. Interpretación de la Sentencia de </w:t>
      </w:r>
      <w:r w:rsidRPr="00DD6119">
        <w:rPr>
          <w:rFonts w:ascii="Verdana" w:eastAsia="Times" w:hAnsi="Verdana" w:cs="Times New Roman"/>
          <w:color w:val="000000" w:themeColor="text1"/>
          <w:sz w:val="20"/>
          <w:szCs w:val="20"/>
        </w:rPr>
        <w:t>Excepciones Preliminares, Fondo, Reparaciones y Costas</w:t>
      </w:r>
      <w:r w:rsidRPr="009170BD">
        <w:rPr>
          <w:rFonts w:ascii="Verdana" w:eastAsia="Times" w:hAnsi="Verdana" w:cs="Times New Roman"/>
          <w:color w:val="000000" w:themeColor="text1"/>
          <w:sz w:val="20"/>
          <w:szCs w:val="20"/>
          <w:lang w:val="es-ES"/>
        </w:rPr>
        <w:t>. Sentencia de 28 de noviembre de 2023.</w:t>
      </w:r>
    </w:p>
    <w:p w14:paraId="6DB820FF" w14:textId="77777777" w:rsidR="009170BD" w:rsidRPr="009170BD" w:rsidRDefault="009170BD" w:rsidP="009170BD">
      <w:pPr>
        <w:spacing w:after="0" w:line="240" w:lineRule="auto"/>
        <w:jc w:val="both"/>
        <w:rPr>
          <w:rFonts w:ascii="Verdana" w:eastAsia="Times" w:hAnsi="Verdana" w:cs="Times New Roman"/>
          <w:sz w:val="20"/>
          <w:szCs w:val="20"/>
          <w:lang w:val="es-ES"/>
        </w:rPr>
      </w:pPr>
    </w:p>
    <w:p w14:paraId="4BD6C083" w14:textId="37A260AD" w:rsidR="009170BD" w:rsidRPr="003F7CE6" w:rsidRDefault="009170BD" w:rsidP="009170BD">
      <w:pPr>
        <w:spacing w:after="0" w:line="240" w:lineRule="auto"/>
        <w:jc w:val="both"/>
        <w:rPr>
          <w:rFonts w:ascii="Verdana" w:eastAsia="Times" w:hAnsi="Verdana" w:cs="Times New Roman"/>
          <w:strike/>
          <w:sz w:val="20"/>
          <w:szCs w:val="20"/>
          <w:lang w:val="es-ES"/>
        </w:rPr>
      </w:pPr>
    </w:p>
    <w:p w14:paraId="08A42E65" w14:textId="77777777" w:rsidR="009170BD" w:rsidRPr="009170BD" w:rsidRDefault="009170BD" w:rsidP="009170BD">
      <w:pPr>
        <w:spacing w:after="0" w:line="240" w:lineRule="auto"/>
        <w:jc w:val="center"/>
        <w:rPr>
          <w:rFonts w:ascii="Verdana" w:eastAsia="Times" w:hAnsi="Verdana" w:cs="Times New Roman"/>
          <w:sz w:val="20"/>
          <w:szCs w:val="20"/>
        </w:rPr>
      </w:pPr>
    </w:p>
    <w:p w14:paraId="1D949323" w14:textId="77777777" w:rsidR="009170BD" w:rsidRPr="009170BD" w:rsidRDefault="009170BD" w:rsidP="009170BD">
      <w:pPr>
        <w:spacing w:after="0" w:line="240" w:lineRule="auto"/>
        <w:jc w:val="center"/>
        <w:rPr>
          <w:rFonts w:ascii="Verdana" w:eastAsia="Times" w:hAnsi="Verdana" w:cs="Times New Roman"/>
          <w:sz w:val="20"/>
          <w:szCs w:val="20"/>
        </w:rPr>
      </w:pPr>
    </w:p>
    <w:p w14:paraId="67DD7343" w14:textId="77777777" w:rsidR="009170BD" w:rsidRPr="009170BD" w:rsidRDefault="009170BD" w:rsidP="009170BD">
      <w:pPr>
        <w:spacing w:after="0" w:line="240" w:lineRule="auto"/>
        <w:jc w:val="center"/>
        <w:rPr>
          <w:rFonts w:ascii="Verdana" w:eastAsia="Times" w:hAnsi="Verdana" w:cs="Times New Roman"/>
          <w:sz w:val="20"/>
          <w:szCs w:val="20"/>
        </w:rPr>
      </w:pPr>
    </w:p>
    <w:p w14:paraId="359BD178" w14:textId="26141180" w:rsidR="009170BD" w:rsidRPr="009170BD" w:rsidRDefault="009170BD" w:rsidP="009170BD">
      <w:pPr>
        <w:spacing w:after="0" w:line="240" w:lineRule="auto"/>
        <w:jc w:val="center"/>
        <w:rPr>
          <w:rFonts w:ascii="Verdana" w:eastAsia="Times" w:hAnsi="Verdana" w:cs="Times New Roman"/>
          <w:sz w:val="20"/>
          <w:szCs w:val="20"/>
          <w:lang w:val="es-ES"/>
        </w:rPr>
      </w:pPr>
      <w:r w:rsidRPr="009170BD">
        <w:rPr>
          <w:rFonts w:ascii="Verdana" w:eastAsia="Times" w:hAnsi="Verdana" w:cs="Times New Roman"/>
          <w:sz w:val="20"/>
          <w:szCs w:val="20"/>
          <w:lang w:val="es-ES"/>
        </w:rPr>
        <w:t>Ricardo C. Pérez Manrique</w:t>
      </w:r>
    </w:p>
    <w:p w14:paraId="35BFB34C" w14:textId="6B6390BB" w:rsidR="009170BD" w:rsidRPr="009170BD" w:rsidRDefault="009170BD" w:rsidP="009170BD">
      <w:pPr>
        <w:spacing w:after="0" w:line="240" w:lineRule="auto"/>
        <w:jc w:val="center"/>
        <w:rPr>
          <w:rFonts w:ascii="Verdana" w:eastAsia="Times" w:hAnsi="Verdana" w:cs="Times New Roman"/>
          <w:sz w:val="20"/>
          <w:szCs w:val="20"/>
          <w:lang w:val="es-ES"/>
        </w:rPr>
      </w:pPr>
      <w:r w:rsidRPr="009170BD">
        <w:rPr>
          <w:rFonts w:ascii="Verdana" w:eastAsia="Times" w:hAnsi="Verdana" w:cs="Times New Roman"/>
          <w:sz w:val="20"/>
          <w:szCs w:val="20"/>
          <w:lang w:val="es-ES"/>
        </w:rPr>
        <w:t>Presidente</w:t>
      </w:r>
    </w:p>
    <w:p w14:paraId="164E481F" w14:textId="77777777" w:rsidR="009170BD" w:rsidRPr="009170BD" w:rsidRDefault="009170BD" w:rsidP="009170BD">
      <w:pPr>
        <w:spacing w:after="0" w:line="240" w:lineRule="auto"/>
        <w:jc w:val="center"/>
        <w:rPr>
          <w:rFonts w:ascii="Verdana" w:eastAsia="Times" w:hAnsi="Verdana" w:cs="Times New Roman"/>
          <w:sz w:val="20"/>
          <w:szCs w:val="20"/>
          <w:lang w:val="es-ES"/>
        </w:rPr>
      </w:pPr>
    </w:p>
    <w:p w14:paraId="54319B1C" w14:textId="77777777" w:rsidR="009170BD" w:rsidRPr="009170BD" w:rsidRDefault="009170BD" w:rsidP="009170BD">
      <w:pPr>
        <w:spacing w:after="0" w:line="240" w:lineRule="auto"/>
        <w:jc w:val="center"/>
        <w:rPr>
          <w:rFonts w:ascii="Verdana" w:eastAsia="Times" w:hAnsi="Verdana" w:cs="Times New Roman"/>
          <w:sz w:val="20"/>
          <w:szCs w:val="20"/>
          <w:lang w:val="es-ES"/>
        </w:rPr>
      </w:pPr>
    </w:p>
    <w:p w14:paraId="0E1876D0" w14:textId="77777777" w:rsidR="009170BD" w:rsidRPr="009170BD" w:rsidRDefault="009170BD" w:rsidP="009170BD">
      <w:pPr>
        <w:spacing w:after="0" w:line="240" w:lineRule="auto"/>
        <w:rPr>
          <w:rFonts w:ascii="Verdana" w:eastAsia="Times" w:hAnsi="Verdana" w:cs="Times New Roman"/>
          <w:sz w:val="20"/>
          <w:szCs w:val="20"/>
          <w:lang w:val="es-ES"/>
        </w:rPr>
      </w:pPr>
    </w:p>
    <w:p w14:paraId="5B92C3C8" w14:textId="77777777" w:rsidR="009170BD" w:rsidRPr="009170BD" w:rsidRDefault="009170BD" w:rsidP="009170BD">
      <w:pPr>
        <w:spacing w:after="0" w:line="240" w:lineRule="auto"/>
        <w:rPr>
          <w:rFonts w:ascii="Verdana" w:eastAsia="Times" w:hAnsi="Verdana" w:cs="Times New Roman"/>
          <w:sz w:val="20"/>
          <w:szCs w:val="20"/>
          <w:lang w:val="es-ES"/>
        </w:rPr>
      </w:pPr>
    </w:p>
    <w:p w14:paraId="286DAEAB" w14:textId="77777777" w:rsidR="009170BD" w:rsidRPr="003F7CE6" w:rsidRDefault="009170BD" w:rsidP="009170BD">
      <w:pPr>
        <w:spacing w:after="0" w:line="240" w:lineRule="auto"/>
        <w:rPr>
          <w:rFonts w:ascii="Verdana" w:eastAsia="Times" w:hAnsi="Verdana" w:cs="Times New Roman"/>
          <w:sz w:val="20"/>
          <w:szCs w:val="20"/>
          <w:lang w:val="es-ES"/>
        </w:rPr>
      </w:pPr>
      <w:r w:rsidRPr="003F7CE6">
        <w:rPr>
          <w:rFonts w:ascii="Verdana" w:eastAsia="Times" w:hAnsi="Verdana" w:cs="Times New Roman"/>
          <w:sz w:val="20"/>
          <w:szCs w:val="20"/>
          <w:lang w:val="es-ES"/>
        </w:rPr>
        <w:t>Eduardo Ferrer Mac-</w:t>
      </w:r>
      <w:proofErr w:type="spellStart"/>
      <w:r w:rsidRPr="003F7CE6">
        <w:rPr>
          <w:rFonts w:ascii="Verdana" w:eastAsia="Times" w:hAnsi="Verdana" w:cs="Times New Roman"/>
          <w:sz w:val="20"/>
          <w:szCs w:val="20"/>
          <w:lang w:val="es-ES"/>
        </w:rPr>
        <w:t>Gregor</w:t>
      </w:r>
      <w:proofErr w:type="spellEnd"/>
      <w:r w:rsidRPr="003F7CE6">
        <w:rPr>
          <w:rFonts w:ascii="Verdana" w:eastAsia="Times" w:hAnsi="Verdana" w:cs="Times New Roman"/>
          <w:sz w:val="20"/>
          <w:szCs w:val="20"/>
          <w:lang w:val="es-ES"/>
        </w:rPr>
        <w:t xml:space="preserve"> </w:t>
      </w:r>
      <w:proofErr w:type="spellStart"/>
      <w:r w:rsidRPr="003F7CE6">
        <w:rPr>
          <w:rFonts w:ascii="Verdana" w:eastAsia="Times" w:hAnsi="Verdana" w:cs="Times New Roman"/>
          <w:sz w:val="20"/>
          <w:szCs w:val="20"/>
          <w:lang w:val="es-ES"/>
        </w:rPr>
        <w:t>Poisot</w:t>
      </w:r>
      <w:proofErr w:type="spellEnd"/>
    </w:p>
    <w:p w14:paraId="12D295E3" w14:textId="4BEE2983" w:rsidR="009170BD" w:rsidRPr="003F7CE6" w:rsidRDefault="009170BD" w:rsidP="009170BD">
      <w:pPr>
        <w:spacing w:after="0" w:line="240" w:lineRule="auto"/>
        <w:ind w:left="5760"/>
        <w:rPr>
          <w:rFonts w:ascii="Verdana" w:eastAsia="Times" w:hAnsi="Verdana" w:cs="Times New Roman"/>
          <w:sz w:val="20"/>
          <w:szCs w:val="20"/>
          <w:lang w:val="es-ES"/>
        </w:rPr>
      </w:pPr>
      <w:r w:rsidRPr="003F7CE6">
        <w:rPr>
          <w:rFonts w:ascii="Verdana" w:eastAsia="Times" w:hAnsi="Verdana" w:cs="Times New Roman"/>
          <w:sz w:val="20"/>
          <w:szCs w:val="20"/>
          <w:lang w:val="es-ES"/>
        </w:rPr>
        <w:t xml:space="preserve">  Humberto A. Sierra Porto</w:t>
      </w:r>
      <w:r w:rsidRPr="003F7CE6">
        <w:rPr>
          <w:rFonts w:ascii="Verdana" w:eastAsia="Times" w:hAnsi="Verdana" w:cs="Times New Roman"/>
          <w:sz w:val="20"/>
          <w:szCs w:val="20"/>
          <w:lang w:val="es-ES"/>
        </w:rPr>
        <w:tab/>
      </w:r>
      <w:r w:rsidRPr="003F7CE6">
        <w:rPr>
          <w:rFonts w:ascii="Verdana" w:eastAsia="Times" w:hAnsi="Verdana" w:cs="Times New Roman"/>
          <w:sz w:val="20"/>
          <w:szCs w:val="20"/>
          <w:lang w:val="es-ES"/>
        </w:rPr>
        <w:tab/>
      </w:r>
      <w:r w:rsidRPr="003F7CE6">
        <w:rPr>
          <w:rFonts w:ascii="Verdana" w:eastAsia="Times" w:hAnsi="Verdana" w:cs="Times New Roman"/>
          <w:sz w:val="20"/>
          <w:szCs w:val="20"/>
          <w:lang w:val="es-ES"/>
        </w:rPr>
        <w:tab/>
      </w:r>
      <w:r w:rsidRPr="003F7CE6">
        <w:rPr>
          <w:rFonts w:ascii="Verdana" w:eastAsia="Times" w:hAnsi="Verdana" w:cs="Times New Roman"/>
          <w:sz w:val="20"/>
          <w:szCs w:val="20"/>
          <w:lang w:val="es-ES"/>
        </w:rPr>
        <w:tab/>
      </w:r>
    </w:p>
    <w:p w14:paraId="33CCEF0C" w14:textId="77777777" w:rsidR="009170BD" w:rsidRPr="003F7CE6" w:rsidRDefault="009170BD" w:rsidP="009170BD">
      <w:pPr>
        <w:spacing w:after="0" w:line="240" w:lineRule="auto"/>
        <w:rPr>
          <w:rFonts w:ascii="Verdana" w:eastAsia="Times" w:hAnsi="Verdana" w:cs="Times New Roman"/>
          <w:sz w:val="20"/>
          <w:szCs w:val="20"/>
          <w:lang w:val="es-ES"/>
        </w:rPr>
      </w:pPr>
    </w:p>
    <w:p w14:paraId="57FB6112" w14:textId="6AF01F28" w:rsidR="009170BD" w:rsidRPr="003F7CE6" w:rsidRDefault="009170BD" w:rsidP="009170BD">
      <w:pPr>
        <w:spacing w:after="0" w:line="240" w:lineRule="auto"/>
        <w:rPr>
          <w:rFonts w:ascii="Verdana" w:eastAsia="Times" w:hAnsi="Verdana" w:cs="Times New Roman"/>
          <w:sz w:val="20"/>
          <w:szCs w:val="20"/>
          <w:lang w:val="es-ES"/>
        </w:rPr>
      </w:pPr>
    </w:p>
    <w:p w14:paraId="61C7D4D7" w14:textId="77777777" w:rsidR="009170BD" w:rsidRPr="003F7CE6" w:rsidRDefault="009170BD" w:rsidP="009170BD">
      <w:pPr>
        <w:spacing w:after="0" w:line="240" w:lineRule="auto"/>
        <w:rPr>
          <w:rFonts w:ascii="Verdana" w:eastAsia="Times" w:hAnsi="Verdana" w:cs="Times New Roman"/>
          <w:sz w:val="20"/>
          <w:szCs w:val="20"/>
          <w:lang w:val="es-ES"/>
        </w:rPr>
      </w:pPr>
    </w:p>
    <w:p w14:paraId="4A3D2C1F" w14:textId="77777777" w:rsidR="009170BD" w:rsidRPr="003F7CE6" w:rsidRDefault="009170BD" w:rsidP="009170BD">
      <w:pPr>
        <w:spacing w:after="0" w:line="240" w:lineRule="auto"/>
        <w:rPr>
          <w:rFonts w:ascii="Verdana" w:eastAsia="Times" w:hAnsi="Verdana" w:cs="Times New Roman"/>
          <w:sz w:val="20"/>
          <w:szCs w:val="20"/>
          <w:lang w:val="es-ES"/>
        </w:rPr>
      </w:pPr>
    </w:p>
    <w:p w14:paraId="27D2904F" w14:textId="2E3F42B0" w:rsidR="009170BD" w:rsidRPr="009170BD" w:rsidRDefault="009170BD" w:rsidP="009170BD">
      <w:pPr>
        <w:spacing w:after="0" w:line="240" w:lineRule="auto"/>
        <w:rPr>
          <w:rFonts w:ascii="Verdana" w:eastAsia="Times" w:hAnsi="Verdana" w:cs="Times New Roman"/>
          <w:sz w:val="20"/>
          <w:szCs w:val="20"/>
        </w:rPr>
      </w:pPr>
      <w:r w:rsidRPr="009170BD">
        <w:rPr>
          <w:rFonts w:ascii="Verdana" w:eastAsia="Times" w:hAnsi="Verdana" w:cs="Times New Roman"/>
          <w:sz w:val="20"/>
          <w:szCs w:val="20"/>
        </w:rPr>
        <w:t>Nancy Hernández López</w:t>
      </w:r>
      <w:r w:rsidRPr="009170BD">
        <w:rPr>
          <w:rFonts w:ascii="Verdana" w:eastAsia="Times" w:hAnsi="Verdana" w:cs="Times New Roman"/>
          <w:sz w:val="20"/>
          <w:szCs w:val="20"/>
        </w:rPr>
        <w:tab/>
      </w:r>
      <w:r w:rsidRPr="009170BD">
        <w:rPr>
          <w:rFonts w:ascii="Verdana" w:eastAsia="Times" w:hAnsi="Verdana" w:cs="Times New Roman"/>
          <w:sz w:val="20"/>
          <w:szCs w:val="20"/>
        </w:rPr>
        <w:tab/>
      </w:r>
      <w:r w:rsidRPr="009170BD">
        <w:rPr>
          <w:rFonts w:ascii="Verdana" w:eastAsia="Times" w:hAnsi="Verdana" w:cs="Times New Roman"/>
          <w:sz w:val="20"/>
          <w:szCs w:val="20"/>
        </w:rPr>
        <w:tab/>
      </w:r>
      <w:r w:rsidRPr="009170BD">
        <w:rPr>
          <w:rFonts w:ascii="Verdana" w:eastAsia="Times" w:hAnsi="Verdana" w:cs="Times New Roman"/>
          <w:sz w:val="20"/>
          <w:szCs w:val="20"/>
        </w:rPr>
        <w:tab/>
        <w:t xml:space="preserve">           </w:t>
      </w:r>
      <w:r>
        <w:rPr>
          <w:rFonts w:ascii="Verdana" w:eastAsia="Times" w:hAnsi="Verdana" w:cs="Times New Roman"/>
          <w:sz w:val="20"/>
          <w:szCs w:val="20"/>
        </w:rPr>
        <w:t xml:space="preserve">   </w:t>
      </w:r>
      <w:r w:rsidRPr="009170BD">
        <w:rPr>
          <w:rFonts w:ascii="Verdana" w:eastAsia="Times" w:hAnsi="Verdana" w:cs="Times New Roman"/>
          <w:sz w:val="20"/>
          <w:szCs w:val="20"/>
        </w:rPr>
        <w:t xml:space="preserve">Verónica Gómez                                                  </w:t>
      </w:r>
    </w:p>
    <w:p w14:paraId="53F6E184" w14:textId="77777777" w:rsidR="009170BD" w:rsidRPr="009170BD" w:rsidRDefault="009170BD" w:rsidP="009170BD">
      <w:pPr>
        <w:spacing w:after="0" w:line="240" w:lineRule="auto"/>
        <w:rPr>
          <w:rFonts w:ascii="Verdana" w:eastAsia="Times" w:hAnsi="Verdana" w:cs="Times New Roman"/>
          <w:sz w:val="20"/>
          <w:szCs w:val="20"/>
        </w:rPr>
      </w:pPr>
    </w:p>
    <w:p w14:paraId="41367559" w14:textId="18E8428F" w:rsidR="009170BD" w:rsidRPr="009170BD" w:rsidRDefault="009170BD" w:rsidP="009170BD">
      <w:pPr>
        <w:spacing w:after="0" w:line="240" w:lineRule="auto"/>
        <w:rPr>
          <w:rFonts w:ascii="Verdana" w:eastAsia="Times" w:hAnsi="Verdana" w:cs="Times New Roman"/>
          <w:sz w:val="20"/>
          <w:szCs w:val="20"/>
        </w:rPr>
      </w:pPr>
    </w:p>
    <w:p w14:paraId="61409C7D" w14:textId="214E39B3" w:rsidR="009170BD" w:rsidRPr="009170BD" w:rsidRDefault="009170BD" w:rsidP="009170BD">
      <w:pPr>
        <w:spacing w:after="0" w:line="240" w:lineRule="auto"/>
        <w:rPr>
          <w:rFonts w:ascii="Verdana" w:eastAsia="Times" w:hAnsi="Verdana" w:cs="Times New Roman"/>
          <w:sz w:val="20"/>
          <w:szCs w:val="20"/>
        </w:rPr>
      </w:pPr>
    </w:p>
    <w:p w14:paraId="06C05A5B" w14:textId="77777777" w:rsidR="009170BD" w:rsidRPr="009170BD" w:rsidRDefault="009170BD" w:rsidP="009170BD">
      <w:pPr>
        <w:spacing w:after="0" w:line="240" w:lineRule="auto"/>
        <w:rPr>
          <w:rFonts w:ascii="Verdana" w:eastAsia="Times" w:hAnsi="Verdana" w:cs="Times New Roman"/>
          <w:sz w:val="20"/>
          <w:szCs w:val="20"/>
        </w:rPr>
      </w:pPr>
    </w:p>
    <w:p w14:paraId="1C56FA9A" w14:textId="77777777" w:rsidR="009170BD" w:rsidRPr="009170BD" w:rsidRDefault="009170BD" w:rsidP="009170BD">
      <w:pPr>
        <w:spacing w:after="0" w:line="240" w:lineRule="auto"/>
        <w:rPr>
          <w:rFonts w:ascii="Verdana" w:eastAsia="Times" w:hAnsi="Verdana" w:cs="Times New Roman"/>
          <w:sz w:val="20"/>
          <w:szCs w:val="20"/>
        </w:rPr>
      </w:pPr>
    </w:p>
    <w:p w14:paraId="4FD8997F" w14:textId="0CE4528A" w:rsidR="009170BD" w:rsidRPr="003F7CE6" w:rsidRDefault="009170BD" w:rsidP="009170BD">
      <w:pPr>
        <w:spacing w:after="0" w:line="240" w:lineRule="auto"/>
        <w:rPr>
          <w:rFonts w:ascii="Verdana" w:eastAsia="Times" w:hAnsi="Verdana" w:cs="Times New Roman"/>
          <w:sz w:val="20"/>
          <w:szCs w:val="20"/>
          <w:lang w:val="pt-BR"/>
        </w:rPr>
      </w:pPr>
      <w:r w:rsidRPr="003F7CE6">
        <w:rPr>
          <w:rFonts w:ascii="Verdana" w:eastAsia="Times" w:hAnsi="Verdana" w:cs="Times New Roman"/>
          <w:sz w:val="20"/>
          <w:szCs w:val="20"/>
          <w:lang w:val="pt-BR"/>
        </w:rPr>
        <w:t>Patricia Pérez Goldberg</w:t>
      </w:r>
      <w:r w:rsidRPr="003F7CE6">
        <w:rPr>
          <w:rFonts w:ascii="Verdana" w:eastAsia="Times" w:hAnsi="Verdana" w:cs="Times New Roman"/>
          <w:sz w:val="20"/>
          <w:szCs w:val="20"/>
          <w:lang w:val="pt-BR"/>
        </w:rPr>
        <w:tab/>
      </w:r>
      <w:r w:rsidRPr="003F7CE6">
        <w:rPr>
          <w:rFonts w:ascii="Verdana" w:eastAsia="Times" w:hAnsi="Verdana" w:cs="Times New Roman"/>
          <w:sz w:val="20"/>
          <w:szCs w:val="20"/>
          <w:lang w:val="pt-BR"/>
        </w:rPr>
        <w:tab/>
      </w:r>
      <w:r w:rsidRPr="003F7CE6">
        <w:rPr>
          <w:rFonts w:ascii="Verdana" w:eastAsia="Times" w:hAnsi="Verdana" w:cs="Times New Roman"/>
          <w:sz w:val="20"/>
          <w:szCs w:val="20"/>
          <w:lang w:val="pt-BR"/>
        </w:rPr>
        <w:tab/>
        <w:t xml:space="preserve">                    </w:t>
      </w:r>
      <w:r w:rsidRPr="003F7CE6">
        <w:rPr>
          <w:rFonts w:ascii="Verdana" w:eastAsia="Times" w:hAnsi="Verdana" w:cs="Times New Roman"/>
          <w:sz w:val="20"/>
          <w:szCs w:val="20"/>
          <w:lang w:val="pt-BR"/>
        </w:rPr>
        <w:tab/>
        <w:t xml:space="preserve">   </w:t>
      </w:r>
      <w:r w:rsidRPr="003F7CE6">
        <w:rPr>
          <w:rFonts w:ascii="Verdana" w:eastAsia="Times" w:hAnsi="Verdana" w:cs="Arial"/>
          <w:color w:val="212529"/>
          <w:sz w:val="20"/>
          <w:szCs w:val="20"/>
          <w:lang w:val="pt-BR"/>
        </w:rPr>
        <w:t>Rodrigo Mudrovitsch</w:t>
      </w:r>
    </w:p>
    <w:p w14:paraId="438575C7" w14:textId="77777777" w:rsidR="009170BD" w:rsidRPr="003F7CE6" w:rsidRDefault="009170BD" w:rsidP="009170BD">
      <w:pPr>
        <w:spacing w:after="0" w:line="240" w:lineRule="auto"/>
        <w:jc w:val="both"/>
        <w:rPr>
          <w:rFonts w:ascii="Verdana" w:eastAsia="Times" w:hAnsi="Verdana" w:cs="Times New Roman"/>
          <w:sz w:val="20"/>
          <w:szCs w:val="20"/>
          <w:lang w:val="pt-BR"/>
        </w:rPr>
      </w:pPr>
    </w:p>
    <w:p w14:paraId="7204288F" w14:textId="77777777" w:rsidR="009170BD" w:rsidRPr="003F7CE6" w:rsidRDefault="009170BD" w:rsidP="009170BD">
      <w:pPr>
        <w:spacing w:after="0" w:line="240" w:lineRule="auto"/>
        <w:jc w:val="both"/>
        <w:rPr>
          <w:rFonts w:ascii="Verdana" w:eastAsia="Times" w:hAnsi="Verdana" w:cs="Times New Roman"/>
          <w:sz w:val="20"/>
          <w:szCs w:val="20"/>
          <w:lang w:val="pt-BR"/>
        </w:rPr>
      </w:pPr>
    </w:p>
    <w:p w14:paraId="2494EAEA" w14:textId="51084205" w:rsidR="009170BD" w:rsidRPr="003F7CE6" w:rsidRDefault="009170BD" w:rsidP="009170BD">
      <w:pPr>
        <w:spacing w:after="0" w:line="240" w:lineRule="auto"/>
        <w:jc w:val="both"/>
        <w:rPr>
          <w:rFonts w:ascii="Verdana" w:eastAsia="Times" w:hAnsi="Verdana" w:cs="Times New Roman"/>
          <w:sz w:val="20"/>
          <w:szCs w:val="20"/>
          <w:lang w:val="pt-BR"/>
        </w:rPr>
      </w:pPr>
    </w:p>
    <w:p w14:paraId="0004DB51" w14:textId="77777777" w:rsidR="009170BD" w:rsidRPr="003F7CE6" w:rsidRDefault="009170BD" w:rsidP="009170BD">
      <w:pPr>
        <w:spacing w:after="0" w:line="240" w:lineRule="auto"/>
        <w:jc w:val="both"/>
        <w:rPr>
          <w:rFonts w:ascii="Verdana" w:eastAsia="Times" w:hAnsi="Verdana" w:cs="Times New Roman"/>
          <w:sz w:val="20"/>
          <w:szCs w:val="20"/>
          <w:lang w:val="pt-BR"/>
        </w:rPr>
      </w:pPr>
    </w:p>
    <w:p w14:paraId="555E70C4" w14:textId="77777777" w:rsidR="009170BD" w:rsidRPr="003F7CE6" w:rsidRDefault="009170BD" w:rsidP="009170BD">
      <w:pPr>
        <w:spacing w:after="0" w:line="240" w:lineRule="auto"/>
        <w:jc w:val="both"/>
        <w:rPr>
          <w:rFonts w:ascii="Verdana" w:eastAsia="Times" w:hAnsi="Verdana" w:cs="Times New Roman"/>
          <w:sz w:val="20"/>
          <w:szCs w:val="20"/>
          <w:lang w:val="pt-BR"/>
        </w:rPr>
      </w:pPr>
    </w:p>
    <w:p w14:paraId="2318EDD7" w14:textId="77777777" w:rsidR="009170BD" w:rsidRPr="003F7CE6" w:rsidRDefault="009170BD" w:rsidP="009170BD">
      <w:pPr>
        <w:spacing w:after="0" w:line="240" w:lineRule="auto"/>
        <w:jc w:val="both"/>
        <w:rPr>
          <w:rFonts w:ascii="Verdana" w:eastAsia="Times" w:hAnsi="Verdana" w:cs="Times New Roman"/>
          <w:sz w:val="20"/>
          <w:szCs w:val="20"/>
          <w:lang w:val="pt-BR"/>
        </w:rPr>
      </w:pPr>
    </w:p>
    <w:p w14:paraId="0E692242" w14:textId="77777777" w:rsidR="009170BD" w:rsidRPr="003F7CE6" w:rsidRDefault="009170BD" w:rsidP="009170BD">
      <w:pPr>
        <w:spacing w:after="0" w:line="240" w:lineRule="auto"/>
        <w:jc w:val="both"/>
        <w:rPr>
          <w:rFonts w:ascii="Verdana" w:eastAsia="Times" w:hAnsi="Verdana" w:cs="Times New Roman"/>
          <w:sz w:val="20"/>
          <w:szCs w:val="20"/>
          <w:lang w:val="pt-BR"/>
        </w:rPr>
      </w:pPr>
    </w:p>
    <w:p w14:paraId="7253E696" w14:textId="77777777" w:rsidR="009170BD" w:rsidRPr="003F7CE6" w:rsidRDefault="009170BD" w:rsidP="009170BD">
      <w:pPr>
        <w:spacing w:after="0" w:line="240" w:lineRule="auto"/>
        <w:jc w:val="center"/>
        <w:rPr>
          <w:rFonts w:ascii="Verdana" w:eastAsia="Times" w:hAnsi="Verdana" w:cs="Times New Roman"/>
          <w:sz w:val="20"/>
          <w:szCs w:val="20"/>
          <w:lang w:val="pt-BR"/>
        </w:rPr>
      </w:pPr>
      <w:r w:rsidRPr="003F7CE6">
        <w:rPr>
          <w:rFonts w:ascii="Verdana" w:eastAsia="Times" w:hAnsi="Verdana" w:cs="Times New Roman"/>
          <w:sz w:val="20"/>
          <w:szCs w:val="20"/>
          <w:lang w:val="pt-BR"/>
        </w:rPr>
        <w:t>Pablo Saavedra Alessandri</w:t>
      </w:r>
    </w:p>
    <w:p w14:paraId="17C1F391" w14:textId="77777777" w:rsidR="009170BD" w:rsidRPr="009170BD" w:rsidRDefault="009170BD" w:rsidP="009170BD">
      <w:pPr>
        <w:spacing w:after="0" w:line="240" w:lineRule="auto"/>
        <w:jc w:val="center"/>
        <w:rPr>
          <w:rFonts w:ascii="Verdana" w:eastAsia="Times" w:hAnsi="Verdana" w:cs="Times New Roman"/>
          <w:sz w:val="20"/>
          <w:szCs w:val="20"/>
        </w:rPr>
      </w:pPr>
      <w:r w:rsidRPr="009170BD">
        <w:rPr>
          <w:rFonts w:ascii="Verdana" w:eastAsia="Times" w:hAnsi="Verdana" w:cs="Times New Roman"/>
          <w:sz w:val="20"/>
          <w:szCs w:val="20"/>
        </w:rPr>
        <w:t>Secretario</w:t>
      </w:r>
    </w:p>
    <w:p w14:paraId="06A9CAE2" w14:textId="77777777" w:rsidR="009170BD" w:rsidRPr="009170BD" w:rsidRDefault="009170BD" w:rsidP="009170BD">
      <w:pPr>
        <w:spacing w:after="0" w:line="240" w:lineRule="auto"/>
        <w:jc w:val="both"/>
        <w:rPr>
          <w:rFonts w:ascii="Verdana" w:eastAsia="Times" w:hAnsi="Verdana" w:cs="Times New Roman"/>
          <w:sz w:val="20"/>
          <w:szCs w:val="20"/>
        </w:rPr>
      </w:pPr>
    </w:p>
    <w:p w14:paraId="3AD90556" w14:textId="77777777" w:rsidR="009170BD" w:rsidRPr="009170BD" w:rsidRDefault="009170BD" w:rsidP="009170BD">
      <w:pPr>
        <w:spacing w:after="0" w:line="240" w:lineRule="auto"/>
        <w:jc w:val="both"/>
        <w:rPr>
          <w:rFonts w:ascii="Verdana" w:eastAsia="Times" w:hAnsi="Verdana" w:cs="Times New Roman"/>
          <w:sz w:val="20"/>
          <w:szCs w:val="20"/>
        </w:rPr>
      </w:pPr>
    </w:p>
    <w:p w14:paraId="32AE87CA" w14:textId="77777777" w:rsidR="009170BD" w:rsidRPr="009170BD" w:rsidRDefault="009170BD" w:rsidP="009170BD">
      <w:pPr>
        <w:spacing w:after="0" w:line="240" w:lineRule="auto"/>
        <w:jc w:val="both"/>
        <w:rPr>
          <w:rFonts w:ascii="Verdana" w:eastAsia="Times" w:hAnsi="Verdana" w:cs="Times New Roman"/>
          <w:sz w:val="20"/>
          <w:szCs w:val="20"/>
        </w:rPr>
      </w:pPr>
      <w:r w:rsidRPr="009170BD">
        <w:rPr>
          <w:rFonts w:ascii="Verdana" w:eastAsia="Times" w:hAnsi="Verdana" w:cs="Times New Roman"/>
          <w:sz w:val="20"/>
          <w:szCs w:val="20"/>
        </w:rPr>
        <w:t>Comuníquese y ejecútese,</w:t>
      </w:r>
    </w:p>
    <w:p w14:paraId="6C9C1829" w14:textId="44D9AA49" w:rsidR="009170BD" w:rsidRPr="009170BD" w:rsidRDefault="009170BD" w:rsidP="009170BD">
      <w:pPr>
        <w:spacing w:after="0" w:line="240" w:lineRule="auto"/>
        <w:rPr>
          <w:rFonts w:ascii="Verdana" w:eastAsia="Times" w:hAnsi="Verdana" w:cs="Times New Roman"/>
          <w:sz w:val="20"/>
          <w:szCs w:val="20"/>
        </w:rPr>
      </w:pPr>
    </w:p>
    <w:p w14:paraId="3B57DD8C" w14:textId="77777777" w:rsidR="009170BD" w:rsidRPr="009170BD" w:rsidRDefault="009170BD" w:rsidP="009170BD">
      <w:pPr>
        <w:spacing w:after="0" w:line="240" w:lineRule="auto"/>
        <w:jc w:val="center"/>
        <w:rPr>
          <w:rFonts w:ascii="Verdana" w:eastAsia="Times" w:hAnsi="Verdana" w:cs="Times New Roman"/>
          <w:sz w:val="20"/>
          <w:szCs w:val="20"/>
        </w:rPr>
      </w:pPr>
    </w:p>
    <w:p w14:paraId="34DB190E" w14:textId="77777777" w:rsidR="009170BD" w:rsidRPr="009170BD" w:rsidRDefault="009170BD" w:rsidP="009170BD">
      <w:pPr>
        <w:spacing w:after="0" w:line="240" w:lineRule="auto"/>
        <w:jc w:val="center"/>
        <w:rPr>
          <w:rFonts w:ascii="Verdana" w:eastAsia="Times" w:hAnsi="Verdana" w:cs="Times New Roman"/>
          <w:sz w:val="20"/>
          <w:szCs w:val="20"/>
        </w:rPr>
      </w:pPr>
    </w:p>
    <w:p w14:paraId="545CF5B7" w14:textId="77777777" w:rsidR="009170BD" w:rsidRPr="009170BD" w:rsidRDefault="009170BD" w:rsidP="009170BD">
      <w:pPr>
        <w:spacing w:after="0" w:line="240" w:lineRule="auto"/>
        <w:jc w:val="right"/>
        <w:rPr>
          <w:rFonts w:ascii="Verdana" w:eastAsia="Times" w:hAnsi="Verdana" w:cs="Times New Roman"/>
          <w:sz w:val="20"/>
          <w:szCs w:val="20"/>
        </w:rPr>
      </w:pPr>
    </w:p>
    <w:p w14:paraId="0D4B6033" w14:textId="77777777" w:rsidR="009170BD" w:rsidRPr="009170BD" w:rsidRDefault="009170BD" w:rsidP="009170BD">
      <w:pPr>
        <w:spacing w:after="0" w:line="240" w:lineRule="auto"/>
        <w:jc w:val="center"/>
        <w:rPr>
          <w:rFonts w:ascii="Verdana" w:eastAsia="Times" w:hAnsi="Verdana" w:cs="Times New Roman"/>
          <w:sz w:val="20"/>
          <w:szCs w:val="20"/>
        </w:rPr>
      </w:pPr>
      <w:r w:rsidRPr="009170BD">
        <w:rPr>
          <w:rFonts w:ascii="Verdana" w:eastAsia="Times" w:hAnsi="Verdana" w:cs="Times New Roman"/>
          <w:sz w:val="20"/>
          <w:szCs w:val="20"/>
        </w:rPr>
        <w:t xml:space="preserve">                                                                                               Ricardo C. Pérez Manrique</w:t>
      </w:r>
    </w:p>
    <w:p w14:paraId="1FB63B87" w14:textId="6D667EA5" w:rsidR="009170BD" w:rsidRPr="009170BD" w:rsidRDefault="009170BD" w:rsidP="009170BD">
      <w:pPr>
        <w:spacing w:after="0" w:line="240" w:lineRule="auto"/>
        <w:ind w:left="6480" w:firstLine="720"/>
        <w:rPr>
          <w:rFonts w:ascii="Verdana" w:eastAsia="Times" w:hAnsi="Verdana" w:cs="Times New Roman"/>
          <w:sz w:val="20"/>
          <w:szCs w:val="20"/>
        </w:rPr>
      </w:pPr>
      <w:r w:rsidRPr="009170BD">
        <w:rPr>
          <w:rFonts w:ascii="Verdana" w:eastAsia="Times" w:hAnsi="Verdana" w:cs="Times New Roman"/>
          <w:sz w:val="20"/>
          <w:szCs w:val="20"/>
        </w:rPr>
        <w:t xml:space="preserve">     Presidente</w:t>
      </w:r>
    </w:p>
    <w:p w14:paraId="2D1669F5" w14:textId="77777777" w:rsidR="009170BD" w:rsidRPr="009170BD" w:rsidRDefault="009170BD" w:rsidP="009170BD">
      <w:pPr>
        <w:spacing w:after="0" w:line="240" w:lineRule="auto"/>
        <w:jc w:val="both"/>
        <w:rPr>
          <w:rFonts w:ascii="Verdana" w:eastAsia="Times" w:hAnsi="Verdana" w:cs="Times New Roman"/>
          <w:sz w:val="20"/>
          <w:szCs w:val="20"/>
        </w:rPr>
      </w:pPr>
    </w:p>
    <w:p w14:paraId="4FEBB385" w14:textId="77777777" w:rsidR="009170BD" w:rsidRPr="009170BD" w:rsidRDefault="009170BD" w:rsidP="009170BD">
      <w:pPr>
        <w:spacing w:after="0" w:line="240" w:lineRule="auto"/>
        <w:jc w:val="both"/>
        <w:rPr>
          <w:rFonts w:ascii="Verdana" w:eastAsia="Times" w:hAnsi="Verdana" w:cs="Times New Roman"/>
          <w:sz w:val="20"/>
          <w:szCs w:val="20"/>
        </w:rPr>
      </w:pPr>
    </w:p>
    <w:p w14:paraId="2052D527" w14:textId="77777777" w:rsidR="009170BD" w:rsidRPr="009170BD" w:rsidRDefault="009170BD" w:rsidP="009170BD">
      <w:pPr>
        <w:spacing w:after="0" w:line="240" w:lineRule="auto"/>
        <w:jc w:val="both"/>
        <w:rPr>
          <w:rFonts w:ascii="Verdana" w:eastAsia="Times" w:hAnsi="Verdana" w:cs="Times New Roman"/>
          <w:sz w:val="20"/>
          <w:szCs w:val="20"/>
        </w:rPr>
      </w:pPr>
    </w:p>
    <w:p w14:paraId="24C7F8DC" w14:textId="77777777" w:rsidR="009170BD" w:rsidRPr="009170BD" w:rsidRDefault="009170BD" w:rsidP="009170BD">
      <w:pPr>
        <w:spacing w:after="0" w:line="240" w:lineRule="auto"/>
        <w:jc w:val="both"/>
        <w:rPr>
          <w:rFonts w:ascii="Verdana" w:eastAsia="Times" w:hAnsi="Verdana" w:cs="Times New Roman"/>
          <w:sz w:val="20"/>
          <w:szCs w:val="20"/>
        </w:rPr>
      </w:pPr>
    </w:p>
    <w:p w14:paraId="26A2D289" w14:textId="77777777" w:rsidR="009170BD" w:rsidRPr="009170BD" w:rsidRDefault="009170BD" w:rsidP="009170BD">
      <w:pPr>
        <w:spacing w:after="0" w:line="240" w:lineRule="auto"/>
        <w:jc w:val="both"/>
        <w:rPr>
          <w:rFonts w:ascii="Verdana" w:eastAsia="Times" w:hAnsi="Verdana" w:cs="Times New Roman"/>
          <w:sz w:val="20"/>
          <w:szCs w:val="20"/>
        </w:rPr>
      </w:pPr>
    </w:p>
    <w:p w14:paraId="4F73979A" w14:textId="77777777" w:rsidR="009170BD" w:rsidRPr="009170BD" w:rsidRDefault="009170BD" w:rsidP="009170BD">
      <w:pPr>
        <w:spacing w:after="0" w:line="240" w:lineRule="auto"/>
        <w:jc w:val="both"/>
        <w:rPr>
          <w:rFonts w:ascii="Verdana" w:eastAsia="Times" w:hAnsi="Verdana" w:cs="Times New Roman"/>
          <w:sz w:val="20"/>
          <w:szCs w:val="20"/>
        </w:rPr>
      </w:pPr>
      <w:r w:rsidRPr="009170BD">
        <w:rPr>
          <w:rFonts w:ascii="Verdana" w:eastAsia="Times" w:hAnsi="Verdana" w:cs="Times New Roman"/>
          <w:sz w:val="20"/>
          <w:szCs w:val="20"/>
        </w:rPr>
        <w:t>Pablo Saavedra Alessandri</w:t>
      </w:r>
    </w:p>
    <w:p w14:paraId="208BD3E0" w14:textId="77777777" w:rsidR="009170BD" w:rsidRPr="009170BD" w:rsidRDefault="009170BD" w:rsidP="009170BD">
      <w:pPr>
        <w:spacing w:after="0" w:line="240" w:lineRule="auto"/>
        <w:rPr>
          <w:rFonts w:ascii="Verdana" w:eastAsia="Times" w:hAnsi="Verdana" w:cs="Times New Roman"/>
          <w:sz w:val="24"/>
          <w:szCs w:val="20"/>
          <w:lang w:val="pt-BR"/>
        </w:rPr>
      </w:pPr>
      <w:r w:rsidRPr="009170BD">
        <w:rPr>
          <w:rFonts w:ascii="Verdana" w:eastAsia="Times" w:hAnsi="Verdana" w:cs="Times New Roman"/>
          <w:sz w:val="20"/>
          <w:szCs w:val="20"/>
        </w:rPr>
        <w:t xml:space="preserve">          </w:t>
      </w:r>
      <w:r w:rsidRPr="009170BD">
        <w:rPr>
          <w:rFonts w:ascii="Verdana" w:eastAsia="Times" w:hAnsi="Verdana" w:cs="Times New Roman"/>
          <w:sz w:val="20"/>
          <w:szCs w:val="20"/>
          <w:lang w:val="pt-BR"/>
        </w:rPr>
        <w:t>Secretario</w:t>
      </w:r>
    </w:p>
    <w:p w14:paraId="7A708D31" w14:textId="62C27E14" w:rsidR="006F7956" w:rsidRPr="008B7099" w:rsidRDefault="006F7956" w:rsidP="009170BD">
      <w:pPr>
        <w:spacing w:after="0"/>
        <w:jc w:val="both"/>
        <w:rPr>
          <w:rFonts w:ascii="Verdana" w:hAnsi="Verdana"/>
          <w:color w:val="000000" w:themeColor="text1"/>
          <w:sz w:val="20"/>
          <w:szCs w:val="20"/>
        </w:rPr>
      </w:pPr>
    </w:p>
    <w:sectPr w:rsidR="006F7956" w:rsidRPr="008B7099" w:rsidSect="002257DE">
      <w:headerReference w:type="default" r:id="rId8"/>
      <w:footerReference w:type="default" r:id="rId9"/>
      <w:pgSz w:w="12240" w:h="15840"/>
      <w:pgMar w:top="1440"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F4C1E" w14:textId="77777777" w:rsidR="00F62EB0" w:rsidRDefault="00F62EB0" w:rsidP="00A57ACC">
      <w:pPr>
        <w:spacing w:after="0" w:line="240" w:lineRule="auto"/>
      </w:pPr>
      <w:r>
        <w:separator/>
      </w:r>
    </w:p>
  </w:endnote>
  <w:endnote w:type="continuationSeparator" w:id="0">
    <w:p w14:paraId="225098B0" w14:textId="77777777" w:rsidR="00F62EB0" w:rsidRDefault="00F62EB0" w:rsidP="00A57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altName w:val="????????g?"/>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481121"/>
      <w:docPartObj>
        <w:docPartGallery w:val="Page Numbers (Bottom of Page)"/>
        <w:docPartUnique/>
      </w:docPartObj>
    </w:sdtPr>
    <w:sdtEndPr>
      <w:rPr>
        <w:noProof/>
      </w:rPr>
    </w:sdtEndPr>
    <w:sdtContent>
      <w:p w14:paraId="5870C9CE" w14:textId="3D1E5204" w:rsidR="00FE70DC" w:rsidRDefault="00FE70DC">
        <w:pPr>
          <w:pStyle w:val="Piedepgina"/>
          <w:jc w:val="center"/>
        </w:pPr>
        <w:r w:rsidRPr="00151723">
          <w:rPr>
            <w:rFonts w:ascii="Verdana" w:hAnsi="Verdana"/>
            <w:sz w:val="20"/>
            <w:szCs w:val="20"/>
          </w:rPr>
          <w:fldChar w:fldCharType="begin"/>
        </w:r>
        <w:r w:rsidRPr="00151723">
          <w:rPr>
            <w:rFonts w:ascii="Verdana" w:hAnsi="Verdana"/>
            <w:sz w:val="20"/>
            <w:szCs w:val="20"/>
          </w:rPr>
          <w:instrText xml:space="preserve"> PAGE   \* MERGEFORMAT </w:instrText>
        </w:r>
        <w:r w:rsidRPr="00151723">
          <w:rPr>
            <w:rFonts w:ascii="Verdana" w:hAnsi="Verdana"/>
            <w:sz w:val="20"/>
            <w:szCs w:val="20"/>
          </w:rPr>
          <w:fldChar w:fldCharType="separate"/>
        </w:r>
        <w:r w:rsidR="00E935A2">
          <w:rPr>
            <w:rFonts w:ascii="Verdana" w:hAnsi="Verdana"/>
            <w:noProof/>
            <w:sz w:val="20"/>
            <w:szCs w:val="20"/>
          </w:rPr>
          <w:t>8</w:t>
        </w:r>
        <w:r w:rsidRPr="00151723">
          <w:rPr>
            <w:rFonts w:ascii="Verdana" w:hAnsi="Verdana"/>
            <w:noProof/>
            <w:sz w:val="20"/>
            <w:szCs w:val="20"/>
          </w:rPr>
          <w:fldChar w:fldCharType="end"/>
        </w:r>
      </w:p>
    </w:sdtContent>
  </w:sdt>
  <w:p w14:paraId="79FADBA5" w14:textId="77777777" w:rsidR="00FE70DC" w:rsidRDefault="00FE70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55801" w14:textId="77777777" w:rsidR="00F62EB0" w:rsidRDefault="00F62EB0" w:rsidP="00A57ACC">
      <w:pPr>
        <w:spacing w:after="0" w:line="240" w:lineRule="auto"/>
      </w:pPr>
      <w:r>
        <w:separator/>
      </w:r>
    </w:p>
  </w:footnote>
  <w:footnote w:type="continuationSeparator" w:id="0">
    <w:p w14:paraId="59020FC7" w14:textId="77777777" w:rsidR="00F62EB0" w:rsidRDefault="00F62EB0" w:rsidP="00A57ACC">
      <w:pPr>
        <w:spacing w:after="0" w:line="240" w:lineRule="auto"/>
      </w:pPr>
      <w:r>
        <w:continuationSeparator/>
      </w:r>
    </w:p>
  </w:footnote>
  <w:footnote w:id="1">
    <w:p w14:paraId="158C1371" w14:textId="4C2F235F" w:rsidR="003C648E" w:rsidRPr="0020221C" w:rsidRDefault="003C648E" w:rsidP="003C648E">
      <w:pPr>
        <w:pStyle w:val="Textonotapie"/>
        <w:jc w:val="both"/>
        <w:rPr>
          <w:rFonts w:ascii="Verdana" w:hAnsi="Verdana"/>
          <w:sz w:val="16"/>
          <w:szCs w:val="16"/>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rPr>
        <w:tab/>
        <w:t xml:space="preserve">Esta Corte advierte que, si bien la nota de Secretaría de 20 de julio de 2023 acusando recibo y dando traslado a la Comisión y a los representantes del escrito de solicitud de interpretación de Sentencia interpuesto por el Estado hace referencia a que el Estado remitió dicho escrito el 11 de julio de 2023, lo cierto </w:t>
      </w:r>
      <w:r w:rsidR="005E24DD" w:rsidRPr="0020221C">
        <w:rPr>
          <w:rFonts w:ascii="Verdana" w:hAnsi="Verdana"/>
          <w:sz w:val="16"/>
          <w:szCs w:val="16"/>
        </w:rPr>
        <w:t xml:space="preserve">es </w:t>
      </w:r>
      <w:r w:rsidRPr="0020221C">
        <w:rPr>
          <w:rFonts w:ascii="Verdana" w:hAnsi="Verdana"/>
          <w:sz w:val="16"/>
          <w:szCs w:val="16"/>
        </w:rPr>
        <w:t>que el mismo fue remitido por la Procuraduría Pública Especializada Supranacional el 10 de julio de 2023 y por la Embajada del Perú en Costa Rica el 11 de julio de 2023.</w:t>
      </w:r>
    </w:p>
  </w:footnote>
  <w:footnote w:id="2">
    <w:p w14:paraId="7ECC3475" w14:textId="022C81CC" w:rsidR="005B17E1" w:rsidRPr="0020221C" w:rsidRDefault="005B17E1" w:rsidP="005B17E1">
      <w:pPr>
        <w:pStyle w:val="Textonotapie"/>
        <w:jc w:val="both"/>
        <w:rPr>
          <w:rFonts w:ascii="Verdana" w:hAnsi="Verdana"/>
          <w:b/>
          <w:bCs/>
          <w:sz w:val="16"/>
          <w:szCs w:val="16"/>
          <w:lang w:val="es-ES"/>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lang w:val="es-ES"/>
        </w:rPr>
        <w:tab/>
        <w:t>La representación de la víctima es ejercida por las organizaciones “DEMUS”, “Estudio para la Defensa de los Derechos de la Mujer, Synergía”, e “Iniciativas para los Derechos Humanos y Asociación Líderes en Acción”.</w:t>
      </w:r>
      <w:r w:rsidR="00B6234A" w:rsidRPr="0020221C">
        <w:rPr>
          <w:rFonts w:ascii="Verdana" w:hAnsi="Verdana"/>
          <w:sz w:val="16"/>
          <w:szCs w:val="16"/>
          <w:lang w:val="es-ES"/>
        </w:rPr>
        <w:t xml:space="preserve"> </w:t>
      </w:r>
    </w:p>
  </w:footnote>
  <w:footnote w:id="3">
    <w:p w14:paraId="353E8FC2" w14:textId="74517F86" w:rsidR="005B17E1" w:rsidRPr="0020221C" w:rsidRDefault="005B17E1" w:rsidP="00CD398F">
      <w:pPr>
        <w:pStyle w:val="Textonotapie"/>
        <w:jc w:val="both"/>
        <w:rPr>
          <w:rFonts w:ascii="Verdana" w:hAnsi="Verdana"/>
          <w:sz w:val="16"/>
          <w:szCs w:val="16"/>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rPr>
        <w:tab/>
        <w:t xml:space="preserve">Esta </w:t>
      </w:r>
      <w:r w:rsidR="00880200" w:rsidRPr="0020221C">
        <w:rPr>
          <w:rFonts w:ascii="Verdana" w:hAnsi="Verdana"/>
          <w:sz w:val="16"/>
          <w:szCs w:val="16"/>
        </w:rPr>
        <w:t xml:space="preserve">presente </w:t>
      </w:r>
      <w:r w:rsidRPr="0020221C">
        <w:rPr>
          <w:rFonts w:ascii="Verdana" w:hAnsi="Verdana"/>
          <w:sz w:val="16"/>
          <w:szCs w:val="16"/>
        </w:rPr>
        <w:t xml:space="preserve">Sentencia fue deliberada y aprobada durante el </w:t>
      </w:r>
      <w:r w:rsidR="00880200" w:rsidRPr="0020221C">
        <w:rPr>
          <w:rFonts w:ascii="Verdana" w:hAnsi="Verdana"/>
          <w:sz w:val="16"/>
          <w:szCs w:val="16"/>
        </w:rPr>
        <w:t xml:space="preserve">163º </w:t>
      </w:r>
      <w:r w:rsidRPr="0020221C">
        <w:rPr>
          <w:rFonts w:ascii="Verdana" w:hAnsi="Verdana"/>
          <w:sz w:val="16"/>
          <w:szCs w:val="16"/>
        </w:rPr>
        <w:t>Periodo Ordinario de Sesiones.</w:t>
      </w:r>
    </w:p>
  </w:footnote>
  <w:footnote w:id="4">
    <w:p w14:paraId="13947B66" w14:textId="77777777" w:rsidR="00E834EE" w:rsidRPr="0020221C" w:rsidRDefault="00E834EE" w:rsidP="00E834EE">
      <w:pPr>
        <w:pStyle w:val="Textonotapie"/>
        <w:spacing w:before="20" w:after="20"/>
        <w:jc w:val="both"/>
        <w:rPr>
          <w:rFonts w:ascii="Verdana" w:hAnsi="Verdana"/>
          <w:sz w:val="16"/>
          <w:szCs w:val="16"/>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rPr>
        <w:tab/>
      </w:r>
      <w:r w:rsidRPr="0020221C">
        <w:rPr>
          <w:rFonts w:ascii="Verdana" w:hAnsi="Verdana"/>
          <w:i/>
          <w:sz w:val="16"/>
          <w:szCs w:val="16"/>
        </w:rPr>
        <w:t>Cfr. Caso Loayza Tamayo Vs. Perú. Interpretación de la Sentencia de Fondo, supra,</w:t>
      </w:r>
      <w:r w:rsidRPr="0020221C">
        <w:rPr>
          <w:rFonts w:ascii="Verdana" w:hAnsi="Verdana"/>
          <w:sz w:val="16"/>
          <w:szCs w:val="16"/>
        </w:rPr>
        <w:t xml:space="preserve"> párr. 16, y </w:t>
      </w:r>
      <w:r w:rsidRPr="00DB3096">
        <w:rPr>
          <w:rFonts w:ascii="Verdana" w:hAnsi="Verdana"/>
          <w:i/>
          <w:sz w:val="16"/>
          <w:szCs w:val="16"/>
        </w:rPr>
        <w:t>Caso Sales Pimenta Vs. Brasil</w:t>
      </w:r>
      <w:r w:rsidRPr="0020221C">
        <w:rPr>
          <w:rFonts w:ascii="Verdana" w:hAnsi="Verdana"/>
          <w:i/>
          <w:sz w:val="16"/>
          <w:szCs w:val="16"/>
        </w:rPr>
        <w:t>, supra</w:t>
      </w:r>
      <w:r w:rsidRPr="0020221C">
        <w:rPr>
          <w:rFonts w:ascii="Verdana" w:hAnsi="Verdana"/>
          <w:iCs/>
          <w:sz w:val="16"/>
          <w:szCs w:val="16"/>
        </w:rPr>
        <w:t xml:space="preserve">, párr. </w:t>
      </w:r>
      <w:r>
        <w:rPr>
          <w:rFonts w:ascii="Verdana" w:hAnsi="Verdana"/>
          <w:iCs/>
          <w:sz w:val="16"/>
          <w:szCs w:val="16"/>
        </w:rPr>
        <w:t>10</w:t>
      </w:r>
      <w:r w:rsidRPr="0020221C">
        <w:rPr>
          <w:rFonts w:ascii="Verdana" w:hAnsi="Verdana"/>
          <w:iCs/>
          <w:sz w:val="16"/>
          <w:szCs w:val="16"/>
        </w:rPr>
        <w:t>.</w:t>
      </w:r>
    </w:p>
  </w:footnote>
  <w:footnote w:id="5">
    <w:p w14:paraId="2D80245A" w14:textId="03ADC369" w:rsidR="005A46F0" w:rsidRPr="0020221C" w:rsidRDefault="005A46F0" w:rsidP="00874C2D">
      <w:pPr>
        <w:pStyle w:val="Textonotapie"/>
        <w:spacing w:before="20" w:after="20"/>
        <w:jc w:val="both"/>
        <w:rPr>
          <w:rFonts w:ascii="Verdana" w:hAnsi="Verdana"/>
          <w:iCs/>
          <w:sz w:val="16"/>
          <w:szCs w:val="16"/>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rPr>
        <w:tab/>
      </w:r>
      <w:r w:rsidRPr="0020221C">
        <w:rPr>
          <w:rFonts w:ascii="Verdana" w:hAnsi="Verdana"/>
          <w:i/>
          <w:sz w:val="16"/>
          <w:szCs w:val="16"/>
        </w:rPr>
        <w:t>Cfr. Caso Loayza Tamayo Vs. Perú. Interpretación de la Sentencia de Reparaciones y Costas</w:t>
      </w:r>
      <w:r w:rsidRPr="0020221C">
        <w:rPr>
          <w:rFonts w:ascii="Verdana" w:hAnsi="Verdana"/>
          <w:sz w:val="16"/>
          <w:szCs w:val="16"/>
        </w:rPr>
        <w:t>,</w:t>
      </w:r>
      <w:r w:rsidRPr="0020221C">
        <w:rPr>
          <w:rFonts w:ascii="Verdana" w:hAnsi="Verdana"/>
          <w:sz w:val="16"/>
          <w:szCs w:val="16"/>
          <w:lang w:val="es-ES"/>
        </w:rPr>
        <w:t xml:space="preserve"> </w:t>
      </w:r>
      <w:r w:rsidRPr="0020221C">
        <w:rPr>
          <w:rFonts w:ascii="Verdana" w:hAnsi="Verdana"/>
          <w:i/>
          <w:sz w:val="16"/>
          <w:szCs w:val="16"/>
          <w:lang w:val="es-ES"/>
        </w:rPr>
        <w:t>supra</w:t>
      </w:r>
      <w:r w:rsidRPr="0020221C">
        <w:rPr>
          <w:rFonts w:ascii="Verdana" w:hAnsi="Verdana"/>
          <w:sz w:val="16"/>
          <w:szCs w:val="16"/>
          <w:lang w:val="es-ES"/>
        </w:rPr>
        <w:t>,</w:t>
      </w:r>
      <w:r w:rsidRPr="0020221C">
        <w:rPr>
          <w:rFonts w:ascii="Verdana" w:hAnsi="Verdana"/>
          <w:sz w:val="16"/>
          <w:szCs w:val="16"/>
        </w:rPr>
        <w:t xml:space="preserve"> párr. 15</w:t>
      </w:r>
      <w:r w:rsidR="001E3F2A" w:rsidRPr="0020221C">
        <w:rPr>
          <w:rFonts w:ascii="Verdana" w:hAnsi="Verdana"/>
          <w:sz w:val="16"/>
          <w:szCs w:val="16"/>
        </w:rPr>
        <w:t>, y</w:t>
      </w:r>
      <w:r w:rsidR="005B17E1" w:rsidRPr="0020221C">
        <w:rPr>
          <w:rFonts w:ascii="Verdana" w:hAnsi="Verdana"/>
          <w:i/>
          <w:sz w:val="16"/>
          <w:szCs w:val="16"/>
        </w:rPr>
        <w:t xml:space="preserve"> </w:t>
      </w:r>
      <w:r w:rsidR="005B17E1" w:rsidRPr="0020221C">
        <w:rPr>
          <w:rFonts w:ascii="Verdana" w:hAnsi="Verdana"/>
          <w:i/>
          <w:iCs/>
          <w:sz w:val="16"/>
          <w:szCs w:val="16"/>
        </w:rPr>
        <w:t>Caso Mina Cuero Vs. Ecuador, supra</w:t>
      </w:r>
      <w:r w:rsidR="005B17E1" w:rsidRPr="0020221C">
        <w:rPr>
          <w:rFonts w:ascii="Verdana" w:hAnsi="Verdana"/>
          <w:iCs/>
          <w:sz w:val="16"/>
          <w:szCs w:val="16"/>
        </w:rPr>
        <w:t>, párr. 10.</w:t>
      </w:r>
    </w:p>
  </w:footnote>
  <w:footnote w:id="6">
    <w:p w14:paraId="27FF51BC" w14:textId="2B188870" w:rsidR="005A46F0" w:rsidRPr="0020221C" w:rsidRDefault="005A46F0" w:rsidP="00874C2D">
      <w:pPr>
        <w:pStyle w:val="Textonotapie"/>
        <w:spacing w:before="20" w:after="20"/>
        <w:jc w:val="both"/>
        <w:rPr>
          <w:rFonts w:ascii="Verdana" w:hAnsi="Verdana"/>
          <w:iCs/>
          <w:sz w:val="16"/>
          <w:szCs w:val="16"/>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rPr>
        <w:tab/>
      </w:r>
      <w:r w:rsidR="00E834EE" w:rsidRPr="0020221C">
        <w:rPr>
          <w:rFonts w:ascii="Verdana" w:hAnsi="Verdana"/>
          <w:i/>
          <w:sz w:val="16"/>
          <w:szCs w:val="16"/>
        </w:rPr>
        <w:t xml:space="preserve">Cfr. Caso Salvador Chiriboga Vs. Ecuador. Interpretación de la Sentencia de Reparaciones y Costas. </w:t>
      </w:r>
      <w:r w:rsidR="00E834EE" w:rsidRPr="0020221C">
        <w:rPr>
          <w:rFonts w:ascii="Verdana" w:hAnsi="Verdana"/>
          <w:sz w:val="16"/>
          <w:szCs w:val="16"/>
        </w:rPr>
        <w:t>Sentencia de 29 de agosto de 2011. Serie C No. 230, párr. 30, y</w:t>
      </w:r>
      <w:r w:rsidR="00E834EE" w:rsidRPr="0020221C">
        <w:rPr>
          <w:rFonts w:ascii="Verdana" w:hAnsi="Verdana"/>
          <w:i/>
          <w:sz w:val="16"/>
          <w:szCs w:val="16"/>
        </w:rPr>
        <w:t xml:space="preserve"> </w:t>
      </w:r>
      <w:r w:rsidR="00E834EE" w:rsidRPr="00DB3096">
        <w:rPr>
          <w:rFonts w:ascii="Verdana" w:hAnsi="Verdana"/>
          <w:i/>
          <w:sz w:val="16"/>
          <w:szCs w:val="16"/>
        </w:rPr>
        <w:t>Caso Sales Pimenta Vs. Brasil</w:t>
      </w:r>
      <w:r w:rsidR="00E834EE" w:rsidRPr="0020221C">
        <w:rPr>
          <w:rFonts w:ascii="Verdana" w:hAnsi="Verdana"/>
          <w:i/>
          <w:iCs/>
          <w:sz w:val="16"/>
          <w:szCs w:val="16"/>
        </w:rPr>
        <w:t>, supra</w:t>
      </w:r>
      <w:r w:rsidR="00E834EE" w:rsidRPr="0020221C">
        <w:rPr>
          <w:rFonts w:ascii="Verdana" w:hAnsi="Verdana"/>
          <w:iCs/>
          <w:sz w:val="16"/>
          <w:szCs w:val="16"/>
        </w:rPr>
        <w:t>, párr. 10.</w:t>
      </w:r>
    </w:p>
  </w:footnote>
  <w:footnote w:id="7">
    <w:p w14:paraId="0F405BEA" w14:textId="673C786A" w:rsidR="005B17E1" w:rsidRPr="0020221C" w:rsidRDefault="005A46F0" w:rsidP="005B17E1">
      <w:pPr>
        <w:pStyle w:val="Textonotapie"/>
        <w:spacing w:before="20" w:after="20"/>
        <w:jc w:val="both"/>
        <w:rPr>
          <w:rFonts w:ascii="Verdana" w:hAnsi="Verdana"/>
          <w:iCs/>
          <w:sz w:val="16"/>
          <w:szCs w:val="16"/>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rPr>
        <w:tab/>
      </w:r>
      <w:r w:rsidR="00E834EE" w:rsidRPr="0020221C">
        <w:rPr>
          <w:rFonts w:ascii="Verdana" w:hAnsi="Verdana"/>
          <w:i/>
          <w:sz w:val="16"/>
          <w:szCs w:val="16"/>
        </w:rPr>
        <w:t>Cfr. Caso Escher y otros Vs. Brasil. Interpretación de la Sentencia de Excepciones Preliminares, Fondo, Reparaciones y Costas</w:t>
      </w:r>
      <w:r w:rsidR="00E834EE" w:rsidRPr="0020221C">
        <w:rPr>
          <w:rFonts w:ascii="Verdana" w:hAnsi="Verdana"/>
          <w:sz w:val="16"/>
          <w:szCs w:val="16"/>
        </w:rPr>
        <w:t>. Sentencia de 20 de noviembre de 2009. Serie C No. 208, párr. 11, y</w:t>
      </w:r>
      <w:r w:rsidR="00E834EE" w:rsidRPr="0020221C">
        <w:rPr>
          <w:rFonts w:ascii="Verdana" w:hAnsi="Verdana"/>
          <w:i/>
          <w:sz w:val="16"/>
          <w:szCs w:val="16"/>
        </w:rPr>
        <w:t xml:space="preserve"> </w:t>
      </w:r>
      <w:r w:rsidR="00E834EE" w:rsidRPr="00DB3096">
        <w:rPr>
          <w:rFonts w:ascii="Verdana" w:hAnsi="Verdana"/>
          <w:i/>
          <w:sz w:val="16"/>
          <w:szCs w:val="16"/>
        </w:rPr>
        <w:t>Caso Sales Pimenta Vs. Brasil</w:t>
      </w:r>
      <w:r w:rsidR="00E834EE" w:rsidRPr="0020221C">
        <w:rPr>
          <w:rFonts w:ascii="Verdana" w:hAnsi="Verdana"/>
          <w:i/>
          <w:iCs/>
          <w:sz w:val="16"/>
          <w:szCs w:val="16"/>
        </w:rPr>
        <w:t>, supra</w:t>
      </w:r>
      <w:r w:rsidR="00E834EE" w:rsidRPr="0020221C">
        <w:rPr>
          <w:rFonts w:ascii="Verdana" w:hAnsi="Verdana"/>
          <w:iCs/>
          <w:sz w:val="16"/>
          <w:szCs w:val="16"/>
        </w:rPr>
        <w:t>, párr. 10.</w:t>
      </w:r>
    </w:p>
    <w:p w14:paraId="08EF6640" w14:textId="3312EBB0" w:rsidR="005A46F0" w:rsidRPr="0020221C" w:rsidRDefault="005A46F0" w:rsidP="00874C2D">
      <w:pPr>
        <w:pStyle w:val="Textonotapie"/>
        <w:spacing w:before="20" w:after="20"/>
        <w:jc w:val="both"/>
        <w:rPr>
          <w:rFonts w:ascii="Verdana" w:hAnsi="Verdana"/>
          <w:sz w:val="16"/>
          <w:szCs w:val="16"/>
        </w:rPr>
      </w:pPr>
    </w:p>
  </w:footnote>
  <w:footnote w:id="8">
    <w:p w14:paraId="5FE4546D" w14:textId="1A610A28" w:rsidR="00A363CB" w:rsidRPr="0020221C" w:rsidRDefault="00A363CB" w:rsidP="0077206F">
      <w:pPr>
        <w:pStyle w:val="Textonotapie"/>
        <w:jc w:val="both"/>
        <w:rPr>
          <w:rFonts w:ascii="Verdana" w:hAnsi="Verdana"/>
          <w:sz w:val="16"/>
          <w:szCs w:val="16"/>
          <w:lang w:val="es-ES"/>
        </w:rPr>
      </w:pPr>
      <w:r w:rsidRPr="0020221C">
        <w:rPr>
          <w:rStyle w:val="Refdenotaalpie"/>
          <w:rFonts w:ascii="Verdana" w:hAnsi="Verdana"/>
          <w:sz w:val="16"/>
          <w:szCs w:val="16"/>
        </w:rPr>
        <w:footnoteRef/>
      </w:r>
      <w:r w:rsidRPr="0020221C">
        <w:rPr>
          <w:rFonts w:ascii="Verdana" w:hAnsi="Verdana"/>
          <w:sz w:val="16"/>
          <w:szCs w:val="16"/>
        </w:rPr>
        <w:t xml:space="preserve"> </w:t>
      </w:r>
      <w:r w:rsidR="0077206F" w:rsidRPr="0020221C">
        <w:rPr>
          <w:rFonts w:ascii="Verdana" w:hAnsi="Verdana"/>
          <w:sz w:val="16"/>
          <w:szCs w:val="16"/>
        </w:rPr>
        <w:tab/>
      </w:r>
      <w:r w:rsidR="0077206F" w:rsidRPr="0020221C">
        <w:rPr>
          <w:rFonts w:ascii="Verdana" w:hAnsi="Verdana"/>
          <w:i/>
          <w:iCs/>
          <w:sz w:val="16"/>
          <w:szCs w:val="16"/>
        </w:rPr>
        <w:t>Cfr</w:t>
      </w:r>
      <w:r w:rsidR="0077206F" w:rsidRPr="0020221C">
        <w:rPr>
          <w:rFonts w:ascii="Verdana" w:hAnsi="Verdana"/>
          <w:sz w:val="16"/>
          <w:szCs w:val="16"/>
        </w:rPr>
        <w:t>. Escrito de Solicitudes, Argumentos y Pruebas de 16 de agosto de 2021, págs. 52 y 53, y Escrito de Alegatos Finales Escritos de 26 de agosto de 2022, pág. 24. (expediente de fondo, folios 138, 139 y 2189).</w:t>
      </w:r>
    </w:p>
  </w:footnote>
  <w:footnote w:id="9">
    <w:p w14:paraId="174A1E1C" w14:textId="5B1208BF" w:rsidR="001E2331" w:rsidRPr="0020221C" w:rsidRDefault="001E2331" w:rsidP="009B3FF3">
      <w:pPr>
        <w:pStyle w:val="Textonotapie"/>
        <w:jc w:val="both"/>
        <w:rPr>
          <w:rFonts w:ascii="Verdana" w:hAnsi="Verdana"/>
          <w:sz w:val="16"/>
          <w:szCs w:val="16"/>
          <w:lang w:val="es-ES"/>
        </w:rPr>
      </w:pPr>
      <w:r w:rsidRPr="0020221C">
        <w:rPr>
          <w:rStyle w:val="Refdenotaalpie"/>
          <w:rFonts w:ascii="Verdana" w:hAnsi="Verdana"/>
          <w:sz w:val="16"/>
          <w:szCs w:val="16"/>
        </w:rPr>
        <w:footnoteRef/>
      </w:r>
      <w:r w:rsidRPr="0020221C">
        <w:rPr>
          <w:rFonts w:ascii="Verdana" w:hAnsi="Verdana"/>
          <w:sz w:val="16"/>
          <w:szCs w:val="16"/>
        </w:rPr>
        <w:t xml:space="preserve"> </w:t>
      </w:r>
      <w:r w:rsidR="00C37358" w:rsidRPr="0020221C">
        <w:rPr>
          <w:rFonts w:ascii="Verdana" w:hAnsi="Verdana"/>
          <w:sz w:val="16"/>
          <w:szCs w:val="16"/>
        </w:rPr>
        <w:tab/>
      </w:r>
      <w:r w:rsidR="009B3FF3" w:rsidRPr="0020221C">
        <w:rPr>
          <w:rFonts w:ascii="Verdana" w:hAnsi="Verdana"/>
          <w:i/>
          <w:iCs/>
          <w:sz w:val="16"/>
          <w:szCs w:val="16"/>
        </w:rPr>
        <w:t>Cfr</w:t>
      </w:r>
      <w:r w:rsidR="009B3FF3" w:rsidRPr="0020221C">
        <w:rPr>
          <w:rFonts w:ascii="Verdana" w:hAnsi="Verdana"/>
          <w:sz w:val="16"/>
          <w:szCs w:val="16"/>
        </w:rPr>
        <w:t xml:space="preserve">. Comunicación de la Procuraduría Pública Especializada Supranacional dirigida a C.S.T., representante, de 31 de mayo de 2023; Comunicación de los representantes dirigida a la Procuraduría Pública Especializada Supranacional, de 20 de junio de 2023; </w:t>
      </w:r>
      <w:r w:rsidR="00492D07" w:rsidRPr="0020221C">
        <w:rPr>
          <w:rFonts w:ascii="Verdana" w:hAnsi="Verdana"/>
          <w:sz w:val="16"/>
          <w:szCs w:val="16"/>
        </w:rPr>
        <w:t>Comunicación de la Procuraduría Pública Especializada Supranacional del Estado dirigida a C.S.T., representante, de 31 de julio de 2023, y Comunicación de los representantes dirigida a la Procuraduría Pública Especializada Supranacional, de 3 de agosto de 2023 (expediente de prueba, folios 6252 a 6264).</w:t>
      </w:r>
    </w:p>
  </w:footnote>
  <w:footnote w:id="10">
    <w:p w14:paraId="2BB745A3" w14:textId="09B74878" w:rsidR="00C07DC7" w:rsidRPr="0020221C" w:rsidRDefault="00C07DC7" w:rsidP="00987743">
      <w:pPr>
        <w:pStyle w:val="Textonotapie"/>
        <w:jc w:val="both"/>
        <w:rPr>
          <w:rFonts w:ascii="Verdana" w:hAnsi="Verdana"/>
          <w:color w:val="FF0000"/>
          <w:sz w:val="16"/>
          <w:szCs w:val="16"/>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rPr>
        <w:tab/>
      </w:r>
      <w:r w:rsidRPr="0020221C">
        <w:rPr>
          <w:rFonts w:ascii="Verdana" w:hAnsi="Verdana"/>
          <w:i/>
          <w:iCs/>
          <w:sz w:val="16"/>
          <w:szCs w:val="16"/>
        </w:rPr>
        <w:t xml:space="preserve">Cfr. </w:t>
      </w:r>
      <w:r w:rsidR="00FD7760" w:rsidRPr="0020221C">
        <w:rPr>
          <w:rFonts w:ascii="Verdana" w:hAnsi="Verdana"/>
          <w:i/>
          <w:iCs/>
          <w:sz w:val="16"/>
          <w:szCs w:val="16"/>
        </w:rPr>
        <w:t xml:space="preserve">Caso de la Masacre de Las Dos Erres Vs. Guatemala, </w:t>
      </w:r>
      <w:r w:rsidR="00B24774" w:rsidRPr="0020221C">
        <w:rPr>
          <w:rFonts w:ascii="Verdana" w:hAnsi="Verdana"/>
          <w:i/>
          <w:iCs/>
          <w:sz w:val="16"/>
          <w:szCs w:val="16"/>
        </w:rPr>
        <w:t xml:space="preserve">Excepción Preliminar, Fondo, Reparaciones y Costas. </w:t>
      </w:r>
      <w:r w:rsidR="00B24774" w:rsidRPr="0020221C">
        <w:rPr>
          <w:rFonts w:ascii="Verdana" w:hAnsi="Verdana"/>
          <w:sz w:val="16"/>
          <w:szCs w:val="16"/>
        </w:rPr>
        <w:t>Sentencia de 24 de noviembre de 2009. Serie C No. 211.</w:t>
      </w:r>
      <w:r w:rsidR="00FD7760" w:rsidRPr="0020221C">
        <w:rPr>
          <w:rFonts w:ascii="Verdana" w:hAnsi="Verdana"/>
          <w:sz w:val="16"/>
          <w:szCs w:val="16"/>
        </w:rPr>
        <w:t>,</w:t>
      </w:r>
      <w:r w:rsidR="00FD7760" w:rsidRPr="0020221C">
        <w:rPr>
          <w:rFonts w:ascii="Verdana" w:hAnsi="Verdana"/>
          <w:i/>
          <w:iCs/>
          <w:sz w:val="16"/>
          <w:szCs w:val="16"/>
        </w:rPr>
        <w:t xml:space="preserve"> párr. 270; Caso Poblete Vilches y otros Vs. Chile. Fondo, Reparaciones y Costas. </w:t>
      </w:r>
      <w:r w:rsidR="00FD7760" w:rsidRPr="0020221C">
        <w:rPr>
          <w:rFonts w:ascii="Verdana" w:hAnsi="Verdana"/>
          <w:sz w:val="16"/>
          <w:szCs w:val="16"/>
        </w:rPr>
        <w:t>Sentencia de 8 de marzo de 2018. Serie C No. 349, párr. 231;</w:t>
      </w:r>
      <w:r w:rsidR="00FD7760" w:rsidRPr="0020221C">
        <w:rPr>
          <w:rFonts w:ascii="Verdana" w:hAnsi="Verdana"/>
          <w:i/>
          <w:iCs/>
          <w:sz w:val="16"/>
          <w:szCs w:val="16"/>
        </w:rPr>
        <w:t xml:space="preserve"> Caso Garzón Guzmán y otros Vs. Ecuador. Fondo, Reparaciones y Costas</w:t>
      </w:r>
      <w:r w:rsidR="00FD7760" w:rsidRPr="0020221C">
        <w:rPr>
          <w:rFonts w:ascii="Verdana" w:hAnsi="Verdana"/>
          <w:sz w:val="16"/>
          <w:szCs w:val="16"/>
        </w:rPr>
        <w:t>. Sentencia de 1 de septiembre de 2021.</w:t>
      </w:r>
      <w:r w:rsidR="00FD7760" w:rsidRPr="0020221C">
        <w:rPr>
          <w:rFonts w:ascii="Verdana" w:hAnsi="Verdana"/>
          <w:i/>
          <w:iCs/>
          <w:sz w:val="16"/>
          <w:szCs w:val="16"/>
        </w:rPr>
        <w:t xml:space="preserve"> </w:t>
      </w:r>
      <w:r w:rsidR="00FD7760" w:rsidRPr="0020221C">
        <w:rPr>
          <w:rFonts w:ascii="Verdana" w:hAnsi="Verdana"/>
          <w:sz w:val="16"/>
          <w:szCs w:val="16"/>
        </w:rPr>
        <w:t>Serie C No. 434, párr.</w:t>
      </w:r>
      <w:r w:rsidR="00FD7760" w:rsidRPr="0020221C">
        <w:rPr>
          <w:rFonts w:ascii="Verdana" w:hAnsi="Verdana"/>
          <w:i/>
          <w:iCs/>
          <w:sz w:val="16"/>
          <w:szCs w:val="16"/>
        </w:rPr>
        <w:t xml:space="preserve"> 114, y Caso García Rodríguez y otro Vs. México. Excepciones Preliminares, Fondo, Reparaciones y Costas. </w:t>
      </w:r>
      <w:r w:rsidR="00FD7760" w:rsidRPr="0020221C">
        <w:rPr>
          <w:rFonts w:ascii="Verdana" w:hAnsi="Verdana"/>
          <w:sz w:val="16"/>
          <w:szCs w:val="16"/>
        </w:rPr>
        <w:t>Sentencia de 25 de enero de 2023. Serie C No. 482, párr. 313.</w:t>
      </w:r>
      <w:r w:rsidR="00FD7760" w:rsidRPr="0020221C">
        <w:rPr>
          <w:rFonts w:ascii="Verdana" w:hAnsi="Verdana"/>
          <w:i/>
          <w:iCs/>
          <w:sz w:val="16"/>
          <w:szCs w:val="16"/>
        </w:rPr>
        <w:t xml:space="preserve"> </w:t>
      </w:r>
    </w:p>
  </w:footnote>
  <w:footnote w:id="11">
    <w:p w14:paraId="77FEE8D2" w14:textId="77777777" w:rsidR="00380FBA" w:rsidRPr="0020221C" w:rsidRDefault="00380FBA" w:rsidP="00380FBA">
      <w:pPr>
        <w:autoSpaceDE w:val="0"/>
        <w:autoSpaceDN w:val="0"/>
        <w:adjustRightInd w:val="0"/>
        <w:spacing w:after="0" w:line="240" w:lineRule="auto"/>
        <w:jc w:val="both"/>
        <w:rPr>
          <w:rFonts w:ascii="Verdana" w:hAnsi="Verdana"/>
          <w:sz w:val="16"/>
          <w:szCs w:val="16"/>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rPr>
        <w:tab/>
      </w:r>
      <w:r w:rsidRPr="0020221C">
        <w:rPr>
          <w:rFonts w:ascii="Verdana" w:hAnsi="Verdana" w:cs="Garamond"/>
          <w:i/>
          <w:iCs/>
          <w:sz w:val="16"/>
          <w:szCs w:val="16"/>
        </w:rPr>
        <w:t xml:space="preserve">Cfr. Caso Ticona Estrada y otros Vs. Bolivia. Interpretación de la Sentencia de Fondo, Reparaciones y Costas. </w:t>
      </w:r>
      <w:r w:rsidRPr="0020221C">
        <w:rPr>
          <w:rFonts w:ascii="Verdana" w:hAnsi="Verdana" w:cs="Garamond"/>
          <w:sz w:val="16"/>
          <w:szCs w:val="16"/>
        </w:rPr>
        <w:t>Sentencia de 1 de julio de 2009. Serie C No. 199, párr. 26,</w:t>
      </w:r>
      <w:r w:rsidRPr="0020221C">
        <w:rPr>
          <w:rFonts w:ascii="Verdana" w:hAnsi="Verdana" w:cs="Garamond"/>
          <w:i/>
          <w:iCs/>
          <w:sz w:val="16"/>
          <w:szCs w:val="16"/>
        </w:rPr>
        <w:t xml:space="preserve"> y Caso Profesores de Chañaral y otras municipalidades Vs. Chile. Interpretación de la Sentencia de Excepción Preliminar, Fondo, Reparaciones y Costas. </w:t>
      </w:r>
      <w:r w:rsidRPr="0020221C">
        <w:rPr>
          <w:rFonts w:ascii="Verdana" w:hAnsi="Verdana" w:cs="Garamond"/>
          <w:sz w:val="16"/>
          <w:szCs w:val="16"/>
        </w:rPr>
        <w:t>Sentencia de 27 de julio de 2022. Serie C No. 460, párr. 51</w:t>
      </w:r>
      <w:r w:rsidRPr="0020221C">
        <w:rPr>
          <w:rFonts w:ascii="Verdana" w:hAnsi="Verdana" w:cs="Garamond"/>
          <w:i/>
          <w:iCs/>
          <w:sz w:val="16"/>
          <w:szCs w:val="16"/>
        </w:rPr>
        <w:t>.</w:t>
      </w:r>
    </w:p>
  </w:footnote>
  <w:footnote w:id="12">
    <w:p w14:paraId="66028954" w14:textId="0B9A0D6F" w:rsidR="00161E81" w:rsidRPr="0020221C" w:rsidRDefault="00161E81" w:rsidP="00522781">
      <w:pPr>
        <w:pStyle w:val="Textonotapie"/>
        <w:jc w:val="both"/>
        <w:rPr>
          <w:rFonts w:ascii="Verdana" w:hAnsi="Verdana"/>
          <w:sz w:val="16"/>
          <w:szCs w:val="16"/>
          <w:lang w:val="es-ES"/>
        </w:rPr>
      </w:pPr>
      <w:r w:rsidRPr="0020221C">
        <w:rPr>
          <w:rStyle w:val="Refdenotaalpie"/>
          <w:rFonts w:ascii="Verdana" w:hAnsi="Verdana"/>
          <w:sz w:val="16"/>
          <w:szCs w:val="16"/>
        </w:rPr>
        <w:footnoteRef/>
      </w:r>
      <w:r w:rsidR="009243DA" w:rsidRPr="0020221C">
        <w:rPr>
          <w:rFonts w:ascii="Verdana" w:hAnsi="Verdana"/>
          <w:sz w:val="16"/>
          <w:szCs w:val="16"/>
        </w:rPr>
        <w:t xml:space="preserve"> </w:t>
      </w:r>
      <w:r w:rsidRPr="0020221C">
        <w:rPr>
          <w:rFonts w:ascii="Verdana" w:hAnsi="Verdana"/>
          <w:sz w:val="16"/>
          <w:szCs w:val="16"/>
        </w:rPr>
        <w:tab/>
      </w:r>
      <w:r w:rsidR="00E834EE" w:rsidRPr="0020221C">
        <w:rPr>
          <w:rFonts w:ascii="Verdana" w:hAnsi="Verdana"/>
          <w:i/>
          <w:iCs/>
          <w:sz w:val="16"/>
          <w:szCs w:val="16"/>
        </w:rPr>
        <w:t>Cfr. Caso Castillo Petruzzi y otros Vs. Perú. Supervisión de Cumplimiento de Sentencia</w:t>
      </w:r>
      <w:r w:rsidR="00E834EE" w:rsidRPr="0020221C">
        <w:rPr>
          <w:rFonts w:ascii="Verdana" w:hAnsi="Verdana"/>
          <w:sz w:val="16"/>
          <w:szCs w:val="16"/>
        </w:rPr>
        <w:t xml:space="preserve">. Resolución de la Corte Interamericana de Derechos Humanos de 17 de noviembre de 1999, Considerando 3, y </w:t>
      </w:r>
      <w:r w:rsidR="00E834EE" w:rsidRPr="000C390D">
        <w:rPr>
          <w:rFonts w:ascii="Verdana" w:hAnsi="Verdana"/>
          <w:i/>
          <w:iCs/>
          <w:sz w:val="16"/>
          <w:szCs w:val="16"/>
        </w:rPr>
        <w:t>Caso Fornerón e hija Vs. Argentina. Supervisión de Cumplimiento de Sentencia.</w:t>
      </w:r>
      <w:r w:rsidR="00E834EE" w:rsidRPr="000C390D">
        <w:rPr>
          <w:rFonts w:ascii="Verdana" w:hAnsi="Verdana"/>
          <w:sz w:val="16"/>
          <w:szCs w:val="16"/>
        </w:rPr>
        <w:t xml:space="preserve"> Resolución de la Corte Interamericana de Derechos Humanos de 18 de octubre de 2023, Considerando 3.</w:t>
      </w:r>
    </w:p>
  </w:footnote>
  <w:footnote w:id="13">
    <w:p w14:paraId="72EA52B6" w14:textId="2487F025" w:rsidR="00161E81" w:rsidRPr="0020221C" w:rsidRDefault="00161E81" w:rsidP="00522781">
      <w:pPr>
        <w:pStyle w:val="Textonotapie"/>
        <w:jc w:val="both"/>
        <w:rPr>
          <w:rFonts w:ascii="Verdana" w:hAnsi="Verdana"/>
          <w:sz w:val="16"/>
          <w:szCs w:val="16"/>
          <w:lang w:val="es-ES"/>
        </w:rPr>
      </w:pPr>
      <w:r w:rsidRPr="0020221C">
        <w:rPr>
          <w:rStyle w:val="Refdenotaalpie"/>
          <w:rFonts w:ascii="Verdana" w:hAnsi="Verdana"/>
          <w:sz w:val="16"/>
          <w:szCs w:val="16"/>
        </w:rPr>
        <w:footnoteRef/>
      </w:r>
      <w:r w:rsidR="009243DA" w:rsidRPr="0020221C">
        <w:rPr>
          <w:rFonts w:ascii="Verdana" w:hAnsi="Verdana"/>
          <w:sz w:val="16"/>
          <w:szCs w:val="16"/>
        </w:rPr>
        <w:t xml:space="preserve"> </w:t>
      </w:r>
      <w:r w:rsidRPr="0020221C">
        <w:rPr>
          <w:rFonts w:ascii="Verdana" w:hAnsi="Verdana"/>
          <w:sz w:val="16"/>
          <w:szCs w:val="16"/>
        </w:rPr>
        <w:tab/>
      </w:r>
      <w:r w:rsidR="00E834EE" w:rsidRPr="0020221C">
        <w:rPr>
          <w:rFonts w:ascii="Verdana" w:hAnsi="Verdana"/>
          <w:i/>
          <w:iCs/>
          <w:sz w:val="16"/>
          <w:szCs w:val="16"/>
        </w:rPr>
        <w:t>Cfr. Caso Castillo Petruzzi y otros Vs. Perú, supra</w:t>
      </w:r>
      <w:r w:rsidR="00E834EE" w:rsidRPr="0020221C">
        <w:rPr>
          <w:rFonts w:ascii="Verdana" w:hAnsi="Verdana"/>
          <w:sz w:val="16"/>
          <w:szCs w:val="16"/>
        </w:rPr>
        <w:t xml:space="preserve">, Considerando 3, </w:t>
      </w:r>
      <w:r w:rsidR="00E834EE" w:rsidRPr="00BB4990">
        <w:rPr>
          <w:rFonts w:ascii="Verdana" w:hAnsi="Verdana"/>
          <w:sz w:val="16"/>
          <w:szCs w:val="16"/>
        </w:rPr>
        <w:t xml:space="preserve">y </w:t>
      </w:r>
      <w:r w:rsidR="00E834EE" w:rsidRPr="00BB4990">
        <w:rPr>
          <w:rFonts w:ascii="Verdana" w:hAnsi="Verdana"/>
          <w:i/>
          <w:iCs/>
          <w:sz w:val="16"/>
          <w:szCs w:val="16"/>
        </w:rPr>
        <w:t>Caso Trabajadores Cesados de Petroperú y otros Vs. Perú. Solicitud de Medidas Provisionales y Supervisión de Cumplimiento de Sentencia.</w:t>
      </w:r>
      <w:r w:rsidR="00E834EE" w:rsidRPr="000C390D">
        <w:rPr>
          <w:rFonts w:ascii="Verdana" w:hAnsi="Verdana"/>
          <w:sz w:val="16"/>
          <w:szCs w:val="16"/>
        </w:rPr>
        <w:t xml:space="preserve"> Resolución de la Corte Interamericana de Derechos Humanos de 9 de septiembre de 2022</w:t>
      </w:r>
      <w:r w:rsidR="00E834EE" w:rsidRPr="00BB4990">
        <w:rPr>
          <w:rFonts w:ascii="Verdana" w:hAnsi="Verdana"/>
          <w:sz w:val="16"/>
          <w:szCs w:val="16"/>
        </w:rPr>
        <w:t>, Considerando 32.</w:t>
      </w:r>
      <w:r w:rsidRPr="0020221C">
        <w:rPr>
          <w:rFonts w:ascii="Verdana" w:hAnsi="Verdana"/>
          <w:sz w:val="16"/>
          <w:szCs w:val="16"/>
        </w:rPr>
        <w:t>.</w:t>
      </w:r>
    </w:p>
  </w:footnote>
  <w:footnote w:id="14">
    <w:p w14:paraId="63487B04" w14:textId="2499FDBE" w:rsidR="00161E81" w:rsidRPr="0020221C" w:rsidRDefault="00161E81" w:rsidP="00522781">
      <w:pPr>
        <w:pStyle w:val="Textonotapie"/>
        <w:jc w:val="both"/>
        <w:rPr>
          <w:rFonts w:ascii="Verdana" w:hAnsi="Verdana"/>
          <w:sz w:val="16"/>
          <w:szCs w:val="16"/>
          <w:lang w:val="es-ES"/>
        </w:rPr>
      </w:pPr>
      <w:r w:rsidRPr="0020221C">
        <w:rPr>
          <w:rStyle w:val="Refdenotaalpie"/>
          <w:rFonts w:ascii="Verdana" w:hAnsi="Verdana"/>
          <w:sz w:val="16"/>
          <w:szCs w:val="16"/>
        </w:rPr>
        <w:footnoteRef/>
      </w:r>
      <w:r w:rsidRPr="0020221C">
        <w:rPr>
          <w:rFonts w:ascii="Verdana" w:hAnsi="Verdana"/>
          <w:sz w:val="16"/>
          <w:szCs w:val="16"/>
        </w:rPr>
        <w:t xml:space="preserve"> </w:t>
      </w:r>
      <w:r w:rsidRPr="0020221C">
        <w:rPr>
          <w:rFonts w:ascii="Verdana" w:hAnsi="Verdana"/>
          <w:sz w:val="16"/>
          <w:szCs w:val="16"/>
        </w:rPr>
        <w:tab/>
      </w:r>
      <w:r w:rsidR="00E834EE" w:rsidRPr="0020221C">
        <w:rPr>
          <w:rFonts w:ascii="Verdana" w:hAnsi="Verdana"/>
          <w:i/>
          <w:iCs/>
          <w:sz w:val="16"/>
          <w:szCs w:val="16"/>
        </w:rPr>
        <w:t>Cfr. Responsabilidad internacional por expedición y aplicación de leyes violatorias de la Convención (arts. 1 y 2 Convención Americana sobre Derechos Humanos). Opinión Consultiva OC-14/94 de 9 de diciembre de 1994.</w:t>
      </w:r>
      <w:r w:rsidR="00E834EE" w:rsidRPr="0020221C">
        <w:rPr>
          <w:rFonts w:ascii="Verdana" w:hAnsi="Verdana"/>
          <w:sz w:val="16"/>
          <w:szCs w:val="16"/>
        </w:rPr>
        <w:t xml:space="preserve"> Serie A No. 14, párr. 35, y </w:t>
      </w:r>
      <w:r w:rsidR="00E834EE" w:rsidRPr="00CF7B58">
        <w:rPr>
          <w:rFonts w:ascii="Verdana" w:hAnsi="Verdana"/>
          <w:i/>
          <w:iCs/>
          <w:sz w:val="16"/>
          <w:szCs w:val="16"/>
        </w:rPr>
        <w:t xml:space="preserve">Caso Trabajadores Cesados de Petroperú y otros Vs. Perú. </w:t>
      </w:r>
      <w:r w:rsidR="00E834EE" w:rsidRPr="00DB3096">
        <w:rPr>
          <w:rFonts w:ascii="Verdana" w:hAnsi="Verdana"/>
          <w:sz w:val="16"/>
          <w:szCs w:val="16"/>
        </w:rPr>
        <w:t>Solicitud de Medidas Provisionales y Supervisión de Cumplimiento de Sentencia</w:t>
      </w:r>
      <w:r w:rsidR="00E834EE">
        <w:rPr>
          <w:rFonts w:ascii="Verdana" w:hAnsi="Verdana"/>
          <w:sz w:val="16"/>
          <w:szCs w:val="16"/>
        </w:rPr>
        <w:t xml:space="preserve">, </w:t>
      </w:r>
      <w:r w:rsidR="00E834EE" w:rsidRPr="00DE70D8">
        <w:rPr>
          <w:rFonts w:ascii="Verdana" w:hAnsi="Verdana"/>
          <w:i/>
          <w:iCs/>
          <w:sz w:val="16"/>
          <w:szCs w:val="16"/>
        </w:rPr>
        <w:t>supra</w:t>
      </w:r>
      <w:r w:rsidR="00E834EE">
        <w:rPr>
          <w:rFonts w:ascii="Verdana" w:hAnsi="Verdana"/>
          <w:sz w:val="16"/>
          <w:szCs w:val="16"/>
        </w:rPr>
        <w:t>, Considerando 32.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02BA9" w14:textId="1EB14370" w:rsidR="00716143" w:rsidRDefault="007161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E3D3A"/>
    <w:multiLevelType w:val="hybridMultilevel"/>
    <w:tmpl w:val="7C400068"/>
    <w:lvl w:ilvl="0" w:tplc="EFD08706">
      <w:start w:val="1"/>
      <w:numFmt w:val="upp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 w15:restartNumberingAfterBreak="0">
    <w:nsid w:val="4CBF02C5"/>
    <w:multiLevelType w:val="hybridMultilevel"/>
    <w:tmpl w:val="20D8799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3" w15:restartNumberingAfterBreak="0">
    <w:nsid w:val="6AC42F37"/>
    <w:multiLevelType w:val="hybridMultilevel"/>
    <w:tmpl w:val="A5A06084"/>
    <w:lvl w:ilvl="0" w:tplc="2328138C">
      <w:start w:val="1"/>
      <w:numFmt w:val="decimal"/>
      <w:lvlText w:val="%1."/>
      <w:lvlJc w:val="left"/>
      <w:pPr>
        <w:ind w:left="360" w:hanging="360"/>
      </w:pPr>
      <w:rPr>
        <w:rFonts w:hint="default"/>
        <w:b w:val="0"/>
        <w:i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79354707"/>
    <w:multiLevelType w:val="hybridMultilevel"/>
    <w:tmpl w:val="FC26EA0A"/>
    <w:lvl w:ilvl="0" w:tplc="147C3A6C">
      <w:start w:val="1"/>
      <w:numFmt w:val="decimal"/>
      <w:lvlText w:val="%1."/>
      <w:lvlJc w:val="left"/>
      <w:pPr>
        <w:ind w:left="825" w:hanging="825"/>
      </w:pPr>
      <w:rPr>
        <w:rFonts w:ascii="Verdana" w:eastAsia="Verdana" w:hAnsi="Verdana" w:cs="Verdana" w:hint="default"/>
        <w:b w:val="0"/>
        <w:bCs/>
        <w:i w:val="0"/>
        <w:color w:val="auto"/>
        <w:sz w:val="20"/>
        <w:szCs w:val="20"/>
        <w:vertAlign w:val="baseli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5" w15:restartNumberingAfterBreak="0">
    <w:nsid w:val="7CE64D32"/>
    <w:multiLevelType w:val="hybridMultilevel"/>
    <w:tmpl w:val="F94C7190"/>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83639971">
    <w:abstractNumId w:val="3"/>
  </w:num>
  <w:num w:numId="2" w16cid:durableId="1392120266">
    <w:abstractNumId w:val="0"/>
  </w:num>
  <w:num w:numId="3" w16cid:durableId="2119717688">
    <w:abstractNumId w:val="1"/>
  </w:num>
  <w:num w:numId="4" w16cid:durableId="1075471765">
    <w:abstractNumId w:val="5"/>
  </w:num>
  <w:num w:numId="5" w16cid:durableId="1568420477">
    <w:abstractNumId w:val="2"/>
  </w:num>
  <w:num w:numId="6" w16cid:durableId="257376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AF5"/>
    <w:rsid w:val="0000414B"/>
    <w:rsid w:val="00010071"/>
    <w:rsid w:val="00022DDF"/>
    <w:rsid w:val="00030E4B"/>
    <w:rsid w:val="00032504"/>
    <w:rsid w:val="000400A5"/>
    <w:rsid w:val="00040C34"/>
    <w:rsid w:val="000429E9"/>
    <w:rsid w:val="00042DCC"/>
    <w:rsid w:val="000460B7"/>
    <w:rsid w:val="00046D1F"/>
    <w:rsid w:val="00047DCD"/>
    <w:rsid w:val="00053100"/>
    <w:rsid w:val="000539D8"/>
    <w:rsid w:val="00060A5C"/>
    <w:rsid w:val="00063229"/>
    <w:rsid w:val="00073741"/>
    <w:rsid w:val="00074340"/>
    <w:rsid w:val="00080970"/>
    <w:rsid w:val="00084A09"/>
    <w:rsid w:val="00086243"/>
    <w:rsid w:val="00087B2C"/>
    <w:rsid w:val="0009227B"/>
    <w:rsid w:val="000931E7"/>
    <w:rsid w:val="00095380"/>
    <w:rsid w:val="000A3CBA"/>
    <w:rsid w:val="000A3FAC"/>
    <w:rsid w:val="000A60E9"/>
    <w:rsid w:val="000B52DB"/>
    <w:rsid w:val="000E7ADA"/>
    <w:rsid w:val="000F182C"/>
    <w:rsid w:val="000F4A38"/>
    <w:rsid w:val="000F4D31"/>
    <w:rsid w:val="00101EC0"/>
    <w:rsid w:val="00107501"/>
    <w:rsid w:val="0011054A"/>
    <w:rsid w:val="00110619"/>
    <w:rsid w:val="00110F66"/>
    <w:rsid w:val="0011170C"/>
    <w:rsid w:val="001266A4"/>
    <w:rsid w:val="00133294"/>
    <w:rsid w:val="00133EE6"/>
    <w:rsid w:val="00141768"/>
    <w:rsid w:val="00144B69"/>
    <w:rsid w:val="0014562D"/>
    <w:rsid w:val="00145B65"/>
    <w:rsid w:val="00145CBA"/>
    <w:rsid w:val="00146C18"/>
    <w:rsid w:val="00151723"/>
    <w:rsid w:val="00152CA7"/>
    <w:rsid w:val="00160B33"/>
    <w:rsid w:val="00161E81"/>
    <w:rsid w:val="00164058"/>
    <w:rsid w:val="0016672D"/>
    <w:rsid w:val="001676DD"/>
    <w:rsid w:val="001708A3"/>
    <w:rsid w:val="00170E42"/>
    <w:rsid w:val="001710CC"/>
    <w:rsid w:val="00180C1E"/>
    <w:rsid w:val="001839D3"/>
    <w:rsid w:val="00184857"/>
    <w:rsid w:val="00185E1C"/>
    <w:rsid w:val="00187FCC"/>
    <w:rsid w:val="001928E4"/>
    <w:rsid w:val="0019570B"/>
    <w:rsid w:val="001A3EFE"/>
    <w:rsid w:val="001A4938"/>
    <w:rsid w:val="001A6B0D"/>
    <w:rsid w:val="001B3038"/>
    <w:rsid w:val="001B44DA"/>
    <w:rsid w:val="001C7DE9"/>
    <w:rsid w:val="001D0605"/>
    <w:rsid w:val="001D3FC0"/>
    <w:rsid w:val="001D49E0"/>
    <w:rsid w:val="001D55D9"/>
    <w:rsid w:val="001D6B1C"/>
    <w:rsid w:val="001E12E0"/>
    <w:rsid w:val="001E2331"/>
    <w:rsid w:val="001E2757"/>
    <w:rsid w:val="001E3F2A"/>
    <w:rsid w:val="001E661F"/>
    <w:rsid w:val="001E7D23"/>
    <w:rsid w:val="001F0837"/>
    <w:rsid w:val="001F283B"/>
    <w:rsid w:val="001F6CBA"/>
    <w:rsid w:val="0020221C"/>
    <w:rsid w:val="002033CA"/>
    <w:rsid w:val="00212F77"/>
    <w:rsid w:val="00213B6B"/>
    <w:rsid w:val="00223E1E"/>
    <w:rsid w:val="002257DE"/>
    <w:rsid w:val="00226204"/>
    <w:rsid w:val="00230A17"/>
    <w:rsid w:val="002336AD"/>
    <w:rsid w:val="002347B5"/>
    <w:rsid w:val="0023546B"/>
    <w:rsid w:val="00236B2C"/>
    <w:rsid w:val="00246C1A"/>
    <w:rsid w:val="002471A6"/>
    <w:rsid w:val="002520DC"/>
    <w:rsid w:val="00261D91"/>
    <w:rsid w:val="002631D9"/>
    <w:rsid w:val="002656AA"/>
    <w:rsid w:val="00265DE2"/>
    <w:rsid w:val="00265EB7"/>
    <w:rsid w:val="00267DA3"/>
    <w:rsid w:val="00280381"/>
    <w:rsid w:val="00286CB0"/>
    <w:rsid w:val="00295E27"/>
    <w:rsid w:val="002A5213"/>
    <w:rsid w:val="002A5974"/>
    <w:rsid w:val="002A7B26"/>
    <w:rsid w:val="002B371E"/>
    <w:rsid w:val="002B3C3D"/>
    <w:rsid w:val="002B4B38"/>
    <w:rsid w:val="002B6686"/>
    <w:rsid w:val="002C083D"/>
    <w:rsid w:val="002C18F5"/>
    <w:rsid w:val="002C624F"/>
    <w:rsid w:val="002D32C9"/>
    <w:rsid w:val="002E0416"/>
    <w:rsid w:val="002E3C0B"/>
    <w:rsid w:val="002E5E50"/>
    <w:rsid w:val="002F0927"/>
    <w:rsid w:val="002F0DED"/>
    <w:rsid w:val="002F571A"/>
    <w:rsid w:val="003072FD"/>
    <w:rsid w:val="003073E9"/>
    <w:rsid w:val="003170D7"/>
    <w:rsid w:val="00324613"/>
    <w:rsid w:val="00324C43"/>
    <w:rsid w:val="00326C79"/>
    <w:rsid w:val="003314C4"/>
    <w:rsid w:val="00332091"/>
    <w:rsid w:val="00336410"/>
    <w:rsid w:val="003402F5"/>
    <w:rsid w:val="003416A3"/>
    <w:rsid w:val="00341E9C"/>
    <w:rsid w:val="003446D4"/>
    <w:rsid w:val="0035795D"/>
    <w:rsid w:val="00361E2E"/>
    <w:rsid w:val="00373D50"/>
    <w:rsid w:val="00373F02"/>
    <w:rsid w:val="00375475"/>
    <w:rsid w:val="00375A21"/>
    <w:rsid w:val="00376282"/>
    <w:rsid w:val="00376909"/>
    <w:rsid w:val="00380FBA"/>
    <w:rsid w:val="00384A26"/>
    <w:rsid w:val="0039099D"/>
    <w:rsid w:val="00394024"/>
    <w:rsid w:val="003A4B36"/>
    <w:rsid w:val="003A673A"/>
    <w:rsid w:val="003B22CE"/>
    <w:rsid w:val="003C0A35"/>
    <w:rsid w:val="003C1385"/>
    <w:rsid w:val="003C648E"/>
    <w:rsid w:val="003D7AF2"/>
    <w:rsid w:val="003E11EF"/>
    <w:rsid w:val="003E4FE8"/>
    <w:rsid w:val="003F62CC"/>
    <w:rsid w:val="003F7CE6"/>
    <w:rsid w:val="00400784"/>
    <w:rsid w:val="00401025"/>
    <w:rsid w:val="00403A0C"/>
    <w:rsid w:val="00410F7A"/>
    <w:rsid w:val="004204CB"/>
    <w:rsid w:val="00420FF8"/>
    <w:rsid w:val="00422CB4"/>
    <w:rsid w:val="00426A78"/>
    <w:rsid w:val="00427A9E"/>
    <w:rsid w:val="00427E24"/>
    <w:rsid w:val="00434EA5"/>
    <w:rsid w:val="0043503C"/>
    <w:rsid w:val="00457955"/>
    <w:rsid w:val="00460449"/>
    <w:rsid w:val="004608EB"/>
    <w:rsid w:val="0046227F"/>
    <w:rsid w:val="0047103C"/>
    <w:rsid w:val="00475ABD"/>
    <w:rsid w:val="00481570"/>
    <w:rsid w:val="00490A09"/>
    <w:rsid w:val="00492D07"/>
    <w:rsid w:val="00496094"/>
    <w:rsid w:val="004973E1"/>
    <w:rsid w:val="004A1FBC"/>
    <w:rsid w:val="004A56D9"/>
    <w:rsid w:val="004B3279"/>
    <w:rsid w:val="004B5867"/>
    <w:rsid w:val="004B695A"/>
    <w:rsid w:val="004C1C3B"/>
    <w:rsid w:val="004C3C96"/>
    <w:rsid w:val="004C41BC"/>
    <w:rsid w:val="004D6574"/>
    <w:rsid w:val="004E5162"/>
    <w:rsid w:val="004F0051"/>
    <w:rsid w:val="004F0814"/>
    <w:rsid w:val="004F36A8"/>
    <w:rsid w:val="004F636E"/>
    <w:rsid w:val="00503125"/>
    <w:rsid w:val="00511555"/>
    <w:rsid w:val="00513930"/>
    <w:rsid w:val="0051621C"/>
    <w:rsid w:val="00522781"/>
    <w:rsid w:val="00522A34"/>
    <w:rsid w:val="00544E1E"/>
    <w:rsid w:val="00556944"/>
    <w:rsid w:val="00562428"/>
    <w:rsid w:val="005777DE"/>
    <w:rsid w:val="00581803"/>
    <w:rsid w:val="005A0A84"/>
    <w:rsid w:val="005A26AE"/>
    <w:rsid w:val="005A46F0"/>
    <w:rsid w:val="005A693B"/>
    <w:rsid w:val="005B17E1"/>
    <w:rsid w:val="005B3E42"/>
    <w:rsid w:val="005C38A3"/>
    <w:rsid w:val="005D0AF0"/>
    <w:rsid w:val="005D6EEF"/>
    <w:rsid w:val="005E24DD"/>
    <w:rsid w:val="005E5674"/>
    <w:rsid w:val="005E758C"/>
    <w:rsid w:val="005F2507"/>
    <w:rsid w:val="005F3243"/>
    <w:rsid w:val="0060124A"/>
    <w:rsid w:val="00611D1B"/>
    <w:rsid w:val="00611DFF"/>
    <w:rsid w:val="006129FC"/>
    <w:rsid w:val="00615705"/>
    <w:rsid w:val="00621ACB"/>
    <w:rsid w:val="00621CF1"/>
    <w:rsid w:val="00631872"/>
    <w:rsid w:val="0063286A"/>
    <w:rsid w:val="0064124E"/>
    <w:rsid w:val="006440E3"/>
    <w:rsid w:val="006466E2"/>
    <w:rsid w:val="006522B5"/>
    <w:rsid w:val="006531FA"/>
    <w:rsid w:val="00653764"/>
    <w:rsid w:val="006604DD"/>
    <w:rsid w:val="0067162B"/>
    <w:rsid w:val="00674885"/>
    <w:rsid w:val="006811AE"/>
    <w:rsid w:val="00682158"/>
    <w:rsid w:val="006900B2"/>
    <w:rsid w:val="00697633"/>
    <w:rsid w:val="006A044A"/>
    <w:rsid w:val="006A44D4"/>
    <w:rsid w:val="006A4578"/>
    <w:rsid w:val="006A490F"/>
    <w:rsid w:val="006A61D1"/>
    <w:rsid w:val="006B1039"/>
    <w:rsid w:val="006B478B"/>
    <w:rsid w:val="006C3AA3"/>
    <w:rsid w:val="006D5D01"/>
    <w:rsid w:val="006E0013"/>
    <w:rsid w:val="006E0069"/>
    <w:rsid w:val="006E0CDE"/>
    <w:rsid w:val="006F1078"/>
    <w:rsid w:val="006F14CA"/>
    <w:rsid w:val="006F2BB2"/>
    <w:rsid w:val="006F54E6"/>
    <w:rsid w:val="006F7956"/>
    <w:rsid w:val="00700EB6"/>
    <w:rsid w:val="0070326D"/>
    <w:rsid w:val="00707AFC"/>
    <w:rsid w:val="00710618"/>
    <w:rsid w:val="00713644"/>
    <w:rsid w:val="007147E0"/>
    <w:rsid w:val="00714A27"/>
    <w:rsid w:val="00716143"/>
    <w:rsid w:val="00722496"/>
    <w:rsid w:val="00722BFC"/>
    <w:rsid w:val="007233F3"/>
    <w:rsid w:val="0072420A"/>
    <w:rsid w:val="00726F1E"/>
    <w:rsid w:val="007311BD"/>
    <w:rsid w:val="00734DB3"/>
    <w:rsid w:val="00746811"/>
    <w:rsid w:val="007513BE"/>
    <w:rsid w:val="0075182E"/>
    <w:rsid w:val="00754C67"/>
    <w:rsid w:val="00755EFA"/>
    <w:rsid w:val="00757E69"/>
    <w:rsid w:val="0076374C"/>
    <w:rsid w:val="0076586C"/>
    <w:rsid w:val="0077206F"/>
    <w:rsid w:val="00780014"/>
    <w:rsid w:val="007A2505"/>
    <w:rsid w:val="007A56C2"/>
    <w:rsid w:val="007B00E2"/>
    <w:rsid w:val="007B5773"/>
    <w:rsid w:val="007C4A14"/>
    <w:rsid w:val="007D4DDA"/>
    <w:rsid w:val="007E2281"/>
    <w:rsid w:val="007E3190"/>
    <w:rsid w:val="007E435A"/>
    <w:rsid w:val="007F4072"/>
    <w:rsid w:val="007F5A73"/>
    <w:rsid w:val="008002A7"/>
    <w:rsid w:val="008035C9"/>
    <w:rsid w:val="0082431C"/>
    <w:rsid w:val="0082703B"/>
    <w:rsid w:val="00844AF2"/>
    <w:rsid w:val="0084657E"/>
    <w:rsid w:val="008473D8"/>
    <w:rsid w:val="00863220"/>
    <w:rsid w:val="0087430A"/>
    <w:rsid w:val="00874C2D"/>
    <w:rsid w:val="008778A3"/>
    <w:rsid w:val="00880200"/>
    <w:rsid w:val="0088232E"/>
    <w:rsid w:val="0089383C"/>
    <w:rsid w:val="008943BD"/>
    <w:rsid w:val="00896292"/>
    <w:rsid w:val="008976FB"/>
    <w:rsid w:val="008A2975"/>
    <w:rsid w:val="008B5494"/>
    <w:rsid w:val="008B7099"/>
    <w:rsid w:val="008B7BD5"/>
    <w:rsid w:val="008B7F2D"/>
    <w:rsid w:val="008C0DDF"/>
    <w:rsid w:val="008C46FA"/>
    <w:rsid w:val="008D7A23"/>
    <w:rsid w:val="008D7E03"/>
    <w:rsid w:val="008E0694"/>
    <w:rsid w:val="008E5F15"/>
    <w:rsid w:val="008E6A91"/>
    <w:rsid w:val="00901C33"/>
    <w:rsid w:val="00901CDD"/>
    <w:rsid w:val="00911BEB"/>
    <w:rsid w:val="00916741"/>
    <w:rsid w:val="009170BD"/>
    <w:rsid w:val="00920089"/>
    <w:rsid w:val="009218A9"/>
    <w:rsid w:val="00923F16"/>
    <w:rsid w:val="009243DA"/>
    <w:rsid w:val="009261B6"/>
    <w:rsid w:val="00936305"/>
    <w:rsid w:val="00942BFC"/>
    <w:rsid w:val="00945825"/>
    <w:rsid w:val="00952282"/>
    <w:rsid w:val="00955192"/>
    <w:rsid w:val="009600C7"/>
    <w:rsid w:val="0096287A"/>
    <w:rsid w:val="00965CDE"/>
    <w:rsid w:val="0096691C"/>
    <w:rsid w:val="00970576"/>
    <w:rsid w:val="009707BC"/>
    <w:rsid w:val="00970BC9"/>
    <w:rsid w:val="00970E39"/>
    <w:rsid w:val="0097477B"/>
    <w:rsid w:val="0097779B"/>
    <w:rsid w:val="009852CA"/>
    <w:rsid w:val="00987743"/>
    <w:rsid w:val="00991567"/>
    <w:rsid w:val="00996133"/>
    <w:rsid w:val="00997956"/>
    <w:rsid w:val="009A2439"/>
    <w:rsid w:val="009B2ED0"/>
    <w:rsid w:val="009B3FF3"/>
    <w:rsid w:val="009C0EBA"/>
    <w:rsid w:val="009C24A3"/>
    <w:rsid w:val="009C5E97"/>
    <w:rsid w:val="009D0958"/>
    <w:rsid w:val="009D2EFC"/>
    <w:rsid w:val="009D3485"/>
    <w:rsid w:val="009D78B6"/>
    <w:rsid w:val="009F529A"/>
    <w:rsid w:val="00A03487"/>
    <w:rsid w:val="00A201FC"/>
    <w:rsid w:val="00A2244B"/>
    <w:rsid w:val="00A23800"/>
    <w:rsid w:val="00A363CB"/>
    <w:rsid w:val="00A4434F"/>
    <w:rsid w:val="00A45F76"/>
    <w:rsid w:val="00A51BBD"/>
    <w:rsid w:val="00A5214C"/>
    <w:rsid w:val="00A53C30"/>
    <w:rsid w:val="00A53CCD"/>
    <w:rsid w:val="00A552BD"/>
    <w:rsid w:val="00A56125"/>
    <w:rsid w:val="00A57ACC"/>
    <w:rsid w:val="00A57FD4"/>
    <w:rsid w:val="00A648E5"/>
    <w:rsid w:val="00A7146F"/>
    <w:rsid w:val="00A7442F"/>
    <w:rsid w:val="00A75E73"/>
    <w:rsid w:val="00A812AD"/>
    <w:rsid w:val="00A87798"/>
    <w:rsid w:val="00A90AB8"/>
    <w:rsid w:val="00A9174A"/>
    <w:rsid w:val="00A91FE9"/>
    <w:rsid w:val="00A93CF8"/>
    <w:rsid w:val="00A95CF0"/>
    <w:rsid w:val="00A96F1F"/>
    <w:rsid w:val="00AA3653"/>
    <w:rsid w:val="00AA67ED"/>
    <w:rsid w:val="00AB140E"/>
    <w:rsid w:val="00AB6287"/>
    <w:rsid w:val="00AC029B"/>
    <w:rsid w:val="00AC4A3F"/>
    <w:rsid w:val="00AD0DD7"/>
    <w:rsid w:val="00AD3535"/>
    <w:rsid w:val="00AD5FDF"/>
    <w:rsid w:val="00AD740F"/>
    <w:rsid w:val="00AE2399"/>
    <w:rsid w:val="00AF1F82"/>
    <w:rsid w:val="00AF3AF1"/>
    <w:rsid w:val="00B0312F"/>
    <w:rsid w:val="00B11181"/>
    <w:rsid w:val="00B14235"/>
    <w:rsid w:val="00B201EF"/>
    <w:rsid w:val="00B22E3D"/>
    <w:rsid w:val="00B24464"/>
    <w:rsid w:val="00B24774"/>
    <w:rsid w:val="00B2526A"/>
    <w:rsid w:val="00B32CD8"/>
    <w:rsid w:val="00B42449"/>
    <w:rsid w:val="00B4304E"/>
    <w:rsid w:val="00B4636E"/>
    <w:rsid w:val="00B52065"/>
    <w:rsid w:val="00B56BD8"/>
    <w:rsid w:val="00B6234A"/>
    <w:rsid w:val="00B71305"/>
    <w:rsid w:val="00B71D94"/>
    <w:rsid w:val="00B77504"/>
    <w:rsid w:val="00B77813"/>
    <w:rsid w:val="00B84743"/>
    <w:rsid w:val="00B84B9D"/>
    <w:rsid w:val="00B863FD"/>
    <w:rsid w:val="00B916ED"/>
    <w:rsid w:val="00B93039"/>
    <w:rsid w:val="00B952BD"/>
    <w:rsid w:val="00BA3E45"/>
    <w:rsid w:val="00BA4750"/>
    <w:rsid w:val="00BB2E11"/>
    <w:rsid w:val="00BB324D"/>
    <w:rsid w:val="00BB79B7"/>
    <w:rsid w:val="00BC3CC7"/>
    <w:rsid w:val="00BC4F1F"/>
    <w:rsid w:val="00BC7D2C"/>
    <w:rsid w:val="00BD5ECF"/>
    <w:rsid w:val="00BE4C99"/>
    <w:rsid w:val="00BF1009"/>
    <w:rsid w:val="00C04DFF"/>
    <w:rsid w:val="00C065CB"/>
    <w:rsid w:val="00C07DC7"/>
    <w:rsid w:val="00C16757"/>
    <w:rsid w:val="00C211BE"/>
    <w:rsid w:val="00C214C5"/>
    <w:rsid w:val="00C30C0D"/>
    <w:rsid w:val="00C33A99"/>
    <w:rsid w:val="00C37358"/>
    <w:rsid w:val="00C4080F"/>
    <w:rsid w:val="00C46276"/>
    <w:rsid w:val="00C509E5"/>
    <w:rsid w:val="00C66FA1"/>
    <w:rsid w:val="00C714C8"/>
    <w:rsid w:val="00C72FF3"/>
    <w:rsid w:val="00C77668"/>
    <w:rsid w:val="00C807F4"/>
    <w:rsid w:val="00C81B77"/>
    <w:rsid w:val="00C85073"/>
    <w:rsid w:val="00C8748C"/>
    <w:rsid w:val="00C92362"/>
    <w:rsid w:val="00C92789"/>
    <w:rsid w:val="00C92D55"/>
    <w:rsid w:val="00CA0CED"/>
    <w:rsid w:val="00CA3064"/>
    <w:rsid w:val="00CA36C8"/>
    <w:rsid w:val="00CA746B"/>
    <w:rsid w:val="00CB2E7C"/>
    <w:rsid w:val="00CB4AC8"/>
    <w:rsid w:val="00CB6EA3"/>
    <w:rsid w:val="00CC0CC7"/>
    <w:rsid w:val="00CC22B5"/>
    <w:rsid w:val="00CC7574"/>
    <w:rsid w:val="00CC78F1"/>
    <w:rsid w:val="00CD19D0"/>
    <w:rsid w:val="00CD398F"/>
    <w:rsid w:val="00CD6805"/>
    <w:rsid w:val="00CE05B6"/>
    <w:rsid w:val="00CE1F02"/>
    <w:rsid w:val="00CF0B63"/>
    <w:rsid w:val="00CF13B9"/>
    <w:rsid w:val="00CF1F29"/>
    <w:rsid w:val="00D12FF3"/>
    <w:rsid w:val="00D306D1"/>
    <w:rsid w:val="00D35E2A"/>
    <w:rsid w:val="00D36B82"/>
    <w:rsid w:val="00D506C7"/>
    <w:rsid w:val="00D54196"/>
    <w:rsid w:val="00D65E05"/>
    <w:rsid w:val="00D6729D"/>
    <w:rsid w:val="00D67FAA"/>
    <w:rsid w:val="00D765BC"/>
    <w:rsid w:val="00D77938"/>
    <w:rsid w:val="00D805E7"/>
    <w:rsid w:val="00D86C19"/>
    <w:rsid w:val="00D900B1"/>
    <w:rsid w:val="00D91AF5"/>
    <w:rsid w:val="00D95718"/>
    <w:rsid w:val="00D9704A"/>
    <w:rsid w:val="00DA0F3F"/>
    <w:rsid w:val="00DB2018"/>
    <w:rsid w:val="00DB3CF0"/>
    <w:rsid w:val="00DB40C0"/>
    <w:rsid w:val="00DB501C"/>
    <w:rsid w:val="00DB6BFC"/>
    <w:rsid w:val="00DC6C13"/>
    <w:rsid w:val="00DD6119"/>
    <w:rsid w:val="00DD6E9C"/>
    <w:rsid w:val="00DD7DD1"/>
    <w:rsid w:val="00DE2817"/>
    <w:rsid w:val="00DE4B91"/>
    <w:rsid w:val="00DE4D62"/>
    <w:rsid w:val="00DE70D8"/>
    <w:rsid w:val="00DF5C3F"/>
    <w:rsid w:val="00E02941"/>
    <w:rsid w:val="00E048E7"/>
    <w:rsid w:val="00E1480D"/>
    <w:rsid w:val="00E27624"/>
    <w:rsid w:val="00E31713"/>
    <w:rsid w:val="00E45843"/>
    <w:rsid w:val="00E50A7F"/>
    <w:rsid w:val="00E5105D"/>
    <w:rsid w:val="00E52EC2"/>
    <w:rsid w:val="00E537C8"/>
    <w:rsid w:val="00E620EC"/>
    <w:rsid w:val="00E717CE"/>
    <w:rsid w:val="00E75E65"/>
    <w:rsid w:val="00E76B6F"/>
    <w:rsid w:val="00E834EE"/>
    <w:rsid w:val="00E845B8"/>
    <w:rsid w:val="00E91352"/>
    <w:rsid w:val="00E935A2"/>
    <w:rsid w:val="00EA3055"/>
    <w:rsid w:val="00EA32E0"/>
    <w:rsid w:val="00EA35A6"/>
    <w:rsid w:val="00EA69C5"/>
    <w:rsid w:val="00EB5B4E"/>
    <w:rsid w:val="00EB7379"/>
    <w:rsid w:val="00EC0683"/>
    <w:rsid w:val="00EC2D6F"/>
    <w:rsid w:val="00EC4536"/>
    <w:rsid w:val="00EC4C5D"/>
    <w:rsid w:val="00EC7212"/>
    <w:rsid w:val="00EC7CC4"/>
    <w:rsid w:val="00EE2A07"/>
    <w:rsid w:val="00EE3104"/>
    <w:rsid w:val="00EE34AE"/>
    <w:rsid w:val="00EE3758"/>
    <w:rsid w:val="00EE443F"/>
    <w:rsid w:val="00EF49F3"/>
    <w:rsid w:val="00EF612F"/>
    <w:rsid w:val="00EF6514"/>
    <w:rsid w:val="00EF79E0"/>
    <w:rsid w:val="00EF7F86"/>
    <w:rsid w:val="00F03566"/>
    <w:rsid w:val="00F17E7D"/>
    <w:rsid w:val="00F2129C"/>
    <w:rsid w:val="00F2212E"/>
    <w:rsid w:val="00F22F09"/>
    <w:rsid w:val="00F25147"/>
    <w:rsid w:val="00F331C5"/>
    <w:rsid w:val="00F40A35"/>
    <w:rsid w:val="00F42B42"/>
    <w:rsid w:val="00F51054"/>
    <w:rsid w:val="00F51CBE"/>
    <w:rsid w:val="00F52525"/>
    <w:rsid w:val="00F579E4"/>
    <w:rsid w:val="00F61B14"/>
    <w:rsid w:val="00F62793"/>
    <w:rsid w:val="00F6289E"/>
    <w:rsid w:val="00F62EB0"/>
    <w:rsid w:val="00F65E46"/>
    <w:rsid w:val="00F80AA4"/>
    <w:rsid w:val="00F85776"/>
    <w:rsid w:val="00F86C97"/>
    <w:rsid w:val="00F911EA"/>
    <w:rsid w:val="00F964CF"/>
    <w:rsid w:val="00F96DF4"/>
    <w:rsid w:val="00FB66CD"/>
    <w:rsid w:val="00FC6636"/>
    <w:rsid w:val="00FD1A39"/>
    <w:rsid w:val="00FD541B"/>
    <w:rsid w:val="00FD56E3"/>
    <w:rsid w:val="00FD7760"/>
    <w:rsid w:val="00FE0809"/>
    <w:rsid w:val="00FE1513"/>
    <w:rsid w:val="00FE1DB5"/>
    <w:rsid w:val="00FE297B"/>
    <w:rsid w:val="00FE6282"/>
    <w:rsid w:val="00FE6398"/>
    <w:rsid w:val="00FE70DC"/>
    <w:rsid w:val="00FF1466"/>
    <w:rsid w:val="00FF1EE1"/>
    <w:rsid w:val="00FF553B"/>
    <w:rsid w:val="00FF56F3"/>
    <w:rsid w:val="00FF5E4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44627"/>
  <w15:docId w15:val="{CB04CBD7-1B72-494F-B82A-329EB104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2E7C"/>
    <w:pPr>
      <w:ind w:left="720"/>
      <w:contextualSpacing/>
    </w:p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2. Footnote Text,C"/>
    <w:basedOn w:val="Normal"/>
    <w:link w:val="TextonotapieCar"/>
    <w:unhideWhenUsed/>
    <w:qFormat/>
    <w:rsid w:val="00A57ACC"/>
    <w:pPr>
      <w:spacing w:after="0" w:line="240" w:lineRule="auto"/>
    </w:pPr>
    <w:rPr>
      <w:sz w:val="20"/>
      <w:szCs w:val="20"/>
    </w:rPr>
  </w:style>
  <w:style w:type="character" w:customStyle="1" w:styleId="TextonotapieCar">
    <w:name w:val="Texto nota pie Car"/>
    <w:aliases w:val="Footnote Text Char Char Char Char Char Car1,Footnote Text Char Char Char Char Car1,Footnote reference Car1,FA Fu Car1,Footnote Text Char Char Char Car1,Footnote Text Cha Car1,FA Fußnotentext Car1,FA Fuﬂnotentext Car1,Ca Car,C Car"/>
    <w:basedOn w:val="Fuentedeprrafopredeter"/>
    <w:link w:val="Textonotapie"/>
    <w:uiPriority w:val="99"/>
    <w:qFormat/>
    <w:rsid w:val="00A57ACC"/>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A57ACC"/>
    <w:rPr>
      <w:vertAlign w:val="superscript"/>
    </w:rPr>
  </w:style>
  <w:style w:type="character" w:styleId="Nmerodelnea">
    <w:name w:val="line number"/>
    <w:basedOn w:val="Fuentedeprrafopredeter"/>
    <w:uiPriority w:val="99"/>
    <w:semiHidden/>
    <w:unhideWhenUsed/>
    <w:rsid w:val="00FE1DB5"/>
  </w:style>
  <w:style w:type="paragraph" w:styleId="Encabezado">
    <w:name w:val="header"/>
    <w:aliases w:val="encabezado"/>
    <w:basedOn w:val="Normal"/>
    <w:link w:val="EncabezadoCar"/>
    <w:uiPriority w:val="99"/>
    <w:unhideWhenUsed/>
    <w:rsid w:val="00FE1DB5"/>
    <w:pPr>
      <w:tabs>
        <w:tab w:val="center" w:pos="4680"/>
        <w:tab w:val="right" w:pos="9360"/>
      </w:tabs>
      <w:spacing w:after="0" w:line="240" w:lineRule="auto"/>
    </w:pPr>
  </w:style>
  <w:style w:type="character" w:customStyle="1" w:styleId="EncabezadoCar">
    <w:name w:val="Encabezado Car"/>
    <w:aliases w:val="encabezado Car"/>
    <w:basedOn w:val="Fuentedeprrafopredeter"/>
    <w:link w:val="Encabezado"/>
    <w:uiPriority w:val="99"/>
    <w:rsid w:val="00FE1DB5"/>
  </w:style>
  <w:style w:type="paragraph" w:styleId="Piedepgina">
    <w:name w:val="footer"/>
    <w:basedOn w:val="Normal"/>
    <w:link w:val="PiedepginaCar"/>
    <w:uiPriority w:val="99"/>
    <w:unhideWhenUsed/>
    <w:rsid w:val="00FE1D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E1DB5"/>
  </w:style>
  <w:style w:type="paragraph" w:styleId="Textodeglobo">
    <w:name w:val="Balloon Text"/>
    <w:basedOn w:val="Normal"/>
    <w:link w:val="TextodegloboCar"/>
    <w:uiPriority w:val="99"/>
    <w:semiHidden/>
    <w:unhideWhenUsed/>
    <w:rsid w:val="00CB6E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6EA3"/>
    <w:rPr>
      <w:rFonts w:ascii="Tahoma" w:hAnsi="Tahoma" w:cs="Tahoma"/>
      <w:sz w:val="16"/>
      <w:szCs w:val="16"/>
    </w:rPr>
  </w:style>
  <w:style w:type="character" w:styleId="Refdecomentario">
    <w:name w:val="annotation reference"/>
    <w:basedOn w:val="Fuentedeprrafopredeter"/>
    <w:uiPriority w:val="99"/>
    <w:semiHidden/>
    <w:unhideWhenUsed/>
    <w:rsid w:val="005A46F0"/>
    <w:rPr>
      <w:sz w:val="16"/>
      <w:szCs w:val="16"/>
    </w:rPr>
  </w:style>
  <w:style w:type="paragraph" w:styleId="Textocomentario">
    <w:name w:val="annotation text"/>
    <w:basedOn w:val="Normal"/>
    <w:link w:val="TextocomentarioCar"/>
    <w:uiPriority w:val="99"/>
    <w:unhideWhenUsed/>
    <w:rsid w:val="005A46F0"/>
    <w:pPr>
      <w:spacing w:line="240" w:lineRule="auto"/>
    </w:pPr>
    <w:rPr>
      <w:sz w:val="20"/>
      <w:szCs w:val="20"/>
    </w:rPr>
  </w:style>
  <w:style w:type="character" w:customStyle="1" w:styleId="TextocomentarioCar">
    <w:name w:val="Texto comentario Car"/>
    <w:basedOn w:val="Fuentedeprrafopredeter"/>
    <w:link w:val="Textocomentario"/>
    <w:uiPriority w:val="99"/>
    <w:rsid w:val="005A46F0"/>
    <w:rPr>
      <w:sz w:val="20"/>
      <w:szCs w:val="20"/>
    </w:rPr>
  </w:style>
  <w:style w:type="paragraph" w:styleId="Asuntodelcomentario">
    <w:name w:val="annotation subject"/>
    <w:basedOn w:val="Textocomentario"/>
    <w:next w:val="Textocomentario"/>
    <w:link w:val="AsuntodelcomentarioCar"/>
    <w:uiPriority w:val="99"/>
    <w:semiHidden/>
    <w:unhideWhenUsed/>
    <w:rsid w:val="005A46F0"/>
    <w:rPr>
      <w:b/>
      <w:bCs/>
    </w:rPr>
  </w:style>
  <w:style w:type="character" w:customStyle="1" w:styleId="AsuntodelcomentarioCar">
    <w:name w:val="Asunto del comentario Car"/>
    <w:basedOn w:val="TextocomentarioCar"/>
    <w:link w:val="Asuntodelcomentario"/>
    <w:uiPriority w:val="99"/>
    <w:semiHidden/>
    <w:rsid w:val="005A46F0"/>
    <w:rPr>
      <w:b/>
      <w:bCs/>
      <w:sz w:val="20"/>
      <w:szCs w:val="20"/>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ﬂnotentext Car,Texto nota pie Car Car"/>
    <w:basedOn w:val="Fuentedeprrafopredeter"/>
    <w:qFormat/>
    <w:rsid w:val="005A46F0"/>
    <w:rPr>
      <w:rFonts w:ascii="Calibri" w:eastAsia="Calibri" w:hAnsi="Calibri" w:cs="Times New Roman"/>
      <w:sz w:val="20"/>
      <w:szCs w:val="20"/>
      <w:lang w:val="x-none"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5A46F0"/>
    <w:pPr>
      <w:spacing w:after="0" w:line="240" w:lineRule="auto"/>
      <w:jc w:val="both"/>
    </w:pPr>
    <w:rPr>
      <w:vertAlign w:val="superscript"/>
    </w:rPr>
  </w:style>
  <w:style w:type="paragraph" w:styleId="Revisin">
    <w:name w:val="Revision"/>
    <w:hidden/>
    <w:uiPriority w:val="99"/>
    <w:semiHidden/>
    <w:rsid w:val="00F911EA"/>
    <w:pPr>
      <w:spacing w:after="0" w:line="240" w:lineRule="auto"/>
    </w:pPr>
  </w:style>
  <w:style w:type="paragraph" w:customStyle="1" w:styleId="Default">
    <w:name w:val="Default"/>
    <w:rsid w:val="00D65E05"/>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CA36C8"/>
    <w:rPr>
      <w:color w:val="0000FF" w:themeColor="hyperlink"/>
      <w:u w:val="single"/>
    </w:rPr>
  </w:style>
  <w:style w:type="character" w:styleId="Mencinsinresolver">
    <w:name w:val="Unresolved Mention"/>
    <w:basedOn w:val="Fuentedeprrafopredeter"/>
    <w:uiPriority w:val="99"/>
    <w:semiHidden/>
    <w:unhideWhenUsed/>
    <w:rsid w:val="00CA3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789419">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756122599">
      <w:bodyDiv w:val="1"/>
      <w:marLeft w:val="0"/>
      <w:marRight w:val="0"/>
      <w:marTop w:val="0"/>
      <w:marBottom w:val="0"/>
      <w:divBdr>
        <w:top w:val="none" w:sz="0" w:space="0" w:color="auto"/>
        <w:left w:val="none" w:sz="0" w:space="0" w:color="auto"/>
        <w:bottom w:val="none" w:sz="0" w:space="0" w:color="auto"/>
        <w:right w:val="none" w:sz="0" w:space="0" w:color="auto"/>
      </w:divBdr>
    </w:div>
    <w:div w:id="209763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98E54C-461E-4AE1-9B75-05193B659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5221</Words>
  <Characters>28719</Characters>
  <Application>Microsoft Office Word</Application>
  <DocSecurity>0</DocSecurity>
  <Lines>239</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Corte IDH</dc:creator>
  <cp:lastModifiedBy>Francella Hernandez</cp:lastModifiedBy>
  <cp:revision>2</cp:revision>
  <cp:lastPrinted>2022-07-28T13:56:00Z</cp:lastPrinted>
  <dcterms:created xsi:type="dcterms:W3CDTF">2023-12-19T17:32:00Z</dcterms:created>
  <dcterms:modified xsi:type="dcterms:W3CDTF">2023-12-19T17:32:00Z</dcterms:modified>
</cp:coreProperties>
</file>