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8D4D7" w14:textId="77777777" w:rsidR="00434D1E" w:rsidRDefault="00434D1E" w:rsidP="006F4EE2">
      <w:pPr>
        <w:pStyle w:val="Ttulo1"/>
        <w:spacing w:line="477" w:lineRule="auto"/>
        <w:ind w:left="0"/>
      </w:pPr>
    </w:p>
    <w:p w14:paraId="20BDE17D" w14:textId="31C3386F" w:rsidR="00D738D9" w:rsidRPr="00780A6C" w:rsidRDefault="00036333" w:rsidP="006F4EE2">
      <w:pPr>
        <w:pStyle w:val="Ttulo1"/>
        <w:spacing w:line="477" w:lineRule="auto"/>
        <w:ind w:left="0"/>
        <w:rPr>
          <w:spacing w:val="-65"/>
        </w:rPr>
      </w:pPr>
      <w:r w:rsidRPr="00780A6C">
        <w:t>CORTE</w:t>
      </w:r>
      <w:r w:rsidRPr="00780A6C">
        <w:rPr>
          <w:spacing w:val="-6"/>
        </w:rPr>
        <w:t xml:space="preserve"> </w:t>
      </w:r>
      <w:r w:rsidRPr="00780A6C">
        <w:t>INTERAMERICANA</w:t>
      </w:r>
      <w:r w:rsidRPr="00780A6C">
        <w:rPr>
          <w:spacing w:val="-6"/>
        </w:rPr>
        <w:t xml:space="preserve"> </w:t>
      </w:r>
      <w:r w:rsidRPr="00780A6C">
        <w:t>DE</w:t>
      </w:r>
      <w:r w:rsidRPr="00780A6C">
        <w:rPr>
          <w:spacing w:val="-6"/>
        </w:rPr>
        <w:t xml:space="preserve"> </w:t>
      </w:r>
      <w:r w:rsidRPr="00780A6C">
        <w:t>DERECHOS</w:t>
      </w:r>
      <w:r w:rsidRPr="00780A6C">
        <w:rPr>
          <w:spacing w:val="-7"/>
        </w:rPr>
        <w:t xml:space="preserve"> </w:t>
      </w:r>
      <w:r w:rsidRPr="00780A6C">
        <w:t>HUMANOS</w:t>
      </w:r>
      <w:r w:rsidRPr="00780A6C">
        <w:rPr>
          <w:spacing w:val="-65"/>
        </w:rPr>
        <w:t xml:space="preserve"> </w:t>
      </w:r>
    </w:p>
    <w:p w14:paraId="16DD5AE2" w14:textId="4773C20A" w:rsidR="00036333" w:rsidRPr="00780A6C" w:rsidRDefault="00536023" w:rsidP="006F4EE2">
      <w:pPr>
        <w:pStyle w:val="Ttulo1"/>
        <w:spacing w:line="477" w:lineRule="auto"/>
        <w:ind w:left="0"/>
      </w:pPr>
      <w:r w:rsidRPr="00536023">
        <w:t>CASO BENITES CABRERA Y OTROS VS. PERÚ</w:t>
      </w:r>
    </w:p>
    <w:p w14:paraId="44F4417B" w14:textId="48DAF1CB" w:rsidR="00036333" w:rsidRPr="00780A6C" w:rsidRDefault="00036333" w:rsidP="006F4EE2">
      <w:pPr>
        <w:spacing w:before="5"/>
        <w:jc w:val="center"/>
        <w:rPr>
          <w:b/>
          <w:sz w:val="20"/>
          <w:szCs w:val="20"/>
        </w:rPr>
      </w:pPr>
      <w:r w:rsidRPr="00780A6C">
        <w:rPr>
          <w:b/>
          <w:spacing w:val="-3"/>
          <w:sz w:val="20"/>
          <w:szCs w:val="20"/>
        </w:rPr>
        <w:t>SENTENCIA</w:t>
      </w:r>
      <w:r w:rsidRPr="00780A6C">
        <w:rPr>
          <w:b/>
          <w:spacing w:val="-14"/>
          <w:sz w:val="20"/>
          <w:szCs w:val="20"/>
        </w:rPr>
        <w:t xml:space="preserve"> </w:t>
      </w:r>
      <w:r w:rsidRPr="00780A6C">
        <w:rPr>
          <w:b/>
          <w:spacing w:val="-2"/>
          <w:sz w:val="20"/>
          <w:szCs w:val="20"/>
        </w:rPr>
        <w:t>DE</w:t>
      </w:r>
      <w:r w:rsidRPr="00780A6C">
        <w:rPr>
          <w:b/>
          <w:spacing w:val="-11"/>
          <w:sz w:val="20"/>
          <w:szCs w:val="20"/>
        </w:rPr>
        <w:t xml:space="preserve"> </w:t>
      </w:r>
      <w:r w:rsidR="005E108D">
        <w:rPr>
          <w:b/>
          <w:spacing w:val="-11"/>
          <w:sz w:val="20"/>
          <w:szCs w:val="20"/>
        </w:rPr>
        <w:t>28</w:t>
      </w:r>
      <w:r w:rsidRPr="00780A6C">
        <w:rPr>
          <w:b/>
          <w:spacing w:val="-15"/>
          <w:sz w:val="20"/>
          <w:szCs w:val="20"/>
        </w:rPr>
        <w:t xml:space="preserve"> </w:t>
      </w:r>
      <w:r w:rsidRPr="00780A6C">
        <w:rPr>
          <w:b/>
          <w:spacing w:val="-2"/>
          <w:sz w:val="20"/>
          <w:szCs w:val="20"/>
        </w:rPr>
        <w:t>DE</w:t>
      </w:r>
      <w:r w:rsidRPr="00780A6C">
        <w:rPr>
          <w:b/>
          <w:spacing w:val="-13"/>
          <w:sz w:val="20"/>
          <w:szCs w:val="20"/>
        </w:rPr>
        <w:t xml:space="preserve"> </w:t>
      </w:r>
      <w:r w:rsidR="005E108D">
        <w:rPr>
          <w:b/>
          <w:spacing w:val="-13"/>
          <w:sz w:val="20"/>
          <w:szCs w:val="20"/>
        </w:rPr>
        <w:t>NOVIEMBRE</w:t>
      </w:r>
      <w:r w:rsidR="005E108D" w:rsidRPr="00780A6C">
        <w:rPr>
          <w:b/>
          <w:spacing w:val="-14"/>
          <w:sz w:val="20"/>
          <w:szCs w:val="20"/>
        </w:rPr>
        <w:t xml:space="preserve"> </w:t>
      </w:r>
      <w:r w:rsidRPr="00780A6C">
        <w:rPr>
          <w:b/>
          <w:spacing w:val="-2"/>
          <w:sz w:val="20"/>
          <w:szCs w:val="20"/>
        </w:rPr>
        <w:t>DE</w:t>
      </w:r>
      <w:r w:rsidRPr="00780A6C">
        <w:rPr>
          <w:b/>
          <w:spacing w:val="-12"/>
          <w:sz w:val="20"/>
          <w:szCs w:val="20"/>
        </w:rPr>
        <w:t xml:space="preserve"> </w:t>
      </w:r>
      <w:r w:rsidRPr="00780A6C">
        <w:rPr>
          <w:b/>
          <w:spacing w:val="-2"/>
          <w:sz w:val="20"/>
          <w:szCs w:val="20"/>
        </w:rPr>
        <w:t>202</w:t>
      </w:r>
      <w:r w:rsidR="00D738D9" w:rsidRPr="00780A6C">
        <w:rPr>
          <w:b/>
          <w:spacing w:val="-2"/>
          <w:sz w:val="20"/>
          <w:szCs w:val="20"/>
        </w:rPr>
        <w:t>3</w:t>
      </w:r>
    </w:p>
    <w:p w14:paraId="6980DA0E" w14:textId="77777777" w:rsidR="00036333" w:rsidRPr="00780A6C" w:rsidRDefault="00036333" w:rsidP="006F4EE2">
      <w:pPr>
        <w:pStyle w:val="Textoindependiente"/>
        <w:spacing w:before="1"/>
        <w:rPr>
          <w:b/>
        </w:rPr>
      </w:pPr>
    </w:p>
    <w:p w14:paraId="0F3A4B24" w14:textId="302A4FB5" w:rsidR="00036333" w:rsidRPr="00780A6C" w:rsidRDefault="00036333" w:rsidP="00503B4E">
      <w:pPr>
        <w:pStyle w:val="Ttulo2"/>
        <w:numPr>
          <w:ilvl w:val="0"/>
          <w:numId w:val="0"/>
        </w:numPr>
        <w:jc w:val="center"/>
      </w:pPr>
      <w:r w:rsidRPr="00780A6C">
        <w:t>(</w:t>
      </w:r>
      <w:r w:rsidRPr="00F87E87">
        <w:rPr>
          <w:i/>
          <w:iCs/>
        </w:rPr>
        <w:t>Interpretación</w:t>
      </w:r>
      <w:r w:rsidRPr="00F87E87">
        <w:rPr>
          <w:i/>
          <w:iCs/>
          <w:spacing w:val="-11"/>
        </w:rPr>
        <w:t xml:space="preserve"> </w:t>
      </w:r>
      <w:r w:rsidRPr="00F87E87">
        <w:rPr>
          <w:i/>
          <w:iCs/>
        </w:rPr>
        <w:t>de</w:t>
      </w:r>
      <w:r w:rsidRPr="00F87E87">
        <w:rPr>
          <w:i/>
          <w:iCs/>
          <w:spacing w:val="-10"/>
        </w:rPr>
        <w:t xml:space="preserve"> </w:t>
      </w:r>
      <w:r w:rsidRPr="00F87E87">
        <w:rPr>
          <w:i/>
          <w:iCs/>
        </w:rPr>
        <w:t>la</w:t>
      </w:r>
      <w:r w:rsidRPr="00F87E87">
        <w:rPr>
          <w:i/>
          <w:iCs/>
          <w:spacing w:val="-10"/>
        </w:rPr>
        <w:t xml:space="preserve"> </w:t>
      </w:r>
      <w:r w:rsidRPr="00F87E87">
        <w:rPr>
          <w:i/>
          <w:iCs/>
        </w:rPr>
        <w:t>Sentencia</w:t>
      </w:r>
      <w:r w:rsidRPr="00F87E87">
        <w:rPr>
          <w:i/>
          <w:iCs/>
          <w:spacing w:val="-13"/>
        </w:rPr>
        <w:t xml:space="preserve"> </w:t>
      </w:r>
      <w:r w:rsidRPr="00F87E87">
        <w:rPr>
          <w:i/>
          <w:iCs/>
        </w:rPr>
        <w:t>de</w:t>
      </w:r>
      <w:r w:rsidR="00D738D9" w:rsidRPr="00F87E87">
        <w:rPr>
          <w:i/>
          <w:iCs/>
        </w:rPr>
        <w:t xml:space="preserve"> </w:t>
      </w:r>
      <w:r w:rsidR="00536023" w:rsidRPr="00F87E87">
        <w:rPr>
          <w:i/>
          <w:iCs/>
        </w:rPr>
        <w:t>Excepciones Preliminares, Fondo, Reparaciones y Costas</w:t>
      </w:r>
      <w:r w:rsidRPr="00780A6C">
        <w:t>)</w:t>
      </w:r>
    </w:p>
    <w:p w14:paraId="4A6167D0" w14:textId="77777777" w:rsidR="00036333" w:rsidRPr="00780A6C" w:rsidRDefault="00036333" w:rsidP="006F4EE2">
      <w:pPr>
        <w:pStyle w:val="Textoindependiente"/>
        <w:rPr>
          <w:b/>
          <w:i/>
        </w:rPr>
      </w:pPr>
    </w:p>
    <w:p w14:paraId="15D87832" w14:textId="77777777" w:rsidR="00036333" w:rsidRPr="00780A6C" w:rsidRDefault="00036333" w:rsidP="006F4EE2">
      <w:pPr>
        <w:pStyle w:val="Textoindependiente"/>
        <w:spacing w:before="11"/>
        <w:rPr>
          <w:b/>
          <w:i/>
        </w:rPr>
      </w:pPr>
    </w:p>
    <w:p w14:paraId="74A0A136" w14:textId="0D503177" w:rsidR="00C84D5D" w:rsidRPr="00780A6C" w:rsidRDefault="00476033" w:rsidP="006F4EE2">
      <w:pPr>
        <w:rPr>
          <w:i/>
          <w:sz w:val="20"/>
          <w:szCs w:val="20"/>
        </w:rPr>
      </w:pPr>
      <w:r w:rsidRPr="00780A6C">
        <w:rPr>
          <w:spacing w:val="-1"/>
          <w:sz w:val="20"/>
          <w:szCs w:val="20"/>
        </w:rPr>
        <w:t>En</w:t>
      </w:r>
      <w:r w:rsidRPr="00780A6C">
        <w:rPr>
          <w:spacing w:val="-14"/>
          <w:sz w:val="20"/>
          <w:szCs w:val="20"/>
        </w:rPr>
        <w:t xml:space="preserve"> </w:t>
      </w:r>
      <w:r w:rsidRPr="00780A6C">
        <w:rPr>
          <w:spacing w:val="-1"/>
          <w:sz w:val="20"/>
          <w:szCs w:val="20"/>
        </w:rPr>
        <w:t>el</w:t>
      </w:r>
      <w:r w:rsidRPr="00780A6C">
        <w:rPr>
          <w:spacing w:val="-17"/>
          <w:sz w:val="20"/>
          <w:szCs w:val="20"/>
        </w:rPr>
        <w:t xml:space="preserve"> </w:t>
      </w:r>
      <w:r w:rsidRPr="00780A6C">
        <w:rPr>
          <w:spacing w:val="-1"/>
          <w:sz w:val="20"/>
          <w:szCs w:val="20"/>
        </w:rPr>
        <w:t>caso</w:t>
      </w:r>
      <w:r w:rsidRPr="00780A6C">
        <w:rPr>
          <w:spacing w:val="-15"/>
          <w:sz w:val="20"/>
          <w:szCs w:val="20"/>
        </w:rPr>
        <w:t xml:space="preserve"> </w:t>
      </w:r>
      <w:r w:rsidR="00536023" w:rsidRPr="00536023">
        <w:rPr>
          <w:i/>
          <w:spacing w:val="-1"/>
          <w:sz w:val="20"/>
          <w:szCs w:val="20"/>
        </w:rPr>
        <w:t>Benites Cabrera y otros Vs. Perú</w:t>
      </w:r>
      <w:r w:rsidRPr="00780A6C">
        <w:rPr>
          <w:i/>
          <w:spacing w:val="-1"/>
          <w:sz w:val="20"/>
          <w:szCs w:val="20"/>
        </w:rPr>
        <w:t>,</w:t>
      </w:r>
    </w:p>
    <w:p w14:paraId="51557DAA" w14:textId="77777777" w:rsidR="00C84D5D" w:rsidRPr="00780A6C" w:rsidRDefault="00C84D5D" w:rsidP="006F4EE2">
      <w:pPr>
        <w:pStyle w:val="Textoindependiente"/>
        <w:rPr>
          <w:i/>
        </w:rPr>
      </w:pPr>
    </w:p>
    <w:p w14:paraId="57C2D612" w14:textId="6E611C5C" w:rsidR="00C84D5D" w:rsidRPr="00780A6C" w:rsidRDefault="00476033" w:rsidP="006F4EE2">
      <w:pPr>
        <w:pStyle w:val="Textoindependiente"/>
      </w:pPr>
      <w:r w:rsidRPr="00780A6C">
        <w:rPr>
          <w:spacing w:val="-3"/>
        </w:rPr>
        <w:t>la</w:t>
      </w:r>
      <w:r w:rsidRPr="00780A6C">
        <w:rPr>
          <w:spacing w:val="-15"/>
        </w:rPr>
        <w:t xml:space="preserve"> </w:t>
      </w:r>
      <w:r w:rsidRPr="00780A6C">
        <w:rPr>
          <w:spacing w:val="-3"/>
        </w:rPr>
        <w:t>Corte</w:t>
      </w:r>
      <w:r w:rsidRPr="00780A6C">
        <w:rPr>
          <w:spacing w:val="-14"/>
        </w:rPr>
        <w:t xml:space="preserve"> </w:t>
      </w:r>
      <w:r w:rsidRPr="00780A6C">
        <w:rPr>
          <w:spacing w:val="-3"/>
        </w:rPr>
        <w:t>Interamericana</w:t>
      </w:r>
      <w:r w:rsidRPr="00780A6C">
        <w:rPr>
          <w:spacing w:val="-11"/>
        </w:rPr>
        <w:t xml:space="preserve"> </w:t>
      </w:r>
      <w:r w:rsidRPr="00780A6C">
        <w:rPr>
          <w:spacing w:val="-2"/>
        </w:rPr>
        <w:t>de</w:t>
      </w:r>
      <w:r w:rsidRPr="00780A6C">
        <w:rPr>
          <w:spacing w:val="-13"/>
        </w:rPr>
        <w:t xml:space="preserve"> </w:t>
      </w:r>
      <w:r w:rsidRPr="00780A6C">
        <w:rPr>
          <w:spacing w:val="-2"/>
        </w:rPr>
        <w:t>Derechos</w:t>
      </w:r>
      <w:r w:rsidRPr="00780A6C">
        <w:rPr>
          <w:spacing w:val="-14"/>
        </w:rPr>
        <w:t xml:space="preserve"> </w:t>
      </w:r>
      <w:r w:rsidRPr="00780A6C">
        <w:rPr>
          <w:spacing w:val="-2"/>
        </w:rPr>
        <w:t>Humanos</w:t>
      </w:r>
      <w:r w:rsidRPr="00780A6C">
        <w:rPr>
          <w:spacing w:val="-13"/>
        </w:rPr>
        <w:t xml:space="preserve"> </w:t>
      </w:r>
      <w:r w:rsidRPr="00780A6C">
        <w:rPr>
          <w:spacing w:val="-2"/>
        </w:rPr>
        <w:t>(en</w:t>
      </w:r>
      <w:r w:rsidRPr="00780A6C">
        <w:rPr>
          <w:spacing w:val="-12"/>
        </w:rPr>
        <w:t xml:space="preserve"> </w:t>
      </w:r>
      <w:r w:rsidRPr="00780A6C">
        <w:rPr>
          <w:spacing w:val="-2"/>
        </w:rPr>
        <w:t>adelante</w:t>
      </w:r>
      <w:r w:rsidRPr="00780A6C">
        <w:rPr>
          <w:spacing w:val="-13"/>
        </w:rPr>
        <w:t xml:space="preserve"> </w:t>
      </w:r>
      <w:r w:rsidRPr="00780A6C">
        <w:rPr>
          <w:spacing w:val="-2"/>
        </w:rPr>
        <w:t>“la</w:t>
      </w:r>
      <w:r w:rsidRPr="00780A6C">
        <w:rPr>
          <w:spacing w:val="-14"/>
        </w:rPr>
        <w:t xml:space="preserve"> </w:t>
      </w:r>
      <w:r w:rsidRPr="00780A6C">
        <w:rPr>
          <w:spacing w:val="-2"/>
        </w:rPr>
        <w:t>Corte</w:t>
      </w:r>
      <w:r w:rsidRPr="00780A6C">
        <w:rPr>
          <w:spacing w:val="-14"/>
        </w:rPr>
        <w:t xml:space="preserve"> </w:t>
      </w:r>
      <w:r w:rsidRPr="00780A6C">
        <w:rPr>
          <w:spacing w:val="-2"/>
        </w:rPr>
        <w:t>Interamericana”,</w:t>
      </w:r>
      <w:r w:rsidRPr="00780A6C">
        <w:rPr>
          <w:spacing w:val="-13"/>
        </w:rPr>
        <w:t xml:space="preserve"> </w:t>
      </w:r>
      <w:r w:rsidRPr="00780A6C">
        <w:rPr>
          <w:spacing w:val="-2"/>
        </w:rPr>
        <w:t>“la</w:t>
      </w:r>
      <w:r w:rsidRPr="00780A6C">
        <w:rPr>
          <w:spacing w:val="-68"/>
        </w:rPr>
        <w:t xml:space="preserve"> </w:t>
      </w:r>
      <w:r w:rsidRPr="00780A6C">
        <w:t>Corte”</w:t>
      </w:r>
      <w:r w:rsidRPr="00780A6C">
        <w:rPr>
          <w:spacing w:val="-10"/>
        </w:rPr>
        <w:t xml:space="preserve"> </w:t>
      </w:r>
      <w:r w:rsidRPr="00780A6C">
        <w:t>o</w:t>
      </w:r>
      <w:r w:rsidRPr="00780A6C">
        <w:rPr>
          <w:spacing w:val="-12"/>
        </w:rPr>
        <w:t xml:space="preserve"> </w:t>
      </w:r>
      <w:r w:rsidRPr="00780A6C">
        <w:t>“el</w:t>
      </w:r>
      <w:r w:rsidRPr="00780A6C">
        <w:rPr>
          <w:spacing w:val="-12"/>
        </w:rPr>
        <w:t xml:space="preserve"> </w:t>
      </w:r>
      <w:r w:rsidRPr="00780A6C">
        <w:t>Tribunal”),</w:t>
      </w:r>
      <w:r w:rsidRPr="00780A6C">
        <w:rPr>
          <w:spacing w:val="-14"/>
        </w:rPr>
        <w:t xml:space="preserve"> </w:t>
      </w:r>
      <w:r w:rsidRPr="00780A6C">
        <w:t>integrada</w:t>
      </w:r>
      <w:r w:rsidRPr="00780A6C">
        <w:rPr>
          <w:spacing w:val="-11"/>
        </w:rPr>
        <w:t xml:space="preserve"> </w:t>
      </w:r>
      <w:r w:rsidRPr="00780A6C">
        <w:t>por</w:t>
      </w:r>
      <w:r w:rsidRPr="00780A6C">
        <w:rPr>
          <w:spacing w:val="-12"/>
        </w:rPr>
        <w:t xml:space="preserve"> </w:t>
      </w:r>
      <w:r w:rsidRPr="00780A6C">
        <w:t>los</w:t>
      </w:r>
      <w:r w:rsidRPr="00780A6C">
        <w:rPr>
          <w:spacing w:val="-13"/>
        </w:rPr>
        <w:t xml:space="preserve"> </w:t>
      </w:r>
      <w:r w:rsidRPr="00780A6C">
        <w:t>siguientes</w:t>
      </w:r>
      <w:r w:rsidRPr="00780A6C">
        <w:rPr>
          <w:spacing w:val="-12"/>
        </w:rPr>
        <w:t xml:space="preserve"> </w:t>
      </w:r>
      <w:r w:rsidRPr="00780A6C">
        <w:t>Jueces:</w:t>
      </w:r>
    </w:p>
    <w:p w14:paraId="689B5F48" w14:textId="77777777" w:rsidR="00C84D5D" w:rsidRPr="00780A6C" w:rsidRDefault="00C84D5D" w:rsidP="006F4EE2">
      <w:pPr>
        <w:pStyle w:val="Textoindependiente"/>
      </w:pPr>
    </w:p>
    <w:p w14:paraId="46CF746E" w14:textId="77777777" w:rsidR="00F95FD9" w:rsidRPr="00F004BE" w:rsidRDefault="00F95FD9" w:rsidP="006F4EE2">
      <w:pPr>
        <w:pStyle w:val="Textoindependiente"/>
        <w:rPr>
          <w:lang w:val="pt-BR"/>
        </w:rPr>
      </w:pPr>
      <w:r w:rsidRPr="00F004BE">
        <w:rPr>
          <w:lang w:val="pt-BR"/>
        </w:rPr>
        <w:t xml:space="preserve">Ricardo C. Pérez Manrique, Presidente; </w:t>
      </w:r>
    </w:p>
    <w:p w14:paraId="6BB27F94" w14:textId="65FCA2C5" w:rsidR="00F95FD9" w:rsidRPr="00F004BE" w:rsidRDefault="00F95FD9" w:rsidP="006F4EE2">
      <w:pPr>
        <w:pStyle w:val="Textoindependiente"/>
        <w:rPr>
          <w:lang w:val="pt-BR"/>
        </w:rPr>
      </w:pPr>
      <w:r w:rsidRPr="00F004BE">
        <w:rPr>
          <w:lang w:val="pt-BR"/>
        </w:rPr>
        <w:t xml:space="preserve">Eduardo Ferrer Mac-Gregor Poisot, Vicepresidente; </w:t>
      </w:r>
    </w:p>
    <w:p w14:paraId="2D413432" w14:textId="7DE0CBCA" w:rsidR="00F95FD9" w:rsidRPr="00780A6C" w:rsidRDefault="00F95FD9" w:rsidP="006F4EE2">
      <w:pPr>
        <w:pStyle w:val="Textoindependiente"/>
      </w:pPr>
      <w:r w:rsidRPr="00780A6C">
        <w:t>Humberto A</w:t>
      </w:r>
      <w:r w:rsidR="00F87E87">
        <w:t>.</w:t>
      </w:r>
      <w:r w:rsidRPr="00780A6C">
        <w:t xml:space="preserve"> Sierra Porto, Juez; </w:t>
      </w:r>
    </w:p>
    <w:p w14:paraId="6C0CBF1A" w14:textId="400C2701" w:rsidR="00F95FD9" w:rsidRPr="00780A6C" w:rsidRDefault="00F95FD9" w:rsidP="006F4EE2">
      <w:pPr>
        <w:pStyle w:val="Textoindependiente"/>
      </w:pPr>
      <w:r w:rsidRPr="00780A6C">
        <w:t xml:space="preserve">Nancy Hernández López, Jueza; </w:t>
      </w:r>
    </w:p>
    <w:p w14:paraId="7D33CA3A" w14:textId="46E220AF" w:rsidR="00F95FD9" w:rsidRPr="00780A6C" w:rsidRDefault="00F95FD9" w:rsidP="006F4EE2">
      <w:pPr>
        <w:pStyle w:val="Textoindependiente"/>
      </w:pPr>
      <w:r w:rsidRPr="00780A6C">
        <w:t xml:space="preserve">Verónica Gómez, Jueza; </w:t>
      </w:r>
    </w:p>
    <w:p w14:paraId="6C609267" w14:textId="4FDD708E" w:rsidR="00F95FD9" w:rsidRPr="00780A6C" w:rsidRDefault="00F95FD9" w:rsidP="006F4EE2">
      <w:pPr>
        <w:pStyle w:val="Textoindependiente"/>
      </w:pPr>
      <w:r w:rsidRPr="00780A6C">
        <w:t xml:space="preserve">Patricia Pérez Goldberg, Jueza; </w:t>
      </w:r>
    </w:p>
    <w:p w14:paraId="7792F4B3" w14:textId="2FEE8492" w:rsidR="00F95FD9" w:rsidRPr="00780A6C" w:rsidRDefault="00F95FD9" w:rsidP="006F4EE2">
      <w:pPr>
        <w:pStyle w:val="Textoindependiente"/>
      </w:pPr>
      <w:r w:rsidRPr="00780A6C">
        <w:t>Rodrigo Mudrovitsch, Juez;</w:t>
      </w:r>
    </w:p>
    <w:p w14:paraId="6A06E0AF" w14:textId="77777777" w:rsidR="006F08F4" w:rsidRPr="00780A6C" w:rsidRDefault="006F08F4" w:rsidP="006F4EE2">
      <w:pPr>
        <w:pStyle w:val="Textoindependiente"/>
      </w:pPr>
    </w:p>
    <w:p w14:paraId="4FF3C6D7" w14:textId="4D5BE7FE" w:rsidR="00C84D5D" w:rsidRPr="00780A6C" w:rsidRDefault="00476033" w:rsidP="006F4EE2">
      <w:pPr>
        <w:pStyle w:val="Textoindependiente"/>
      </w:pPr>
      <w:r w:rsidRPr="00780A6C">
        <w:t>presente</w:t>
      </w:r>
      <w:r w:rsidR="00F004BE">
        <w:t>s</w:t>
      </w:r>
      <w:r w:rsidRPr="00780A6C">
        <w:t>,</w:t>
      </w:r>
      <w:r w:rsidRPr="00780A6C">
        <w:rPr>
          <w:spacing w:val="-1"/>
        </w:rPr>
        <w:t xml:space="preserve"> </w:t>
      </w:r>
      <w:r w:rsidRPr="00780A6C">
        <w:t>además,</w:t>
      </w:r>
    </w:p>
    <w:p w14:paraId="1E4C286A" w14:textId="77777777" w:rsidR="00F95FD9" w:rsidRPr="00780A6C" w:rsidRDefault="00F95FD9" w:rsidP="006F4EE2">
      <w:pPr>
        <w:pStyle w:val="Textoindependiente"/>
      </w:pPr>
    </w:p>
    <w:p w14:paraId="62A990D0" w14:textId="1E2576D2" w:rsidR="00F95FD9" w:rsidRPr="00780A6C" w:rsidRDefault="00F95FD9" w:rsidP="006F4EE2">
      <w:pPr>
        <w:pStyle w:val="Textoindependiente"/>
      </w:pPr>
      <w:r w:rsidRPr="00780A6C">
        <w:t xml:space="preserve">Pablo Saavedra Alessandri, </w:t>
      </w:r>
      <w:proofErr w:type="gramStart"/>
      <w:r w:rsidRPr="00780A6C">
        <w:t>Secretario</w:t>
      </w:r>
      <w:proofErr w:type="gramEnd"/>
      <w:r w:rsidRPr="00780A6C">
        <w:t xml:space="preserve">, y </w:t>
      </w:r>
    </w:p>
    <w:p w14:paraId="1AB2D644" w14:textId="778C7676" w:rsidR="00F95FD9" w:rsidRPr="00780A6C" w:rsidRDefault="00F95FD9" w:rsidP="006F4EE2">
      <w:pPr>
        <w:pStyle w:val="Textoindependiente"/>
      </w:pPr>
      <w:r w:rsidRPr="00780A6C">
        <w:t xml:space="preserve">Romina I. Sijniensky, </w:t>
      </w:r>
      <w:proofErr w:type="gramStart"/>
      <w:r w:rsidRPr="00780A6C">
        <w:t>Secretaria</w:t>
      </w:r>
      <w:proofErr w:type="gramEnd"/>
      <w:r w:rsidRPr="00780A6C">
        <w:t xml:space="preserve"> Adjunta,</w:t>
      </w:r>
    </w:p>
    <w:p w14:paraId="236E86D0" w14:textId="77777777" w:rsidR="00C84D5D" w:rsidRPr="00780A6C" w:rsidRDefault="00C84D5D" w:rsidP="006F4EE2">
      <w:pPr>
        <w:pStyle w:val="Textoindependiente"/>
      </w:pPr>
    </w:p>
    <w:p w14:paraId="7C082BE9" w14:textId="35E23981" w:rsidR="006F4EE2" w:rsidRPr="00780A6C" w:rsidRDefault="00476033" w:rsidP="006F4EE2">
      <w:pPr>
        <w:pStyle w:val="Textoindependiente"/>
        <w:jc w:val="both"/>
        <w:rPr>
          <w:spacing w:val="-3"/>
        </w:rPr>
      </w:pPr>
      <w:r w:rsidRPr="00780A6C">
        <w:rPr>
          <w:spacing w:val="-3"/>
        </w:rPr>
        <w:t>de conformidad con el artículo 67 de la Convención Americana sobre Derechos Humanos (en adelante también “la Convención Americana” o “la Convención”) y el artículo 68 del Reglamento de la Corte (en adelante también “el Reglamento”), resuelve la solicitud</w:t>
      </w:r>
      <w:r w:rsidR="006F08F4" w:rsidRPr="00780A6C">
        <w:rPr>
          <w:spacing w:val="-3"/>
        </w:rPr>
        <w:t xml:space="preserve"> </w:t>
      </w:r>
      <w:r w:rsidRPr="00780A6C">
        <w:rPr>
          <w:spacing w:val="-3"/>
        </w:rPr>
        <w:t xml:space="preserve"> de interpretación de la Sentencia </w:t>
      </w:r>
      <w:r w:rsidR="002D0C1F" w:rsidRPr="00780A6C">
        <w:rPr>
          <w:spacing w:val="-3"/>
        </w:rPr>
        <w:t>sobre</w:t>
      </w:r>
      <w:r w:rsidRPr="00780A6C">
        <w:rPr>
          <w:spacing w:val="-3"/>
        </w:rPr>
        <w:t xml:space="preserve"> </w:t>
      </w:r>
      <w:r w:rsidR="00B04DFC" w:rsidRPr="00536023">
        <w:rPr>
          <w:spacing w:val="-4"/>
        </w:rPr>
        <w:t>Excepciones Preliminares, Fondo, Reparaciones y Costas</w:t>
      </w:r>
      <w:r w:rsidRPr="00780A6C">
        <w:rPr>
          <w:spacing w:val="-3"/>
        </w:rPr>
        <w:t xml:space="preserve">, emitida por este Tribunal el </w:t>
      </w:r>
      <w:r w:rsidR="00B04DFC">
        <w:t>4 de octubre de 2022</w:t>
      </w:r>
      <w:r w:rsidRPr="00780A6C">
        <w:rPr>
          <w:spacing w:val="-3"/>
        </w:rPr>
        <w:t xml:space="preserve"> en el presente caso (en adelante también “la Sentencia”), interpuesta</w:t>
      </w:r>
      <w:r w:rsidR="00A21EF9">
        <w:rPr>
          <w:spacing w:val="-3"/>
        </w:rPr>
        <w:t xml:space="preserve"> el</w:t>
      </w:r>
      <w:r w:rsidRPr="00780A6C">
        <w:rPr>
          <w:spacing w:val="-3"/>
        </w:rPr>
        <w:t xml:space="preserve"> </w:t>
      </w:r>
      <w:r w:rsidR="00A21EF9">
        <w:t>2</w:t>
      </w:r>
      <w:r w:rsidR="00A21EF9" w:rsidRPr="00780A6C">
        <w:t xml:space="preserve">5 de </w:t>
      </w:r>
      <w:r w:rsidR="00A21EF9">
        <w:t>abril</w:t>
      </w:r>
      <w:r w:rsidR="00A21EF9" w:rsidRPr="00780A6C">
        <w:t xml:space="preserve"> de 202</w:t>
      </w:r>
      <w:r w:rsidR="00A21EF9">
        <w:t xml:space="preserve">3 </w:t>
      </w:r>
      <w:r w:rsidR="00DC563E">
        <w:t xml:space="preserve">por </w:t>
      </w:r>
      <w:r w:rsidR="00A21EF9">
        <w:t xml:space="preserve">el Estado de Perú </w:t>
      </w:r>
      <w:r w:rsidR="00A21EF9" w:rsidRPr="00780A6C">
        <w:rPr>
          <w:rFonts w:cs="Arial"/>
        </w:rPr>
        <w:t xml:space="preserve">(en adelante “el Estado” o “el Estado </w:t>
      </w:r>
      <w:r w:rsidR="00A21EF9">
        <w:rPr>
          <w:rFonts w:cs="Arial"/>
        </w:rPr>
        <w:t>peruano</w:t>
      </w:r>
      <w:r w:rsidR="00A21EF9" w:rsidRPr="00780A6C">
        <w:rPr>
          <w:rFonts w:cs="Arial"/>
        </w:rPr>
        <w:t>”)</w:t>
      </w:r>
      <w:r w:rsidRPr="00780A6C">
        <w:rPr>
          <w:spacing w:val="-3"/>
        </w:rPr>
        <w:t>.</w:t>
      </w:r>
      <w:r w:rsidR="006F4EE2" w:rsidRPr="00780A6C">
        <w:rPr>
          <w:spacing w:val="-3"/>
        </w:rPr>
        <w:t xml:space="preserve"> </w:t>
      </w:r>
      <w:r w:rsidR="00B04DFC">
        <w:rPr>
          <w:spacing w:val="-3"/>
        </w:rPr>
        <w:t xml:space="preserve"> </w:t>
      </w:r>
    </w:p>
    <w:p w14:paraId="15C52F3D" w14:textId="77777777" w:rsidR="006F4EE2" w:rsidRPr="00780A6C" w:rsidRDefault="006F4EE2" w:rsidP="006F4EE2">
      <w:pPr>
        <w:pStyle w:val="Textoindependiente"/>
        <w:rPr>
          <w:spacing w:val="-3"/>
        </w:rPr>
      </w:pPr>
    </w:p>
    <w:p w14:paraId="13B3095E" w14:textId="77777777" w:rsidR="00014089" w:rsidRDefault="00014089">
      <w:pPr>
        <w:rPr>
          <w:b/>
          <w:bCs/>
          <w:w w:val="99"/>
          <w:sz w:val="20"/>
          <w:szCs w:val="20"/>
        </w:rPr>
      </w:pPr>
      <w:r>
        <w:rPr>
          <w:w w:val="99"/>
        </w:rPr>
        <w:br w:type="page"/>
      </w:r>
    </w:p>
    <w:p w14:paraId="594BE5AA" w14:textId="17EA545C" w:rsidR="006F4EE2" w:rsidRPr="00780A6C" w:rsidRDefault="006F4EE2" w:rsidP="00014089">
      <w:pPr>
        <w:pStyle w:val="Ttulo1"/>
        <w:tabs>
          <w:tab w:val="left" w:pos="993"/>
        </w:tabs>
        <w:ind w:left="0"/>
      </w:pPr>
      <w:r w:rsidRPr="00780A6C">
        <w:rPr>
          <w:w w:val="99"/>
        </w:rPr>
        <w:lastRenderedPageBreak/>
        <w:t>I</w:t>
      </w:r>
    </w:p>
    <w:p w14:paraId="4FB67E4D" w14:textId="77777777" w:rsidR="006F4EE2" w:rsidRPr="00780A6C" w:rsidRDefault="006F4EE2" w:rsidP="006F4EE2">
      <w:pPr>
        <w:jc w:val="center"/>
        <w:rPr>
          <w:b/>
          <w:sz w:val="20"/>
          <w:szCs w:val="20"/>
        </w:rPr>
      </w:pPr>
      <w:r w:rsidRPr="00780A6C">
        <w:rPr>
          <w:b/>
          <w:sz w:val="20"/>
          <w:szCs w:val="20"/>
        </w:rPr>
        <w:t>SOLICITUD</w:t>
      </w:r>
      <w:r w:rsidRPr="00780A6C">
        <w:rPr>
          <w:b/>
          <w:spacing w:val="-4"/>
          <w:sz w:val="20"/>
          <w:szCs w:val="20"/>
        </w:rPr>
        <w:t xml:space="preserve"> </w:t>
      </w:r>
      <w:r w:rsidRPr="00780A6C">
        <w:rPr>
          <w:b/>
          <w:sz w:val="20"/>
          <w:szCs w:val="20"/>
        </w:rPr>
        <w:t>DE</w:t>
      </w:r>
      <w:r w:rsidRPr="00780A6C">
        <w:rPr>
          <w:b/>
          <w:spacing w:val="-3"/>
          <w:sz w:val="20"/>
          <w:szCs w:val="20"/>
        </w:rPr>
        <w:t xml:space="preserve"> </w:t>
      </w:r>
      <w:r w:rsidRPr="00780A6C">
        <w:rPr>
          <w:b/>
          <w:sz w:val="20"/>
          <w:szCs w:val="20"/>
        </w:rPr>
        <w:t>INTERPRETACIÓN</w:t>
      </w:r>
      <w:r w:rsidRPr="00780A6C">
        <w:rPr>
          <w:b/>
          <w:spacing w:val="-5"/>
          <w:sz w:val="20"/>
          <w:szCs w:val="20"/>
        </w:rPr>
        <w:t xml:space="preserve"> </w:t>
      </w:r>
      <w:r w:rsidRPr="00780A6C">
        <w:rPr>
          <w:b/>
          <w:sz w:val="20"/>
          <w:szCs w:val="20"/>
        </w:rPr>
        <w:t>Y</w:t>
      </w:r>
      <w:r w:rsidRPr="00780A6C">
        <w:rPr>
          <w:b/>
          <w:spacing w:val="-4"/>
          <w:sz w:val="20"/>
          <w:szCs w:val="20"/>
        </w:rPr>
        <w:t xml:space="preserve"> </w:t>
      </w:r>
      <w:r w:rsidRPr="00780A6C">
        <w:rPr>
          <w:b/>
          <w:sz w:val="20"/>
          <w:szCs w:val="20"/>
        </w:rPr>
        <w:t>PROCEDIMIENTO</w:t>
      </w:r>
      <w:r w:rsidRPr="00780A6C">
        <w:rPr>
          <w:b/>
          <w:spacing w:val="-3"/>
          <w:sz w:val="20"/>
          <w:szCs w:val="20"/>
        </w:rPr>
        <w:t xml:space="preserve"> </w:t>
      </w:r>
      <w:r w:rsidRPr="00780A6C">
        <w:rPr>
          <w:b/>
          <w:sz w:val="20"/>
          <w:szCs w:val="20"/>
        </w:rPr>
        <w:t>ANTE</w:t>
      </w:r>
      <w:r w:rsidRPr="00780A6C">
        <w:rPr>
          <w:b/>
          <w:spacing w:val="-4"/>
          <w:sz w:val="20"/>
          <w:szCs w:val="20"/>
        </w:rPr>
        <w:t xml:space="preserve"> </w:t>
      </w:r>
      <w:r w:rsidRPr="00780A6C">
        <w:rPr>
          <w:b/>
          <w:sz w:val="20"/>
          <w:szCs w:val="20"/>
        </w:rPr>
        <w:t>LA</w:t>
      </w:r>
      <w:r w:rsidRPr="00780A6C">
        <w:rPr>
          <w:b/>
          <w:spacing w:val="-7"/>
          <w:sz w:val="20"/>
          <w:szCs w:val="20"/>
        </w:rPr>
        <w:t xml:space="preserve"> </w:t>
      </w:r>
      <w:r w:rsidRPr="00780A6C">
        <w:rPr>
          <w:b/>
          <w:sz w:val="20"/>
          <w:szCs w:val="20"/>
        </w:rPr>
        <w:t>CORTE</w:t>
      </w:r>
    </w:p>
    <w:p w14:paraId="27183E1E" w14:textId="77777777" w:rsidR="006F4EE2" w:rsidRPr="00780A6C" w:rsidRDefault="006F4EE2" w:rsidP="0010633A"/>
    <w:p w14:paraId="6813DF2F" w14:textId="1DA224DD" w:rsidR="006F4EE2" w:rsidRPr="00656182" w:rsidRDefault="006F4EE2" w:rsidP="0010633A">
      <w:pPr>
        <w:pStyle w:val="Prrafodelista"/>
      </w:pPr>
      <w:r w:rsidRPr="00656182">
        <w:t xml:space="preserve">El </w:t>
      </w:r>
      <w:r w:rsidR="007F1C87" w:rsidRPr="00656182">
        <w:t>4 de octubre de 2022</w:t>
      </w:r>
      <w:r w:rsidRPr="00656182">
        <w:t xml:space="preserve"> la Corte Interamericana emitió la Sentencia </w:t>
      </w:r>
      <w:r w:rsidR="00503B4E" w:rsidRPr="00656182">
        <w:t xml:space="preserve">de </w:t>
      </w:r>
      <w:r w:rsidR="00BB0D5A">
        <w:t>E</w:t>
      </w:r>
      <w:r w:rsidR="00503B4E" w:rsidRPr="00656182">
        <w:t xml:space="preserve">xcepciones </w:t>
      </w:r>
      <w:r w:rsidR="00BB0D5A">
        <w:t>P</w:t>
      </w:r>
      <w:r w:rsidR="00503B4E" w:rsidRPr="00656182">
        <w:t xml:space="preserve">reliminares, </w:t>
      </w:r>
      <w:r w:rsidR="00BB0D5A">
        <w:t>F</w:t>
      </w:r>
      <w:r w:rsidR="00503B4E" w:rsidRPr="00656182">
        <w:t xml:space="preserve">ondo </w:t>
      </w:r>
      <w:r w:rsidR="00BB0D5A">
        <w:t>R</w:t>
      </w:r>
      <w:r w:rsidR="00503B4E" w:rsidRPr="00656182">
        <w:t xml:space="preserve">eparaciones y </w:t>
      </w:r>
      <w:r w:rsidR="00BB0D5A">
        <w:t>C</w:t>
      </w:r>
      <w:r w:rsidR="00503B4E" w:rsidRPr="00656182">
        <w:t xml:space="preserve">ostas en el </w:t>
      </w:r>
      <w:r w:rsidR="00503B4E" w:rsidRPr="00BB0D5A">
        <w:rPr>
          <w:i/>
          <w:iCs/>
        </w:rPr>
        <w:t>caso Benites Cab</w:t>
      </w:r>
      <w:r w:rsidR="000D280C">
        <w:rPr>
          <w:i/>
          <w:iCs/>
        </w:rPr>
        <w:t>r</w:t>
      </w:r>
      <w:r w:rsidR="00503B4E" w:rsidRPr="00BB0D5A">
        <w:rPr>
          <w:i/>
          <w:iCs/>
        </w:rPr>
        <w:t>era y otros Vs. Perú</w:t>
      </w:r>
      <w:r w:rsidRPr="00BB0D5A">
        <w:rPr>
          <w:i/>
          <w:iCs/>
        </w:rPr>
        <w:t xml:space="preserve">, </w:t>
      </w:r>
      <w:r w:rsidRPr="00656182">
        <w:t>la cual fue notificada a las partes y a la Comisión Interamericana de Derechos Humanos (en adelante también “la Comisión”</w:t>
      </w:r>
      <w:r w:rsidR="002A1DBC" w:rsidRPr="00656182">
        <w:t xml:space="preserve"> o “la Comisión Interamericana”</w:t>
      </w:r>
      <w:r w:rsidRPr="00656182">
        <w:t xml:space="preserve">) el </w:t>
      </w:r>
      <w:r w:rsidR="007F1C87" w:rsidRPr="00656182">
        <w:t>25 de enero de 2023</w:t>
      </w:r>
      <w:r w:rsidRPr="00656182">
        <w:t xml:space="preserve">. </w:t>
      </w:r>
    </w:p>
    <w:p w14:paraId="5D66098E" w14:textId="77777777" w:rsidR="006F4EE2" w:rsidRPr="00656182" w:rsidRDefault="006F4EE2" w:rsidP="0010633A"/>
    <w:p w14:paraId="1110DC41" w14:textId="1DD1FD5E" w:rsidR="00275DE7" w:rsidRPr="00656182" w:rsidRDefault="006F4EE2" w:rsidP="0010633A">
      <w:pPr>
        <w:pStyle w:val="Prrafodelista"/>
      </w:pPr>
      <w:r w:rsidRPr="00656182">
        <w:t xml:space="preserve">El </w:t>
      </w:r>
      <w:r w:rsidR="00536023" w:rsidRPr="00656182">
        <w:t>25 de abril de 2023 el Estado</w:t>
      </w:r>
      <w:r w:rsidR="007F1C87" w:rsidRPr="00656182">
        <w:t xml:space="preserve"> </w:t>
      </w:r>
      <w:r w:rsidRPr="00656182">
        <w:t>present</w:t>
      </w:r>
      <w:r w:rsidR="00536023" w:rsidRPr="00656182">
        <w:t>ó</w:t>
      </w:r>
      <w:r w:rsidRPr="00656182">
        <w:t xml:space="preserve"> una solicitud de interpretación relacionada con </w:t>
      </w:r>
      <w:r w:rsidR="00DC563E" w:rsidRPr="00656182">
        <w:t>(i) los derechos a las garantías judiciales y a la protección judicial; (ii) el derecho al trabajo; (iii) la medida de satisfacción relativa al mandato de inscripción en el Registro Nacional de Trabajadores Cesados Irregularmente, y (iv) las costas y gastos</w:t>
      </w:r>
      <w:r w:rsidRPr="00656182">
        <w:t>.</w:t>
      </w:r>
    </w:p>
    <w:p w14:paraId="6A2592EF" w14:textId="77777777" w:rsidR="007A44CA" w:rsidRPr="00656182" w:rsidRDefault="007A44CA" w:rsidP="0010633A"/>
    <w:p w14:paraId="7AD6D650" w14:textId="3C0B9549" w:rsidR="00C84D5D" w:rsidRPr="00780A6C" w:rsidRDefault="00476033" w:rsidP="0010633A">
      <w:pPr>
        <w:pStyle w:val="Prrafodelista"/>
        <w:rPr>
          <w:b/>
        </w:rPr>
      </w:pPr>
      <w:r w:rsidRPr="00656182">
        <w:t xml:space="preserve">El </w:t>
      </w:r>
      <w:r w:rsidR="007F1C87" w:rsidRPr="00656182">
        <w:t>8 de mayo</w:t>
      </w:r>
      <w:r w:rsidRPr="00656182">
        <w:t xml:space="preserve"> de 202</w:t>
      </w:r>
      <w:r w:rsidR="002D0C1F" w:rsidRPr="00656182">
        <w:t>3</w:t>
      </w:r>
      <w:r w:rsidRPr="00656182">
        <w:t xml:space="preserve">, de conformidad con </w:t>
      </w:r>
      <w:r w:rsidR="00DC563E" w:rsidRPr="00656182">
        <w:t xml:space="preserve">lo dispuesto en </w:t>
      </w:r>
      <w:r w:rsidRPr="00656182">
        <w:t>el artículo 68.2 del Reglamento y siguiendo instrucciones de la Presiden</w:t>
      </w:r>
      <w:r w:rsidR="00C43E29" w:rsidRPr="00656182">
        <w:t>cia</w:t>
      </w:r>
      <w:r w:rsidRPr="00656182">
        <w:t xml:space="preserve"> de la Corte, la Secretaría </w:t>
      </w:r>
      <w:r w:rsidR="002D0C1F" w:rsidRPr="00656182">
        <w:t>transmitió la</w:t>
      </w:r>
      <w:r w:rsidRPr="00656182">
        <w:t xml:space="preserve"> referida solicitud de interpretación a</w:t>
      </w:r>
      <w:r w:rsidR="007F1C87" w:rsidRPr="00656182">
        <w:t>l</w:t>
      </w:r>
      <w:r w:rsidR="007F1C87">
        <w:t xml:space="preserve"> </w:t>
      </w:r>
      <w:r w:rsidR="00DC563E">
        <w:t>interviniente común designado en este caso</w:t>
      </w:r>
      <w:r w:rsidR="00B04DFC">
        <w:t xml:space="preserve"> </w:t>
      </w:r>
      <w:r w:rsidR="00B04DFC" w:rsidRPr="00B04DFC">
        <w:t>(en adelante también “</w:t>
      </w:r>
      <w:r w:rsidR="00B04DFC">
        <w:t>el</w:t>
      </w:r>
      <w:r w:rsidR="00B04DFC" w:rsidRPr="00B04DFC">
        <w:t xml:space="preserve"> representante”)</w:t>
      </w:r>
      <w:r w:rsidR="00C04E18" w:rsidRPr="00780A6C">
        <w:rPr>
          <w:rFonts w:cs="Arial"/>
        </w:rPr>
        <w:t xml:space="preserve"> y a la Comisión Interamericana de Derechos Humanos</w:t>
      </w:r>
      <w:r w:rsidRPr="00780A6C">
        <w:t>, y les otorgó un</w:t>
      </w:r>
      <w:r w:rsidRPr="00780A6C">
        <w:rPr>
          <w:spacing w:val="1"/>
        </w:rPr>
        <w:t xml:space="preserve"> </w:t>
      </w:r>
      <w:r w:rsidRPr="00780A6C">
        <w:t xml:space="preserve">plazo para que, a más tardar el 6 de </w:t>
      </w:r>
      <w:r w:rsidR="007F1C87">
        <w:t xml:space="preserve">junio </w:t>
      </w:r>
      <w:r w:rsidRPr="00780A6C">
        <w:t>de 202</w:t>
      </w:r>
      <w:r w:rsidR="002A1DBC" w:rsidRPr="00780A6C">
        <w:t>3</w:t>
      </w:r>
      <w:r w:rsidRPr="00780A6C">
        <w:t>, presentaran por escrito las</w:t>
      </w:r>
      <w:r w:rsidRPr="00780A6C">
        <w:rPr>
          <w:spacing w:val="1"/>
        </w:rPr>
        <w:t xml:space="preserve"> </w:t>
      </w:r>
      <w:r w:rsidRPr="00780A6C">
        <w:t>observaciones</w:t>
      </w:r>
      <w:r w:rsidRPr="00780A6C">
        <w:rPr>
          <w:spacing w:val="-7"/>
        </w:rPr>
        <w:t xml:space="preserve"> </w:t>
      </w:r>
      <w:r w:rsidRPr="00780A6C">
        <w:t>que</w:t>
      </w:r>
      <w:r w:rsidRPr="00780A6C">
        <w:rPr>
          <w:spacing w:val="-9"/>
        </w:rPr>
        <w:t xml:space="preserve"> </w:t>
      </w:r>
      <w:r w:rsidRPr="00780A6C">
        <w:t>estimaran</w:t>
      </w:r>
      <w:r w:rsidRPr="00780A6C">
        <w:rPr>
          <w:spacing w:val="-8"/>
        </w:rPr>
        <w:t xml:space="preserve"> </w:t>
      </w:r>
      <w:r w:rsidRPr="00780A6C">
        <w:t>pertinentes.</w:t>
      </w:r>
      <w:r w:rsidRPr="00780A6C">
        <w:rPr>
          <w:spacing w:val="-7"/>
        </w:rPr>
        <w:t xml:space="preserve"> </w:t>
      </w:r>
      <w:r w:rsidRPr="00780A6C">
        <w:t>El</w:t>
      </w:r>
      <w:r w:rsidRPr="00780A6C">
        <w:rPr>
          <w:spacing w:val="-6"/>
        </w:rPr>
        <w:t xml:space="preserve"> </w:t>
      </w:r>
      <w:r w:rsidR="002A1DBC" w:rsidRPr="00780A6C">
        <w:rPr>
          <w:spacing w:val="-6"/>
        </w:rPr>
        <w:t>2</w:t>
      </w:r>
      <w:r w:rsidR="00C04E18" w:rsidRPr="00780A6C">
        <w:rPr>
          <w:spacing w:val="-6"/>
        </w:rPr>
        <w:t xml:space="preserve"> </w:t>
      </w:r>
      <w:r w:rsidR="007F1C87">
        <w:rPr>
          <w:spacing w:val="-6"/>
        </w:rPr>
        <w:t xml:space="preserve">y </w:t>
      </w:r>
      <w:r w:rsidR="00DE0F8C">
        <w:rPr>
          <w:spacing w:val="-6"/>
        </w:rPr>
        <w:t>6</w:t>
      </w:r>
      <w:r w:rsidR="007F1C87">
        <w:rPr>
          <w:spacing w:val="-6"/>
        </w:rPr>
        <w:t xml:space="preserve"> </w:t>
      </w:r>
      <w:r w:rsidR="002A1DBC" w:rsidRPr="00780A6C">
        <w:rPr>
          <w:spacing w:val="-6"/>
        </w:rPr>
        <w:t>d</w:t>
      </w:r>
      <w:r w:rsidR="00C04E18" w:rsidRPr="00780A6C">
        <w:rPr>
          <w:spacing w:val="-6"/>
        </w:rPr>
        <w:t xml:space="preserve">e </w:t>
      </w:r>
      <w:r w:rsidR="007F1C87">
        <w:rPr>
          <w:spacing w:val="-6"/>
        </w:rPr>
        <w:t xml:space="preserve">junio </w:t>
      </w:r>
      <w:r w:rsidR="00C04E18" w:rsidRPr="00780A6C">
        <w:rPr>
          <w:spacing w:val="-6"/>
        </w:rPr>
        <w:t>de 202</w:t>
      </w:r>
      <w:r w:rsidR="002D0C1F" w:rsidRPr="00780A6C">
        <w:rPr>
          <w:spacing w:val="-6"/>
        </w:rPr>
        <w:t>3</w:t>
      </w:r>
      <w:r w:rsidR="007F1C87">
        <w:rPr>
          <w:spacing w:val="-6"/>
        </w:rPr>
        <w:t xml:space="preserve">, respectivamente, </w:t>
      </w:r>
      <w:r w:rsidR="00C04E18" w:rsidRPr="00780A6C">
        <w:rPr>
          <w:spacing w:val="-6"/>
        </w:rPr>
        <w:t xml:space="preserve">el </w:t>
      </w:r>
      <w:r w:rsidR="007F1C87">
        <w:rPr>
          <w:spacing w:val="-6"/>
        </w:rPr>
        <w:t xml:space="preserve">representante y la Comisión remitieron </w:t>
      </w:r>
      <w:r w:rsidRPr="00780A6C">
        <w:t xml:space="preserve">sus observaciones. </w:t>
      </w:r>
    </w:p>
    <w:p w14:paraId="792F7CC0" w14:textId="77777777" w:rsidR="003B1363" w:rsidRPr="00780A6C" w:rsidRDefault="003B1363" w:rsidP="00E75B50">
      <w:pPr>
        <w:pStyle w:val="Textoindependiente"/>
      </w:pPr>
    </w:p>
    <w:p w14:paraId="7605D12B" w14:textId="77777777" w:rsidR="007A44CA" w:rsidRPr="00780A6C" w:rsidRDefault="003B1363" w:rsidP="006F4EE2">
      <w:pPr>
        <w:pStyle w:val="Ttulo1"/>
        <w:ind w:left="0" w:hanging="6"/>
        <w:rPr>
          <w:spacing w:val="1"/>
        </w:rPr>
      </w:pPr>
      <w:r w:rsidRPr="00780A6C">
        <w:t>II</w:t>
      </w:r>
      <w:r w:rsidRPr="00780A6C">
        <w:rPr>
          <w:spacing w:val="1"/>
        </w:rPr>
        <w:t xml:space="preserve"> </w:t>
      </w:r>
    </w:p>
    <w:p w14:paraId="1DDC7D07" w14:textId="7B6BEA3B" w:rsidR="003B1363" w:rsidRPr="00780A6C" w:rsidRDefault="003B1363" w:rsidP="006F4EE2">
      <w:pPr>
        <w:pStyle w:val="Ttulo1"/>
        <w:ind w:left="0" w:hanging="6"/>
      </w:pPr>
      <w:r w:rsidRPr="00780A6C">
        <w:rPr>
          <w:spacing w:val="-2"/>
        </w:rPr>
        <w:t>COMPETENCIA</w:t>
      </w:r>
    </w:p>
    <w:p w14:paraId="19516D16" w14:textId="77777777" w:rsidR="003B1363" w:rsidRPr="00780A6C" w:rsidRDefault="003B1363" w:rsidP="0010633A"/>
    <w:p w14:paraId="164FCCD9" w14:textId="53DE1AD5" w:rsidR="003B1363" w:rsidRPr="00780A6C" w:rsidRDefault="00476033" w:rsidP="0010633A">
      <w:pPr>
        <w:pStyle w:val="Prrafodelista"/>
        <w:rPr>
          <w:b/>
        </w:rPr>
      </w:pPr>
      <w:r w:rsidRPr="00780A6C">
        <w:t>El</w:t>
      </w:r>
      <w:r w:rsidRPr="00780A6C">
        <w:rPr>
          <w:spacing w:val="-13"/>
        </w:rPr>
        <w:t xml:space="preserve"> </w:t>
      </w:r>
      <w:r w:rsidRPr="00780A6C">
        <w:t>artículo</w:t>
      </w:r>
      <w:r w:rsidRPr="00780A6C">
        <w:rPr>
          <w:spacing w:val="-15"/>
        </w:rPr>
        <w:t xml:space="preserve"> </w:t>
      </w:r>
      <w:r w:rsidRPr="00780A6C">
        <w:t>67</w:t>
      </w:r>
      <w:r w:rsidRPr="00780A6C">
        <w:rPr>
          <w:spacing w:val="-13"/>
        </w:rPr>
        <w:t xml:space="preserve"> </w:t>
      </w:r>
      <w:r w:rsidRPr="00780A6C">
        <w:t>de</w:t>
      </w:r>
      <w:r w:rsidRPr="00780A6C">
        <w:rPr>
          <w:spacing w:val="-15"/>
        </w:rPr>
        <w:t xml:space="preserve"> </w:t>
      </w:r>
      <w:r w:rsidRPr="00780A6C">
        <w:t>la</w:t>
      </w:r>
      <w:r w:rsidRPr="00780A6C">
        <w:rPr>
          <w:spacing w:val="-15"/>
        </w:rPr>
        <w:t xml:space="preserve"> </w:t>
      </w:r>
      <w:r w:rsidRPr="00780A6C">
        <w:t>Convención</w:t>
      </w:r>
      <w:r w:rsidRPr="00780A6C">
        <w:rPr>
          <w:spacing w:val="-11"/>
        </w:rPr>
        <w:t xml:space="preserve"> </w:t>
      </w:r>
      <w:r w:rsidRPr="00780A6C">
        <w:t>Americana</w:t>
      </w:r>
      <w:r w:rsidRPr="00780A6C">
        <w:rPr>
          <w:spacing w:val="-11"/>
        </w:rPr>
        <w:t xml:space="preserve"> </w:t>
      </w:r>
      <w:r w:rsidRPr="00780A6C">
        <w:t>establece:</w:t>
      </w:r>
    </w:p>
    <w:p w14:paraId="55BB7B40" w14:textId="77777777" w:rsidR="003B1363" w:rsidRPr="00780A6C" w:rsidRDefault="003B1363" w:rsidP="0010633A">
      <w:pPr>
        <w:pStyle w:val="Textoindependiente"/>
      </w:pPr>
    </w:p>
    <w:p w14:paraId="1474276F" w14:textId="08435227" w:rsidR="003B1363" w:rsidRPr="00780A6C" w:rsidRDefault="003B1363" w:rsidP="0010633A">
      <w:pPr>
        <w:ind w:left="720" w:right="850"/>
        <w:jc w:val="both"/>
        <w:rPr>
          <w:sz w:val="16"/>
          <w:szCs w:val="16"/>
        </w:rPr>
      </w:pPr>
      <w:r w:rsidRPr="00780A6C">
        <w:rPr>
          <w:sz w:val="16"/>
          <w:szCs w:val="16"/>
        </w:rPr>
        <w:t>El</w:t>
      </w:r>
      <w:r w:rsidRPr="00780A6C">
        <w:rPr>
          <w:spacing w:val="-9"/>
          <w:sz w:val="16"/>
          <w:szCs w:val="16"/>
        </w:rPr>
        <w:t xml:space="preserve"> </w:t>
      </w:r>
      <w:r w:rsidRPr="00780A6C">
        <w:rPr>
          <w:sz w:val="16"/>
          <w:szCs w:val="16"/>
        </w:rPr>
        <w:t>fallo</w:t>
      </w:r>
      <w:r w:rsidRPr="00780A6C">
        <w:rPr>
          <w:spacing w:val="-8"/>
          <w:sz w:val="16"/>
          <w:szCs w:val="16"/>
        </w:rPr>
        <w:t xml:space="preserve"> </w:t>
      </w:r>
      <w:r w:rsidRPr="00780A6C">
        <w:rPr>
          <w:sz w:val="16"/>
          <w:szCs w:val="16"/>
        </w:rPr>
        <w:t>de</w:t>
      </w:r>
      <w:r w:rsidRPr="00780A6C">
        <w:rPr>
          <w:spacing w:val="-8"/>
          <w:sz w:val="16"/>
          <w:szCs w:val="16"/>
        </w:rPr>
        <w:t xml:space="preserve"> </w:t>
      </w:r>
      <w:r w:rsidRPr="00780A6C">
        <w:rPr>
          <w:sz w:val="16"/>
          <w:szCs w:val="16"/>
        </w:rPr>
        <w:t>la</w:t>
      </w:r>
      <w:r w:rsidRPr="00780A6C">
        <w:rPr>
          <w:spacing w:val="-8"/>
          <w:sz w:val="16"/>
          <w:szCs w:val="16"/>
        </w:rPr>
        <w:t xml:space="preserve"> </w:t>
      </w:r>
      <w:r w:rsidRPr="00780A6C">
        <w:rPr>
          <w:sz w:val="16"/>
          <w:szCs w:val="16"/>
        </w:rPr>
        <w:t>Corte</w:t>
      </w:r>
      <w:r w:rsidRPr="00780A6C">
        <w:rPr>
          <w:spacing w:val="-8"/>
          <w:sz w:val="16"/>
          <w:szCs w:val="16"/>
        </w:rPr>
        <w:t xml:space="preserve"> </w:t>
      </w:r>
      <w:r w:rsidRPr="00780A6C">
        <w:rPr>
          <w:sz w:val="16"/>
          <w:szCs w:val="16"/>
        </w:rPr>
        <w:t>será</w:t>
      </w:r>
      <w:r w:rsidRPr="00780A6C">
        <w:rPr>
          <w:spacing w:val="-9"/>
          <w:sz w:val="16"/>
          <w:szCs w:val="16"/>
        </w:rPr>
        <w:t xml:space="preserve"> </w:t>
      </w:r>
      <w:r w:rsidRPr="00780A6C">
        <w:rPr>
          <w:sz w:val="16"/>
          <w:szCs w:val="16"/>
        </w:rPr>
        <w:t>definitivo</w:t>
      </w:r>
      <w:r w:rsidRPr="00780A6C">
        <w:rPr>
          <w:spacing w:val="-7"/>
          <w:sz w:val="16"/>
          <w:szCs w:val="16"/>
        </w:rPr>
        <w:t xml:space="preserve"> </w:t>
      </w:r>
      <w:r w:rsidRPr="00780A6C">
        <w:rPr>
          <w:sz w:val="16"/>
          <w:szCs w:val="16"/>
        </w:rPr>
        <w:t>e</w:t>
      </w:r>
      <w:r w:rsidRPr="00780A6C">
        <w:rPr>
          <w:spacing w:val="-7"/>
          <w:sz w:val="16"/>
          <w:szCs w:val="16"/>
        </w:rPr>
        <w:t xml:space="preserve"> </w:t>
      </w:r>
      <w:r w:rsidRPr="00780A6C">
        <w:rPr>
          <w:sz w:val="16"/>
          <w:szCs w:val="16"/>
        </w:rPr>
        <w:t>inapelable.</w:t>
      </w:r>
      <w:r w:rsidRPr="00780A6C">
        <w:rPr>
          <w:spacing w:val="-8"/>
          <w:sz w:val="16"/>
          <w:szCs w:val="16"/>
        </w:rPr>
        <w:t xml:space="preserve"> </w:t>
      </w:r>
      <w:r w:rsidRPr="00780A6C">
        <w:rPr>
          <w:sz w:val="16"/>
          <w:szCs w:val="16"/>
        </w:rPr>
        <w:t>En</w:t>
      </w:r>
      <w:r w:rsidRPr="00780A6C">
        <w:rPr>
          <w:spacing w:val="-9"/>
          <w:sz w:val="16"/>
          <w:szCs w:val="16"/>
        </w:rPr>
        <w:t xml:space="preserve"> </w:t>
      </w:r>
      <w:r w:rsidRPr="00780A6C">
        <w:rPr>
          <w:sz w:val="16"/>
          <w:szCs w:val="16"/>
        </w:rPr>
        <w:t>caso</w:t>
      </w:r>
      <w:r w:rsidRPr="00780A6C">
        <w:rPr>
          <w:spacing w:val="-8"/>
          <w:sz w:val="16"/>
          <w:szCs w:val="16"/>
        </w:rPr>
        <w:t xml:space="preserve"> </w:t>
      </w:r>
      <w:r w:rsidRPr="00780A6C">
        <w:rPr>
          <w:sz w:val="16"/>
          <w:szCs w:val="16"/>
        </w:rPr>
        <w:t>de</w:t>
      </w:r>
      <w:r w:rsidRPr="00780A6C">
        <w:rPr>
          <w:spacing w:val="-7"/>
          <w:sz w:val="16"/>
          <w:szCs w:val="16"/>
        </w:rPr>
        <w:t xml:space="preserve"> </w:t>
      </w:r>
      <w:r w:rsidRPr="00780A6C">
        <w:rPr>
          <w:sz w:val="16"/>
          <w:szCs w:val="16"/>
        </w:rPr>
        <w:t>desacuerdo</w:t>
      </w:r>
      <w:r w:rsidRPr="00780A6C">
        <w:rPr>
          <w:spacing w:val="-8"/>
          <w:sz w:val="16"/>
          <w:szCs w:val="16"/>
        </w:rPr>
        <w:t xml:space="preserve"> </w:t>
      </w:r>
      <w:r w:rsidRPr="00780A6C">
        <w:rPr>
          <w:sz w:val="16"/>
          <w:szCs w:val="16"/>
        </w:rPr>
        <w:t>sobre</w:t>
      </w:r>
      <w:r w:rsidRPr="00780A6C">
        <w:rPr>
          <w:spacing w:val="-8"/>
          <w:sz w:val="16"/>
          <w:szCs w:val="16"/>
        </w:rPr>
        <w:t xml:space="preserve"> </w:t>
      </w:r>
      <w:r w:rsidRPr="00780A6C">
        <w:rPr>
          <w:sz w:val="16"/>
          <w:szCs w:val="16"/>
        </w:rPr>
        <w:t>el</w:t>
      </w:r>
      <w:r w:rsidRPr="00780A6C">
        <w:rPr>
          <w:spacing w:val="-8"/>
          <w:sz w:val="16"/>
          <w:szCs w:val="16"/>
        </w:rPr>
        <w:t xml:space="preserve"> </w:t>
      </w:r>
      <w:r w:rsidRPr="00780A6C">
        <w:rPr>
          <w:sz w:val="16"/>
          <w:szCs w:val="16"/>
        </w:rPr>
        <w:t>sentido</w:t>
      </w:r>
      <w:r w:rsidRPr="00780A6C">
        <w:rPr>
          <w:spacing w:val="-8"/>
          <w:sz w:val="16"/>
          <w:szCs w:val="16"/>
        </w:rPr>
        <w:t xml:space="preserve"> </w:t>
      </w:r>
      <w:r w:rsidRPr="00780A6C">
        <w:rPr>
          <w:sz w:val="16"/>
          <w:szCs w:val="16"/>
        </w:rPr>
        <w:t>o</w:t>
      </w:r>
      <w:r w:rsidRPr="00780A6C">
        <w:rPr>
          <w:spacing w:val="-8"/>
          <w:sz w:val="16"/>
          <w:szCs w:val="16"/>
        </w:rPr>
        <w:t xml:space="preserve"> </w:t>
      </w:r>
      <w:r w:rsidRPr="00780A6C">
        <w:rPr>
          <w:sz w:val="16"/>
          <w:szCs w:val="16"/>
        </w:rPr>
        <w:t>alcance</w:t>
      </w:r>
      <w:r w:rsidRPr="00780A6C">
        <w:rPr>
          <w:spacing w:val="-8"/>
          <w:sz w:val="16"/>
          <w:szCs w:val="16"/>
        </w:rPr>
        <w:t xml:space="preserve"> </w:t>
      </w:r>
      <w:r w:rsidRPr="00780A6C">
        <w:rPr>
          <w:sz w:val="16"/>
          <w:szCs w:val="16"/>
        </w:rPr>
        <w:t>del</w:t>
      </w:r>
      <w:r w:rsidR="00F004BE">
        <w:rPr>
          <w:sz w:val="16"/>
          <w:szCs w:val="16"/>
        </w:rPr>
        <w:t xml:space="preserve"> </w:t>
      </w:r>
      <w:r w:rsidRPr="00780A6C">
        <w:rPr>
          <w:sz w:val="16"/>
          <w:szCs w:val="16"/>
        </w:rPr>
        <w:t>fallo, la Corte lo interpretará a solicitud de cualquiera de las partes, siempre que dicha solicitud se</w:t>
      </w:r>
      <w:r w:rsidRPr="00780A6C">
        <w:rPr>
          <w:spacing w:val="1"/>
          <w:sz w:val="16"/>
          <w:szCs w:val="16"/>
        </w:rPr>
        <w:t xml:space="preserve"> </w:t>
      </w:r>
      <w:r w:rsidRPr="00780A6C">
        <w:rPr>
          <w:sz w:val="16"/>
          <w:szCs w:val="16"/>
        </w:rPr>
        <w:t>presente</w:t>
      </w:r>
      <w:r w:rsidRPr="00780A6C">
        <w:rPr>
          <w:spacing w:val="-8"/>
          <w:sz w:val="16"/>
          <w:szCs w:val="16"/>
        </w:rPr>
        <w:t xml:space="preserve"> </w:t>
      </w:r>
      <w:r w:rsidRPr="00780A6C">
        <w:rPr>
          <w:sz w:val="16"/>
          <w:szCs w:val="16"/>
        </w:rPr>
        <w:t>dentro</w:t>
      </w:r>
      <w:r w:rsidRPr="00780A6C">
        <w:rPr>
          <w:spacing w:val="-9"/>
          <w:sz w:val="16"/>
          <w:szCs w:val="16"/>
        </w:rPr>
        <w:t xml:space="preserve"> </w:t>
      </w:r>
      <w:r w:rsidRPr="00780A6C">
        <w:rPr>
          <w:sz w:val="16"/>
          <w:szCs w:val="16"/>
        </w:rPr>
        <w:t>de</w:t>
      </w:r>
      <w:r w:rsidRPr="00780A6C">
        <w:rPr>
          <w:spacing w:val="-7"/>
          <w:sz w:val="16"/>
          <w:szCs w:val="16"/>
        </w:rPr>
        <w:t xml:space="preserve"> </w:t>
      </w:r>
      <w:r w:rsidRPr="00780A6C">
        <w:rPr>
          <w:sz w:val="16"/>
          <w:szCs w:val="16"/>
        </w:rPr>
        <w:t>los</w:t>
      </w:r>
      <w:r w:rsidRPr="00780A6C">
        <w:rPr>
          <w:spacing w:val="-9"/>
          <w:sz w:val="16"/>
          <w:szCs w:val="16"/>
        </w:rPr>
        <w:t xml:space="preserve"> </w:t>
      </w:r>
      <w:r w:rsidRPr="00780A6C">
        <w:rPr>
          <w:sz w:val="16"/>
          <w:szCs w:val="16"/>
        </w:rPr>
        <w:t>noventa</w:t>
      </w:r>
      <w:r w:rsidRPr="00780A6C">
        <w:rPr>
          <w:spacing w:val="-8"/>
          <w:sz w:val="16"/>
          <w:szCs w:val="16"/>
        </w:rPr>
        <w:t xml:space="preserve"> </w:t>
      </w:r>
      <w:r w:rsidRPr="00780A6C">
        <w:rPr>
          <w:sz w:val="16"/>
          <w:szCs w:val="16"/>
        </w:rPr>
        <w:t>días</w:t>
      </w:r>
      <w:r w:rsidRPr="00780A6C">
        <w:rPr>
          <w:spacing w:val="-7"/>
          <w:sz w:val="16"/>
          <w:szCs w:val="16"/>
        </w:rPr>
        <w:t xml:space="preserve"> </w:t>
      </w:r>
      <w:r w:rsidRPr="00780A6C">
        <w:rPr>
          <w:sz w:val="16"/>
          <w:szCs w:val="16"/>
        </w:rPr>
        <w:t>a</w:t>
      </w:r>
      <w:r w:rsidRPr="00780A6C">
        <w:rPr>
          <w:spacing w:val="-8"/>
          <w:sz w:val="16"/>
          <w:szCs w:val="16"/>
        </w:rPr>
        <w:t xml:space="preserve"> </w:t>
      </w:r>
      <w:r w:rsidRPr="00780A6C">
        <w:rPr>
          <w:sz w:val="16"/>
          <w:szCs w:val="16"/>
        </w:rPr>
        <w:t>partir</w:t>
      </w:r>
      <w:r w:rsidRPr="00780A6C">
        <w:rPr>
          <w:spacing w:val="-6"/>
          <w:sz w:val="16"/>
          <w:szCs w:val="16"/>
        </w:rPr>
        <w:t xml:space="preserve"> </w:t>
      </w:r>
      <w:r w:rsidRPr="00780A6C">
        <w:rPr>
          <w:sz w:val="16"/>
          <w:szCs w:val="16"/>
        </w:rPr>
        <w:t>de</w:t>
      </w:r>
      <w:r w:rsidRPr="00780A6C">
        <w:rPr>
          <w:spacing w:val="-9"/>
          <w:sz w:val="16"/>
          <w:szCs w:val="16"/>
        </w:rPr>
        <w:t xml:space="preserve"> </w:t>
      </w:r>
      <w:r w:rsidRPr="00780A6C">
        <w:rPr>
          <w:sz w:val="16"/>
          <w:szCs w:val="16"/>
        </w:rPr>
        <w:t>la</w:t>
      </w:r>
      <w:r w:rsidRPr="00780A6C">
        <w:rPr>
          <w:spacing w:val="-8"/>
          <w:sz w:val="16"/>
          <w:szCs w:val="16"/>
        </w:rPr>
        <w:t xml:space="preserve"> </w:t>
      </w:r>
      <w:r w:rsidRPr="00780A6C">
        <w:rPr>
          <w:sz w:val="16"/>
          <w:szCs w:val="16"/>
        </w:rPr>
        <w:t>fecha</w:t>
      </w:r>
      <w:r w:rsidRPr="00780A6C">
        <w:rPr>
          <w:spacing w:val="-8"/>
          <w:sz w:val="16"/>
          <w:szCs w:val="16"/>
        </w:rPr>
        <w:t xml:space="preserve"> </w:t>
      </w:r>
      <w:r w:rsidRPr="00780A6C">
        <w:rPr>
          <w:sz w:val="16"/>
          <w:szCs w:val="16"/>
        </w:rPr>
        <w:t>de</w:t>
      </w:r>
      <w:r w:rsidRPr="00780A6C">
        <w:rPr>
          <w:spacing w:val="-9"/>
          <w:sz w:val="16"/>
          <w:szCs w:val="16"/>
        </w:rPr>
        <w:t xml:space="preserve"> </w:t>
      </w:r>
      <w:r w:rsidRPr="00780A6C">
        <w:rPr>
          <w:sz w:val="16"/>
          <w:szCs w:val="16"/>
        </w:rPr>
        <w:t>la</w:t>
      </w:r>
      <w:r w:rsidRPr="00780A6C">
        <w:rPr>
          <w:spacing w:val="-8"/>
          <w:sz w:val="16"/>
          <w:szCs w:val="16"/>
        </w:rPr>
        <w:t xml:space="preserve"> </w:t>
      </w:r>
      <w:r w:rsidRPr="00780A6C">
        <w:rPr>
          <w:sz w:val="16"/>
          <w:szCs w:val="16"/>
        </w:rPr>
        <w:t>notificación</w:t>
      </w:r>
      <w:r w:rsidRPr="00780A6C">
        <w:rPr>
          <w:spacing w:val="-8"/>
          <w:sz w:val="16"/>
          <w:szCs w:val="16"/>
        </w:rPr>
        <w:t xml:space="preserve"> </w:t>
      </w:r>
      <w:r w:rsidRPr="00780A6C">
        <w:rPr>
          <w:sz w:val="16"/>
          <w:szCs w:val="16"/>
        </w:rPr>
        <w:t>del</w:t>
      </w:r>
      <w:r w:rsidRPr="00780A6C">
        <w:rPr>
          <w:spacing w:val="-8"/>
          <w:sz w:val="16"/>
          <w:szCs w:val="16"/>
        </w:rPr>
        <w:t xml:space="preserve"> </w:t>
      </w:r>
      <w:r w:rsidRPr="00780A6C">
        <w:rPr>
          <w:sz w:val="16"/>
          <w:szCs w:val="16"/>
        </w:rPr>
        <w:t>fallo.</w:t>
      </w:r>
    </w:p>
    <w:p w14:paraId="16DE70A1" w14:textId="77777777" w:rsidR="003B1363" w:rsidRPr="00780A6C" w:rsidRDefault="003B1363" w:rsidP="0010633A"/>
    <w:p w14:paraId="513C4916" w14:textId="21DBFF88" w:rsidR="003B1363" w:rsidRPr="0010633A" w:rsidRDefault="003B1363" w:rsidP="0010633A">
      <w:pPr>
        <w:pStyle w:val="Prrafodelista"/>
      </w:pPr>
      <w:r w:rsidRPr="0010633A">
        <w:t>De conformidad con el artículo citado, la Corte es competente para interpretar sus fallos. Para realizar el examen de la solicitud de interpretación y resolver lo que a este respecto corresponda, este Tribunal debe tener, si es posible, la misma composición que tenía al dictar la Sentencia, de acuerdo con el artículo 68.3 del Reglamento. En esta ocasión, la Corte está integrada</w:t>
      </w:r>
      <w:r w:rsidR="002D0C1F" w:rsidRPr="0010633A">
        <w:t xml:space="preserve"> p</w:t>
      </w:r>
      <w:r w:rsidRPr="0010633A">
        <w:t>or l</w:t>
      </w:r>
      <w:r w:rsidR="00B9108C" w:rsidRPr="0010633A">
        <w:t>a</w:t>
      </w:r>
      <w:r w:rsidRPr="0010633A">
        <w:t xml:space="preserve"> mism</w:t>
      </w:r>
      <w:r w:rsidR="00B9108C" w:rsidRPr="0010633A">
        <w:t>a composición</w:t>
      </w:r>
      <w:r w:rsidR="0077007E" w:rsidRPr="0010633A">
        <w:t xml:space="preserve"> de Jue</w:t>
      </w:r>
      <w:r w:rsidR="00456EBF" w:rsidRPr="0010633A">
        <w:t>zas y Jue</w:t>
      </w:r>
      <w:r w:rsidR="0077007E" w:rsidRPr="0010633A">
        <w:t xml:space="preserve">ces </w:t>
      </w:r>
      <w:r w:rsidRPr="0010633A">
        <w:t>que dictaron la Sentencia cuya interpretación ha sido solicitad</w:t>
      </w:r>
      <w:r w:rsidR="00AA3AAC" w:rsidRPr="0010633A">
        <w:t>a</w:t>
      </w:r>
      <w:r w:rsidR="00AA3AAC" w:rsidRPr="000D3AC7">
        <w:rPr>
          <w:rStyle w:val="Refdenotaalpie"/>
        </w:rPr>
        <w:footnoteReference w:id="1"/>
      </w:r>
      <w:r w:rsidR="00476033" w:rsidRPr="0010633A">
        <w:t>.</w:t>
      </w:r>
    </w:p>
    <w:p w14:paraId="6894D74B" w14:textId="77777777" w:rsidR="003B1363" w:rsidRPr="00780A6C" w:rsidRDefault="003B1363" w:rsidP="006F4EE2">
      <w:pPr>
        <w:pStyle w:val="Textoindependiente"/>
      </w:pPr>
    </w:p>
    <w:p w14:paraId="673F1DED" w14:textId="77777777" w:rsidR="007A44CA" w:rsidRPr="00780A6C" w:rsidRDefault="003B1363" w:rsidP="006F4EE2">
      <w:pPr>
        <w:pStyle w:val="Ttulo1"/>
        <w:ind w:left="0" w:firstLine="3"/>
        <w:rPr>
          <w:spacing w:val="1"/>
        </w:rPr>
      </w:pPr>
      <w:r w:rsidRPr="00780A6C">
        <w:t>III</w:t>
      </w:r>
      <w:r w:rsidRPr="00780A6C">
        <w:rPr>
          <w:spacing w:val="1"/>
        </w:rPr>
        <w:t xml:space="preserve"> </w:t>
      </w:r>
    </w:p>
    <w:p w14:paraId="31144112" w14:textId="4E4925E2" w:rsidR="003B1363" w:rsidRPr="00780A6C" w:rsidRDefault="003B1363" w:rsidP="006F4EE2">
      <w:pPr>
        <w:pStyle w:val="Ttulo1"/>
        <w:ind w:left="0" w:firstLine="3"/>
      </w:pPr>
      <w:r w:rsidRPr="00780A6C">
        <w:rPr>
          <w:spacing w:val="-3"/>
        </w:rPr>
        <w:t>ADMISIBILIDAD</w:t>
      </w:r>
    </w:p>
    <w:p w14:paraId="15D3E9CA" w14:textId="77777777" w:rsidR="003B1363" w:rsidRPr="00780A6C" w:rsidRDefault="003B1363" w:rsidP="0010633A"/>
    <w:p w14:paraId="42A4AC86" w14:textId="55AAA817" w:rsidR="00AA3AAC" w:rsidRPr="00780A6C" w:rsidRDefault="00AA3AAC" w:rsidP="0010633A">
      <w:pPr>
        <w:pStyle w:val="Prrafodelista"/>
        <w:rPr>
          <w:bCs/>
        </w:rPr>
      </w:pPr>
      <w:r w:rsidRPr="00780A6C">
        <w:t xml:space="preserve">Corresponde a la Corte verificar si la solicitud presentada por </w:t>
      </w:r>
      <w:r w:rsidR="003F7BAE">
        <w:t>el</w:t>
      </w:r>
      <w:r w:rsidRPr="00780A6C">
        <w:t xml:space="preserve"> </w:t>
      </w:r>
      <w:r w:rsidR="00C37211">
        <w:t>Estado</w:t>
      </w:r>
      <w:r w:rsidR="00C37211" w:rsidRPr="00780A6C">
        <w:t xml:space="preserve"> </w:t>
      </w:r>
      <w:r w:rsidRPr="00780A6C">
        <w:t>cumple con los requisitos establecidos en las normas aplicables a una solicitud de interpretación de Sentencia, a saber, el artículo 67 de la Convención anteriormente citado, y el artículo 68 del Reglamento</w:t>
      </w:r>
      <w:r w:rsidR="00F004BE">
        <w:t xml:space="preserve"> de la Corte</w:t>
      </w:r>
      <w:r w:rsidRPr="00780A6C">
        <w:t>. Asimismo, el artículo 31.3 del Reglamento establece que</w:t>
      </w:r>
      <w:r w:rsidR="00B1566B" w:rsidRPr="00780A6C">
        <w:t xml:space="preserve"> </w:t>
      </w:r>
      <w:r w:rsidRPr="00780A6C">
        <w:t>“[c]</w:t>
      </w:r>
      <w:proofErr w:type="spellStart"/>
      <w:r w:rsidRPr="00780A6C">
        <w:t>ontra</w:t>
      </w:r>
      <w:proofErr w:type="spellEnd"/>
      <w:r w:rsidRPr="00780A6C">
        <w:t xml:space="preserve"> las sentencias y resoluciones de la Corte no procede ningún medio de impugnación”.</w:t>
      </w:r>
    </w:p>
    <w:p w14:paraId="1728BA18" w14:textId="77777777" w:rsidR="00AA3AAC" w:rsidRPr="00780A6C" w:rsidRDefault="00AA3AAC" w:rsidP="0010633A"/>
    <w:p w14:paraId="34E13A0C" w14:textId="64A9C168" w:rsidR="00503B4E" w:rsidRPr="00656182" w:rsidRDefault="00476033" w:rsidP="0010633A">
      <w:pPr>
        <w:pStyle w:val="Prrafodelista"/>
        <w:rPr>
          <w:bCs/>
        </w:rPr>
      </w:pPr>
      <w:r w:rsidRPr="00780A6C">
        <w:t xml:space="preserve">La Corte advierte que </w:t>
      </w:r>
      <w:r w:rsidR="003F7BAE">
        <w:t>el</w:t>
      </w:r>
      <w:r w:rsidRPr="00780A6C">
        <w:t xml:space="preserve"> </w:t>
      </w:r>
      <w:r w:rsidR="003F7BAE">
        <w:t>Estado</w:t>
      </w:r>
      <w:r w:rsidRPr="00780A6C">
        <w:t xml:space="preserve"> </w:t>
      </w:r>
      <w:r w:rsidR="00501FAE" w:rsidRPr="00780A6C">
        <w:t>present</w:t>
      </w:r>
      <w:r w:rsidR="003F7BAE">
        <w:t>ó</w:t>
      </w:r>
      <w:r w:rsidRPr="00780A6C">
        <w:t xml:space="preserve"> </w:t>
      </w:r>
      <w:r w:rsidR="00501FAE" w:rsidRPr="00780A6C">
        <w:t xml:space="preserve">su </w:t>
      </w:r>
      <w:r w:rsidRPr="00780A6C">
        <w:t xml:space="preserve">solicitud de interpretación dentro del plazo de 90 días establecido en el artículo 67 de </w:t>
      </w:r>
      <w:r w:rsidR="002D0C1F" w:rsidRPr="00780A6C">
        <w:t>la Convención</w:t>
      </w:r>
      <w:r w:rsidRPr="00780A6C">
        <w:t>. En</w:t>
      </w:r>
      <w:r w:rsidRPr="00780A6C">
        <w:rPr>
          <w:spacing w:val="-14"/>
        </w:rPr>
        <w:t xml:space="preserve"> </w:t>
      </w:r>
      <w:r w:rsidRPr="00780A6C">
        <w:t>efecto,</w:t>
      </w:r>
      <w:r w:rsidRPr="00780A6C">
        <w:rPr>
          <w:spacing w:val="-14"/>
        </w:rPr>
        <w:t xml:space="preserve"> </w:t>
      </w:r>
      <w:r w:rsidRPr="00780A6C">
        <w:t>la</w:t>
      </w:r>
      <w:r w:rsidRPr="00780A6C">
        <w:rPr>
          <w:spacing w:val="-16"/>
        </w:rPr>
        <w:t xml:space="preserve"> </w:t>
      </w:r>
      <w:r w:rsidRPr="00780A6C">
        <w:t>Sentencia</w:t>
      </w:r>
      <w:r w:rsidRPr="00780A6C">
        <w:rPr>
          <w:spacing w:val="-14"/>
        </w:rPr>
        <w:t xml:space="preserve"> </w:t>
      </w:r>
      <w:r w:rsidRPr="00780A6C">
        <w:t>fue</w:t>
      </w:r>
      <w:r w:rsidRPr="00780A6C">
        <w:rPr>
          <w:spacing w:val="-15"/>
        </w:rPr>
        <w:t xml:space="preserve"> </w:t>
      </w:r>
      <w:r w:rsidRPr="00780A6C">
        <w:t>notificada</w:t>
      </w:r>
      <w:r w:rsidRPr="00780A6C">
        <w:rPr>
          <w:spacing w:val="-12"/>
        </w:rPr>
        <w:t xml:space="preserve"> </w:t>
      </w:r>
      <w:r w:rsidRPr="00780A6C">
        <w:t>el</w:t>
      </w:r>
      <w:r w:rsidRPr="00780A6C">
        <w:rPr>
          <w:spacing w:val="-14"/>
        </w:rPr>
        <w:t xml:space="preserve"> </w:t>
      </w:r>
      <w:r w:rsidR="0067313A">
        <w:t>25 de enero de 2023</w:t>
      </w:r>
      <w:r w:rsidRPr="00780A6C">
        <w:t>,</w:t>
      </w:r>
      <w:r w:rsidRPr="00780A6C">
        <w:rPr>
          <w:spacing w:val="-14"/>
        </w:rPr>
        <w:t xml:space="preserve"> </w:t>
      </w:r>
      <w:r w:rsidRPr="00780A6C">
        <w:t>por</w:t>
      </w:r>
      <w:r w:rsidRPr="00780A6C">
        <w:rPr>
          <w:spacing w:val="-16"/>
        </w:rPr>
        <w:t xml:space="preserve"> </w:t>
      </w:r>
      <w:r w:rsidRPr="00780A6C">
        <w:t>lo</w:t>
      </w:r>
      <w:r w:rsidRPr="00780A6C">
        <w:rPr>
          <w:spacing w:val="-17"/>
        </w:rPr>
        <w:t xml:space="preserve"> </w:t>
      </w:r>
      <w:r w:rsidRPr="00780A6C">
        <w:t>que</w:t>
      </w:r>
      <w:r w:rsidR="00501FAE" w:rsidRPr="00780A6C">
        <w:t xml:space="preserve"> </w:t>
      </w:r>
      <w:r w:rsidRPr="00780A6C">
        <w:rPr>
          <w:spacing w:val="-1"/>
        </w:rPr>
        <w:t>l</w:t>
      </w:r>
      <w:r w:rsidR="00501FAE" w:rsidRPr="00780A6C">
        <w:rPr>
          <w:spacing w:val="-1"/>
        </w:rPr>
        <w:t>a</w:t>
      </w:r>
      <w:r w:rsidRPr="00780A6C">
        <w:rPr>
          <w:spacing w:val="-16"/>
        </w:rPr>
        <w:t xml:space="preserve"> </w:t>
      </w:r>
      <w:r w:rsidRPr="00780A6C">
        <w:rPr>
          <w:spacing w:val="-1"/>
        </w:rPr>
        <w:t>solicitud</w:t>
      </w:r>
      <w:r w:rsidRPr="00780A6C">
        <w:rPr>
          <w:spacing w:val="-14"/>
        </w:rPr>
        <w:t xml:space="preserve"> </w:t>
      </w:r>
      <w:r w:rsidRPr="00780A6C">
        <w:rPr>
          <w:spacing w:val="-1"/>
        </w:rPr>
        <w:t>de</w:t>
      </w:r>
      <w:r w:rsidRPr="00780A6C">
        <w:rPr>
          <w:spacing w:val="-16"/>
        </w:rPr>
        <w:t xml:space="preserve"> </w:t>
      </w:r>
      <w:r w:rsidRPr="00780A6C">
        <w:rPr>
          <w:spacing w:val="-1"/>
        </w:rPr>
        <w:t>interpretación</w:t>
      </w:r>
      <w:r w:rsidR="00503B4E">
        <w:rPr>
          <w:spacing w:val="-1"/>
        </w:rPr>
        <w:t>,</w:t>
      </w:r>
      <w:r w:rsidRPr="00780A6C">
        <w:rPr>
          <w:spacing w:val="-14"/>
        </w:rPr>
        <w:t xml:space="preserve"> </w:t>
      </w:r>
      <w:r w:rsidRPr="00780A6C">
        <w:rPr>
          <w:spacing w:val="-1"/>
        </w:rPr>
        <w:t>presentad</w:t>
      </w:r>
      <w:r w:rsidR="00B1566B" w:rsidRPr="00780A6C">
        <w:rPr>
          <w:spacing w:val="-1"/>
        </w:rPr>
        <w:t>a</w:t>
      </w:r>
      <w:r w:rsidRPr="00780A6C">
        <w:rPr>
          <w:spacing w:val="-15"/>
        </w:rPr>
        <w:t xml:space="preserve"> </w:t>
      </w:r>
      <w:r w:rsidR="00501FAE" w:rsidRPr="00780A6C">
        <w:rPr>
          <w:spacing w:val="-1"/>
        </w:rPr>
        <w:t xml:space="preserve">el </w:t>
      </w:r>
      <w:r w:rsidR="001108CE">
        <w:t>2</w:t>
      </w:r>
      <w:r w:rsidR="001108CE" w:rsidRPr="00780A6C">
        <w:t xml:space="preserve">5 de </w:t>
      </w:r>
      <w:r w:rsidR="001108CE">
        <w:t>abril</w:t>
      </w:r>
      <w:r w:rsidR="001108CE" w:rsidRPr="00780A6C">
        <w:t xml:space="preserve"> de 202</w:t>
      </w:r>
      <w:r w:rsidR="001108CE">
        <w:t>3</w:t>
      </w:r>
      <w:r w:rsidRPr="00780A6C">
        <w:rPr>
          <w:spacing w:val="-1"/>
        </w:rPr>
        <w:t>,</w:t>
      </w:r>
      <w:r w:rsidRPr="00780A6C">
        <w:rPr>
          <w:spacing w:val="-14"/>
        </w:rPr>
        <w:t xml:space="preserve"> </w:t>
      </w:r>
      <w:r w:rsidRPr="00780A6C">
        <w:t>resulta</w:t>
      </w:r>
      <w:r w:rsidR="00501FAE" w:rsidRPr="00780A6C">
        <w:t xml:space="preserve"> </w:t>
      </w:r>
      <w:r w:rsidRPr="00780A6C">
        <w:t xml:space="preserve">admisible en lo que se refiere al plazo de su presentación. En </w:t>
      </w:r>
      <w:r w:rsidRPr="00780A6C">
        <w:lastRenderedPageBreak/>
        <w:t>cuanto a los demás</w:t>
      </w:r>
      <w:r w:rsidRPr="00780A6C">
        <w:rPr>
          <w:spacing w:val="1"/>
        </w:rPr>
        <w:t xml:space="preserve"> </w:t>
      </w:r>
      <w:r w:rsidRPr="00780A6C">
        <w:t>requisitos, la Corte</w:t>
      </w:r>
      <w:r w:rsidRPr="00780A6C">
        <w:rPr>
          <w:spacing w:val="1"/>
        </w:rPr>
        <w:t xml:space="preserve"> </w:t>
      </w:r>
      <w:r w:rsidRPr="00780A6C">
        <w:t>Interamericana realizará el</w:t>
      </w:r>
      <w:r w:rsidRPr="00780A6C">
        <w:rPr>
          <w:spacing w:val="1"/>
        </w:rPr>
        <w:t xml:space="preserve"> </w:t>
      </w:r>
      <w:r w:rsidRPr="00780A6C">
        <w:t>análisis respectivo en</w:t>
      </w:r>
      <w:r w:rsidRPr="00780A6C">
        <w:rPr>
          <w:spacing w:val="1"/>
        </w:rPr>
        <w:t xml:space="preserve"> </w:t>
      </w:r>
      <w:r w:rsidRPr="00780A6C">
        <w:t>el</w:t>
      </w:r>
      <w:r w:rsidRPr="00780A6C">
        <w:rPr>
          <w:spacing w:val="1"/>
        </w:rPr>
        <w:t xml:space="preserve"> </w:t>
      </w:r>
      <w:r w:rsidRPr="00780A6C">
        <w:t>siguiente</w:t>
      </w:r>
      <w:r w:rsidRPr="00780A6C">
        <w:rPr>
          <w:spacing w:val="1"/>
        </w:rPr>
        <w:t xml:space="preserve"> </w:t>
      </w:r>
      <w:r w:rsidRPr="00780A6C">
        <w:t>capítulo.</w:t>
      </w:r>
      <w:r w:rsidR="0067313A">
        <w:t xml:space="preserve"> </w:t>
      </w:r>
    </w:p>
    <w:p w14:paraId="32C64F90" w14:textId="20AEDFC5" w:rsidR="00501FAE" w:rsidRPr="00780A6C" w:rsidRDefault="00501FAE" w:rsidP="006F4EE2">
      <w:pPr>
        <w:rPr>
          <w:bCs/>
          <w:sz w:val="20"/>
          <w:szCs w:val="20"/>
        </w:rPr>
      </w:pPr>
    </w:p>
    <w:p w14:paraId="60048B3C" w14:textId="77777777" w:rsidR="00501FAE" w:rsidRPr="00780A6C" w:rsidRDefault="00501FAE" w:rsidP="006F4EE2">
      <w:pPr>
        <w:pStyle w:val="Ttulo1"/>
        <w:ind w:left="0"/>
      </w:pPr>
      <w:r w:rsidRPr="00780A6C">
        <w:t>IV</w:t>
      </w:r>
    </w:p>
    <w:p w14:paraId="295E64B9" w14:textId="7DCC423A" w:rsidR="00501FAE" w:rsidRPr="00780A6C" w:rsidRDefault="00501FAE" w:rsidP="00E75B50">
      <w:pPr>
        <w:pStyle w:val="Ttulo1"/>
        <w:ind w:left="0"/>
      </w:pPr>
      <w:r w:rsidRPr="00780A6C">
        <w:rPr>
          <w:spacing w:val="-1"/>
        </w:rPr>
        <w:t>ANÁLISIS</w:t>
      </w:r>
      <w:r w:rsidRPr="00780A6C">
        <w:rPr>
          <w:spacing w:val="-16"/>
        </w:rPr>
        <w:t xml:space="preserve"> </w:t>
      </w:r>
      <w:r w:rsidRPr="00780A6C">
        <w:rPr>
          <w:spacing w:val="-1"/>
        </w:rPr>
        <w:t>DE</w:t>
      </w:r>
      <w:r w:rsidRPr="00780A6C">
        <w:rPr>
          <w:spacing w:val="-15"/>
        </w:rPr>
        <w:t xml:space="preserve"> </w:t>
      </w:r>
      <w:r w:rsidRPr="00780A6C">
        <w:rPr>
          <w:spacing w:val="-1"/>
        </w:rPr>
        <w:t>PROCEDENCIA</w:t>
      </w:r>
      <w:r w:rsidRPr="00780A6C">
        <w:rPr>
          <w:spacing w:val="-16"/>
        </w:rPr>
        <w:t xml:space="preserve"> </w:t>
      </w:r>
      <w:r w:rsidRPr="00780A6C">
        <w:rPr>
          <w:spacing w:val="-1"/>
        </w:rPr>
        <w:t>DE</w:t>
      </w:r>
      <w:r w:rsidRPr="00780A6C">
        <w:rPr>
          <w:spacing w:val="-14"/>
        </w:rPr>
        <w:t xml:space="preserve"> </w:t>
      </w:r>
      <w:r w:rsidRPr="00780A6C">
        <w:t>LA</w:t>
      </w:r>
      <w:r w:rsidRPr="00780A6C">
        <w:rPr>
          <w:spacing w:val="-15"/>
        </w:rPr>
        <w:t xml:space="preserve"> </w:t>
      </w:r>
      <w:r w:rsidRPr="00780A6C">
        <w:t>SOLICITUD</w:t>
      </w:r>
      <w:r w:rsidRPr="00780A6C">
        <w:rPr>
          <w:spacing w:val="-15"/>
        </w:rPr>
        <w:t xml:space="preserve"> </w:t>
      </w:r>
      <w:r w:rsidRPr="00780A6C">
        <w:t>DE</w:t>
      </w:r>
      <w:r w:rsidRPr="00780A6C">
        <w:rPr>
          <w:spacing w:val="-15"/>
        </w:rPr>
        <w:t xml:space="preserve"> </w:t>
      </w:r>
      <w:r w:rsidRPr="00780A6C">
        <w:t>INTERPRETACIÓN</w:t>
      </w:r>
    </w:p>
    <w:p w14:paraId="2E02EA00" w14:textId="77777777" w:rsidR="00501FAE" w:rsidRPr="00780A6C" w:rsidRDefault="00501FAE" w:rsidP="006F4EE2">
      <w:pPr>
        <w:rPr>
          <w:bCs/>
          <w:sz w:val="20"/>
          <w:szCs w:val="20"/>
        </w:rPr>
      </w:pPr>
    </w:p>
    <w:p w14:paraId="500AB7D5" w14:textId="042D4350" w:rsidR="00C84D5D" w:rsidRPr="00780A6C" w:rsidRDefault="00476033" w:rsidP="0010633A">
      <w:pPr>
        <w:pStyle w:val="Prrafodelista"/>
        <w:rPr>
          <w:bCs/>
        </w:rPr>
      </w:pPr>
      <w:r w:rsidRPr="00780A6C">
        <w:t>Este</w:t>
      </w:r>
      <w:r w:rsidRPr="00780A6C">
        <w:rPr>
          <w:spacing w:val="1"/>
        </w:rPr>
        <w:t xml:space="preserve"> </w:t>
      </w:r>
      <w:r w:rsidRPr="00780A6C">
        <w:t>Tribunal</w:t>
      </w:r>
      <w:r w:rsidRPr="00780A6C">
        <w:rPr>
          <w:spacing w:val="1"/>
        </w:rPr>
        <w:t xml:space="preserve"> </w:t>
      </w:r>
      <w:r w:rsidRPr="00780A6C">
        <w:t>analizará</w:t>
      </w:r>
      <w:r w:rsidRPr="00780A6C">
        <w:rPr>
          <w:spacing w:val="1"/>
        </w:rPr>
        <w:t xml:space="preserve"> </w:t>
      </w:r>
      <w:r w:rsidRPr="00780A6C">
        <w:t>la</w:t>
      </w:r>
      <w:r w:rsidRPr="00780A6C">
        <w:rPr>
          <w:spacing w:val="1"/>
        </w:rPr>
        <w:t xml:space="preserve"> </w:t>
      </w:r>
      <w:r w:rsidRPr="00780A6C">
        <w:t>solicitud</w:t>
      </w:r>
      <w:r w:rsidRPr="00780A6C">
        <w:rPr>
          <w:spacing w:val="1"/>
        </w:rPr>
        <w:t xml:space="preserve"> </w:t>
      </w:r>
      <w:r w:rsidRPr="00780A6C">
        <w:t>de</w:t>
      </w:r>
      <w:r w:rsidR="003F7BAE">
        <w:t>l Estado</w:t>
      </w:r>
      <w:r w:rsidRPr="00780A6C">
        <w:rPr>
          <w:spacing w:val="1"/>
        </w:rPr>
        <w:t xml:space="preserve"> </w:t>
      </w:r>
      <w:r w:rsidRPr="00780A6C">
        <w:t>para</w:t>
      </w:r>
      <w:r w:rsidRPr="00780A6C">
        <w:rPr>
          <w:spacing w:val="1"/>
        </w:rPr>
        <w:t xml:space="preserve"> </w:t>
      </w:r>
      <w:r w:rsidRPr="00780A6C">
        <w:t>determinar si, de acuerdo</w:t>
      </w:r>
      <w:r w:rsidR="007F2920" w:rsidRPr="00780A6C">
        <w:t xml:space="preserve"> </w:t>
      </w:r>
      <w:r w:rsidR="00952EB0" w:rsidRPr="00780A6C">
        <w:t>con</w:t>
      </w:r>
      <w:r w:rsidRPr="00780A6C">
        <w:t xml:space="preserve"> la normativa y los estándares desarrollados en su</w:t>
      </w:r>
      <w:r w:rsidRPr="00780A6C">
        <w:rPr>
          <w:spacing w:val="1"/>
        </w:rPr>
        <w:t xml:space="preserve"> </w:t>
      </w:r>
      <w:r w:rsidRPr="00780A6C">
        <w:t>jurisprudencia,</w:t>
      </w:r>
      <w:r w:rsidRPr="00780A6C">
        <w:rPr>
          <w:spacing w:val="-12"/>
        </w:rPr>
        <w:t xml:space="preserve"> </w:t>
      </w:r>
      <w:r w:rsidRPr="00780A6C">
        <w:t>procede</w:t>
      </w:r>
      <w:r w:rsidRPr="00780A6C">
        <w:rPr>
          <w:spacing w:val="-9"/>
        </w:rPr>
        <w:t xml:space="preserve"> </w:t>
      </w:r>
      <w:r w:rsidRPr="00780A6C">
        <w:t>aclarar</w:t>
      </w:r>
      <w:r w:rsidRPr="00780A6C">
        <w:rPr>
          <w:spacing w:val="-11"/>
        </w:rPr>
        <w:t xml:space="preserve"> </w:t>
      </w:r>
      <w:r w:rsidRPr="00780A6C">
        <w:t>el</w:t>
      </w:r>
      <w:r w:rsidRPr="00780A6C">
        <w:rPr>
          <w:spacing w:val="-10"/>
        </w:rPr>
        <w:t xml:space="preserve"> </w:t>
      </w:r>
      <w:r w:rsidRPr="00780A6C">
        <w:t>sentido</w:t>
      </w:r>
      <w:r w:rsidRPr="00780A6C">
        <w:rPr>
          <w:spacing w:val="-11"/>
        </w:rPr>
        <w:t xml:space="preserve"> </w:t>
      </w:r>
      <w:r w:rsidRPr="00780A6C">
        <w:t>o</w:t>
      </w:r>
      <w:r w:rsidRPr="00780A6C">
        <w:rPr>
          <w:spacing w:val="-12"/>
        </w:rPr>
        <w:t xml:space="preserve"> </w:t>
      </w:r>
      <w:r w:rsidRPr="00780A6C">
        <w:t>alcance</w:t>
      </w:r>
      <w:r w:rsidRPr="00780A6C">
        <w:rPr>
          <w:spacing w:val="-12"/>
        </w:rPr>
        <w:t xml:space="preserve"> </w:t>
      </w:r>
      <w:r w:rsidRPr="00780A6C">
        <w:t>de</w:t>
      </w:r>
      <w:r w:rsidRPr="00780A6C">
        <w:rPr>
          <w:spacing w:val="-13"/>
        </w:rPr>
        <w:t xml:space="preserve"> </w:t>
      </w:r>
      <w:r w:rsidRPr="00780A6C">
        <w:t>algún</w:t>
      </w:r>
      <w:r w:rsidRPr="00780A6C">
        <w:rPr>
          <w:spacing w:val="-12"/>
        </w:rPr>
        <w:t xml:space="preserve"> </w:t>
      </w:r>
      <w:r w:rsidRPr="00780A6C">
        <w:t>punto</w:t>
      </w:r>
      <w:r w:rsidRPr="00780A6C">
        <w:rPr>
          <w:spacing w:val="-12"/>
        </w:rPr>
        <w:t xml:space="preserve"> </w:t>
      </w:r>
      <w:r w:rsidRPr="00780A6C">
        <w:t>de</w:t>
      </w:r>
      <w:r w:rsidRPr="00780A6C">
        <w:rPr>
          <w:spacing w:val="-14"/>
        </w:rPr>
        <w:t xml:space="preserve"> </w:t>
      </w:r>
      <w:r w:rsidRPr="00780A6C">
        <w:t>la</w:t>
      </w:r>
      <w:r w:rsidRPr="00780A6C">
        <w:rPr>
          <w:spacing w:val="-13"/>
        </w:rPr>
        <w:t xml:space="preserve"> </w:t>
      </w:r>
      <w:r w:rsidRPr="00780A6C">
        <w:t>Sentencia.</w:t>
      </w:r>
    </w:p>
    <w:p w14:paraId="78B37B12" w14:textId="77777777" w:rsidR="00501FAE" w:rsidRPr="00780A6C" w:rsidRDefault="00501FAE" w:rsidP="0010633A"/>
    <w:p w14:paraId="23BDF763" w14:textId="7C245F6D" w:rsidR="00501FAE" w:rsidRPr="00780A6C" w:rsidRDefault="00476033" w:rsidP="0010633A">
      <w:pPr>
        <w:pStyle w:val="Prrafodelista"/>
        <w:rPr>
          <w:bCs/>
        </w:rPr>
      </w:pPr>
      <w:r w:rsidRPr="00780A6C">
        <w:t>La Corte ha señalado que una solicitud de interpretación de sentencia no puede</w:t>
      </w:r>
      <w:r w:rsidRPr="00780A6C">
        <w:rPr>
          <w:spacing w:val="1"/>
        </w:rPr>
        <w:t xml:space="preserve"> </w:t>
      </w:r>
      <w:r w:rsidRPr="00780A6C">
        <w:t>utilizarse como medio de impugnación de la decisión cuya interpretación se requiere.</w:t>
      </w:r>
      <w:r w:rsidRPr="00780A6C">
        <w:rPr>
          <w:spacing w:val="1"/>
        </w:rPr>
        <w:t xml:space="preserve"> </w:t>
      </w:r>
      <w:r w:rsidRPr="00780A6C">
        <w:t xml:space="preserve">Dicha solicitud tiene como objeto, exclusivamente, determinar el sentido </w:t>
      </w:r>
      <w:r w:rsidR="00503B4E">
        <w:t xml:space="preserve">o alcance </w:t>
      </w:r>
      <w:r w:rsidRPr="00780A6C">
        <w:t>de un fallo</w:t>
      </w:r>
      <w:r w:rsidRPr="00780A6C">
        <w:rPr>
          <w:spacing w:val="1"/>
        </w:rPr>
        <w:t xml:space="preserve"> </w:t>
      </w:r>
      <w:r w:rsidRPr="00780A6C">
        <w:t>cuando alguna de las partes sostiene que el texto de sus puntos resolutivos o de sus</w:t>
      </w:r>
      <w:r w:rsidRPr="00780A6C">
        <w:rPr>
          <w:spacing w:val="1"/>
        </w:rPr>
        <w:t xml:space="preserve"> </w:t>
      </w:r>
      <w:r w:rsidRPr="00780A6C">
        <w:t>consideraciones carece de claridad o precisión, siempre y cuando esas consideraciones</w:t>
      </w:r>
      <w:r w:rsidRPr="00780A6C">
        <w:rPr>
          <w:spacing w:val="1"/>
        </w:rPr>
        <w:t xml:space="preserve"> </w:t>
      </w:r>
      <w:r w:rsidRPr="00780A6C">
        <w:t xml:space="preserve">incidan en dicha parte resolutiva. Por lo tanto, </w:t>
      </w:r>
      <w:bookmarkStart w:id="0" w:name="_Hlk152836518"/>
      <w:r w:rsidRPr="00780A6C">
        <w:t>no se puede solicitar la modificación</w:t>
      </w:r>
      <w:bookmarkEnd w:id="0"/>
      <w:r w:rsidRPr="00780A6C">
        <w:t xml:space="preserve"> o</w:t>
      </w:r>
      <w:r w:rsidRPr="00780A6C">
        <w:rPr>
          <w:spacing w:val="1"/>
        </w:rPr>
        <w:t xml:space="preserve"> </w:t>
      </w:r>
      <w:r w:rsidRPr="00780A6C">
        <w:t>anulación</w:t>
      </w:r>
      <w:r w:rsidRPr="00780A6C">
        <w:rPr>
          <w:spacing w:val="-1"/>
        </w:rPr>
        <w:t xml:space="preserve"> </w:t>
      </w:r>
      <w:r w:rsidRPr="00780A6C">
        <w:t>de</w:t>
      </w:r>
      <w:r w:rsidRPr="00780A6C">
        <w:rPr>
          <w:spacing w:val="-3"/>
        </w:rPr>
        <w:t xml:space="preserve"> </w:t>
      </w:r>
      <w:r w:rsidRPr="00780A6C">
        <w:t>la</w:t>
      </w:r>
      <w:r w:rsidRPr="00780A6C">
        <w:rPr>
          <w:spacing w:val="-2"/>
        </w:rPr>
        <w:t xml:space="preserve"> </w:t>
      </w:r>
      <w:r w:rsidRPr="00780A6C">
        <w:t>sentencia</w:t>
      </w:r>
      <w:r w:rsidRPr="00780A6C">
        <w:rPr>
          <w:spacing w:val="-2"/>
        </w:rPr>
        <w:t xml:space="preserve"> </w:t>
      </w:r>
      <w:r w:rsidRPr="00780A6C">
        <w:t>a</w:t>
      </w:r>
      <w:r w:rsidRPr="00780A6C">
        <w:rPr>
          <w:spacing w:val="-2"/>
        </w:rPr>
        <w:t xml:space="preserve"> </w:t>
      </w:r>
      <w:r w:rsidRPr="00780A6C">
        <w:t>través</w:t>
      </w:r>
      <w:r w:rsidRPr="00780A6C">
        <w:rPr>
          <w:spacing w:val="-3"/>
        </w:rPr>
        <w:t xml:space="preserve"> </w:t>
      </w:r>
      <w:r w:rsidRPr="00780A6C">
        <w:t>de</w:t>
      </w:r>
      <w:r w:rsidRPr="00780A6C">
        <w:rPr>
          <w:spacing w:val="-1"/>
        </w:rPr>
        <w:t xml:space="preserve"> </w:t>
      </w:r>
      <w:r w:rsidRPr="00780A6C">
        <w:t>una</w:t>
      </w:r>
      <w:r w:rsidRPr="00780A6C">
        <w:rPr>
          <w:spacing w:val="-2"/>
        </w:rPr>
        <w:t xml:space="preserve"> </w:t>
      </w:r>
      <w:r w:rsidRPr="00780A6C">
        <w:t>solicitud de</w:t>
      </w:r>
      <w:r w:rsidRPr="00780A6C">
        <w:rPr>
          <w:spacing w:val="-3"/>
        </w:rPr>
        <w:t xml:space="preserve"> </w:t>
      </w:r>
      <w:r w:rsidRPr="00780A6C">
        <w:t>interpretación</w:t>
      </w:r>
      <w:r w:rsidR="00501FAE" w:rsidRPr="00780A6C">
        <w:rPr>
          <w:rStyle w:val="Refdenotaalpie"/>
        </w:rPr>
        <w:footnoteReference w:id="2"/>
      </w:r>
      <w:r w:rsidRPr="00780A6C">
        <w:t>.</w:t>
      </w:r>
    </w:p>
    <w:p w14:paraId="49C85C7E" w14:textId="77777777" w:rsidR="00501FAE" w:rsidRPr="00780A6C" w:rsidRDefault="00501FAE" w:rsidP="0010633A"/>
    <w:p w14:paraId="72BDFF32" w14:textId="7D746080" w:rsidR="00893D8F" w:rsidRDefault="00476033" w:rsidP="0010633A">
      <w:pPr>
        <w:pStyle w:val="Prrafodelista"/>
        <w:rPr>
          <w:bCs/>
        </w:rPr>
      </w:pPr>
      <w:r w:rsidRPr="00780A6C">
        <w:t>Adicionalmente,</w:t>
      </w:r>
      <w:r w:rsidRPr="00780A6C">
        <w:rPr>
          <w:spacing w:val="-6"/>
        </w:rPr>
        <w:t xml:space="preserve"> </w:t>
      </w:r>
      <w:r w:rsidRPr="00780A6C">
        <w:t>la</w:t>
      </w:r>
      <w:r w:rsidRPr="00780A6C">
        <w:rPr>
          <w:spacing w:val="-4"/>
        </w:rPr>
        <w:t xml:space="preserve"> </w:t>
      </w:r>
      <w:r w:rsidRPr="00780A6C">
        <w:t>Corte</w:t>
      </w:r>
      <w:r w:rsidRPr="00780A6C">
        <w:rPr>
          <w:spacing w:val="-7"/>
        </w:rPr>
        <w:t xml:space="preserve"> </w:t>
      </w:r>
      <w:r w:rsidRPr="00780A6C">
        <w:t>ha</w:t>
      </w:r>
      <w:r w:rsidRPr="00780A6C">
        <w:rPr>
          <w:spacing w:val="-4"/>
        </w:rPr>
        <w:t xml:space="preserve"> </w:t>
      </w:r>
      <w:r w:rsidRPr="00780A6C">
        <w:t>sostenido</w:t>
      </w:r>
      <w:r w:rsidRPr="00780A6C">
        <w:rPr>
          <w:spacing w:val="-6"/>
        </w:rPr>
        <w:t xml:space="preserve"> </w:t>
      </w:r>
      <w:r w:rsidR="00503B4E">
        <w:t>que es improcedente</w:t>
      </w:r>
      <w:r w:rsidRPr="00780A6C">
        <w:rPr>
          <w:spacing w:val="-7"/>
        </w:rPr>
        <w:t xml:space="preserve"> </w:t>
      </w:r>
      <w:r w:rsidRPr="00780A6C">
        <w:t>utilizar</w:t>
      </w:r>
      <w:r w:rsidRPr="00780A6C">
        <w:rPr>
          <w:spacing w:val="-5"/>
        </w:rPr>
        <w:t xml:space="preserve"> </w:t>
      </w:r>
      <w:r w:rsidRPr="00780A6C">
        <w:t>una</w:t>
      </w:r>
      <w:r w:rsidRPr="00780A6C">
        <w:rPr>
          <w:spacing w:val="-4"/>
        </w:rPr>
        <w:t xml:space="preserve"> </w:t>
      </w:r>
      <w:r w:rsidRPr="00780A6C">
        <w:t>solicitud</w:t>
      </w:r>
      <w:r w:rsidRPr="00780A6C">
        <w:rPr>
          <w:spacing w:val="-5"/>
        </w:rPr>
        <w:t xml:space="preserve"> </w:t>
      </w:r>
      <w:r w:rsidRPr="00780A6C">
        <w:t>de</w:t>
      </w:r>
      <w:r w:rsidRPr="00780A6C">
        <w:rPr>
          <w:spacing w:val="-68"/>
        </w:rPr>
        <w:t xml:space="preserve"> </w:t>
      </w:r>
      <w:r w:rsidRPr="00780A6C">
        <w:t>interpretación para someter consideraciones sobre cuestiones de hecho y de derecho</w:t>
      </w:r>
      <w:r w:rsidRPr="00780A6C">
        <w:rPr>
          <w:spacing w:val="1"/>
        </w:rPr>
        <w:t xml:space="preserve"> </w:t>
      </w:r>
      <w:r w:rsidRPr="00780A6C">
        <w:t xml:space="preserve">que ya fueron planteadas en </w:t>
      </w:r>
      <w:r w:rsidR="00F004BE">
        <w:t>la</w:t>
      </w:r>
      <w:r w:rsidR="00F004BE" w:rsidRPr="00780A6C">
        <w:t xml:space="preserve"> </w:t>
      </w:r>
      <w:r w:rsidRPr="00780A6C">
        <w:t>oportunidad procesal</w:t>
      </w:r>
      <w:r w:rsidR="00F004BE">
        <w:t xml:space="preserve"> correspondiente</w:t>
      </w:r>
      <w:r w:rsidRPr="00780A6C">
        <w:t xml:space="preserve"> y sobre las cuales la Corte ya</w:t>
      </w:r>
      <w:r w:rsidRPr="00780A6C">
        <w:rPr>
          <w:spacing w:val="1"/>
        </w:rPr>
        <w:t xml:space="preserve"> </w:t>
      </w:r>
      <w:r w:rsidRPr="00780A6C">
        <w:t>adoptó</w:t>
      </w:r>
      <w:r w:rsidRPr="00780A6C">
        <w:rPr>
          <w:spacing w:val="1"/>
        </w:rPr>
        <w:t xml:space="preserve"> </w:t>
      </w:r>
      <w:r w:rsidRPr="00780A6C">
        <w:t>una</w:t>
      </w:r>
      <w:r w:rsidRPr="00780A6C">
        <w:rPr>
          <w:spacing w:val="1"/>
        </w:rPr>
        <w:t xml:space="preserve"> </w:t>
      </w:r>
      <w:r w:rsidRPr="00780A6C">
        <w:t>decisión</w:t>
      </w:r>
      <w:r w:rsidR="00501FAE" w:rsidRPr="00780A6C">
        <w:rPr>
          <w:rStyle w:val="Refdenotaalpie"/>
        </w:rPr>
        <w:footnoteReference w:id="3"/>
      </w:r>
      <w:r w:rsidRPr="00780A6C">
        <w:t>,</w:t>
      </w:r>
      <w:r w:rsidRPr="00780A6C">
        <w:rPr>
          <w:spacing w:val="1"/>
        </w:rPr>
        <w:t xml:space="preserve"> </w:t>
      </w:r>
      <w:r w:rsidRPr="00780A6C">
        <w:t>así</w:t>
      </w:r>
      <w:r w:rsidRPr="00780A6C">
        <w:rPr>
          <w:spacing w:val="1"/>
        </w:rPr>
        <w:t xml:space="preserve"> </w:t>
      </w:r>
      <w:r w:rsidRPr="00780A6C">
        <w:t>como</w:t>
      </w:r>
      <w:r w:rsidRPr="00780A6C">
        <w:rPr>
          <w:spacing w:val="1"/>
        </w:rPr>
        <w:t xml:space="preserve"> </w:t>
      </w:r>
      <w:r w:rsidRPr="00780A6C">
        <w:t>para</w:t>
      </w:r>
      <w:r w:rsidRPr="00780A6C">
        <w:rPr>
          <w:spacing w:val="1"/>
        </w:rPr>
        <w:t xml:space="preserve"> </w:t>
      </w:r>
      <w:r w:rsidRPr="00780A6C">
        <w:t>pretender</w:t>
      </w:r>
      <w:r w:rsidRPr="00780A6C">
        <w:rPr>
          <w:spacing w:val="1"/>
        </w:rPr>
        <w:t xml:space="preserve"> </w:t>
      </w:r>
      <w:r w:rsidRPr="00780A6C">
        <w:t>que</w:t>
      </w:r>
      <w:r w:rsidRPr="00780A6C">
        <w:rPr>
          <w:spacing w:val="1"/>
        </w:rPr>
        <w:t xml:space="preserve"> </w:t>
      </w:r>
      <w:r w:rsidRPr="00780A6C">
        <w:t>la</w:t>
      </w:r>
      <w:r w:rsidRPr="00780A6C">
        <w:rPr>
          <w:spacing w:val="1"/>
        </w:rPr>
        <w:t xml:space="preserve"> </w:t>
      </w:r>
      <w:bookmarkStart w:id="1" w:name="_Hlk152836312"/>
      <w:r w:rsidRPr="00780A6C">
        <w:t>Corte</w:t>
      </w:r>
      <w:r w:rsidRPr="00780A6C">
        <w:rPr>
          <w:spacing w:val="1"/>
        </w:rPr>
        <w:t xml:space="preserve"> </w:t>
      </w:r>
      <w:r w:rsidRPr="00780A6C">
        <w:t>valore</w:t>
      </w:r>
      <w:r w:rsidRPr="00780A6C">
        <w:rPr>
          <w:spacing w:val="1"/>
        </w:rPr>
        <w:t xml:space="preserve"> </w:t>
      </w:r>
      <w:r w:rsidR="00B20139" w:rsidRPr="00780A6C">
        <w:t>nuevamente cuestiones</w:t>
      </w:r>
      <w:bookmarkEnd w:id="1"/>
      <w:r w:rsidR="00B20139" w:rsidRPr="00780A6C">
        <w:t xml:space="preserve"> </w:t>
      </w:r>
      <w:r w:rsidRPr="00780A6C">
        <w:t>que ya han sido resueltas en la Sentencia</w:t>
      </w:r>
      <w:r w:rsidR="00501FAE" w:rsidRPr="00780A6C">
        <w:rPr>
          <w:rStyle w:val="Refdenotaalpie"/>
        </w:rPr>
        <w:footnoteReference w:id="4"/>
      </w:r>
      <w:r w:rsidRPr="00780A6C">
        <w:t>. De igual manera, por esta vía</w:t>
      </w:r>
      <w:r w:rsidRPr="00780A6C">
        <w:rPr>
          <w:spacing w:val="1"/>
        </w:rPr>
        <w:t xml:space="preserve"> </w:t>
      </w:r>
      <w:r w:rsidRPr="00780A6C">
        <w:t xml:space="preserve">tampoco se puede intentar que se amplíe el alcance de una </w:t>
      </w:r>
      <w:bookmarkStart w:id="2" w:name="_Hlk152836264"/>
      <w:r w:rsidRPr="00780A6C">
        <w:t>medida de reparación</w:t>
      </w:r>
      <w:r w:rsidRPr="00780A6C">
        <w:rPr>
          <w:spacing w:val="1"/>
        </w:rPr>
        <w:t xml:space="preserve"> </w:t>
      </w:r>
      <w:r w:rsidRPr="00780A6C">
        <w:t>ordenada</w:t>
      </w:r>
      <w:r w:rsidRPr="00780A6C">
        <w:rPr>
          <w:spacing w:val="-2"/>
        </w:rPr>
        <w:t xml:space="preserve"> </w:t>
      </w:r>
      <w:r w:rsidRPr="00780A6C">
        <w:t>oportunamente</w:t>
      </w:r>
      <w:bookmarkEnd w:id="2"/>
      <w:r w:rsidR="00501FAE" w:rsidRPr="00780A6C">
        <w:rPr>
          <w:rStyle w:val="Refdenotaalpie"/>
        </w:rPr>
        <w:footnoteReference w:id="5"/>
      </w:r>
      <w:r w:rsidRPr="00780A6C">
        <w:t>.</w:t>
      </w:r>
    </w:p>
    <w:p w14:paraId="7DF41A9F" w14:textId="77777777" w:rsidR="00893D8F" w:rsidRPr="00893D8F" w:rsidRDefault="00893D8F" w:rsidP="0010633A"/>
    <w:p w14:paraId="4F2428BC" w14:textId="7D342C14" w:rsidR="00317D44" w:rsidRPr="00893D8F" w:rsidRDefault="00476033" w:rsidP="0010633A">
      <w:pPr>
        <w:pStyle w:val="Prrafodelista"/>
        <w:rPr>
          <w:bCs/>
        </w:rPr>
      </w:pPr>
      <w:r w:rsidRPr="00893D8F">
        <w:t>A</w:t>
      </w:r>
      <w:r w:rsidRPr="00893D8F">
        <w:rPr>
          <w:spacing w:val="-11"/>
        </w:rPr>
        <w:t xml:space="preserve"> </w:t>
      </w:r>
      <w:r w:rsidRPr="00893D8F">
        <w:t>continuación,</w:t>
      </w:r>
      <w:r w:rsidRPr="00893D8F">
        <w:rPr>
          <w:spacing w:val="-11"/>
        </w:rPr>
        <w:t xml:space="preserve"> </w:t>
      </w:r>
      <w:r w:rsidRPr="00893D8F">
        <w:t>la</w:t>
      </w:r>
      <w:r w:rsidRPr="00893D8F">
        <w:rPr>
          <w:spacing w:val="-10"/>
        </w:rPr>
        <w:t xml:space="preserve"> </w:t>
      </w:r>
      <w:r w:rsidRPr="00893D8F">
        <w:t>Corte</w:t>
      </w:r>
      <w:r w:rsidRPr="00893D8F">
        <w:rPr>
          <w:spacing w:val="-9"/>
        </w:rPr>
        <w:t xml:space="preserve"> </w:t>
      </w:r>
      <w:r w:rsidRPr="00893D8F">
        <w:t>Interamericana</w:t>
      </w:r>
      <w:r w:rsidRPr="00893D8F">
        <w:rPr>
          <w:spacing w:val="-11"/>
        </w:rPr>
        <w:t xml:space="preserve"> </w:t>
      </w:r>
      <w:r w:rsidRPr="00893D8F">
        <w:t>examinará</w:t>
      </w:r>
      <w:r w:rsidR="00456EBF" w:rsidRPr="00893D8F">
        <w:t xml:space="preserve"> la</w:t>
      </w:r>
      <w:r w:rsidR="00157F4C" w:rsidRPr="00893D8F">
        <w:t>s cuestiones planteadas en el siguiente orden:</w:t>
      </w:r>
      <w:r w:rsidRPr="00893D8F">
        <w:rPr>
          <w:spacing w:val="-10"/>
        </w:rPr>
        <w:t xml:space="preserve"> </w:t>
      </w:r>
      <w:r w:rsidR="00456EBF" w:rsidRPr="00893D8F">
        <w:rPr>
          <w:spacing w:val="-10"/>
        </w:rPr>
        <w:t>(</w:t>
      </w:r>
      <w:r w:rsidR="00F004BE" w:rsidRPr="00893D8F">
        <w:t>A</w:t>
      </w:r>
      <w:r w:rsidRPr="00893D8F">
        <w:t>)</w:t>
      </w:r>
      <w:r w:rsidRPr="00893D8F">
        <w:rPr>
          <w:spacing w:val="14"/>
        </w:rPr>
        <w:t xml:space="preserve"> </w:t>
      </w:r>
      <w:r w:rsidR="00893D8F" w:rsidRPr="00893D8F">
        <w:t xml:space="preserve">solicitud de interpretación </w:t>
      </w:r>
      <w:r w:rsidR="00CB5890">
        <w:t>sobre</w:t>
      </w:r>
      <w:r w:rsidR="00893D8F" w:rsidRPr="00893D8F">
        <w:t xml:space="preserve"> los derechos a las garantías judiciales y a la protección judicial</w:t>
      </w:r>
      <w:r w:rsidR="004741E6">
        <w:t>;</w:t>
      </w:r>
      <w:r w:rsidR="00157F4C" w:rsidRPr="00893D8F">
        <w:t xml:space="preserve"> </w:t>
      </w:r>
      <w:r w:rsidR="00157F4C" w:rsidRPr="00893D8F">
        <w:rPr>
          <w:spacing w:val="-10"/>
        </w:rPr>
        <w:t>(</w:t>
      </w:r>
      <w:r w:rsidR="00157F4C" w:rsidRPr="00893D8F">
        <w:t>B)</w:t>
      </w:r>
      <w:r w:rsidR="00893D8F" w:rsidRPr="00893D8F">
        <w:t xml:space="preserve"> solicitud de interpretación </w:t>
      </w:r>
      <w:r w:rsidR="001438B7">
        <w:t>sobre el</w:t>
      </w:r>
      <w:r w:rsidR="00893D8F" w:rsidRPr="00893D8F">
        <w:t xml:space="preserve"> derecho al trabajo</w:t>
      </w:r>
      <w:r w:rsidR="004741E6">
        <w:t>;</w:t>
      </w:r>
      <w:r w:rsidR="00157F4C" w:rsidRPr="00893D8F">
        <w:t xml:space="preserve"> </w:t>
      </w:r>
      <w:r w:rsidR="00157F4C" w:rsidRPr="003F7BAE">
        <w:t>(</w:t>
      </w:r>
      <w:r w:rsidR="00157F4C" w:rsidRPr="00893D8F">
        <w:t>C)</w:t>
      </w:r>
      <w:r w:rsidR="00893D8F" w:rsidRPr="00893D8F">
        <w:t xml:space="preserve"> solicitud de interpretación </w:t>
      </w:r>
      <w:r w:rsidR="00B77F15">
        <w:t>sobre</w:t>
      </w:r>
      <w:r w:rsidR="00893D8F" w:rsidRPr="00893D8F">
        <w:t xml:space="preserve"> la medida de satisfacción relativa al mandato de inscripción en el Registro Nacional de Trabajadores Cesados Irregularmente</w:t>
      </w:r>
      <w:r w:rsidR="00157F4C" w:rsidRPr="00893D8F">
        <w:t xml:space="preserve">, y </w:t>
      </w:r>
      <w:r w:rsidR="00157F4C" w:rsidRPr="003F7BAE">
        <w:t>(</w:t>
      </w:r>
      <w:r w:rsidR="00157F4C" w:rsidRPr="00893D8F">
        <w:t>D)</w:t>
      </w:r>
      <w:r w:rsidR="00157F4C" w:rsidRPr="003F7BAE">
        <w:t xml:space="preserve"> </w:t>
      </w:r>
      <w:r w:rsidR="00893D8F" w:rsidRPr="003F7BAE">
        <w:t xml:space="preserve">solicitud de interpretación </w:t>
      </w:r>
      <w:r w:rsidR="00503B4E">
        <w:t>sobre</w:t>
      </w:r>
      <w:r w:rsidR="00893D8F" w:rsidRPr="003F7BAE">
        <w:t xml:space="preserve"> las costas y gastos</w:t>
      </w:r>
      <w:r w:rsidR="00317D44" w:rsidRPr="00893D8F">
        <w:t>.</w:t>
      </w:r>
    </w:p>
    <w:p w14:paraId="30E14307" w14:textId="3275C0BB" w:rsidR="00317D44" w:rsidRPr="00780A6C" w:rsidRDefault="00317D44" w:rsidP="006F4EE2">
      <w:pPr>
        <w:rPr>
          <w:sz w:val="20"/>
          <w:szCs w:val="20"/>
        </w:rPr>
      </w:pPr>
    </w:p>
    <w:p w14:paraId="10D459AF" w14:textId="40635F28" w:rsidR="00317D44" w:rsidRPr="00503B4E" w:rsidRDefault="00317D44" w:rsidP="004741E6">
      <w:pPr>
        <w:pStyle w:val="Ttulo2"/>
      </w:pPr>
      <w:r w:rsidRPr="004741E6">
        <w:t>Solicitud</w:t>
      </w:r>
      <w:r w:rsidRPr="00503B4E">
        <w:t xml:space="preserve"> </w:t>
      </w:r>
      <w:r w:rsidRPr="004741E6">
        <w:t>de</w:t>
      </w:r>
      <w:r w:rsidRPr="00503B4E">
        <w:t xml:space="preserve"> </w:t>
      </w:r>
      <w:r w:rsidRPr="004741E6">
        <w:t>interpretación</w:t>
      </w:r>
      <w:r w:rsidRPr="00503B4E">
        <w:t xml:space="preserve"> </w:t>
      </w:r>
      <w:r w:rsidR="00CB5890" w:rsidRPr="004741E6">
        <w:t>sobre</w:t>
      </w:r>
      <w:r w:rsidR="00157F4C" w:rsidRPr="004741E6">
        <w:t xml:space="preserve"> los derechos a las garantías judiciales y a la protección judicial</w:t>
      </w:r>
    </w:p>
    <w:p w14:paraId="3D813A08" w14:textId="77777777" w:rsidR="00317D44" w:rsidRPr="00780A6C" w:rsidRDefault="00317D44" w:rsidP="006F4EE2">
      <w:pPr>
        <w:pStyle w:val="Textoindependiente"/>
        <w:rPr>
          <w:b/>
          <w:i/>
        </w:rPr>
      </w:pPr>
    </w:p>
    <w:p w14:paraId="6A6FA6D0" w14:textId="2E58DE68" w:rsidR="00317D44" w:rsidRPr="004741E6" w:rsidRDefault="00317D44" w:rsidP="00503B4E">
      <w:pPr>
        <w:pStyle w:val="Ttulo3"/>
      </w:pPr>
      <w:r w:rsidRPr="004741E6">
        <w:t>A.1 Argumentos</w:t>
      </w:r>
      <w:r w:rsidRPr="00503B4E">
        <w:t xml:space="preserve"> </w:t>
      </w:r>
      <w:r w:rsidRPr="004741E6">
        <w:t>de</w:t>
      </w:r>
      <w:r w:rsidRPr="00503B4E">
        <w:t xml:space="preserve"> </w:t>
      </w:r>
      <w:r w:rsidRPr="004741E6">
        <w:t>las</w:t>
      </w:r>
      <w:r w:rsidRPr="00503B4E">
        <w:t xml:space="preserve"> </w:t>
      </w:r>
      <w:r w:rsidRPr="004741E6">
        <w:t>partes</w:t>
      </w:r>
      <w:r w:rsidRPr="00503B4E">
        <w:t xml:space="preserve"> </w:t>
      </w:r>
      <w:r w:rsidR="00157F4C" w:rsidRPr="00503B4E">
        <w:t xml:space="preserve">y la Comisión </w:t>
      </w:r>
    </w:p>
    <w:p w14:paraId="61030F0E" w14:textId="77777777" w:rsidR="00317D44" w:rsidRPr="00780A6C" w:rsidRDefault="00317D44" w:rsidP="006F4EE2">
      <w:pPr>
        <w:rPr>
          <w:sz w:val="20"/>
          <w:szCs w:val="20"/>
        </w:rPr>
      </w:pPr>
    </w:p>
    <w:p w14:paraId="6B01F072" w14:textId="33080B94" w:rsidR="00FD2E1F" w:rsidRPr="00FD2E1F" w:rsidRDefault="00FD2E1F" w:rsidP="0010633A">
      <w:pPr>
        <w:pStyle w:val="Prrafodelista"/>
      </w:pPr>
      <w:r w:rsidRPr="00FD2E1F">
        <w:t xml:space="preserve">El </w:t>
      </w:r>
      <w:r w:rsidRPr="00FD2E1F">
        <w:rPr>
          <w:b/>
          <w:i/>
        </w:rPr>
        <w:t>Estado</w:t>
      </w:r>
      <w:r w:rsidRPr="00FD2E1F">
        <w:t xml:space="preserve"> solicitó la aclaración del punto resolutivo 6 en relación con </w:t>
      </w:r>
      <w:r w:rsidR="00AC027A" w:rsidRPr="00FD0F67">
        <w:t>e</w:t>
      </w:r>
      <w:r w:rsidRPr="00FD0F67">
        <w:t>l párrafo 10</w:t>
      </w:r>
      <w:r w:rsidR="00FD0F67" w:rsidRPr="00FD0F67">
        <w:t>5</w:t>
      </w:r>
      <w:r w:rsidRPr="00FD0F67">
        <w:t xml:space="preserve"> de la Sentencia, </w:t>
      </w:r>
      <w:r w:rsidR="005B57B9">
        <w:t>referido</w:t>
      </w:r>
      <w:r w:rsidR="005B57B9" w:rsidRPr="00FD0F67">
        <w:t xml:space="preserve"> </w:t>
      </w:r>
      <w:r w:rsidR="005B57B9">
        <w:t>a</w:t>
      </w:r>
      <w:r w:rsidR="005B57B9" w:rsidRPr="00FD0F67">
        <w:t xml:space="preserve"> </w:t>
      </w:r>
      <w:r w:rsidRPr="00FD0F67">
        <w:t>l</w:t>
      </w:r>
      <w:r w:rsidR="00CD6528" w:rsidRPr="00FD0F67">
        <w:t>a</w:t>
      </w:r>
      <w:r w:rsidRPr="00FD0F67">
        <w:t xml:space="preserve"> “vulneración de los derechos reconocidos en los artículos 8.1 </w:t>
      </w:r>
      <w:r w:rsidRPr="00FD0F67">
        <w:lastRenderedPageBreak/>
        <w:t>y 25.1 de la Convención Americana”. Alegó que</w:t>
      </w:r>
      <w:r w:rsidR="00CB5890">
        <w:t>,</w:t>
      </w:r>
      <w:r w:rsidRPr="00FD0F67">
        <w:t xml:space="preserve"> de </w:t>
      </w:r>
      <w:r w:rsidR="005B57B9">
        <w:t>acuerdo con ese</w:t>
      </w:r>
      <w:r w:rsidR="005B57B9" w:rsidRPr="00FD0F67">
        <w:t xml:space="preserve"> </w:t>
      </w:r>
      <w:r w:rsidRPr="00FD0F67">
        <w:t>párrafo</w:t>
      </w:r>
      <w:r w:rsidR="005B57B9">
        <w:t>,</w:t>
      </w:r>
      <w:r w:rsidRPr="00FD0F67">
        <w:t xml:space="preserve"> se </w:t>
      </w:r>
      <w:r w:rsidR="00CB5890">
        <w:t>puede entender</w:t>
      </w:r>
      <w:r w:rsidRPr="00FD0F67">
        <w:t xml:space="preserve"> que serían las 184 víctimas las que habrían visto vulnerado su derecho a ser oídos con las debidas garantías y dentro de un plazo razonabl</w:t>
      </w:r>
      <w:r w:rsidRPr="00FD2E1F">
        <w:t xml:space="preserve">e. </w:t>
      </w:r>
      <w:r w:rsidR="005B57B9">
        <w:t xml:space="preserve">Sin embargo, </w:t>
      </w:r>
      <w:r w:rsidR="00935FA4">
        <w:t xml:space="preserve">sostuvo que </w:t>
      </w:r>
      <w:r w:rsidR="00CB5890">
        <w:t xml:space="preserve">solo fueron </w:t>
      </w:r>
      <w:r w:rsidRPr="00FD2E1F">
        <w:t>20 víctimas las que interpusieron la acción de amparo con la finalidad de cuestionar su cese en el empleo</w:t>
      </w:r>
      <w:r w:rsidR="00CB5890">
        <w:t>,</w:t>
      </w:r>
      <w:r>
        <w:t xml:space="preserve"> por lo </w:t>
      </w:r>
      <w:r w:rsidR="00CB5890">
        <w:t>que</w:t>
      </w:r>
      <w:r w:rsidR="005B57B9">
        <w:t xml:space="preserve"> sería </w:t>
      </w:r>
      <w:r w:rsidRPr="00FD2E1F">
        <w:t xml:space="preserve">contradictorio </w:t>
      </w:r>
      <w:r w:rsidR="00935FA4">
        <w:t>afirmar</w:t>
      </w:r>
      <w:r w:rsidRPr="00FD2E1F">
        <w:t xml:space="preserve"> que </w:t>
      </w:r>
      <w:r w:rsidR="005B57B9">
        <w:t>respecto de las</w:t>
      </w:r>
      <w:r w:rsidRPr="00FD2E1F">
        <w:t xml:space="preserve"> 164 personas </w:t>
      </w:r>
      <w:r w:rsidR="005B57B9">
        <w:t xml:space="preserve">restantes hubo una </w:t>
      </w:r>
      <w:r w:rsidRPr="00FD2E1F">
        <w:t xml:space="preserve">vulneración </w:t>
      </w:r>
      <w:r w:rsidR="005B57B9">
        <w:t>a</w:t>
      </w:r>
      <w:r w:rsidR="005B57B9" w:rsidRPr="00FD2E1F">
        <w:t xml:space="preserve"> </w:t>
      </w:r>
      <w:r w:rsidRPr="00FD2E1F">
        <w:t xml:space="preserve">su derecho a ser oídas dentro de un plazo razonable, </w:t>
      </w:r>
      <w:r w:rsidR="005B57B9">
        <w:t>“</w:t>
      </w:r>
      <w:r w:rsidRPr="00FD2E1F">
        <w:t>toda vez que no habrían acudido a ningún proceso judicial para cuestionar su cese en el empleo</w:t>
      </w:r>
      <w:r>
        <w:t xml:space="preserve">”. Por lo anterior, solicitó </w:t>
      </w:r>
      <w:r w:rsidR="00CB5890">
        <w:t xml:space="preserve">a </w:t>
      </w:r>
      <w:r>
        <w:t>la Corte</w:t>
      </w:r>
      <w:r w:rsidR="00CB5890">
        <w:t xml:space="preserve"> que</w:t>
      </w:r>
      <w:r>
        <w:t xml:space="preserve"> “</w:t>
      </w:r>
      <w:r w:rsidRPr="00FD2E1F">
        <w:t>esclarezca y precise el párrafo 105 de la Sentencia, en concordancia con el punto resolutivo sexto de la misma, respecto al número de personas que no interpusieron acción de amparo y que habrían visto afectado su derecho a ser oídos con las debidas garantías, debido a que no existía un recurso idóneo; y respecto de las que sí interpusieron el recurso de amparo, pero que, dada la demora excesiva, vieron vulnerado su derecho a ser oídas dentro de un plazo razonable</w:t>
      </w:r>
      <w:r>
        <w:t>”.</w:t>
      </w:r>
    </w:p>
    <w:p w14:paraId="7D4B3C4A" w14:textId="77777777" w:rsidR="0095523A" w:rsidRPr="00780A6C" w:rsidRDefault="0095523A" w:rsidP="0010633A"/>
    <w:p w14:paraId="4A54EA5A" w14:textId="68EC8E27" w:rsidR="0095523A" w:rsidRPr="003B35C4" w:rsidRDefault="0095523A" w:rsidP="0010633A">
      <w:pPr>
        <w:pStyle w:val="Prrafodelista"/>
      </w:pPr>
      <w:r w:rsidRPr="003B35C4">
        <w:t>El</w:t>
      </w:r>
      <w:r w:rsidRPr="003B35C4">
        <w:rPr>
          <w:spacing w:val="-5"/>
        </w:rPr>
        <w:t xml:space="preserve"> </w:t>
      </w:r>
      <w:r w:rsidRPr="003B35C4">
        <w:rPr>
          <w:b/>
          <w:i/>
        </w:rPr>
        <w:t>representante</w:t>
      </w:r>
      <w:r w:rsidRPr="003B35C4">
        <w:rPr>
          <w:b/>
          <w:i/>
          <w:spacing w:val="-1"/>
        </w:rPr>
        <w:t xml:space="preserve"> </w:t>
      </w:r>
      <w:r w:rsidRPr="003B35C4">
        <w:t>alegó que</w:t>
      </w:r>
      <w:r w:rsidR="005B57B9">
        <w:t>,</w:t>
      </w:r>
      <w:r w:rsidRPr="003B35C4">
        <w:t xml:space="preserve"> </w:t>
      </w:r>
      <w:r w:rsidR="00CB5890">
        <w:t>en</w:t>
      </w:r>
      <w:r w:rsidR="005B57B9">
        <w:t xml:space="preserve"> la medida en que</w:t>
      </w:r>
      <w:r w:rsidR="00CB5890">
        <w:t xml:space="preserve"> la Corte no hace distinción alguna entre </w:t>
      </w:r>
      <w:r w:rsidR="003B35C4" w:rsidRPr="003B35C4">
        <w:t xml:space="preserve">las víctimas, puede interpretarse que su razonamiento alcanza a la totalidad de </w:t>
      </w:r>
      <w:r w:rsidR="005B57B9">
        <w:t>estas, pues</w:t>
      </w:r>
      <w:r w:rsidR="003B35C4" w:rsidRPr="003B35C4">
        <w:t xml:space="preserve"> “todas ellas encararon el mismo contexto generalizado de ineficacia de las instituciones judiciales, de ausencia de garantías de independencia e imparcialidad y de falta de claridad sobre la vía a la cual acudir frente a los ceses colectivos”. </w:t>
      </w:r>
      <w:r w:rsidR="005B57B9">
        <w:t>A</w:t>
      </w:r>
      <w:r w:rsidR="003B35C4">
        <w:t xml:space="preserve">rgumentó </w:t>
      </w:r>
      <w:r w:rsidR="005B57B9">
        <w:t xml:space="preserve">también </w:t>
      </w:r>
      <w:r w:rsidR="003B35C4">
        <w:t xml:space="preserve">que </w:t>
      </w:r>
      <w:r w:rsidR="003B35C4" w:rsidRPr="003B35C4">
        <w:t>el Estado pretende</w:t>
      </w:r>
      <w:r w:rsidR="00CB5890">
        <w:t xml:space="preserve"> </w:t>
      </w:r>
      <w:r w:rsidR="003B35C4" w:rsidRPr="003B35C4">
        <w:t>traer a debate por vía de una interpretación aspectos que ya fueron resueltos</w:t>
      </w:r>
      <w:r w:rsidR="003B35C4">
        <w:t xml:space="preserve"> en la Sentencia</w:t>
      </w:r>
      <w:r w:rsidR="00CB5890">
        <w:t xml:space="preserve">. </w:t>
      </w:r>
      <w:r w:rsidR="00246FF6">
        <w:t>S</w:t>
      </w:r>
      <w:r w:rsidR="003B35C4">
        <w:t xml:space="preserve">olicitó que la </w:t>
      </w:r>
      <w:r w:rsidR="005B57B9">
        <w:t xml:space="preserve">interpretación </w:t>
      </w:r>
      <w:r w:rsidR="00246FF6">
        <w:t xml:space="preserve">en relación con este punto </w:t>
      </w:r>
      <w:r w:rsidR="003B35C4">
        <w:t>sea “</w:t>
      </w:r>
      <w:r w:rsidR="003B35C4" w:rsidRPr="003B35C4">
        <w:t>declarada improcedente</w:t>
      </w:r>
      <w:r w:rsidR="003B35C4">
        <w:t>”.</w:t>
      </w:r>
    </w:p>
    <w:p w14:paraId="36AF681F" w14:textId="77777777" w:rsidR="0095523A" w:rsidRPr="00780A6C" w:rsidRDefault="0095523A" w:rsidP="0010633A"/>
    <w:p w14:paraId="586285CD" w14:textId="46DDAC68" w:rsidR="0095523A" w:rsidRPr="00780A6C" w:rsidRDefault="0095523A" w:rsidP="0010633A">
      <w:pPr>
        <w:pStyle w:val="Prrafodelista"/>
      </w:pPr>
      <w:r w:rsidRPr="0095523A">
        <w:t xml:space="preserve">La </w:t>
      </w:r>
      <w:r w:rsidRPr="0095523A">
        <w:rPr>
          <w:b/>
          <w:i/>
        </w:rPr>
        <w:t xml:space="preserve">Comisión </w:t>
      </w:r>
      <w:r w:rsidRPr="0095523A">
        <w:t xml:space="preserve">indicó que la “consulta realizada por el Estado no corresponde a los supuestos de interpretación establecidos en el artículo 67 de la Convención”, debido a que </w:t>
      </w:r>
      <w:r>
        <w:t>“</w:t>
      </w:r>
      <w:r w:rsidR="003B35C4" w:rsidRPr="003B35C4">
        <w:t>no versa sobre el sentido o alcance del fallo, sino que consiste en una inconformidad sobre la forma en que la Corte habría realizado su análisis de atribución de responsabilidad internacional</w:t>
      </w:r>
      <w:r w:rsidRPr="0095523A">
        <w:t>”</w:t>
      </w:r>
      <w:r>
        <w:t>.</w:t>
      </w:r>
      <w:r w:rsidRPr="0095523A">
        <w:t xml:space="preserve"> En consecuencia, </w:t>
      </w:r>
      <w:r w:rsidR="00CB5890">
        <w:t>sostuvo</w:t>
      </w:r>
      <w:r w:rsidR="00CB5890" w:rsidRPr="0095523A">
        <w:t xml:space="preserve"> </w:t>
      </w:r>
      <w:r w:rsidRPr="0095523A">
        <w:t xml:space="preserve">que la solicitud del Estado </w:t>
      </w:r>
      <w:r w:rsidR="00246FF6">
        <w:t>es</w:t>
      </w:r>
      <w:r w:rsidRPr="0095523A">
        <w:t xml:space="preserve"> improcedente.</w:t>
      </w:r>
    </w:p>
    <w:p w14:paraId="4D5B3EE8" w14:textId="77777777" w:rsidR="00040CA8" w:rsidRPr="00780A6C" w:rsidRDefault="00040CA8" w:rsidP="0010633A"/>
    <w:p w14:paraId="4BBC9680" w14:textId="32CB48A7" w:rsidR="00040CA8" w:rsidRPr="004741E6" w:rsidRDefault="00040CA8" w:rsidP="00503B4E">
      <w:pPr>
        <w:pStyle w:val="Ttulo3"/>
      </w:pPr>
      <w:r w:rsidRPr="004741E6">
        <w:t>A.2 Consideraciones</w:t>
      </w:r>
      <w:r w:rsidRPr="00503B4E">
        <w:t xml:space="preserve"> </w:t>
      </w:r>
      <w:r w:rsidRPr="004741E6">
        <w:t>de</w:t>
      </w:r>
      <w:r w:rsidRPr="00503B4E">
        <w:t xml:space="preserve"> </w:t>
      </w:r>
      <w:r w:rsidRPr="004741E6">
        <w:t>la</w:t>
      </w:r>
      <w:r w:rsidRPr="00503B4E">
        <w:t xml:space="preserve"> </w:t>
      </w:r>
      <w:r w:rsidRPr="004741E6">
        <w:t>Corte</w:t>
      </w:r>
    </w:p>
    <w:p w14:paraId="018373A2" w14:textId="77777777" w:rsidR="00040CA8" w:rsidRPr="00780A6C" w:rsidRDefault="00040CA8" w:rsidP="006F4EE2">
      <w:pPr>
        <w:rPr>
          <w:sz w:val="20"/>
          <w:szCs w:val="20"/>
        </w:rPr>
      </w:pPr>
    </w:p>
    <w:p w14:paraId="5EA5FD57" w14:textId="3199AB17" w:rsidR="00C84D5D" w:rsidRPr="00656182" w:rsidRDefault="005B57B9" w:rsidP="0010633A">
      <w:pPr>
        <w:pStyle w:val="Prrafodelista"/>
      </w:pPr>
      <w:r>
        <w:t xml:space="preserve">La Corte recuerda que, en el párrafo 105 </w:t>
      </w:r>
      <w:r w:rsidR="00157C93">
        <w:t xml:space="preserve">y en el punto resolutivo 6 de </w:t>
      </w:r>
      <w:r>
        <w:t xml:space="preserve">la sentencia del </w:t>
      </w:r>
      <w:r w:rsidRPr="00503B4E">
        <w:rPr>
          <w:i/>
          <w:iCs/>
        </w:rPr>
        <w:t xml:space="preserve">caso Benites Cabrera y </w:t>
      </w:r>
      <w:r w:rsidRPr="00656182">
        <w:rPr>
          <w:i/>
          <w:iCs/>
        </w:rPr>
        <w:t>otros Vs. Perú</w:t>
      </w:r>
      <w:r w:rsidRPr="00656182">
        <w:t xml:space="preserve">, </w:t>
      </w:r>
      <w:r w:rsidR="00DD3D4D" w:rsidRPr="00656182">
        <w:t>sostuvo</w:t>
      </w:r>
      <w:r w:rsidR="00476033" w:rsidRPr="00656182">
        <w:t>:</w:t>
      </w:r>
    </w:p>
    <w:p w14:paraId="74B023D8" w14:textId="77777777" w:rsidR="00D322FF" w:rsidRPr="00656182" w:rsidRDefault="00D322FF" w:rsidP="006F4EE2">
      <w:pPr>
        <w:pStyle w:val="Textoindependiente"/>
      </w:pPr>
    </w:p>
    <w:p w14:paraId="20717485" w14:textId="548808B2" w:rsidR="00604E37" w:rsidRDefault="00FD0F67" w:rsidP="00DE4B75">
      <w:pPr>
        <w:ind w:left="720" w:right="850"/>
        <w:jc w:val="both"/>
        <w:rPr>
          <w:sz w:val="16"/>
          <w:szCs w:val="16"/>
        </w:rPr>
      </w:pPr>
      <w:r w:rsidRPr="00656182">
        <w:rPr>
          <w:sz w:val="16"/>
          <w:szCs w:val="16"/>
        </w:rPr>
        <w:t xml:space="preserve">105. De acuerdo con lo expuesto en párrafos precedentes, la Corte encuentra que las 184 personas a las que se refiere el Anexo 1 de esta sentencia fueron víctimas de la violación de sus derechos a ser oídos con las debidas garantías y dentro de un plazo razonable, por un juez competente, independiente e imparcial y a contar con un recurso sencillo y rápido ante jueces o tribunales competentes, contenidos en los </w:t>
      </w:r>
      <w:bookmarkStart w:id="3" w:name="_Hlk141179984"/>
      <w:r w:rsidRPr="00656182">
        <w:rPr>
          <w:sz w:val="16"/>
          <w:szCs w:val="16"/>
        </w:rPr>
        <w:t>artículos 8.1 y 25.1 de la Convención Americana</w:t>
      </w:r>
      <w:bookmarkEnd w:id="3"/>
      <w:r w:rsidRPr="00656182">
        <w:rPr>
          <w:sz w:val="16"/>
          <w:szCs w:val="16"/>
        </w:rPr>
        <w:t>, en relación con las obligaciones de respetar y garantizar los derechos contenidas en el artículo 1.1 del mismo Tratado</w:t>
      </w:r>
      <w:r w:rsidR="00604E37" w:rsidRPr="00656182">
        <w:rPr>
          <w:rStyle w:val="Refdenotaalpie"/>
          <w:sz w:val="16"/>
          <w:szCs w:val="16"/>
        </w:rPr>
        <w:footnoteReference w:id="6"/>
      </w:r>
      <w:r w:rsidR="00604E37" w:rsidRPr="00656182">
        <w:rPr>
          <w:sz w:val="16"/>
          <w:szCs w:val="16"/>
        </w:rPr>
        <w:t>.</w:t>
      </w:r>
    </w:p>
    <w:p w14:paraId="5C5AC628" w14:textId="77777777" w:rsidR="00157C93" w:rsidRDefault="00157C93" w:rsidP="00DE4B75">
      <w:pPr>
        <w:ind w:left="720" w:right="850"/>
        <w:jc w:val="both"/>
        <w:rPr>
          <w:sz w:val="16"/>
          <w:szCs w:val="16"/>
        </w:rPr>
      </w:pPr>
    </w:p>
    <w:p w14:paraId="4E3B430B" w14:textId="31DF200E" w:rsidR="00157C93" w:rsidRDefault="00157C93" w:rsidP="00DE4B75">
      <w:pPr>
        <w:ind w:left="720" w:right="850"/>
        <w:jc w:val="both"/>
        <w:rPr>
          <w:sz w:val="16"/>
          <w:szCs w:val="16"/>
        </w:rPr>
      </w:pPr>
      <w:r>
        <w:rPr>
          <w:sz w:val="16"/>
          <w:szCs w:val="16"/>
        </w:rPr>
        <w:t>[…]</w:t>
      </w:r>
    </w:p>
    <w:p w14:paraId="757F6F01" w14:textId="77777777" w:rsidR="00157C93" w:rsidRDefault="00157C93" w:rsidP="00DE4B75">
      <w:pPr>
        <w:ind w:left="720" w:right="850"/>
        <w:jc w:val="both"/>
        <w:rPr>
          <w:sz w:val="16"/>
          <w:szCs w:val="16"/>
        </w:rPr>
      </w:pPr>
    </w:p>
    <w:p w14:paraId="7D43053E" w14:textId="6683B4A5" w:rsidR="00157C93" w:rsidRPr="00656182" w:rsidRDefault="00157C93" w:rsidP="00DE4B75">
      <w:pPr>
        <w:ind w:left="720" w:right="850"/>
        <w:jc w:val="both"/>
        <w:rPr>
          <w:sz w:val="16"/>
          <w:szCs w:val="16"/>
        </w:rPr>
      </w:pPr>
      <w:r w:rsidRPr="00157C93">
        <w:rPr>
          <w:sz w:val="16"/>
          <w:szCs w:val="16"/>
        </w:rPr>
        <w:t xml:space="preserve">6. El Estado es responsable por la violación de los derechos a las </w:t>
      </w:r>
      <w:proofErr w:type="gramStart"/>
      <w:r w:rsidRPr="00157C93">
        <w:rPr>
          <w:sz w:val="16"/>
          <w:szCs w:val="16"/>
        </w:rPr>
        <w:t>garantías judiciales y protección judicial</w:t>
      </w:r>
      <w:proofErr w:type="gramEnd"/>
      <w:r w:rsidRPr="00157C93">
        <w:rPr>
          <w:sz w:val="16"/>
          <w:szCs w:val="16"/>
        </w:rPr>
        <w:t>, reconocidos en los artículos 8.1 y 25.1 de la Convención Americana sobre Derechos Humanos, en relación con el artículo 1.1 del mismo Tratado, en perjuicio de las personas identificadas en el Anexo 1 de esta Sentencia, en los términos de los párrafos 89 a 105 de la presente Sentencia</w:t>
      </w:r>
      <w:r w:rsidR="007F1225" w:rsidRPr="00656182">
        <w:rPr>
          <w:rStyle w:val="Refdenotaalpie"/>
          <w:sz w:val="16"/>
          <w:szCs w:val="16"/>
        </w:rPr>
        <w:footnoteReference w:id="7"/>
      </w:r>
      <w:r w:rsidRPr="00157C93">
        <w:rPr>
          <w:sz w:val="16"/>
          <w:szCs w:val="16"/>
        </w:rPr>
        <w:t>.</w:t>
      </w:r>
    </w:p>
    <w:p w14:paraId="027DD739" w14:textId="77777777" w:rsidR="00276328" w:rsidRPr="00656182" w:rsidRDefault="00276328" w:rsidP="0010633A"/>
    <w:p w14:paraId="16834F4F" w14:textId="300A4BEC" w:rsidR="00DE2296" w:rsidRPr="00656182" w:rsidRDefault="00DE2296" w:rsidP="00DE2296">
      <w:pPr>
        <w:pStyle w:val="Prrafodelista"/>
        <w:rPr>
          <w:bCs/>
        </w:rPr>
      </w:pPr>
      <w:r>
        <w:t xml:space="preserve">La Corte nota que </w:t>
      </w:r>
      <w:r w:rsidRPr="0004261E">
        <w:t xml:space="preserve">el </w:t>
      </w:r>
      <w:r>
        <w:t>párrafo 105 de la Sentencia</w:t>
      </w:r>
      <w:r w:rsidRPr="0004261E">
        <w:t xml:space="preserve"> es claro y preciso, en tanto </w:t>
      </w:r>
      <w:r>
        <w:t>establece</w:t>
      </w:r>
      <w:r w:rsidRPr="0004261E">
        <w:t xml:space="preserve"> </w:t>
      </w:r>
      <w:r w:rsidRPr="0004261E">
        <w:lastRenderedPageBreak/>
        <w:t>qu</w:t>
      </w:r>
      <w:r>
        <w:t xml:space="preserve">e la violación a los </w:t>
      </w:r>
      <w:r w:rsidRPr="00246FF6">
        <w:t>derechos a ser oíd</w:t>
      </w:r>
      <w:r>
        <w:t>a</w:t>
      </w:r>
      <w:r w:rsidRPr="00246FF6">
        <w:t>s con las debidas garantías y dentro de un plazo razonable</w:t>
      </w:r>
      <w:r>
        <w:t xml:space="preserve"> fue declarada en perjuicio de las 184 víctimas establecidas en el Anexo I de la Sentencia, sin hacer distinción entre ellas. No obstante,</w:t>
      </w:r>
      <w:r w:rsidRPr="00656182">
        <w:t xml:space="preserve"> la solicitud de interpretación realizada por el Estado se centra en su disconformidad con</w:t>
      </w:r>
      <w:r w:rsidRPr="00656182" w:rsidDel="001D564F">
        <w:t xml:space="preserve"> </w:t>
      </w:r>
      <w:r w:rsidRPr="00656182">
        <w:t xml:space="preserve">la </w:t>
      </w:r>
      <w:r>
        <w:t xml:space="preserve">conclusión contenida </w:t>
      </w:r>
      <w:r w:rsidRPr="00656182">
        <w:t xml:space="preserve">en el párrafo 105 y en el </w:t>
      </w:r>
      <w:r w:rsidR="007F1225">
        <w:t xml:space="preserve">punto </w:t>
      </w:r>
      <w:r w:rsidRPr="00656182">
        <w:t>resolutivo 6</w:t>
      </w:r>
      <w:r>
        <w:t xml:space="preserve"> respecto a la </w:t>
      </w:r>
      <w:r w:rsidRPr="00656182">
        <w:t xml:space="preserve">determinación de las víctimas de la violación a los derechos a ser oídos con las debidas garantías y dentro de un plazo razonable. </w:t>
      </w:r>
    </w:p>
    <w:p w14:paraId="3516D81F" w14:textId="77777777" w:rsidR="00275BBC" w:rsidRPr="00275BBC" w:rsidRDefault="00275BBC" w:rsidP="0010633A"/>
    <w:p w14:paraId="2E1C1B82" w14:textId="377DBF7E" w:rsidR="00376DA4" w:rsidRPr="00376DA4" w:rsidRDefault="00B916C4" w:rsidP="0010633A">
      <w:pPr>
        <w:pStyle w:val="Prrafodelista"/>
      </w:pPr>
      <w:r>
        <w:t>E</w:t>
      </w:r>
      <w:r w:rsidR="00376DA4" w:rsidRPr="004B61BC">
        <w:t xml:space="preserve">ste Tribunal recuerda </w:t>
      </w:r>
      <w:r w:rsidR="00AF0CC9">
        <w:t>que</w:t>
      </w:r>
      <w:r w:rsidR="00376DA4" w:rsidRPr="004B61BC">
        <w:t xml:space="preserve"> una solicitud de interpretación </w:t>
      </w:r>
      <w:r w:rsidR="00AF0CC9">
        <w:t xml:space="preserve">no es procedente </w:t>
      </w:r>
      <w:r w:rsidR="00376DA4" w:rsidRPr="004B61BC">
        <w:t>para someter</w:t>
      </w:r>
      <w:r w:rsidR="00AF0CC9">
        <w:t xml:space="preserve"> a estudio</w:t>
      </w:r>
      <w:r w:rsidR="00376DA4" w:rsidRPr="004B61BC">
        <w:t xml:space="preserve"> cuestiones sobre las cuales </w:t>
      </w:r>
      <w:r w:rsidR="00AF0CC9">
        <w:t xml:space="preserve">la Corte </w:t>
      </w:r>
      <w:r w:rsidR="00376DA4" w:rsidRPr="004B61BC">
        <w:t>ya adoptó una decisión</w:t>
      </w:r>
      <w:r w:rsidR="004B61BC" w:rsidRPr="00780A6C">
        <w:rPr>
          <w:rStyle w:val="Refdenotaalpie"/>
        </w:rPr>
        <w:footnoteReference w:id="8"/>
      </w:r>
      <w:r w:rsidR="00AF0CC9">
        <w:t xml:space="preserve"> y tampoco puede usarse</w:t>
      </w:r>
      <w:r w:rsidR="00376DA4" w:rsidRPr="004B61BC">
        <w:t xml:space="preserve"> como medio de impugnación de</w:t>
      </w:r>
      <w:r w:rsidR="007763DE">
        <w:t xml:space="preserve"> la Sentencia</w:t>
      </w:r>
      <w:r w:rsidR="004B61BC" w:rsidRPr="00780A6C">
        <w:rPr>
          <w:rStyle w:val="Refdenotaalpie"/>
        </w:rPr>
        <w:footnoteReference w:id="9"/>
      </w:r>
      <w:r w:rsidR="00376DA4" w:rsidRPr="004B61BC">
        <w:t xml:space="preserve">. En este sentido, </w:t>
      </w:r>
      <w:r w:rsidR="00AF0CC9">
        <w:t xml:space="preserve">la Corte </w:t>
      </w:r>
      <w:r w:rsidR="00376DA4" w:rsidRPr="004B61BC">
        <w:t xml:space="preserve">advierte que, bajo la apariencia de una solicitud de interpretación, </w:t>
      </w:r>
      <w:r w:rsidR="00BB0D5A">
        <w:t>el Estado sometió</w:t>
      </w:r>
      <w:r w:rsidR="00246FF6">
        <w:t xml:space="preserve"> su</w:t>
      </w:r>
      <w:r w:rsidR="00376DA4" w:rsidRPr="004B61BC">
        <w:t xml:space="preserve"> discrepancia </w:t>
      </w:r>
      <w:r w:rsidR="00246FF6">
        <w:t xml:space="preserve">con la decisión de la Corte, </w:t>
      </w:r>
      <w:r w:rsidR="00376DA4" w:rsidRPr="004B61BC">
        <w:t xml:space="preserve">cuestión que excede </w:t>
      </w:r>
      <w:r w:rsidR="00AF0CC9">
        <w:t>lo permitido por el</w:t>
      </w:r>
      <w:r w:rsidR="00376DA4" w:rsidRPr="004B61BC">
        <w:t xml:space="preserve"> artículo 67 de la Convención. </w:t>
      </w:r>
      <w:r w:rsidR="00D1230D">
        <w:t xml:space="preserve">En esa medida, </w:t>
      </w:r>
      <w:r w:rsidR="00D1230D" w:rsidRPr="00275BBC">
        <w:t xml:space="preserve">la </w:t>
      </w:r>
      <w:r w:rsidR="00D1230D">
        <w:t>solicitud</w:t>
      </w:r>
      <w:r w:rsidR="00D1230D" w:rsidRPr="00275BBC">
        <w:t xml:space="preserve"> </w:t>
      </w:r>
      <w:r w:rsidR="00D1230D">
        <w:t>presentada</w:t>
      </w:r>
      <w:r w:rsidR="00D1230D" w:rsidRPr="00275BBC">
        <w:t xml:space="preserve"> por el Estado</w:t>
      </w:r>
      <w:r w:rsidR="00157C93">
        <w:t>,</w:t>
      </w:r>
      <w:r w:rsidR="00D1230D" w:rsidRPr="00275BBC">
        <w:t xml:space="preserve"> </w:t>
      </w:r>
      <w:r w:rsidR="005E0954">
        <w:t xml:space="preserve">referida a la interpretación del punto resolutivo 6 en relación con el párrafo 105 de la Sentencia </w:t>
      </w:r>
      <w:r w:rsidR="00D1230D" w:rsidRPr="00275BBC">
        <w:t>no corresponde a los supuestos de interpretación establecidos en el artículo 67 de la Convención</w:t>
      </w:r>
      <w:r w:rsidR="00D1230D">
        <w:t xml:space="preserve"> y debe ser desestimada</w:t>
      </w:r>
      <w:r w:rsidR="00D1230D" w:rsidRPr="00275BBC">
        <w:t>.</w:t>
      </w:r>
    </w:p>
    <w:p w14:paraId="5CB9BEF8" w14:textId="77777777" w:rsidR="00157F4C" w:rsidRPr="00780A6C" w:rsidRDefault="00157F4C" w:rsidP="00157F4C">
      <w:pPr>
        <w:rPr>
          <w:sz w:val="20"/>
          <w:szCs w:val="20"/>
        </w:rPr>
      </w:pPr>
    </w:p>
    <w:p w14:paraId="6ACCCE24" w14:textId="67194FDC" w:rsidR="004741E6" w:rsidRPr="007A17F3" w:rsidRDefault="00157F4C" w:rsidP="007A17F3">
      <w:pPr>
        <w:pStyle w:val="Ttulo2"/>
      </w:pPr>
      <w:r w:rsidRPr="004741E6">
        <w:t>Solicitud</w:t>
      </w:r>
      <w:r w:rsidRPr="007A17F3">
        <w:t xml:space="preserve"> </w:t>
      </w:r>
      <w:r w:rsidRPr="004741E6">
        <w:t>de</w:t>
      </w:r>
      <w:r w:rsidRPr="007A17F3">
        <w:t xml:space="preserve"> </w:t>
      </w:r>
      <w:r w:rsidRPr="004741E6">
        <w:t>interpretación</w:t>
      </w:r>
      <w:r w:rsidRPr="007A17F3">
        <w:t xml:space="preserve"> </w:t>
      </w:r>
      <w:r w:rsidR="001438B7">
        <w:t>sobre el</w:t>
      </w:r>
      <w:r w:rsidRPr="004741E6">
        <w:t xml:space="preserve"> derecho al trabajo </w:t>
      </w:r>
    </w:p>
    <w:p w14:paraId="1E8D1216" w14:textId="77777777" w:rsidR="00157F4C" w:rsidRPr="00780A6C" w:rsidRDefault="00157F4C" w:rsidP="00157F4C">
      <w:pPr>
        <w:pStyle w:val="Textoindependiente"/>
        <w:rPr>
          <w:b/>
          <w:i/>
        </w:rPr>
      </w:pPr>
    </w:p>
    <w:p w14:paraId="24FBA15F" w14:textId="447DD940" w:rsidR="00157F4C" w:rsidRPr="00780A6C" w:rsidRDefault="00FD2E1F" w:rsidP="007A17F3">
      <w:pPr>
        <w:pStyle w:val="Ttulo3"/>
      </w:pPr>
      <w:r>
        <w:t>B</w:t>
      </w:r>
      <w:r w:rsidR="00157F4C" w:rsidRPr="00780A6C">
        <w:t>.1 Argumentos</w:t>
      </w:r>
      <w:r w:rsidR="00157F4C" w:rsidRPr="00780A6C">
        <w:rPr>
          <w:spacing w:val="-3"/>
        </w:rPr>
        <w:t xml:space="preserve"> </w:t>
      </w:r>
      <w:r w:rsidR="00157F4C" w:rsidRPr="00780A6C">
        <w:t>de</w:t>
      </w:r>
      <w:r w:rsidR="00157F4C" w:rsidRPr="00780A6C">
        <w:rPr>
          <w:spacing w:val="-2"/>
        </w:rPr>
        <w:t xml:space="preserve"> </w:t>
      </w:r>
      <w:r w:rsidR="00157F4C" w:rsidRPr="00780A6C">
        <w:t>las</w:t>
      </w:r>
      <w:r w:rsidR="00157F4C" w:rsidRPr="00780A6C">
        <w:rPr>
          <w:spacing w:val="-2"/>
        </w:rPr>
        <w:t xml:space="preserve"> </w:t>
      </w:r>
      <w:r w:rsidR="00157F4C" w:rsidRPr="00780A6C">
        <w:t>partes</w:t>
      </w:r>
      <w:r w:rsidR="00157F4C" w:rsidRPr="00780A6C">
        <w:rPr>
          <w:spacing w:val="-4"/>
        </w:rPr>
        <w:t xml:space="preserve"> </w:t>
      </w:r>
      <w:r w:rsidR="00157F4C">
        <w:rPr>
          <w:spacing w:val="-4"/>
        </w:rPr>
        <w:t xml:space="preserve">y la Comisión </w:t>
      </w:r>
    </w:p>
    <w:p w14:paraId="04CF4638" w14:textId="77777777" w:rsidR="00CD6528" w:rsidRPr="00780A6C" w:rsidRDefault="00CD6528" w:rsidP="00CD6528">
      <w:pPr>
        <w:rPr>
          <w:sz w:val="20"/>
          <w:szCs w:val="20"/>
        </w:rPr>
      </w:pPr>
    </w:p>
    <w:p w14:paraId="1EC576B0" w14:textId="6C79BBBC" w:rsidR="00CD6528" w:rsidRPr="00CD6528" w:rsidRDefault="00CD6528" w:rsidP="0010633A">
      <w:pPr>
        <w:pStyle w:val="Prrafodelista"/>
      </w:pPr>
      <w:r w:rsidRPr="00CD6528">
        <w:t xml:space="preserve">El </w:t>
      </w:r>
      <w:r w:rsidRPr="00CD6528">
        <w:rPr>
          <w:b/>
          <w:i/>
        </w:rPr>
        <w:t>Estado</w:t>
      </w:r>
      <w:r w:rsidRPr="00CD6528">
        <w:t xml:space="preserve"> solicitó la aclaración del punto resolutivo 7 en relación c</w:t>
      </w:r>
      <w:r w:rsidRPr="00FD0F67">
        <w:t xml:space="preserve">on </w:t>
      </w:r>
      <w:r w:rsidR="00FD0F67" w:rsidRPr="00FD0F67">
        <w:t>e</w:t>
      </w:r>
      <w:r w:rsidRPr="00FD0F67">
        <w:t>l párr</w:t>
      </w:r>
      <w:r w:rsidRPr="00CD6528">
        <w:t xml:space="preserve">afo 115 de la Sentencia, relacionado con la “vulneración del artículo 26 de la Convención Americana”. </w:t>
      </w:r>
      <w:r w:rsidR="00CB5890">
        <w:t>D</w:t>
      </w:r>
      <w:r w:rsidRPr="00CD6528">
        <w:t xml:space="preserve">icho párrafo </w:t>
      </w:r>
      <w:r w:rsidR="00CB5890">
        <w:t>indica</w:t>
      </w:r>
      <w:r w:rsidRPr="00CD6528">
        <w:t xml:space="preserve"> que la “irregularidad de </w:t>
      </w:r>
      <w:r w:rsidR="00D40BB7">
        <w:t>[los]</w:t>
      </w:r>
      <w:r w:rsidR="00D40BB7" w:rsidRPr="00CD6528">
        <w:t xml:space="preserve"> </w:t>
      </w:r>
      <w:r w:rsidRPr="00CD6528">
        <w:t>ceses fue reconocida judicialmente en este caso respecto de 20 de las presuntas víctimas”</w:t>
      </w:r>
      <w:r w:rsidR="004741E6">
        <w:t>. E</w:t>
      </w:r>
      <w:r w:rsidRPr="00CD6528">
        <w:t xml:space="preserve">l Estado alegó que “el Tribunal Constitucional no </w:t>
      </w:r>
      <w:proofErr w:type="spellStart"/>
      <w:r w:rsidR="004741E6" w:rsidRPr="00CD6528">
        <w:t>verific</w:t>
      </w:r>
      <w:proofErr w:type="spellEnd"/>
      <w:r w:rsidR="004741E6">
        <w:t>[</w:t>
      </w:r>
      <w:proofErr w:type="spellStart"/>
      <w:r w:rsidR="004741E6">
        <w:t>ó</w:t>
      </w:r>
      <w:proofErr w:type="spellEnd"/>
      <w:r w:rsidR="004741E6">
        <w:t>]</w:t>
      </w:r>
      <w:r w:rsidR="004741E6" w:rsidRPr="00CD6528">
        <w:t xml:space="preserve"> </w:t>
      </w:r>
      <w:r w:rsidRPr="00CD6528">
        <w:t xml:space="preserve">ni </w:t>
      </w:r>
      <w:proofErr w:type="spellStart"/>
      <w:r w:rsidR="004741E6" w:rsidRPr="00CD6528">
        <w:t>reconoc</w:t>
      </w:r>
      <w:proofErr w:type="spellEnd"/>
      <w:r w:rsidR="004741E6">
        <w:t>[</w:t>
      </w:r>
      <w:proofErr w:type="spellStart"/>
      <w:r w:rsidR="004741E6">
        <w:t>ió</w:t>
      </w:r>
      <w:proofErr w:type="spellEnd"/>
      <w:r w:rsidR="004741E6">
        <w:t>]</w:t>
      </w:r>
      <w:r w:rsidR="004741E6" w:rsidRPr="00CD6528">
        <w:t xml:space="preserve"> </w:t>
      </w:r>
      <w:r w:rsidRPr="00CD6528">
        <w:t>la irregularidad de los ceses de las 20 víctimas”</w:t>
      </w:r>
      <w:r w:rsidR="00353400" w:rsidRPr="00353400">
        <w:t>,</w:t>
      </w:r>
      <w:r>
        <w:t xml:space="preserve"> </w:t>
      </w:r>
      <w:r w:rsidR="004741E6">
        <w:t>y</w:t>
      </w:r>
      <w:r>
        <w:t xml:space="preserve"> que fue mediante el “</w:t>
      </w:r>
      <w:r w:rsidRPr="00CD6528">
        <w:t>mecanismo de reparación</w:t>
      </w:r>
      <w:r>
        <w:t xml:space="preserve"> [que]</w:t>
      </w:r>
      <w:r w:rsidRPr="00CD6528">
        <w:t xml:space="preserve"> el Estado peruano sí determinó o reconoció la irregularidad de los ceses de un grupo de trabajadores</w:t>
      </w:r>
      <w:r>
        <w:t>”</w:t>
      </w:r>
      <w:r w:rsidR="004741E6">
        <w:t>.</w:t>
      </w:r>
      <w:r>
        <w:t xml:space="preserve"> </w:t>
      </w:r>
      <w:r w:rsidRPr="00CD6528">
        <w:t>Por lo anterior, solicitó que la Corte “esclarezca y precise el párrafo 115 de la Sentencia</w:t>
      </w:r>
      <w:r>
        <w:t xml:space="preserve"> […] </w:t>
      </w:r>
      <w:r w:rsidRPr="00CD6528">
        <w:t>en la medida en que esto impacta en la interpretación y alcance del punto resolutivo séptimo de la Sentencia”</w:t>
      </w:r>
      <w:r w:rsidR="004741E6" w:rsidRPr="000D3AC7">
        <w:t>.</w:t>
      </w:r>
    </w:p>
    <w:p w14:paraId="62485236" w14:textId="77777777" w:rsidR="0095523A" w:rsidRPr="00656182" w:rsidRDefault="0095523A" w:rsidP="0010633A"/>
    <w:p w14:paraId="0B86BA90" w14:textId="4430B546" w:rsidR="0095523A" w:rsidRPr="00656182" w:rsidRDefault="0095523A" w:rsidP="0010633A">
      <w:pPr>
        <w:pStyle w:val="Prrafodelista"/>
      </w:pPr>
      <w:r w:rsidRPr="00656182">
        <w:t xml:space="preserve">El </w:t>
      </w:r>
      <w:r w:rsidRPr="00CE3508">
        <w:rPr>
          <w:b/>
          <w:bCs/>
          <w:i/>
          <w:iCs/>
        </w:rPr>
        <w:t>representante</w:t>
      </w:r>
      <w:r w:rsidRPr="00656182">
        <w:t xml:space="preserve"> alegó que </w:t>
      </w:r>
      <w:r w:rsidR="004741E6" w:rsidRPr="00656182">
        <w:t>“</w:t>
      </w:r>
      <w:r w:rsidR="00EB5D3C" w:rsidRPr="00656182">
        <w:t>la irregularidad de los ceses que sufrieron las 184 víctimas no nace del reconocimiento judicial o no de esta circunstancia en el fuero interno, sino de la manera arbitraria como se produjo el cese</w:t>
      </w:r>
      <w:r w:rsidR="004741E6" w:rsidRPr="00656182">
        <w:t>”</w:t>
      </w:r>
      <w:r w:rsidRPr="00656182">
        <w:t>.</w:t>
      </w:r>
      <w:r w:rsidR="009F1ED1" w:rsidRPr="00656182">
        <w:t xml:space="preserve"> Asimismo, señaló que </w:t>
      </w:r>
      <w:r w:rsidR="004741E6" w:rsidRPr="00656182">
        <w:t>la solicitud del Estado no implica</w:t>
      </w:r>
      <w:r w:rsidR="009F1ED1" w:rsidRPr="00656182">
        <w:t xml:space="preserve"> una modificación sustancial o un menoscabo del alcance de la declaración de responsabilidad internacional</w:t>
      </w:r>
      <w:r w:rsidR="00656182" w:rsidRPr="000D3AC7">
        <w:t>.</w:t>
      </w:r>
    </w:p>
    <w:p w14:paraId="4AAFCABA" w14:textId="77777777" w:rsidR="0095523A" w:rsidRPr="00656182" w:rsidRDefault="0095523A" w:rsidP="0010633A"/>
    <w:p w14:paraId="2751ECCC" w14:textId="030FDE63" w:rsidR="0095523A" w:rsidRPr="00656182" w:rsidRDefault="0095523A" w:rsidP="0010633A">
      <w:pPr>
        <w:pStyle w:val="Prrafodelista"/>
      </w:pPr>
      <w:r w:rsidRPr="00656182">
        <w:t xml:space="preserve">La </w:t>
      </w:r>
      <w:r w:rsidRPr="00CE3508">
        <w:rPr>
          <w:b/>
          <w:bCs/>
          <w:i/>
          <w:iCs/>
        </w:rPr>
        <w:t>Comisión</w:t>
      </w:r>
      <w:r w:rsidRPr="00656182">
        <w:t xml:space="preserve"> indicó que la “consulta realizada por el Estado no corresponde a los supuestos de interpretación establecidos en el artículo 67 de la Convención”, debido a que “no versa sobre el sentido o alcance del fallo, sino que consiste en una inconformidad sobre la forma en que la Corte habría analizado una sentencia a nivel interno y utilizado como un elemento para la atribución de responsabilidad internacional”. En consecuencia, señaló que “la solicitud del Estado resulta improcedente”</w:t>
      </w:r>
      <w:r w:rsidR="00656182" w:rsidRPr="00656182">
        <w:t>.</w:t>
      </w:r>
      <w:r w:rsidRPr="00656182">
        <w:t xml:space="preserve"> </w:t>
      </w:r>
    </w:p>
    <w:p w14:paraId="7E89D6A9" w14:textId="77777777" w:rsidR="00157F4C" w:rsidRPr="007763DE" w:rsidRDefault="00157F4C" w:rsidP="0010633A"/>
    <w:p w14:paraId="08FD1C2A" w14:textId="7643939C" w:rsidR="00157F4C" w:rsidRPr="007763DE" w:rsidRDefault="00FD2E1F" w:rsidP="007A17F3">
      <w:pPr>
        <w:pStyle w:val="Ttulo3"/>
      </w:pPr>
      <w:r w:rsidRPr="007763DE">
        <w:lastRenderedPageBreak/>
        <w:t>B</w:t>
      </w:r>
      <w:r w:rsidR="00157F4C" w:rsidRPr="007763DE">
        <w:t>.2 Consideraciones</w:t>
      </w:r>
      <w:r w:rsidR="00157F4C" w:rsidRPr="007763DE">
        <w:rPr>
          <w:spacing w:val="-3"/>
        </w:rPr>
        <w:t xml:space="preserve"> </w:t>
      </w:r>
      <w:r w:rsidR="00157F4C" w:rsidRPr="007763DE">
        <w:t>de</w:t>
      </w:r>
      <w:r w:rsidR="00157F4C" w:rsidRPr="007763DE">
        <w:rPr>
          <w:spacing w:val="-3"/>
        </w:rPr>
        <w:t xml:space="preserve"> </w:t>
      </w:r>
      <w:r w:rsidR="00157F4C" w:rsidRPr="007763DE">
        <w:t>la</w:t>
      </w:r>
      <w:r w:rsidR="00157F4C" w:rsidRPr="007763DE">
        <w:rPr>
          <w:spacing w:val="-4"/>
        </w:rPr>
        <w:t xml:space="preserve"> </w:t>
      </w:r>
      <w:r w:rsidR="00157F4C" w:rsidRPr="007763DE">
        <w:t>Corte</w:t>
      </w:r>
    </w:p>
    <w:p w14:paraId="712E3A04" w14:textId="77777777" w:rsidR="00157F4C" w:rsidRPr="007763DE" w:rsidRDefault="00157F4C" w:rsidP="00157F4C">
      <w:pPr>
        <w:rPr>
          <w:sz w:val="20"/>
          <w:szCs w:val="20"/>
        </w:rPr>
      </w:pPr>
    </w:p>
    <w:p w14:paraId="4E15F485" w14:textId="79735000" w:rsidR="004741E6" w:rsidRPr="00FD0F67" w:rsidRDefault="004741E6" w:rsidP="0010633A">
      <w:pPr>
        <w:pStyle w:val="Prrafodelista"/>
      </w:pPr>
      <w:r>
        <w:t xml:space="preserve">La Corte recuerda que, en el párrafo 115 la sentencia del </w:t>
      </w:r>
      <w:r w:rsidRPr="00F705EC">
        <w:rPr>
          <w:i/>
          <w:iCs/>
        </w:rPr>
        <w:t>caso Benites Cabrera y otros Vs. Perú</w:t>
      </w:r>
      <w:r>
        <w:t>, sostuvo</w:t>
      </w:r>
      <w:r w:rsidRPr="00FD0F67">
        <w:t>:</w:t>
      </w:r>
    </w:p>
    <w:p w14:paraId="1BAF9BB7" w14:textId="77777777" w:rsidR="00FD0F67" w:rsidRPr="007763DE" w:rsidRDefault="00FD0F67" w:rsidP="00157F4C">
      <w:pPr>
        <w:ind w:left="850" w:right="850"/>
        <w:jc w:val="both"/>
        <w:rPr>
          <w:sz w:val="16"/>
          <w:szCs w:val="16"/>
        </w:rPr>
      </w:pPr>
    </w:p>
    <w:p w14:paraId="47409A61" w14:textId="225FDE39" w:rsidR="00157F4C" w:rsidRPr="007763DE" w:rsidRDefault="00FD0F67" w:rsidP="00DE4B75">
      <w:pPr>
        <w:ind w:left="720" w:right="850"/>
        <w:jc w:val="both"/>
        <w:rPr>
          <w:sz w:val="16"/>
          <w:szCs w:val="16"/>
        </w:rPr>
      </w:pPr>
      <w:r w:rsidRPr="007763DE">
        <w:rPr>
          <w:sz w:val="16"/>
          <w:szCs w:val="16"/>
        </w:rPr>
        <w:t>115. En el caso concreto, la Corte encuentra que el Estado procedió de manera arbitraria al declarar el cese en el empleo de los extrabajadores del Congreso de la República identificados en esta senten</w:t>
      </w:r>
      <w:r w:rsidRPr="00FD0F67">
        <w:rPr>
          <w:sz w:val="16"/>
          <w:szCs w:val="16"/>
        </w:rPr>
        <w:t>cia. Lo anterior, porque fueron retirados de sus trabajos sin que se acreditaran razones justificadas y porque se les prohibió acceder a la acción de amparo para cuestionar sus ceses</w:t>
      </w:r>
      <w:r w:rsidRPr="00D01569">
        <w:rPr>
          <w:b/>
          <w:bCs/>
          <w:sz w:val="16"/>
          <w:szCs w:val="16"/>
        </w:rPr>
        <w:t>. La irregularidad de estos ceses fue reconocida judicialmente en este caso respecto de 20 de las presuntas víctimas</w:t>
      </w:r>
      <w:r w:rsidRPr="00FD0F67">
        <w:rPr>
          <w:sz w:val="16"/>
          <w:szCs w:val="16"/>
        </w:rPr>
        <w:t xml:space="preserve"> (</w:t>
      </w:r>
      <w:r w:rsidR="00157C93">
        <w:rPr>
          <w:i/>
          <w:iCs/>
          <w:sz w:val="16"/>
          <w:szCs w:val="16"/>
        </w:rPr>
        <w:t>[supra]</w:t>
      </w:r>
      <w:r w:rsidR="00157C93" w:rsidRPr="00FD0F67">
        <w:rPr>
          <w:sz w:val="16"/>
          <w:szCs w:val="16"/>
        </w:rPr>
        <w:t xml:space="preserve"> </w:t>
      </w:r>
      <w:r w:rsidRPr="00FD0F67">
        <w:rPr>
          <w:sz w:val="16"/>
          <w:szCs w:val="16"/>
        </w:rPr>
        <w:t xml:space="preserve">párr. 81) y ha sido reconocida también, a mayor escala, mediante la implementación del Registro </w:t>
      </w:r>
      <w:r w:rsidR="00FD511E">
        <w:rPr>
          <w:sz w:val="16"/>
          <w:szCs w:val="16"/>
        </w:rPr>
        <w:t>Nacional</w:t>
      </w:r>
      <w:r w:rsidRPr="00FD0F67">
        <w:rPr>
          <w:sz w:val="16"/>
          <w:szCs w:val="16"/>
        </w:rPr>
        <w:t xml:space="preserve"> de Trabajadores Cesados Irregularmente, en el que se encuentran inscritas 140 de las 184 personas a las que se refiere esta Sentencia. En esa medida, la Corte concluye que la conducta estatal afectó el derecho a </w:t>
      </w:r>
      <w:r w:rsidRPr="007763DE">
        <w:rPr>
          <w:sz w:val="16"/>
          <w:szCs w:val="16"/>
        </w:rPr>
        <w:t>la estabilidad en el empleo de las presuntas víctimas y constituye una violación del artículo 26 de la Convención, en relación con el artículo 1.1 del mismo instrumento</w:t>
      </w:r>
      <w:r w:rsidR="00157F4C" w:rsidRPr="007763DE">
        <w:rPr>
          <w:rStyle w:val="Refdenotaalpie"/>
          <w:sz w:val="16"/>
          <w:szCs w:val="16"/>
        </w:rPr>
        <w:footnoteReference w:id="10"/>
      </w:r>
      <w:r w:rsidR="00D01569">
        <w:rPr>
          <w:sz w:val="16"/>
          <w:szCs w:val="16"/>
        </w:rPr>
        <w:t xml:space="preserve"> (negrilla fuera del texto)</w:t>
      </w:r>
      <w:r w:rsidR="00157F4C" w:rsidRPr="007763DE">
        <w:rPr>
          <w:sz w:val="16"/>
          <w:szCs w:val="16"/>
        </w:rPr>
        <w:t>.</w:t>
      </w:r>
    </w:p>
    <w:p w14:paraId="081EB07B" w14:textId="77777777" w:rsidR="00D01569" w:rsidRDefault="00D01569" w:rsidP="0010633A"/>
    <w:p w14:paraId="589AF262" w14:textId="494BFC0F" w:rsidR="007B7CD8" w:rsidRDefault="00376270" w:rsidP="0010633A">
      <w:pPr>
        <w:pStyle w:val="Prrafodelista"/>
      </w:pPr>
      <w:r>
        <w:t>Además</w:t>
      </w:r>
      <w:r w:rsidR="00D01569">
        <w:t>, la Corte nota que</w:t>
      </w:r>
      <w:r w:rsidR="00316C95">
        <w:t xml:space="preserve">, </w:t>
      </w:r>
      <w:r w:rsidR="007B7CD8">
        <w:t xml:space="preserve">en los párrafos 98 y 99 de la Sentencia concluyó, </w:t>
      </w:r>
      <w:r w:rsidR="00316C95">
        <w:t>en atención</w:t>
      </w:r>
      <w:r w:rsidR="007B7CD8">
        <w:t xml:space="preserve"> al tenor literal de la sentencia del Tribunal Constitucional, que éste último reconoció que hubo una violación a los derechos de </w:t>
      </w:r>
      <w:r w:rsidR="00703F9C">
        <w:t xml:space="preserve">20 </w:t>
      </w:r>
      <w:r w:rsidR="007B7CD8">
        <w:t>accionantes. Al respecto sostuvo:</w:t>
      </w:r>
    </w:p>
    <w:p w14:paraId="3CE99AA6" w14:textId="77777777" w:rsidR="007B7CD8" w:rsidRPr="00157C93" w:rsidRDefault="007B7CD8" w:rsidP="00157C93">
      <w:pPr>
        <w:ind w:right="838"/>
        <w:jc w:val="both"/>
        <w:rPr>
          <w:sz w:val="16"/>
          <w:szCs w:val="16"/>
        </w:rPr>
      </w:pPr>
    </w:p>
    <w:p w14:paraId="635F6442" w14:textId="77777777" w:rsidR="007B7CD8" w:rsidRPr="00157C93" w:rsidRDefault="007B7CD8" w:rsidP="00157C93">
      <w:pPr>
        <w:ind w:left="720" w:right="838"/>
        <w:jc w:val="both"/>
        <w:rPr>
          <w:sz w:val="16"/>
          <w:szCs w:val="16"/>
        </w:rPr>
      </w:pPr>
      <w:r w:rsidRPr="00157C93">
        <w:rPr>
          <w:sz w:val="16"/>
          <w:szCs w:val="16"/>
        </w:rPr>
        <w:t xml:space="preserve">98. Por su parte, el Tribunal Constitucional, al resolver el recurso extraordinario interpuesto contra la sentencia de segunda instancia, confirmó la sentencia recurrida, pero con el argumento de que “al expedirse la Constitución de 1993, la estructura orgánica del Congreso y, por ende, su Cuadro de Asignación de Personal variaron sustancialmente” por lo que no era posible por la vía del amparo reponer las cosas al estado anterior a la agresión:   </w:t>
      </w:r>
    </w:p>
    <w:p w14:paraId="350092E1" w14:textId="77777777" w:rsidR="007B7CD8" w:rsidRPr="00157C93" w:rsidRDefault="007B7CD8" w:rsidP="00157C93">
      <w:pPr>
        <w:ind w:left="720" w:right="838"/>
        <w:jc w:val="both"/>
        <w:rPr>
          <w:sz w:val="16"/>
          <w:szCs w:val="16"/>
        </w:rPr>
      </w:pPr>
    </w:p>
    <w:p w14:paraId="206C3452" w14:textId="77777777" w:rsidR="007B7CD8" w:rsidRPr="00157C93" w:rsidRDefault="007B7CD8" w:rsidP="00157C93">
      <w:pPr>
        <w:ind w:left="1440" w:right="838"/>
        <w:jc w:val="both"/>
        <w:rPr>
          <w:sz w:val="16"/>
          <w:szCs w:val="16"/>
        </w:rPr>
      </w:pPr>
      <w:r w:rsidRPr="00157C93">
        <w:rPr>
          <w:sz w:val="16"/>
          <w:szCs w:val="16"/>
        </w:rPr>
        <w:t>[D]</w:t>
      </w:r>
      <w:proofErr w:type="spellStart"/>
      <w:r w:rsidRPr="00157C93">
        <w:rPr>
          <w:sz w:val="16"/>
          <w:szCs w:val="16"/>
        </w:rPr>
        <w:t>ado</w:t>
      </w:r>
      <w:proofErr w:type="spellEnd"/>
      <w:r w:rsidRPr="00157C93">
        <w:rPr>
          <w:sz w:val="16"/>
          <w:szCs w:val="16"/>
        </w:rPr>
        <w:t xml:space="preserve"> que al expedirse la Constitución de 1993, la estructura orgánica del Congreso y, por ende, su Cuadro de Asignación de Personal variaron sustancialmente, </w:t>
      </w:r>
      <w:r w:rsidRPr="00157C93">
        <w:rPr>
          <w:b/>
          <w:bCs/>
          <w:sz w:val="16"/>
          <w:szCs w:val="16"/>
        </w:rPr>
        <w:t xml:space="preserve">no es </w:t>
      </w:r>
      <w:proofErr w:type="gramStart"/>
      <w:r w:rsidRPr="00157C93">
        <w:rPr>
          <w:b/>
          <w:bCs/>
          <w:sz w:val="16"/>
          <w:szCs w:val="16"/>
        </w:rPr>
        <w:t>posible[</w:t>
      </w:r>
      <w:proofErr w:type="gramEnd"/>
      <w:r w:rsidRPr="00157C93">
        <w:rPr>
          <w:b/>
          <w:bCs/>
          <w:sz w:val="16"/>
          <w:szCs w:val="16"/>
        </w:rPr>
        <w:t>,] por la vía del amparo reponer las cosas al estado anterior a la agresión, por cuanto esta ha devenido en irreparable</w:t>
      </w:r>
      <w:r w:rsidRPr="00157C93">
        <w:rPr>
          <w:sz w:val="16"/>
          <w:szCs w:val="16"/>
        </w:rPr>
        <w:t xml:space="preserve"> […]. Por estos fundamentos, el Tribunal Constitucional, en uso de las atribuciones que le confieren la Constitución Política del Perú y su Ley Orgánica, FALLA CONFIRMANDO la recurrida, que, confirmando la apelada, declaró IMPROCEDENTE la acción de amparo (negrilla fuera del texto).  </w:t>
      </w:r>
    </w:p>
    <w:p w14:paraId="5DD87260" w14:textId="77777777" w:rsidR="007B7CD8" w:rsidRPr="00157C93" w:rsidRDefault="007B7CD8" w:rsidP="00157C93">
      <w:pPr>
        <w:ind w:left="720" w:right="838"/>
        <w:jc w:val="both"/>
        <w:rPr>
          <w:sz w:val="16"/>
          <w:szCs w:val="16"/>
        </w:rPr>
      </w:pPr>
    </w:p>
    <w:p w14:paraId="77811063" w14:textId="447CA36C" w:rsidR="007B7CD8" w:rsidRPr="00157C93" w:rsidRDefault="007B7CD8" w:rsidP="00157C93">
      <w:pPr>
        <w:ind w:left="720" w:right="838"/>
        <w:jc w:val="both"/>
        <w:rPr>
          <w:sz w:val="16"/>
          <w:szCs w:val="16"/>
        </w:rPr>
      </w:pPr>
      <w:r w:rsidRPr="00157C93">
        <w:rPr>
          <w:sz w:val="16"/>
          <w:szCs w:val="16"/>
        </w:rPr>
        <w:t>99. Es decir, el Tribunal Constitucional reconoció que hubo una violación de los derechos de los accionantes y pese a ello, declaró improcedente el amparo. De modo que la acción no constituyó un recurso efectivo que amparara a los trabajadores cesados frente a un acto violatorio de sus derechos, desconociendo con ello el artículo 25.1 de la Convención</w:t>
      </w:r>
      <w:r w:rsidR="00FE62E3" w:rsidRPr="00656182">
        <w:rPr>
          <w:rStyle w:val="Refdenotaalpie"/>
          <w:sz w:val="16"/>
          <w:szCs w:val="16"/>
        </w:rPr>
        <w:footnoteReference w:id="11"/>
      </w:r>
      <w:r w:rsidRPr="00157C93">
        <w:rPr>
          <w:sz w:val="16"/>
          <w:szCs w:val="16"/>
        </w:rPr>
        <w:t xml:space="preserve">.  </w:t>
      </w:r>
    </w:p>
    <w:p w14:paraId="22BAB5B6" w14:textId="77777777" w:rsidR="007B7CD8" w:rsidRDefault="007B7CD8" w:rsidP="0010633A"/>
    <w:p w14:paraId="4D71A620" w14:textId="6E280668" w:rsidR="002418F2" w:rsidRDefault="002418F2" w:rsidP="0010633A">
      <w:pPr>
        <w:pStyle w:val="Prrafodelista"/>
      </w:pPr>
      <w:r>
        <w:t>L</w:t>
      </w:r>
      <w:r w:rsidRPr="00AF0CC9">
        <w:t xml:space="preserve">a solicitud de interpretación </w:t>
      </w:r>
      <w:r>
        <w:t>presentada</w:t>
      </w:r>
      <w:r w:rsidRPr="00AF0CC9">
        <w:t xml:space="preserve"> por el Estado se </w:t>
      </w:r>
      <w:r>
        <w:t xml:space="preserve">fundamenta en que, a su juicio, </w:t>
      </w:r>
      <w:r w:rsidRPr="00CD6528">
        <w:t>el Tribunal Constitucional no verific</w:t>
      </w:r>
      <w:r>
        <w:t>ó</w:t>
      </w:r>
      <w:r w:rsidRPr="00CD6528">
        <w:t xml:space="preserve"> ni reconoc</w:t>
      </w:r>
      <w:r>
        <w:t>ió</w:t>
      </w:r>
      <w:r w:rsidRPr="00CD6528">
        <w:t xml:space="preserve"> la irregularidad de los ceses de 20 víctimas</w:t>
      </w:r>
      <w:r>
        <w:t>. Es decir, el Estado manifestó, a través de la solicitud de interpretación, su desacuerdo</w:t>
      </w:r>
      <w:r w:rsidRPr="00AF0CC9">
        <w:t xml:space="preserve"> con </w:t>
      </w:r>
      <w:r>
        <w:t>el análisis</w:t>
      </w:r>
      <w:r w:rsidRPr="00AF0CC9">
        <w:t xml:space="preserve"> que hizo esta Corte de </w:t>
      </w:r>
      <w:r>
        <w:t>la decisión</w:t>
      </w:r>
      <w:r w:rsidRPr="00AF0CC9">
        <w:t xml:space="preserve"> </w:t>
      </w:r>
      <w:r>
        <w:t>de amparo.</w:t>
      </w:r>
      <w:r w:rsidRPr="00AF0CC9">
        <w:t xml:space="preserve"> </w:t>
      </w:r>
      <w:r>
        <w:t xml:space="preserve">Conforme a lo </w:t>
      </w:r>
      <w:r>
        <w:lastRenderedPageBreak/>
        <w:t>anterior</w:t>
      </w:r>
      <w:r w:rsidRPr="00C36E20">
        <w:t xml:space="preserve">, la solicitud del Estado </w:t>
      </w:r>
      <w:r w:rsidRPr="00AF0CC9">
        <w:t xml:space="preserve">no corresponde a los supuestos establecidos en el artículo 67 de la Convención, ya que no versa sobre el sentido o alcance del fallo, sino </w:t>
      </w:r>
      <w:r>
        <w:t>que se refiere a</w:t>
      </w:r>
      <w:r w:rsidRPr="00AF0CC9">
        <w:t xml:space="preserve"> su </w:t>
      </w:r>
      <w:r>
        <w:t>desacuerdo</w:t>
      </w:r>
      <w:r w:rsidRPr="00AF0CC9">
        <w:t xml:space="preserve"> con </w:t>
      </w:r>
      <w:r>
        <w:t xml:space="preserve">el análisis y </w:t>
      </w:r>
      <w:r w:rsidRPr="00AF0CC9">
        <w:t xml:space="preserve">las conclusiones a las que arribó la Corte. </w:t>
      </w:r>
    </w:p>
    <w:p w14:paraId="708A7C8D" w14:textId="77777777" w:rsidR="002418F2" w:rsidDel="009C0AAF" w:rsidRDefault="002418F2" w:rsidP="0010633A"/>
    <w:p w14:paraId="5646D545" w14:textId="7BBAD997" w:rsidR="00C36E20" w:rsidRPr="00656182" w:rsidRDefault="00656182" w:rsidP="0010633A">
      <w:pPr>
        <w:pStyle w:val="Prrafodelista"/>
      </w:pPr>
      <w:r>
        <w:t>Además</w:t>
      </w:r>
      <w:r w:rsidR="00C36E20" w:rsidRPr="00656182">
        <w:t>,</w:t>
      </w:r>
      <w:r>
        <w:t xml:space="preserve"> la Corte nota que</w:t>
      </w:r>
      <w:r w:rsidR="00C55426" w:rsidRPr="00656182">
        <w:t xml:space="preserve"> una eventual interpretación sobre este asunto no </w:t>
      </w:r>
      <w:r w:rsidR="00C36E20" w:rsidRPr="00656182">
        <w:t>tendría ninguna incidencia</w:t>
      </w:r>
      <w:r w:rsidR="00C55426" w:rsidRPr="00656182">
        <w:t xml:space="preserve"> en el apartado resolutivo de la sentencia</w:t>
      </w:r>
      <w:r w:rsidR="002D3CC1">
        <w:t>, y</w:t>
      </w:r>
      <w:r w:rsidR="00C55426" w:rsidRPr="00656182">
        <w:t xml:space="preserve"> que </w:t>
      </w:r>
      <w:r>
        <w:t>el análisis</w:t>
      </w:r>
      <w:r w:rsidR="00C55426" w:rsidRPr="00656182">
        <w:t xml:space="preserve"> que </w:t>
      </w:r>
      <w:r w:rsidR="00AF0CC9" w:rsidRPr="00656182">
        <w:t>hizo</w:t>
      </w:r>
      <w:r w:rsidR="00C55426" w:rsidRPr="00656182">
        <w:t xml:space="preserve"> la Corte de la sentencia del Tribunal Constitucional </w:t>
      </w:r>
      <w:r w:rsidR="00AF0CC9" w:rsidRPr="00656182">
        <w:t>contribuye a</w:t>
      </w:r>
      <w:r w:rsidR="00C55426" w:rsidRPr="00656182">
        <w:t xml:space="preserve"> reforzar la conclusión</w:t>
      </w:r>
      <w:r w:rsidR="00C36E20" w:rsidRPr="00656182">
        <w:t xml:space="preserve"> </w:t>
      </w:r>
      <w:r>
        <w:t>a la que arribó</w:t>
      </w:r>
      <w:r w:rsidR="00C36E20" w:rsidRPr="00656182">
        <w:t>,</w:t>
      </w:r>
      <w:r w:rsidR="00C55426" w:rsidRPr="00656182">
        <w:t xml:space="preserve"> </w:t>
      </w:r>
      <w:r w:rsidR="00AF0CC9" w:rsidRPr="00656182">
        <w:t xml:space="preserve">pero no es su único fundamento. </w:t>
      </w:r>
      <w:r w:rsidR="00CE3508">
        <w:t>En ese sentido</w:t>
      </w:r>
      <w:r w:rsidR="00AF0CC9" w:rsidRPr="00656182">
        <w:t xml:space="preserve">, la </w:t>
      </w:r>
      <w:r w:rsidR="002418F2">
        <w:t>Corte</w:t>
      </w:r>
      <w:r w:rsidR="002418F2" w:rsidRPr="00656182">
        <w:t xml:space="preserve"> </w:t>
      </w:r>
      <w:r w:rsidR="002418F2">
        <w:t>determinó</w:t>
      </w:r>
      <w:r w:rsidR="002418F2" w:rsidRPr="00656182">
        <w:t xml:space="preserve"> </w:t>
      </w:r>
      <w:r w:rsidR="00C55426" w:rsidRPr="00656182">
        <w:t xml:space="preserve">que “el Estado procedió de manera arbitraria al declarar el cese en el empleo de los extrabajadores del Congreso de la República identificados en esta sentencia […], porque </w:t>
      </w:r>
      <w:r w:rsidR="00C36E20" w:rsidRPr="00656182">
        <w:t xml:space="preserve">[1] </w:t>
      </w:r>
      <w:r w:rsidR="00C55426" w:rsidRPr="00656182">
        <w:rPr>
          <w:b/>
          <w:bCs/>
        </w:rPr>
        <w:t>fueron retirados de sus trabajos sin que se acreditaran razones justificadas</w:t>
      </w:r>
      <w:r w:rsidR="00C55426" w:rsidRPr="00656182">
        <w:t xml:space="preserve"> y porque </w:t>
      </w:r>
      <w:r w:rsidR="00C36E20" w:rsidRPr="00656182">
        <w:t xml:space="preserve">[2] </w:t>
      </w:r>
      <w:r w:rsidR="00C55426" w:rsidRPr="000D3AC7">
        <w:rPr>
          <w:b/>
          <w:bCs/>
        </w:rPr>
        <w:t>s</w:t>
      </w:r>
      <w:r w:rsidR="00C55426" w:rsidRPr="00656182">
        <w:rPr>
          <w:b/>
          <w:bCs/>
        </w:rPr>
        <w:t>e les prohibió acceder a la acción de amparo para cuestionar sus ceses</w:t>
      </w:r>
      <w:r w:rsidR="00C55426" w:rsidRPr="00656182">
        <w:t>”</w:t>
      </w:r>
      <w:r w:rsidR="005D7775" w:rsidRPr="00656182">
        <w:rPr>
          <w:rStyle w:val="Refdenotaalpie"/>
          <w:sz w:val="16"/>
          <w:szCs w:val="16"/>
        </w:rPr>
        <w:footnoteReference w:id="12"/>
      </w:r>
      <w:r w:rsidR="00C36E20" w:rsidRPr="00656182">
        <w:t xml:space="preserve"> (negrillas fuera del texto)</w:t>
      </w:r>
      <w:r w:rsidR="00CE3508">
        <w:t>. C</w:t>
      </w:r>
      <w:r>
        <w:t xml:space="preserve">omo argumento adicional, </w:t>
      </w:r>
      <w:r w:rsidR="00CE3508">
        <w:t xml:space="preserve">la Corte </w:t>
      </w:r>
      <w:r>
        <w:t>destacó lo establecido por el Tribunal Constitucional.</w:t>
      </w:r>
    </w:p>
    <w:p w14:paraId="6E4C125B" w14:textId="77777777" w:rsidR="00C36E20" w:rsidRPr="00C36E20" w:rsidRDefault="00C36E20" w:rsidP="0010633A"/>
    <w:p w14:paraId="2FE478AC" w14:textId="7A626F41" w:rsidR="009C0AAF" w:rsidRPr="00157C93" w:rsidRDefault="00C55426" w:rsidP="0010633A">
      <w:pPr>
        <w:pStyle w:val="Prrafodelista"/>
        <w:rPr>
          <w:bCs/>
        </w:rPr>
      </w:pPr>
      <w:r w:rsidRPr="00AF0CC9">
        <w:t xml:space="preserve"> </w:t>
      </w:r>
      <w:r w:rsidR="00C36E20">
        <w:t>Conforme a lo anterior</w:t>
      </w:r>
      <w:r w:rsidRPr="00AF0CC9">
        <w:t xml:space="preserve">, la Corte advierte que, bajo la solicitud de interpretación, </w:t>
      </w:r>
      <w:r w:rsidR="00C36E20">
        <w:t xml:space="preserve">el Estado manifestó su </w:t>
      </w:r>
      <w:r w:rsidR="00656182">
        <w:t>discrepancia</w:t>
      </w:r>
      <w:r w:rsidR="00C36E20">
        <w:t xml:space="preserve"> con</w:t>
      </w:r>
      <w:r w:rsidRPr="00AF0CC9">
        <w:t xml:space="preserve"> el análisis </w:t>
      </w:r>
      <w:r w:rsidR="00656182">
        <w:t>hecho en la sentencia</w:t>
      </w:r>
      <w:r w:rsidRPr="00AF0CC9">
        <w:t xml:space="preserve">, cuestión que excede el ámbito </w:t>
      </w:r>
      <w:r w:rsidR="00C36E20">
        <w:t>de aplicación de</w:t>
      </w:r>
      <w:r w:rsidR="005D7775">
        <w:t>l</w:t>
      </w:r>
      <w:r w:rsidRPr="00AF0CC9">
        <w:t xml:space="preserve"> artículo 67 de la Convención.</w:t>
      </w:r>
      <w:r w:rsidR="00C36E20">
        <w:t xml:space="preserve"> La </w:t>
      </w:r>
      <w:r w:rsidR="00275BBC" w:rsidRPr="007A17F3">
        <w:t>Corte reitera que la solicitud de interpretación de sentencia tiene como objeto, exclusivamente, determinar el sentido de un fallo</w:t>
      </w:r>
      <w:r w:rsidR="00275BBC" w:rsidRPr="007A17F3">
        <w:rPr>
          <w:spacing w:val="1"/>
        </w:rPr>
        <w:t xml:space="preserve"> </w:t>
      </w:r>
      <w:r w:rsidR="00275BBC" w:rsidRPr="007A17F3">
        <w:t>cuando alguna de las partes sostiene que el texto de sus puntos resolutivos o de sus</w:t>
      </w:r>
      <w:r w:rsidR="00275BBC" w:rsidRPr="007A17F3">
        <w:rPr>
          <w:spacing w:val="1"/>
        </w:rPr>
        <w:t xml:space="preserve"> </w:t>
      </w:r>
      <w:r w:rsidR="00275BBC" w:rsidRPr="007A17F3">
        <w:t>consideraciones carece de claridad o precisión, siempre y cuando esas consideraciones</w:t>
      </w:r>
      <w:r w:rsidR="00275BBC" w:rsidRPr="007A17F3">
        <w:rPr>
          <w:spacing w:val="1"/>
        </w:rPr>
        <w:t xml:space="preserve"> </w:t>
      </w:r>
      <w:r w:rsidR="00275BBC" w:rsidRPr="007A17F3">
        <w:t>incidan en dicha parte resolutiva</w:t>
      </w:r>
      <w:r w:rsidR="00275BBC" w:rsidRPr="00780A6C">
        <w:rPr>
          <w:rStyle w:val="Refdenotaalpie"/>
        </w:rPr>
        <w:footnoteReference w:id="13"/>
      </w:r>
      <w:r w:rsidRPr="007A17F3">
        <w:t>, lo que no ocurre en el presente caso</w:t>
      </w:r>
      <w:r w:rsidR="00275BBC" w:rsidRPr="007A17F3">
        <w:t>.</w:t>
      </w:r>
      <w:r w:rsidRPr="007A17F3">
        <w:t xml:space="preserve"> </w:t>
      </w:r>
    </w:p>
    <w:p w14:paraId="2E9A67FB" w14:textId="77777777" w:rsidR="009C0AAF" w:rsidRPr="007A17F3" w:rsidRDefault="009C0AAF" w:rsidP="007A17F3">
      <w:pPr>
        <w:tabs>
          <w:tab w:val="left" w:pos="567"/>
        </w:tabs>
        <w:rPr>
          <w:bCs/>
          <w:sz w:val="20"/>
          <w:szCs w:val="20"/>
        </w:rPr>
      </w:pPr>
    </w:p>
    <w:p w14:paraId="7B4A0B5D" w14:textId="1D6E904D" w:rsidR="00275BBC" w:rsidRPr="003C1CB4" w:rsidRDefault="00275BBC" w:rsidP="0010633A">
      <w:pPr>
        <w:pStyle w:val="Prrafodelista"/>
      </w:pPr>
      <w:r>
        <w:t>Debido a</w:t>
      </w:r>
      <w:r w:rsidRPr="00376DA4">
        <w:t xml:space="preserve"> lo anterior, este Tribunal considera que la solicitud </w:t>
      </w:r>
      <w:r w:rsidR="00C55426">
        <w:t>de</w:t>
      </w:r>
      <w:r w:rsidR="00656182">
        <w:t xml:space="preserve"> interpretación del </w:t>
      </w:r>
      <w:r w:rsidR="00C55426">
        <w:t>punto resolutivo 7 en relación con el párrafo 115 de la Sentencia presentad</w:t>
      </w:r>
      <w:r w:rsidR="00656182">
        <w:t>a</w:t>
      </w:r>
      <w:r w:rsidR="00C55426">
        <w:t xml:space="preserve"> por el</w:t>
      </w:r>
      <w:r w:rsidRPr="00376DA4">
        <w:t xml:space="preserve"> Estado es improcedente</w:t>
      </w:r>
      <w:r w:rsidR="002418F2">
        <w:t xml:space="preserve"> y debe ser desestimada</w:t>
      </w:r>
      <w:r w:rsidRPr="00376DA4">
        <w:t>.</w:t>
      </w:r>
    </w:p>
    <w:p w14:paraId="2D9FA53E" w14:textId="77777777" w:rsidR="00157F4C" w:rsidRPr="00780A6C" w:rsidRDefault="00157F4C" w:rsidP="00157F4C">
      <w:pPr>
        <w:rPr>
          <w:sz w:val="20"/>
          <w:szCs w:val="20"/>
        </w:rPr>
      </w:pPr>
    </w:p>
    <w:p w14:paraId="6092F657" w14:textId="7002D1C8" w:rsidR="00157F4C" w:rsidRPr="00E75B50" w:rsidRDefault="00157F4C" w:rsidP="00F0706B">
      <w:pPr>
        <w:pStyle w:val="Ttulo2"/>
      </w:pPr>
      <w:r w:rsidRPr="00E75B50">
        <w:t xml:space="preserve">Solicitud de interpretación </w:t>
      </w:r>
      <w:r w:rsidR="00B77F15">
        <w:t>sobre</w:t>
      </w:r>
      <w:r w:rsidRPr="00E75B50">
        <w:t xml:space="preserve"> la medida de satisfacción relativa al mandato de inscripción en el Registro Nacional de Trabajadores Cesados Irregularmente</w:t>
      </w:r>
    </w:p>
    <w:p w14:paraId="01015801" w14:textId="77777777" w:rsidR="00157F4C" w:rsidRPr="00E75B50" w:rsidRDefault="00157F4C" w:rsidP="00157F4C">
      <w:pPr>
        <w:pStyle w:val="Textoindependiente"/>
        <w:rPr>
          <w:b/>
          <w:i/>
        </w:rPr>
      </w:pPr>
    </w:p>
    <w:p w14:paraId="2B99BD29" w14:textId="62FB1C94" w:rsidR="00157F4C" w:rsidRPr="00E75B50" w:rsidRDefault="00CD6528" w:rsidP="00E75B50">
      <w:pPr>
        <w:pStyle w:val="Ttulo3"/>
      </w:pPr>
      <w:r w:rsidRPr="00E75B50">
        <w:t>C</w:t>
      </w:r>
      <w:r w:rsidR="00157F4C" w:rsidRPr="00E75B50">
        <w:t>.1 Argumentos</w:t>
      </w:r>
      <w:r w:rsidR="00157F4C" w:rsidRPr="00E75B50">
        <w:rPr>
          <w:spacing w:val="-3"/>
        </w:rPr>
        <w:t xml:space="preserve"> </w:t>
      </w:r>
      <w:r w:rsidR="00157F4C" w:rsidRPr="00E75B50">
        <w:t>de</w:t>
      </w:r>
      <w:r w:rsidR="00157F4C" w:rsidRPr="00E75B50">
        <w:rPr>
          <w:spacing w:val="-2"/>
        </w:rPr>
        <w:t xml:space="preserve"> </w:t>
      </w:r>
      <w:r w:rsidR="00157F4C" w:rsidRPr="00E75B50">
        <w:t>las</w:t>
      </w:r>
      <w:r w:rsidR="00157F4C" w:rsidRPr="00E75B50">
        <w:rPr>
          <w:spacing w:val="-2"/>
        </w:rPr>
        <w:t xml:space="preserve"> </w:t>
      </w:r>
      <w:r w:rsidR="00157F4C" w:rsidRPr="00E75B50">
        <w:t>partes</w:t>
      </w:r>
      <w:r w:rsidR="00157F4C" w:rsidRPr="00E75B50">
        <w:rPr>
          <w:spacing w:val="-4"/>
        </w:rPr>
        <w:t xml:space="preserve"> y la Comisión </w:t>
      </w:r>
    </w:p>
    <w:p w14:paraId="60CDDF13" w14:textId="77777777" w:rsidR="00AC027A" w:rsidRPr="00E75B50" w:rsidRDefault="00AC027A" w:rsidP="00AC027A">
      <w:pPr>
        <w:rPr>
          <w:sz w:val="20"/>
          <w:szCs w:val="20"/>
        </w:rPr>
      </w:pPr>
    </w:p>
    <w:p w14:paraId="51647262" w14:textId="3720E2D5" w:rsidR="00AC027A" w:rsidRPr="00E75B50" w:rsidRDefault="00AC027A" w:rsidP="0010633A">
      <w:pPr>
        <w:pStyle w:val="Prrafodelista"/>
      </w:pPr>
      <w:r w:rsidRPr="00E75B50">
        <w:t xml:space="preserve">El </w:t>
      </w:r>
      <w:r w:rsidRPr="00E75B50">
        <w:rPr>
          <w:b/>
          <w:i/>
        </w:rPr>
        <w:t>Estado</w:t>
      </w:r>
      <w:r w:rsidRPr="00E75B50">
        <w:t xml:space="preserve"> solicitó la aclaración del punto resolutivo 11 en relación con los párrafos 144 y 15</w:t>
      </w:r>
      <w:r w:rsidR="00FD0F67" w:rsidRPr="00E75B50">
        <w:t>4</w:t>
      </w:r>
      <w:r w:rsidRPr="00E75B50">
        <w:t xml:space="preserve"> de la Sentencia, </w:t>
      </w:r>
      <w:r w:rsidR="007763DE" w:rsidRPr="00E75B50">
        <w:t>concerniente a</w:t>
      </w:r>
      <w:r w:rsidRPr="00E75B50">
        <w:t xml:space="preserve"> la “inclusión de todas las víctimas en el Registro Nacional de Trabajadores Cesados Irregularmente”</w:t>
      </w:r>
      <w:r w:rsidR="00F0706B" w:rsidRPr="00E75B50">
        <w:t>.</w:t>
      </w:r>
      <w:r w:rsidRPr="00E75B50">
        <w:t xml:space="preserve"> </w:t>
      </w:r>
      <w:r w:rsidR="00F0706B" w:rsidRPr="00E75B50">
        <w:t>S</w:t>
      </w:r>
      <w:r w:rsidR="00093F6B" w:rsidRPr="00E75B50">
        <w:t>eñaló que</w:t>
      </w:r>
      <w:r w:rsidR="00E75B50">
        <w:t xml:space="preserve">, </w:t>
      </w:r>
      <w:r w:rsidR="00093F6B" w:rsidRPr="00E75B50">
        <w:t>para la inscripción en el Registro, la legislación peruana ha previsto un procedimiento de evaluación</w:t>
      </w:r>
      <w:r w:rsidR="00E75B50">
        <w:t xml:space="preserve">, y </w:t>
      </w:r>
      <w:r w:rsidR="00093F6B" w:rsidRPr="00E75B50">
        <w:t>que “aquellas personas que aún no hubieran sido reconocidas como trabajadores cesados irregularmente, mediante su inscripción en el Registro Nacional de Trabajadores Cesados Irregularmente, podían solicitar la revisión de sus ceses, a afectos de que estos sean evaluados”</w:t>
      </w:r>
      <w:r w:rsidR="00F0706B" w:rsidRPr="005D7775">
        <w:t>.</w:t>
      </w:r>
      <w:r w:rsidR="00093F6B" w:rsidRPr="00E75B50">
        <w:t xml:space="preserve"> </w:t>
      </w:r>
      <w:r w:rsidR="001148B2" w:rsidRPr="00E75B50">
        <w:t>También</w:t>
      </w:r>
      <w:r w:rsidR="00093F6B" w:rsidRPr="00E75B50">
        <w:t xml:space="preserve"> indicó que hay dos víctimas declaradas en Sentencia sobre las </w:t>
      </w:r>
      <w:r w:rsidR="00E75B50">
        <w:t>que</w:t>
      </w:r>
      <w:r w:rsidR="00093F6B" w:rsidRPr="00E75B50">
        <w:t xml:space="preserve"> “existen pronunciamientos judiciales firmes </w:t>
      </w:r>
      <w:r w:rsidR="00E75B50">
        <w:t>[…]</w:t>
      </w:r>
      <w:r w:rsidR="00093F6B" w:rsidRPr="00E75B50">
        <w:t xml:space="preserve">, que desestimaron sus pretensiones relativas a la inscripción en el referido Registro”. En ese sentido, </w:t>
      </w:r>
      <w:r w:rsidR="00E75B50">
        <w:t>se refirió a</w:t>
      </w:r>
      <w:r w:rsidR="00093F6B" w:rsidRPr="00E75B50">
        <w:t xml:space="preserve"> “la dificultad de incluir en el mencionado Registro a las 44 víctimas que no se encuentran inscritas, sin que exista un procedimiento de evaluación previo” y </w:t>
      </w:r>
      <w:r w:rsidR="006E7480" w:rsidRPr="00E75B50">
        <w:t>a</w:t>
      </w:r>
      <w:r w:rsidR="00093F6B" w:rsidRPr="00E75B50">
        <w:t xml:space="preserve"> las “víctimas</w:t>
      </w:r>
      <w:r w:rsidR="00C43C9C" w:rsidRPr="00E75B50">
        <w:t xml:space="preserve"> [con]</w:t>
      </w:r>
      <w:r w:rsidR="00093F6B" w:rsidRPr="00E75B50">
        <w:t xml:space="preserve"> decisiones judiciales con calidad de cosa juzgada”. </w:t>
      </w:r>
      <w:r w:rsidR="00CE3508">
        <w:t>S</w:t>
      </w:r>
      <w:r w:rsidR="00093F6B" w:rsidRPr="00E75B50">
        <w:t xml:space="preserve">olicitó que se esclarezca el sentido </w:t>
      </w:r>
      <w:r w:rsidR="00E75B50">
        <w:t>del</w:t>
      </w:r>
      <w:r w:rsidR="00093F6B" w:rsidRPr="00E75B50">
        <w:t xml:space="preserve"> fallo, en relación </w:t>
      </w:r>
      <w:r w:rsidR="00E75B50">
        <w:t>con la</w:t>
      </w:r>
      <w:r w:rsidR="00093F6B" w:rsidRPr="00E75B50">
        <w:t xml:space="preserve"> </w:t>
      </w:r>
      <w:r w:rsidR="00504959">
        <w:t>“</w:t>
      </w:r>
      <w:r w:rsidR="00093F6B" w:rsidRPr="00E75B50">
        <w:t>inclusión en el Registro Nacional de Trabajadores Cesados Irregularmente de las 44 víctimas que aún no han sido inscritas”.</w:t>
      </w:r>
    </w:p>
    <w:p w14:paraId="29162586" w14:textId="77777777" w:rsidR="0095523A" w:rsidRPr="00E75B50" w:rsidRDefault="0095523A" w:rsidP="0010633A"/>
    <w:p w14:paraId="51AA407F" w14:textId="777F1CB3" w:rsidR="0095523A" w:rsidRPr="00E75B50" w:rsidRDefault="0095523A" w:rsidP="0010633A">
      <w:pPr>
        <w:pStyle w:val="Prrafodelista"/>
      </w:pPr>
      <w:r w:rsidRPr="00E75B50">
        <w:t>El</w:t>
      </w:r>
      <w:r w:rsidRPr="00E75B50">
        <w:rPr>
          <w:spacing w:val="-5"/>
        </w:rPr>
        <w:t xml:space="preserve"> </w:t>
      </w:r>
      <w:r w:rsidRPr="00E75B50">
        <w:rPr>
          <w:b/>
          <w:i/>
        </w:rPr>
        <w:t>representante</w:t>
      </w:r>
      <w:r w:rsidRPr="00E75B50">
        <w:rPr>
          <w:b/>
          <w:i/>
          <w:spacing w:val="-1"/>
        </w:rPr>
        <w:t xml:space="preserve"> </w:t>
      </w:r>
      <w:r w:rsidR="009F1ED1" w:rsidRPr="00E75B50">
        <w:t>indicó que mediante la solicitud de interpretación se</w:t>
      </w:r>
      <w:r w:rsidR="00A76C14" w:rsidRPr="00E75B50">
        <w:t xml:space="preserve"> busca</w:t>
      </w:r>
      <w:r w:rsidR="009F1ED1" w:rsidRPr="00E75B50">
        <w:t xml:space="preserve"> </w:t>
      </w:r>
      <w:r w:rsidR="00A76C14" w:rsidRPr="00E75B50">
        <w:t xml:space="preserve">que se </w:t>
      </w:r>
      <w:r w:rsidR="009F1ED1" w:rsidRPr="00E75B50">
        <w:t>admita un nuevo procedimiento de evaluación previa que determine</w:t>
      </w:r>
      <w:r w:rsidR="00E75B50">
        <w:t xml:space="preserve"> </w:t>
      </w:r>
      <w:r w:rsidR="009F1ED1" w:rsidRPr="00E75B50">
        <w:t>si las 44 víctimas de este caso fueron cesadas irregularmente</w:t>
      </w:r>
      <w:r w:rsidR="00A76C14" w:rsidRPr="00E75B50">
        <w:t xml:space="preserve">. En este sentido, </w:t>
      </w:r>
      <w:r w:rsidR="00E75B50">
        <w:t>sostuvo</w:t>
      </w:r>
      <w:r w:rsidR="00A76C14" w:rsidRPr="00E75B50">
        <w:t xml:space="preserve"> que esa interpretación “supone una modificación del sentido y alcance de la Sentencia” debido a que propone sujetar a la revisión en el fuero interno </w:t>
      </w:r>
      <w:r w:rsidR="00E75B50">
        <w:t xml:space="preserve">lo </w:t>
      </w:r>
      <w:r w:rsidR="00A76C14" w:rsidRPr="00E75B50">
        <w:t xml:space="preserve">que la Corte </w:t>
      </w:r>
      <w:r w:rsidR="00E75B50">
        <w:t xml:space="preserve">ya </w:t>
      </w:r>
      <w:r w:rsidR="00A76C14" w:rsidRPr="00E75B50">
        <w:t>determin</w:t>
      </w:r>
      <w:r w:rsidR="001148B2" w:rsidRPr="00E75B50">
        <w:t>ó</w:t>
      </w:r>
      <w:r w:rsidR="00A76C14" w:rsidRPr="00E75B50">
        <w:t>, es decir, que “las 184 víctimas de este caso fueron todas cesadas arbitraria e irregularmente, porque fueron retirad</w:t>
      </w:r>
      <w:r w:rsidR="00E75B50">
        <w:t>[as]</w:t>
      </w:r>
      <w:r w:rsidR="00A76C14" w:rsidRPr="00E75B50">
        <w:t xml:space="preserve"> de sus trabajos sin que se acreditaran razones justificadas y porque se les prohibió acceder a la acción de amparo para cuestionar sus ceses”</w:t>
      </w:r>
      <w:r w:rsidR="001148B2" w:rsidRPr="00E75B50">
        <w:t>.</w:t>
      </w:r>
      <w:r w:rsidR="00A76C14" w:rsidRPr="00E75B50">
        <w:t xml:space="preserve"> En consecuencia, solicitó “declarar improcedente la solicitud de interpretación requerida por el Estado”.</w:t>
      </w:r>
    </w:p>
    <w:p w14:paraId="0B793888" w14:textId="77777777" w:rsidR="0095523A" w:rsidRPr="00E75B50" w:rsidRDefault="0095523A" w:rsidP="0010633A"/>
    <w:p w14:paraId="1D2089E4" w14:textId="11CD08D9" w:rsidR="0095523A" w:rsidRPr="00E75B50" w:rsidRDefault="0095523A" w:rsidP="0010633A">
      <w:pPr>
        <w:pStyle w:val="Prrafodelista"/>
      </w:pPr>
      <w:r w:rsidRPr="00E75B50">
        <w:t xml:space="preserve">La </w:t>
      </w:r>
      <w:r w:rsidRPr="00E75B50">
        <w:rPr>
          <w:b/>
          <w:i/>
        </w:rPr>
        <w:t xml:space="preserve">Comisión </w:t>
      </w:r>
      <w:r w:rsidRPr="00E75B50">
        <w:t>indicó que la “consulta realizada por el Estado no corresponde a los supuestos de interpretación establecidos en el artículo 67 de la Convención”, debido a que “no versa sobre el sentido o alcance del fallo, sino que consiste en una inconformidad con una de las medidas de reparación de la Corte”</w:t>
      </w:r>
      <w:r w:rsidR="006E7480" w:rsidRPr="00E75B50">
        <w:t>.</w:t>
      </w:r>
      <w:r w:rsidRPr="00E75B50">
        <w:t xml:space="preserve"> En consecuencia, señaló que “la solicitud del Estado resulta improcedente”</w:t>
      </w:r>
      <w:r w:rsidR="00E75B50">
        <w:t>.</w:t>
      </w:r>
      <w:r w:rsidRPr="00E75B50">
        <w:t xml:space="preserve"> </w:t>
      </w:r>
    </w:p>
    <w:p w14:paraId="706D5DDC" w14:textId="77777777" w:rsidR="00157F4C" w:rsidRPr="00E75B50" w:rsidRDefault="00157F4C" w:rsidP="0010633A"/>
    <w:p w14:paraId="2EB6B31D" w14:textId="6C66A551" w:rsidR="00157F4C" w:rsidRPr="00E75B50" w:rsidRDefault="00CD6528" w:rsidP="00E75B50">
      <w:pPr>
        <w:pStyle w:val="Ttulo3"/>
      </w:pPr>
      <w:r w:rsidRPr="00E75B50">
        <w:t>C</w:t>
      </w:r>
      <w:r w:rsidR="00157F4C" w:rsidRPr="00E75B50">
        <w:t>.2 Consideraciones</w:t>
      </w:r>
      <w:r w:rsidR="00157F4C" w:rsidRPr="00E75B50">
        <w:rPr>
          <w:spacing w:val="-3"/>
        </w:rPr>
        <w:t xml:space="preserve"> </w:t>
      </w:r>
      <w:r w:rsidR="00157F4C" w:rsidRPr="00E75B50">
        <w:t>de</w:t>
      </w:r>
      <w:r w:rsidR="00157F4C" w:rsidRPr="00E75B50">
        <w:rPr>
          <w:spacing w:val="-3"/>
        </w:rPr>
        <w:t xml:space="preserve"> </w:t>
      </w:r>
      <w:r w:rsidR="00157F4C" w:rsidRPr="00E75B50">
        <w:t>la</w:t>
      </w:r>
      <w:r w:rsidR="00157F4C" w:rsidRPr="00E75B50">
        <w:rPr>
          <w:spacing w:val="-4"/>
        </w:rPr>
        <w:t xml:space="preserve"> </w:t>
      </w:r>
      <w:r w:rsidR="00157F4C" w:rsidRPr="00E75B50">
        <w:t>Corte</w:t>
      </w:r>
    </w:p>
    <w:p w14:paraId="3202327B" w14:textId="77777777" w:rsidR="00157F4C" w:rsidRPr="00E75B50" w:rsidRDefault="00157F4C" w:rsidP="00157F4C">
      <w:pPr>
        <w:rPr>
          <w:sz w:val="20"/>
          <w:szCs w:val="20"/>
        </w:rPr>
      </w:pPr>
    </w:p>
    <w:p w14:paraId="19577573" w14:textId="3470A49E" w:rsidR="00157F4C" w:rsidRPr="00E75B50" w:rsidRDefault="00157F4C" w:rsidP="0010633A">
      <w:pPr>
        <w:pStyle w:val="Prrafodelista"/>
      </w:pPr>
      <w:r w:rsidRPr="00E75B50">
        <w:t>En lo que concierne a la</w:t>
      </w:r>
      <w:r w:rsidR="00FD0F67" w:rsidRPr="00E75B50">
        <w:t xml:space="preserve"> medida de satisfacción relativa a</w:t>
      </w:r>
      <w:r w:rsidR="001148B2" w:rsidRPr="00E75B50">
        <w:t xml:space="preserve"> </w:t>
      </w:r>
      <w:r w:rsidR="00FD0F67" w:rsidRPr="00E75B50">
        <w:t>l</w:t>
      </w:r>
      <w:r w:rsidR="001148B2" w:rsidRPr="00E75B50">
        <w:t>a inscripción en el</w:t>
      </w:r>
      <w:r w:rsidR="00FD0F67" w:rsidRPr="00E75B50">
        <w:t xml:space="preserve"> Registro Nacional de Trabajadores Cesados</w:t>
      </w:r>
      <w:r w:rsidR="00F84E1A">
        <w:t xml:space="preserve"> Irregularmente</w:t>
      </w:r>
      <w:r w:rsidR="00FD0F67" w:rsidRPr="00E75B50">
        <w:t xml:space="preserve"> </w:t>
      </w:r>
      <w:r w:rsidRPr="00E75B50">
        <w:t>ordenada en la Sentencia, este</w:t>
      </w:r>
      <w:r w:rsidRPr="00E75B50">
        <w:rPr>
          <w:spacing w:val="1"/>
        </w:rPr>
        <w:t xml:space="preserve"> </w:t>
      </w:r>
      <w:r w:rsidRPr="00E75B50">
        <w:t>Tribunal</w:t>
      </w:r>
      <w:r w:rsidRPr="00E75B50">
        <w:rPr>
          <w:spacing w:val="1"/>
        </w:rPr>
        <w:t xml:space="preserve"> </w:t>
      </w:r>
      <w:r w:rsidRPr="00E75B50">
        <w:t>recuerda</w:t>
      </w:r>
      <w:r w:rsidRPr="00E75B50">
        <w:rPr>
          <w:spacing w:val="-1"/>
        </w:rPr>
        <w:t xml:space="preserve"> </w:t>
      </w:r>
      <w:r w:rsidRPr="00E75B50">
        <w:t>que</w:t>
      </w:r>
      <w:r w:rsidRPr="00E75B50">
        <w:rPr>
          <w:spacing w:val="-1"/>
        </w:rPr>
        <w:t xml:space="preserve"> </w:t>
      </w:r>
      <w:r w:rsidRPr="00E75B50">
        <w:t>el</w:t>
      </w:r>
      <w:r w:rsidRPr="00E75B50">
        <w:rPr>
          <w:spacing w:val="1"/>
        </w:rPr>
        <w:t xml:space="preserve"> </w:t>
      </w:r>
      <w:r w:rsidRPr="00E75B50">
        <w:t>párrafo</w:t>
      </w:r>
      <w:r w:rsidRPr="00E75B50">
        <w:rPr>
          <w:spacing w:val="-3"/>
        </w:rPr>
        <w:t xml:space="preserve"> </w:t>
      </w:r>
      <w:r w:rsidR="00FD0F67" w:rsidRPr="00E75B50">
        <w:rPr>
          <w:spacing w:val="-3"/>
        </w:rPr>
        <w:t>144</w:t>
      </w:r>
      <w:r w:rsidRPr="00E75B50">
        <w:t xml:space="preserve"> dispuso</w:t>
      </w:r>
      <w:r w:rsidRPr="00E75B50">
        <w:rPr>
          <w:spacing w:val="-2"/>
        </w:rPr>
        <w:t xml:space="preserve"> </w:t>
      </w:r>
      <w:r w:rsidRPr="00E75B50">
        <w:t>lo</w:t>
      </w:r>
      <w:r w:rsidRPr="00E75B50">
        <w:rPr>
          <w:spacing w:val="-3"/>
        </w:rPr>
        <w:t xml:space="preserve"> </w:t>
      </w:r>
      <w:r w:rsidRPr="00E75B50">
        <w:t>siguiente:</w:t>
      </w:r>
    </w:p>
    <w:p w14:paraId="4B416B4F" w14:textId="77777777" w:rsidR="00157F4C" w:rsidRPr="00E75B50" w:rsidRDefault="00157F4C" w:rsidP="00157F4C">
      <w:pPr>
        <w:pStyle w:val="Textoindependiente"/>
      </w:pPr>
    </w:p>
    <w:p w14:paraId="27BE87D3" w14:textId="68BF8E8D" w:rsidR="00157F4C" w:rsidRPr="00E75B50" w:rsidRDefault="00FD0F67" w:rsidP="00DE4B75">
      <w:pPr>
        <w:ind w:left="720" w:right="850"/>
        <w:jc w:val="both"/>
        <w:rPr>
          <w:sz w:val="16"/>
          <w:szCs w:val="16"/>
        </w:rPr>
      </w:pPr>
      <w:r w:rsidRPr="00E75B50">
        <w:rPr>
          <w:sz w:val="16"/>
          <w:szCs w:val="16"/>
        </w:rPr>
        <w:t xml:space="preserve">144. Ahora bien, el Estado informó que no se ha determinado la irregularidad del cese de 44 personas, lo que se debe a circunstancias que no fueron individualizadas. En consecuencia, estas personas no han podido acceder a los beneficios definidos en la ley para los trabajadores cesados irregularmente. A juicio de la Corte, tal como se determinó en el capítulo VIII-2 de esta Sentencia, los ceses en el empleo de esas 44 personas fueron irregulares, debido a que el Estado no </w:t>
      </w:r>
      <w:r w:rsidR="001148B2" w:rsidRPr="00E75B50">
        <w:rPr>
          <w:sz w:val="16"/>
          <w:szCs w:val="16"/>
        </w:rPr>
        <w:t>acredit</w:t>
      </w:r>
      <w:r w:rsidR="00CE3508">
        <w:rPr>
          <w:sz w:val="16"/>
          <w:szCs w:val="16"/>
        </w:rPr>
        <w:t>ó</w:t>
      </w:r>
      <w:r w:rsidR="001148B2" w:rsidRPr="00E75B50">
        <w:rPr>
          <w:sz w:val="16"/>
          <w:szCs w:val="16"/>
        </w:rPr>
        <w:t xml:space="preserve"> </w:t>
      </w:r>
      <w:r w:rsidRPr="00E75B50">
        <w:rPr>
          <w:sz w:val="16"/>
          <w:szCs w:val="16"/>
        </w:rPr>
        <w:t>razones suficientes para separarlos del empleo y a que los trabajadores no pudieron recurrir la decisión. Por esa razón, la Corte ordenará l</w:t>
      </w:r>
      <w:bookmarkStart w:id="4" w:name="_Hlk141192348"/>
      <w:r w:rsidRPr="00E75B50">
        <w:rPr>
          <w:sz w:val="16"/>
          <w:szCs w:val="16"/>
        </w:rPr>
        <w:t>a inclusión de todas las personas declaradas víctimas de la presente sentencia en el Registro Nacional de Trabajadores Cesados</w:t>
      </w:r>
      <w:bookmarkEnd w:id="4"/>
      <w:r w:rsidRPr="00E75B50">
        <w:rPr>
          <w:sz w:val="16"/>
          <w:szCs w:val="16"/>
        </w:rPr>
        <w:t xml:space="preserve"> (</w:t>
      </w:r>
      <w:r w:rsidRPr="00E75B50">
        <w:rPr>
          <w:i/>
          <w:iCs/>
          <w:sz w:val="16"/>
          <w:szCs w:val="16"/>
        </w:rPr>
        <w:t>infra</w:t>
      </w:r>
      <w:r w:rsidRPr="00E75B50">
        <w:rPr>
          <w:sz w:val="16"/>
          <w:szCs w:val="16"/>
        </w:rPr>
        <w:t xml:space="preserve"> párr. 154)</w:t>
      </w:r>
      <w:r w:rsidR="00157F4C" w:rsidRPr="00E75B50">
        <w:rPr>
          <w:rStyle w:val="Refdenotaalpie"/>
          <w:sz w:val="16"/>
          <w:szCs w:val="16"/>
        </w:rPr>
        <w:footnoteReference w:id="14"/>
      </w:r>
      <w:r w:rsidR="00157F4C" w:rsidRPr="00E75B50">
        <w:rPr>
          <w:sz w:val="16"/>
          <w:szCs w:val="16"/>
        </w:rPr>
        <w:t>.</w:t>
      </w:r>
    </w:p>
    <w:p w14:paraId="536D6020" w14:textId="77777777" w:rsidR="00157F4C" w:rsidRPr="00E75B50" w:rsidRDefault="00157F4C" w:rsidP="00157F4C">
      <w:pPr>
        <w:jc w:val="both"/>
        <w:rPr>
          <w:sz w:val="20"/>
          <w:szCs w:val="20"/>
        </w:rPr>
      </w:pPr>
    </w:p>
    <w:p w14:paraId="0D49D893" w14:textId="4E2AA778" w:rsidR="00FD0F67" w:rsidRPr="00E75B50" w:rsidRDefault="00FD0F67" w:rsidP="0010633A">
      <w:pPr>
        <w:pStyle w:val="Prrafodelista"/>
      </w:pPr>
      <w:r w:rsidRPr="00E75B50">
        <w:t>Por su parte, en lo que concierne a la</w:t>
      </w:r>
      <w:r w:rsidR="00B91471" w:rsidRPr="00E75B50">
        <w:t xml:space="preserve">s indemnizaciones compensatorias </w:t>
      </w:r>
      <w:r w:rsidRPr="00E75B50">
        <w:t>ordenada</w:t>
      </w:r>
      <w:r w:rsidR="00B91471" w:rsidRPr="00E75B50">
        <w:t>s</w:t>
      </w:r>
      <w:r w:rsidRPr="00E75B50">
        <w:t xml:space="preserve"> en la Sentencia, este</w:t>
      </w:r>
      <w:r w:rsidRPr="00E75B50">
        <w:rPr>
          <w:spacing w:val="1"/>
        </w:rPr>
        <w:t xml:space="preserve"> </w:t>
      </w:r>
      <w:r w:rsidRPr="00E75B50">
        <w:t>Tribunal</w:t>
      </w:r>
      <w:r w:rsidRPr="00E75B50">
        <w:rPr>
          <w:spacing w:val="1"/>
        </w:rPr>
        <w:t xml:space="preserve"> </w:t>
      </w:r>
      <w:r w:rsidRPr="00E75B50">
        <w:t>recuerda</w:t>
      </w:r>
      <w:r w:rsidRPr="00E75B50">
        <w:rPr>
          <w:spacing w:val="-1"/>
        </w:rPr>
        <w:t xml:space="preserve"> </w:t>
      </w:r>
      <w:r w:rsidRPr="00E75B50">
        <w:t>que</w:t>
      </w:r>
      <w:r w:rsidRPr="00E75B50">
        <w:rPr>
          <w:spacing w:val="-1"/>
        </w:rPr>
        <w:t xml:space="preserve"> </w:t>
      </w:r>
      <w:r w:rsidRPr="00E75B50">
        <w:t>el</w:t>
      </w:r>
      <w:r w:rsidRPr="00E75B50">
        <w:rPr>
          <w:spacing w:val="1"/>
        </w:rPr>
        <w:t xml:space="preserve"> </w:t>
      </w:r>
      <w:r w:rsidRPr="00E75B50">
        <w:t>párrafo</w:t>
      </w:r>
      <w:r w:rsidRPr="00E75B50">
        <w:rPr>
          <w:spacing w:val="-3"/>
        </w:rPr>
        <w:t xml:space="preserve"> 1</w:t>
      </w:r>
      <w:r w:rsidR="00B91471" w:rsidRPr="00E75B50">
        <w:rPr>
          <w:spacing w:val="-3"/>
        </w:rPr>
        <w:t>5</w:t>
      </w:r>
      <w:r w:rsidRPr="00E75B50">
        <w:rPr>
          <w:spacing w:val="-3"/>
        </w:rPr>
        <w:t>4</w:t>
      </w:r>
      <w:r w:rsidRPr="00E75B50">
        <w:t xml:space="preserve"> del</w:t>
      </w:r>
      <w:r w:rsidRPr="00E75B50">
        <w:rPr>
          <w:spacing w:val="1"/>
        </w:rPr>
        <w:t xml:space="preserve"> </w:t>
      </w:r>
      <w:r w:rsidRPr="00E75B50">
        <w:t>fallo</w:t>
      </w:r>
      <w:r w:rsidRPr="00E75B50">
        <w:rPr>
          <w:spacing w:val="-2"/>
        </w:rPr>
        <w:t xml:space="preserve"> </w:t>
      </w:r>
      <w:r w:rsidRPr="00E75B50">
        <w:t>dispuso</w:t>
      </w:r>
      <w:r w:rsidRPr="00E75B50">
        <w:rPr>
          <w:spacing w:val="-2"/>
        </w:rPr>
        <w:t xml:space="preserve"> </w:t>
      </w:r>
      <w:r w:rsidRPr="00E75B50">
        <w:t>lo</w:t>
      </w:r>
      <w:r w:rsidRPr="00E75B50">
        <w:rPr>
          <w:spacing w:val="-3"/>
        </w:rPr>
        <w:t xml:space="preserve"> </w:t>
      </w:r>
      <w:r w:rsidRPr="00E75B50">
        <w:t>siguiente:</w:t>
      </w:r>
    </w:p>
    <w:p w14:paraId="70139468" w14:textId="77777777" w:rsidR="00157F4C" w:rsidRPr="00E75B50" w:rsidRDefault="00157F4C" w:rsidP="0010633A"/>
    <w:p w14:paraId="12D74467" w14:textId="34E09B39" w:rsidR="00157F4C" w:rsidRPr="002D3CC1" w:rsidRDefault="00B91471" w:rsidP="002D3CC1">
      <w:pPr>
        <w:ind w:left="720" w:right="838"/>
        <w:jc w:val="both"/>
        <w:rPr>
          <w:sz w:val="16"/>
          <w:szCs w:val="16"/>
        </w:rPr>
      </w:pPr>
      <w:r w:rsidRPr="002D3CC1">
        <w:rPr>
          <w:sz w:val="16"/>
          <w:szCs w:val="16"/>
        </w:rPr>
        <w:t>154. Conforme a lo anterior, la Corte ordena al Estado que proceda, en el plazo de tres meses, a la reparación de las 20 víctimas que ya fueron incluidas en el Registro y no han sido reparadas. Respecto de las 44 víctimas declaradas en esta sentencia que no han sido incluidas en el Registro, la Corte ordena al Estado incluirles (</w:t>
      </w:r>
      <w:r w:rsidRPr="002D3CC1">
        <w:rPr>
          <w:i/>
          <w:iCs/>
          <w:sz w:val="16"/>
          <w:szCs w:val="16"/>
        </w:rPr>
        <w:t>supra</w:t>
      </w:r>
      <w:r w:rsidRPr="002D3CC1">
        <w:rPr>
          <w:sz w:val="16"/>
          <w:szCs w:val="16"/>
        </w:rPr>
        <w:t xml:space="preserve"> párr. 144) y adoptar las acciones necesarias para que, en el plazo de seis meses, accedan efectivamente y según sea su deseo a una de las alternativas de reparación dispuestas por el Estado para la reivindicación de sus derechos (</w:t>
      </w:r>
      <w:r w:rsidRPr="002D3CC1">
        <w:rPr>
          <w:i/>
          <w:iCs/>
          <w:sz w:val="16"/>
          <w:szCs w:val="16"/>
        </w:rPr>
        <w:t>supra</w:t>
      </w:r>
      <w:r w:rsidRPr="002D3CC1">
        <w:rPr>
          <w:sz w:val="16"/>
          <w:szCs w:val="16"/>
        </w:rPr>
        <w:t xml:space="preserve"> párr. 131)</w:t>
      </w:r>
      <w:r w:rsidR="00157F4C" w:rsidRPr="0057344D">
        <w:rPr>
          <w:rStyle w:val="Refdenotaalpie"/>
          <w:sz w:val="16"/>
          <w:szCs w:val="16"/>
        </w:rPr>
        <w:footnoteReference w:id="15"/>
      </w:r>
      <w:r w:rsidR="00157F4C" w:rsidRPr="002D3CC1">
        <w:rPr>
          <w:sz w:val="16"/>
          <w:szCs w:val="16"/>
        </w:rPr>
        <w:t>.</w:t>
      </w:r>
    </w:p>
    <w:p w14:paraId="6BCF6B44" w14:textId="77777777" w:rsidR="00FC4E3D" w:rsidRPr="00E75B50" w:rsidRDefault="00FC4E3D" w:rsidP="00FC4E3D">
      <w:pPr>
        <w:rPr>
          <w:sz w:val="20"/>
          <w:szCs w:val="20"/>
        </w:rPr>
      </w:pPr>
    </w:p>
    <w:p w14:paraId="0F52FF93" w14:textId="655C6F19" w:rsidR="00FC4E3D" w:rsidRPr="00E75B50" w:rsidRDefault="00FC4E3D" w:rsidP="0010633A">
      <w:pPr>
        <w:pStyle w:val="Prrafodelista"/>
      </w:pPr>
      <w:r w:rsidRPr="00E75B50">
        <w:t>La Corte observa que la solicitud de interpretación realizada por el Estado se centra en su disconformidad con lo establecido por el Corte en l</w:t>
      </w:r>
      <w:r w:rsidR="00B86F2E" w:rsidRPr="00E75B50">
        <w:t>os</w:t>
      </w:r>
      <w:r w:rsidRPr="00E75B50">
        <w:t xml:space="preserve"> párrafo</w:t>
      </w:r>
      <w:r w:rsidR="00B86F2E" w:rsidRPr="00E75B50">
        <w:t>s 144 y 154</w:t>
      </w:r>
      <w:r w:rsidRPr="00E75B50">
        <w:t xml:space="preserve"> de la Sentencia. Particularmente, en lo referente </w:t>
      </w:r>
      <w:r w:rsidR="00B86F2E" w:rsidRPr="00E75B50">
        <w:t>a la inclusión de</w:t>
      </w:r>
      <w:r w:rsidR="00076AD4" w:rsidRPr="00E75B50">
        <w:t xml:space="preserve"> 44</w:t>
      </w:r>
      <w:r w:rsidR="00B86F2E" w:rsidRPr="00E75B50">
        <w:t xml:space="preserve"> personas declaradas víctimas </w:t>
      </w:r>
      <w:r w:rsidR="00E75B50">
        <w:t>en</w:t>
      </w:r>
      <w:r w:rsidR="00076AD4" w:rsidRPr="00E75B50">
        <w:t xml:space="preserve"> la</w:t>
      </w:r>
      <w:r w:rsidR="00B86F2E" w:rsidRPr="00E75B50">
        <w:t xml:space="preserve"> sentencia en el Registro Nacional de Trabajadores Cesados</w:t>
      </w:r>
      <w:r w:rsidR="001C5DB0">
        <w:t xml:space="preserve"> Irregularmente</w:t>
      </w:r>
      <w:r w:rsidRPr="00E75B50">
        <w:t xml:space="preserve">. </w:t>
      </w:r>
    </w:p>
    <w:p w14:paraId="7E236538" w14:textId="77777777" w:rsidR="00FC4E3D" w:rsidRPr="00E75B50" w:rsidRDefault="00FC4E3D" w:rsidP="0010633A"/>
    <w:p w14:paraId="4F4FEC49" w14:textId="6E48A0B4" w:rsidR="006E2FAA" w:rsidRPr="00E75B50" w:rsidRDefault="00FC4E3D" w:rsidP="0010633A">
      <w:pPr>
        <w:pStyle w:val="Prrafodelista"/>
        <w:rPr>
          <w:bCs/>
        </w:rPr>
      </w:pPr>
      <w:r w:rsidRPr="00E75B50">
        <w:t xml:space="preserve">La Corte advierte que la </w:t>
      </w:r>
      <w:r w:rsidR="001148B2" w:rsidRPr="00E75B50">
        <w:t xml:space="preserve">solicitud del </w:t>
      </w:r>
      <w:r w:rsidRPr="00E75B50">
        <w:t xml:space="preserve">Estado no corresponde a los supuestos de interpretación establecidos en el artículo 67 de la Convención, ya que no versa sobre el sentido o alcance del fallo, sino sobre su disconformidad con lo </w:t>
      </w:r>
      <w:r w:rsidR="001148B2" w:rsidRPr="00E75B50">
        <w:t xml:space="preserve">resuelto </w:t>
      </w:r>
      <w:r w:rsidRPr="00E75B50">
        <w:t xml:space="preserve">por la Corte en </w:t>
      </w:r>
      <w:r w:rsidR="00076AD4" w:rsidRPr="00E75B50">
        <w:t>los</w:t>
      </w:r>
      <w:r w:rsidRPr="00E75B50">
        <w:t xml:space="preserve"> párrafo</w:t>
      </w:r>
      <w:r w:rsidR="00076AD4" w:rsidRPr="00E75B50">
        <w:t>s</w:t>
      </w:r>
      <w:r w:rsidRPr="00E75B50">
        <w:t xml:space="preserve"> </w:t>
      </w:r>
      <w:r w:rsidR="00076AD4" w:rsidRPr="00E75B50">
        <w:t xml:space="preserve">144 y </w:t>
      </w:r>
      <w:r w:rsidRPr="00E75B50">
        <w:t>1</w:t>
      </w:r>
      <w:r w:rsidR="00076AD4" w:rsidRPr="00E75B50">
        <w:t>54</w:t>
      </w:r>
      <w:r w:rsidRPr="00E75B50">
        <w:t xml:space="preserve"> de la Sentencia. Al respecto</w:t>
      </w:r>
      <w:r w:rsidR="00076AD4" w:rsidRPr="00E75B50">
        <w:t xml:space="preserve">, </w:t>
      </w:r>
      <w:r w:rsidRPr="00E75B50">
        <w:t xml:space="preserve">la Corte reitera que la solicitud de </w:t>
      </w:r>
      <w:r w:rsidRPr="00E75B50">
        <w:lastRenderedPageBreak/>
        <w:t>interpretación tiene como objeto, exclusivamente, determinar el sentido de un fallo</w:t>
      </w:r>
      <w:r w:rsidRPr="00E75B50">
        <w:rPr>
          <w:spacing w:val="1"/>
        </w:rPr>
        <w:t xml:space="preserve"> </w:t>
      </w:r>
      <w:r w:rsidRPr="00E75B50">
        <w:t>cuando alguna de las partes sostiene que el texto de sus puntos resolutivos o de sus</w:t>
      </w:r>
      <w:r w:rsidRPr="00E75B50">
        <w:rPr>
          <w:spacing w:val="1"/>
        </w:rPr>
        <w:t xml:space="preserve"> </w:t>
      </w:r>
      <w:r w:rsidRPr="00E75B50">
        <w:t>consideraciones carece de claridad o precisión, siempre y cuando esas consideraciones</w:t>
      </w:r>
      <w:r w:rsidRPr="00E75B50">
        <w:rPr>
          <w:spacing w:val="1"/>
        </w:rPr>
        <w:t xml:space="preserve"> </w:t>
      </w:r>
      <w:r w:rsidRPr="00E75B50">
        <w:t xml:space="preserve">incidan en </w:t>
      </w:r>
      <w:r w:rsidR="00E75B50">
        <w:t>la</w:t>
      </w:r>
      <w:r w:rsidRPr="00E75B50">
        <w:t xml:space="preserve"> parte resolutiva</w:t>
      </w:r>
      <w:r w:rsidRPr="00E75B50">
        <w:rPr>
          <w:rStyle w:val="Refdenotaalpie"/>
        </w:rPr>
        <w:footnoteReference w:id="16"/>
      </w:r>
      <w:r w:rsidRPr="00E75B50">
        <w:t>.</w:t>
      </w:r>
      <w:r w:rsidR="0004261E" w:rsidRPr="00E75B50">
        <w:t xml:space="preserve"> </w:t>
      </w:r>
      <w:r w:rsidR="001148B2" w:rsidRPr="00E75B50">
        <w:t>En este caso,</w:t>
      </w:r>
      <w:r w:rsidR="0004261E" w:rsidRPr="00E75B50">
        <w:t xml:space="preserve"> el texto transcrito del párrafo 154 de la Sentencia es claro y preciso, en tanto </w:t>
      </w:r>
      <w:r w:rsidR="0067748B">
        <w:t>indica</w:t>
      </w:r>
      <w:r w:rsidR="0004261E" w:rsidRPr="00E75B50">
        <w:t xml:space="preserve"> que se ordenó incluir en el Registro Nacional de Trabajadores Cesados</w:t>
      </w:r>
      <w:r w:rsidR="001C5DB0">
        <w:t xml:space="preserve"> Irregularmente</w:t>
      </w:r>
      <w:r w:rsidR="0004261E" w:rsidRPr="00E75B50">
        <w:t xml:space="preserve"> a</w:t>
      </w:r>
      <w:r w:rsidR="0004261E" w:rsidRPr="00F87E87">
        <w:t xml:space="preserve"> todas</w:t>
      </w:r>
      <w:r w:rsidR="0004261E" w:rsidRPr="00E75B50">
        <w:t xml:space="preserve"> las víctimas del caso.</w:t>
      </w:r>
    </w:p>
    <w:p w14:paraId="482890D9" w14:textId="77777777" w:rsidR="006E2FAA" w:rsidRPr="00E75B50" w:rsidRDefault="006E2FAA" w:rsidP="0010633A"/>
    <w:p w14:paraId="2906B6B6" w14:textId="0154E66E" w:rsidR="00F10DEE" w:rsidRPr="00F10DEE" w:rsidRDefault="006E2FAA" w:rsidP="0010633A">
      <w:pPr>
        <w:pStyle w:val="Prrafodelista"/>
        <w:rPr>
          <w:bCs/>
        </w:rPr>
      </w:pPr>
      <w:r w:rsidRPr="00E75B50">
        <w:t xml:space="preserve">Adicionalmente, la Corte recuerda que la obligación de </w:t>
      </w:r>
      <w:r w:rsidR="00076AD4" w:rsidRPr="00E75B50">
        <w:t>incluir a todas las víctimas declaradas en la Sentencia en el Registro Nacional de Trabajadores Cesados</w:t>
      </w:r>
      <w:r w:rsidR="001C5DB0">
        <w:t xml:space="preserve"> Irregularmente</w:t>
      </w:r>
      <w:r w:rsidR="00F10DEE">
        <w:t xml:space="preserve"> es producto</w:t>
      </w:r>
      <w:r w:rsidRPr="00E75B50">
        <w:t xml:space="preserve"> de una reparación </w:t>
      </w:r>
      <w:r w:rsidR="00F10DEE">
        <w:t>fijada</w:t>
      </w:r>
      <w:r w:rsidRPr="00E75B50">
        <w:t xml:space="preserve"> por el Tribunal,</w:t>
      </w:r>
      <w:r w:rsidR="00076AD4" w:rsidRPr="00E75B50">
        <w:t xml:space="preserve"> por lo cual</w:t>
      </w:r>
      <w:r w:rsidRPr="00E75B50">
        <w:t xml:space="preserve"> su cumplimiento emana de lo dispuesto en el artículo 68 de la Convención Americana</w:t>
      </w:r>
      <w:r w:rsidR="00076AD4" w:rsidRPr="00E75B50">
        <w:rPr>
          <w:rStyle w:val="Refdenotaalpie"/>
        </w:rPr>
        <w:footnoteReference w:id="17"/>
      </w:r>
      <w:r w:rsidRPr="00E75B50">
        <w:t xml:space="preserve"> y no depende, en esta etapa procesal, de resoluciones internas.</w:t>
      </w:r>
      <w:r w:rsidR="00076AD4" w:rsidRPr="00E75B50">
        <w:t xml:space="preserve"> </w:t>
      </w:r>
      <w:r w:rsidR="00F10DEE" w:rsidRPr="00E75B50">
        <w:t>Asimismo, recuerd</w:t>
      </w:r>
      <w:r w:rsidR="00F10DEE">
        <w:t>a</w:t>
      </w:r>
      <w:r w:rsidR="00F10DEE" w:rsidRPr="00E75B50">
        <w:t xml:space="preserve"> al Estado que no puede ampararse en disposiciones internas para no cumplir con las medidas de reparación ordenas en la Sentencia.</w:t>
      </w:r>
    </w:p>
    <w:p w14:paraId="019C1E31" w14:textId="77777777" w:rsidR="00F10DEE" w:rsidRDefault="00F10DEE" w:rsidP="0010633A"/>
    <w:p w14:paraId="062B47FF" w14:textId="03BB22E6" w:rsidR="0067748B" w:rsidRDefault="0067748B" w:rsidP="0010633A">
      <w:pPr>
        <w:pStyle w:val="Prrafodelista"/>
      </w:pPr>
      <w:r>
        <w:t xml:space="preserve">Conforme a lo anterior, </w:t>
      </w:r>
      <w:r w:rsidRPr="00E75B50">
        <w:t>este Tribunal considera que la solicitud del Estado es improcedente</w:t>
      </w:r>
      <w:r>
        <w:t xml:space="preserve">, en la medida en que </w:t>
      </w:r>
      <w:r w:rsidR="00F10DEE">
        <w:t>no está orientada</w:t>
      </w:r>
      <w:r w:rsidR="005921ED" w:rsidRPr="00E75B50">
        <w:t xml:space="preserve"> a requerir la aclaración </w:t>
      </w:r>
      <w:r w:rsidR="00F10DEE">
        <w:t>de</w:t>
      </w:r>
      <w:r w:rsidR="005921ED" w:rsidRPr="00E75B50">
        <w:t xml:space="preserve"> algún extremo del Fallo que carezca de claridad o precisión</w:t>
      </w:r>
      <w:r>
        <w:t>, sino a manifestar su desacuerdo</w:t>
      </w:r>
      <w:r w:rsidR="00F10DEE">
        <w:t xml:space="preserve"> con</w:t>
      </w:r>
      <w:r w:rsidR="00F10DEE" w:rsidRPr="00E75B50">
        <w:t xml:space="preserve"> </w:t>
      </w:r>
      <w:r w:rsidR="00F10DEE">
        <w:t>una</w:t>
      </w:r>
      <w:r w:rsidR="00F10DEE" w:rsidRPr="00E75B50">
        <w:t xml:space="preserve"> medida de reparación, cuestión que excede el ámbito del artículo 67 de la Convención.</w:t>
      </w:r>
      <w:r w:rsidR="00F10DEE">
        <w:t xml:space="preserve"> </w:t>
      </w:r>
    </w:p>
    <w:p w14:paraId="59A9B7A3" w14:textId="77777777" w:rsidR="0067748B" w:rsidRPr="0067748B" w:rsidRDefault="0067748B" w:rsidP="0010633A"/>
    <w:p w14:paraId="5CABFE46" w14:textId="6AD14002" w:rsidR="00157F4C" w:rsidRPr="00F10DEE" w:rsidRDefault="00157F4C" w:rsidP="001148B2">
      <w:pPr>
        <w:pStyle w:val="Ttulo2"/>
      </w:pPr>
      <w:r w:rsidRPr="00F10DEE">
        <w:t xml:space="preserve">Solicitud de interpretación </w:t>
      </w:r>
      <w:r w:rsidR="00F10DEE">
        <w:t>sobre</w:t>
      </w:r>
      <w:r w:rsidRPr="00F10DEE">
        <w:t xml:space="preserve"> las costas y gastos</w:t>
      </w:r>
    </w:p>
    <w:p w14:paraId="4D46B0C0" w14:textId="77777777" w:rsidR="00157F4C" w:rsidRPr="00F10DEE" w:rsidRDefault="00157F4C" w:rsidP="00157F4C">
      <w:pPr>
        <w:pStyle w:val="Textoindependiente"/>
        <w:rPr>
          <w:b/>
          <w:i/>
        </w:rPr>
      </w:pPr>
    </w:p>
    <w:p w14:paraId="2BF7901D" w14:textId="6F50D87D" w:rsidR="00157F4C" w:rsidRPr="00F10DEE" w:rsidRDefault="00BF12FD" w:rsidP="00F10DEE">
      <w:pPr>
        <w:pStyle w:val="Ttulo3"/>
      </w:pPr>
      <w:r w:rsidRPr="00F10DEE">
        <w:t>D</w:t>
      </w:r>
      <w:r w:rsidR="00157F4C" w:rsidRPr="00F10DEE">
        <w:t>.1 Argumentos</w:t>
      </w:r>
      <w:r w:rsidR="00157F4C" w:rsidRPr="00F10DEE">
        <w:rPr>
          <w:spacing w:val="-3"/>
        </w:rPr>
        <w:t xml:space="preserve"> </w:t>
      </w:r>
      <w:r w:rsidR="00157F4C" w:rsidRPr="00F10DEE">
        <w:t>de</w:t>
      </w:r>
      <w:r w:rsidR="00157F4C" w:rsidRPr="00F10DEE">
        <w:rPr>
          <w:spacing w:val="-2"/>
        </w:rPr>
        <w:t xml:space="preserve"> </w:t>
      </w:r>
      <w:r w:rsidR="00157F4C" w:rsidRPr="00F10DEE">
        <w:t>las</w:t>
      </w:r>
      <w:r w:rsidR="00157F4C" w:rsidRPr="00F10DEE">
        <w:rPr>
          <w:spacing w:val="-2"/>
        </w:rPr>
        <w:t xml:space="preserve"> </w:t>
      </w:r>
      <w:r w:rsidR="00157F4C" w:rsidRPr="00F10DEE">
        <w:t>partes</w:t>
      </w:r>
      <w:r w:rsidR="00157F4C" w:rsidRPr="00F10DEE">
        <w:rPr>
          <w:spacing w:val="-4"/>
        </w:rPr>
        <w:t xml:space="preserve"> y la Comisión </w:t>
      </w:r>
    </w:p>
    <w:p w14:paraId="5360849F" w14:textId="77777777" w:rsidR="00157F4C" w:rsidRPr="00F10DEE" w:rsidRDefault="00157F4C" w:rsidP="00157F4C">
      <w:pPr>
        <w:rPr>
          <w:sz w:val="20"/>
          <w:szCs w:val="20"/>
        </w:rPr>
      </w:pPr>
    </w:p>
    <w:p w14:paraId="610F6640" w14:textId="5C8AA6BA" w:rsidR="000A363C" w:rsidRPr="00F10DEE" w:rsidRDefault="00BF12FD" w:rsidP="0010633A">
      <w:pPr>
        <w:pStyle w:val="Prrafodelista"/>
      </w:pPr>
      <w:r w:rsidRPr="00F10DEE">
        <w:t xml:space="preserve">El </w:t>
      </w:r>
      <w:r w:rsidRPr="00F10DEE">
        <w:rPr>
          <w:b/>
          <w:i/>
        </w:rPr>
        <w:t>Estado</w:t>
      </w:r>
      <w:r w:rsidR="000A363C" w:rsidRPr="00F10DEE">
        <w:t xml:space="preserve"> solicitó la aclaración del punto resolutivo 12 en relación con </w:t>
      </w:r>
      <w:r w:rsidR="00AC027A" w:rsidRPr="00F10DEE">
        <w:t>e</w:t>
      </w:r>
      <w:r w:rsidR="000A363C" w:rsidRPr="00F10DEE">
        <w:t>l párrafo 158 de la Sentencia, relacionado con el “</w:t>
      </w:r>
      <w:proofErr w:type="spellStart"/>
      <w:r w:rsidR="001148B2" w:rsidRPr="00F10DEE">
        <w:t>reembols</w:t>
      </w:r>
      <w:proofErr w:type="spellEnd"/>
      <w:r w:rsidR="001148B2" w:rsidRPr="00F10DEE">
        <w:t xml:space="preserve">[o] </w:t>
      </w:r>
      <w:r w:rsidR="000A363C" w:rsidRPr="00F10DEE">
        <w:t xml:space="preserve">a las víctimas o sus representantes </w:t>
      </w:r>
      <w:r w:rsidR="001148B2" w:rsidRPr="00F10DEE">
        <w:t xml:space="preserve">[de] </w:t>
      </w:r>
      <w:r w:rsidR="000A363C" w:rsidRPr="00F10DEE">
        <w:t xml:space="preserve">los gastos razonables en que se incurran en la etapa de supervisión de cumplimiento”. </w:t>
      </w:r>
      <w:r w:rsidR="00F16DEB" w:rsidRPr="00F10DEE">
        <w:t>Asimismo, advirtió “la necesidad de que se precisen los aspectos a considerar para la disposición de un posible reembolso de los gastos razonables a la víctimas o representantes” y alegó que “la solicitud de costas y gastos supone la presentación de los recibos y demás documentos que justifiquen la procedencia de la reparación, por lo que ante la falta de documentación que sustente los gastos incurridos con motivo del trámite ante el Sistema Interamericano, esta pretensión se torna en incalculable”.</w:t>
      </w:r>
    </w:p>
    <w:p w14:paraId="0ECA8804" w14:textId="77777777" w:rsidR="00BF12FD" w:rsidRPr="00F10DEE" w:rsidRDefault="00BF12FD" w:rsidP="0010633A"/>
    <w:p w14:paraId="1EBC32F9" w14:textId="1F7A5C36" w:rsidR="00157F4C" w:rsidRPr="00F10DEE" w:rsidRDefault="0090193A" w:rsidP="0010633A">
      <w:pPr>
        <w:pStyle w:val="Prrafodelista"/>
      </w:pPr>
      <w:r w:rsidRPr="00F10DEE">
        <w:t>El</w:t>
      </w:r>
      <w:r w:rsidR="00157F4C" w:rsidRPr="00F10DEE">
        <w:rPr>
          <w:spacing w:val="-5"/>
        </w:rPr>
        <w:t xml:space="preserve"> </w:t>
      </w:r>
      <w:r w:rsidR="00157F4C" w:rsidRPr="00F10DEE">
        <w:rPr>
          <w:b/>
          <w:i/>
        </w:rPr>
        <w:t>representante</w:t>
      </w:r>
      <w:r w:rsidR="00157F4C" w:rsidRPr="00F10DEE">
        <w:rPr>
          <w:b/>
          <w:i/>
          <w:spacing w:val="-1"/>
        </w:rPr>
        <w:t xml:space="preserve"> </w:t>
      </w:r>
      <w:r w:rsidRPr="00F10DEE">
        <w:t>alegó que “los aspectos a considerar para la disposición de un posible rembolso de los gastos razonables a las víctimas o sus representantes, ordenados por la Corte en el punto resolutivo 12 de su Sentencia, se encuentran ya esencialmente definidos”</w:t>
      </w:r>
      <w:r w:rsidR="00157F4C" w:rsidRPr="00F10DEE">
        <w:t>.</w:t>
      </w:r>
      <w:r w:rsidRPr="00F10DEE">
        <w:t xml:space="preserve"> Debido a esto indicó que</w:t>
      </w:r>
      <w:r w:rsidR="0095523A" w:rsidRPr="00F10DEE">
        <w:t xml:space="preserve"> el Tribunal procederá, en su momento, a “dicha determinación […] teniendo en cuenta las circunstancias del caso concreto, y haciendo una apreciación prudente del alcance específico de las costas y gastos</w:t>
      </w:r>
      <w:r w:rsidRPr="00F10DEE">
        <w:t>”</w:t>
      </w:r>
      <w:r w:rsidR="0095523A" w:rsidRPr="00F10DEE">
        <w:t>.</w:t>
      </w:r>
      <w:r w:rsidRPr="00F10DEE">
        <w:t xml:space="preserve"> Por lo anterior, solicitó </w:t>
      </w:r>
      <w:r w:rsidR="0095523A" w:rsidRPr="00F10DEE">
        <w:t>que “se declare improcedente la solicitud de interpretación”</w:t>
      </w:r>
      <w:r w:rsidR="0067748B" w:rsidRPr="0067748B">
        <w:t>.</w:t>
      </w:r>
    </w:p>
    <w:p w14:paraId="496C9C24" w14:textId="77777777" w:rsidR="00157F4C" w:rsidRPr="00F10DEE" w:rsidRDefault="00157F4C" w:rsidP="0010633A"/>
    <w:p w14:paraId="66AEFF12" w14:textId="2EDF1AAC" w:rsidR="00157F4C" w:rsidRPr="00F10DEE" w:rsidRDefault="00157F4C" w:rsidP="0010633A">
      <w:pPr>
        <w:pStyle w:val="Prrafodelista"/>
      </w:pPr>
      <w:r w:rsidRPr="00F10DEE">
        <w:t xml:space="preserve">La </w:t>
      </w:r>
      <w:r w:rsidRPr="00F10DEE">
        <w:rPr>
          <w:b/>
          <w:i/>
        </w:rPr>
        <w:t xml:space="preserve">Comisión </w:t>
      </w:r>
      <w:r w:rsidR="0095523A" w:rsidRPr="00F10DEE">
        <w:t>indicó que</w:t>
      </w:r>
      <w:r w:rsidR="001148B2" w:rsidRPr="00F10DEE">
        <w:t>,</w:t>
      </w:r>
      <w:r w:rsidR="0095523A" w:rsidRPr="00F10DEE">
        <w:t xml:space="preserve"> en el párrafo 158</w:t>
      </w:r>
      <w:r w:rsidR="0067748B">
        <w:t>,</w:t>
      </w:r>
      <w:r w:rsidR="0095523A" w:rsidRPr="00F10DEE">
        <w:t xml:space="preserve"> la Corte “fijó un monto determinado a pagar por concepto de costas y gastos”, por lo cual alegó que “la consulta realizada por el Estado no corresponde a los supuestos de interpretación establecidos en el artículo 67 de la Convención, ya que no versa sobre el sentido o alcance del fallo, sino que consiste en </w:t>
      </w:r>
      <w:r w:rsidR="0095523A" w:rsidRPr="00F10DEE">
        <w:lastRenderedPageBreak/>
        <w:t>una inconformidad con uno de los montos ordenados por la Corte en su sentencia”. En consecuencia, señaló que “la solicitud del Estado resulta improcedente”</w:t>
      </w:r>
      <w:r w:rsidRPr="00F10DEE">
        <w:t xml:space="preserve">. </w:t>
      </w:r>
    </w:p>
    <w:p w14:paraId="627C4841" w14:textId="77777777" w:rsidR="00157F4C" w:rsidRPr="00F10DEE" w:rsidRDefault="00157F4C" w:rsidP="0010633A"/>
    <w:p w14:paraId="54ECC2F9" w14:textId="2F7E754F" w:rsidR="00157F4C" w:rsidRPr="00F10DEE" w:rsidRDefault="00BF12FD" w:rsidP="00F10DEE">
      <w:pPr>
        <w:pStyle w:val="Ttulo3"/>
      </w:pPr>
      <w:r w:rsidRPr="00F10DEE">
        <w:t>D</w:t>
      </w:r>
      <w:r w:rsidR="00157F4C" w:rsidRPr="00F10DEE">
        <w:t>.2 Consideraciones</w:t>
      </w:r>
      <w:r w:rsidR="00157F4C" w:rsidRPr="00F10DEE">
        <w:rPr>
          <w:spacing w:val="-3"/>
        </w:rPr>
        <w:t xml:space="preserve"> </w:t>
      </w:r>
      <w:r w:rsidR="00157F4C" w:rsidRPr="00F10DEE">
        <w:t>de</w:t>
      </w:r>
      <w:r w:rsidR="00157F4C" w:rsidRPr="00F10DEE">
        <w:rPr>
          <w:spacing w:val="-3"/>
        </w:rPr>
        <w:t xml:space="preserve"> </w:t>
      </w:r>
      <w:r w:rsidR="00157F4C" w:rsidRPr="00F10DEE">
        <w:t>la</w:t>
      </w:r>
      <w:r w:rsidR="00157F4C" w:rsidRPr="00F10DEE">
        <w:rPr>
          <w:spacing w:val="-4"/>
        </w:rPr>
        <w:t xml:space="preserve"> </w:t>
      </w:r>
      <w:r w:rsidR="00157F4C" w:rsidRPr="00F10DEE">
        <w:t>Corte</w:t>
      </w:r>
    </w:p>
    <w:p w14:paraId="1A00B0BD" w14:textId="77777777" w:rsidR="00157F4C" w:rsidRPr="00F10DEE" w:rsidRDefault="00157F4C" w:rsidP="00157F4C">
      <w:pPr>
        <w:rPr>
          <w:sz w:val="20"/>
          <w:szCs w:val="20"/>
        </w:rPr>
      </w:pPr>
    </w:p>
    <w:p w14:paraId="2788F3D1" w14:textId="5DB958F6" w:rsidR="00157F4C" w:rsidRPr="00F10DEE" w:rsidRDefault="00157F4C" w:rsidP="0010633A">
      <w:pPr>
        <w:pStyle w:val="Prrafodelista"/>
      </w:pPr>
      <w:r w:rsidRPr="00F10DEE">
        <w:t>En lo que concierne a la</w:t>
      </w:r>
      <w:r w:rsidR="00B91471" w:rsidRPr="00F10DEE">
        <w:t xml:space="preserve">s costas y gastos </w:t>
      </w:r>
      <w:r w:rsidRPr="00F10DEE">
        <w:t>ordenada</w:t>
      </w:r>
      <w:r w:rsidR="00B91471" w:rsidRPr="00F10DEE">
        <w:t>s</w:t>
      </w:r>
      <w:r w:rsidRPr="00F10DEE">
        <w:t xml:space="preserve"> en la Sentencia, este</w:t>
      </w:r>
      <w:r w:rsidRPr="00F10DEE">
        <w:rPr>
          <w:spacing w:val="1"/>
        </w:rPr>
        <w:t xml:space="preserve"> </w:t>
      </w:r>
      <w:r w:rsidRPr="00F10DEE">
        <w:t>Tribunal</w:t>
      </w:r>
      <w:r w:rsidRPr="00F10DEE">
        <w:rPr>
          <w:spacing w:val="1"/>
        </w:rPr>
        <w:t xml:space="preserve"> </w:t>
      </w:r>
      <w:r w:rsidRPr="00F10DEE">
        <w:t>recuerda</w:t>
      </w:r>
      <w:r w:rsidRPr="00F10DEE">
        <w:rPr>
          <w:spacing w:val="-1"/>
        </w:rPr>
        <w:t xml:space="preserve"> </w:t>
      </w:r>
      <w:r w:rsidRPr="00F10DEE">
        <w:t>que</w:t>
      </w:r>
      <w:r w:rsidRPr="00F10DEE">
        <w:rPr>
          <w:spacing w:val="-1"/>
        </w:rPr>
        <w:t xml:space="preserve"> </w:t>
      </w:r>
      <w:r w:rsidRPr="00F10DEE">
        <w:t>el</w:t>
      </w:r>
      <w:r w:rsidRPr="00F10DEE">
        <w:rPr>
          <w:spacing w:val="1"/>
        </w:rPr>
        <w:t xml:space="preserve"> </w:t>
      </w:r>
      <w:r w:rsidRPr="00F10DEE">
        <w:t>párrafo</w:t>
      </w:r>
      <w:r w:rsidRPr="00F10DEE">
        <w:rPr>
          <w:spacing w:val="-3"/>
        </w:rPr>
        <w:t xml:space="preserve"> </w:t>
      </w:r>
      <w:r w:rsidR="00B91471" w:rsidRPr="00F10DEE">
        <w:rPr>
          <w:spacing w:val="-3"/>
        </w:rPr>
        <w:t>158</w:t>
      </w:r>
      <w:r w:rsidRPr="00F10DEE">
        <w:t xml:space="preserve"> del</w:t>
      </w:r>
      <w:r w:rsidRPr="00F10DEE">
        <w:rPr>
          <w:spacing w:val="1"/>
        </w:rPr>
        <w:t xml:space="preserve"> </w:t>
      </w:r>
      <w:r w:rsidRPr="00F10DEE">
        <w:t>fallo</w:t>
      </w:r>
      <w:r w:rsidRPr="00F10DEE">
        <w:rPr>
          <w:spacing w:val="-2"/>
        </w:rPr>
        <w:t xml:space="preserve"> </w:t>
      </w:r>
      <w:r w:rsidRPr="00F10DEE">
        <w:t>dispuso</w:t>
      </w:r>
      <w:r w:rsidR="005921ED" w:rsidRPr="00F10DEE">
        <w:t>, en lo pertinente,</w:t>
      </w:r>
      <w:r w:rsidRPr="00F10DEE">
        <w:rPr>
          <w:spacing w:val="-2"/>
        </w:rPr>
        <w:t xml:space="preserve"> </w:t>
      </w:r>
      <w:r w:rsidRPr="00F10DEE">
        <w:t>lo</w:t>
      </w:r>
      <w:r w:rsidRPr="00F10DEE">
        <w:rPr>
          <w:spacing w:val="-3"/>
        </w:rPr>
        <w:t xml:space="preserve"> </w:t>
      </w:r>
      <w:r w:rsidRPr="00F10DEE">
        <w:t>siguiente:</w:t>
      </w:r>
    </w:p>
    <w:p w14:paraId="4BFE5265" w14:textId="77777777" w:rsidR="00157F4C" w:rsidRPr="00F10DEE" w:rsidRDefault="00157F4C" w:rsidP="00157F4C">
      <w:pPr>
        <w:pStyle w:val="Textoindependiente"/>
        <w:rPr>
          <w:highlight w:val="yellow"/>
        </w:rPr>
      </w:pPr>
    </w:p>
    <w:p w14:paraId="7A810852" w14:textId="78918030" w:rsidR="00B20FE9" w:rsidRPr="00F10DEE" w:rsidRDefault="005921ED" w:rsidP="00F10DEE">
      <w:pPr>
        <w:ind w:left="850" w:right="850"/>
        <w:jc w:val="both"/>
        <w:rPr>
          <w:sz w:val="16"/>
          <w:szCs w:val="16"/>
        </w:rPr>
      </w:pPr>
      <w:r w:rsidRPr="00F10DEE">
        <w:rPr>
          <w:sz w:val="16"/>
          <w:szCs w:val="16"/>
        </w:rPr>
        <w:t>[…]</w:t>
      </w:r>
      <w:r w:rsidR="00B91471" w:rsidRPr="00F10DEE">
        <w:rPr>
          <w:sz w:val="16"/>
          <w:szCs w:val="16"/>
        </w:rPr>
        <w:t xml:space="preserve"> En la etapa de supervisión de cumplimiento de la presente Sentencia, la Corte podrá disponer que el Estado reembolse a las víctimas o sus representantes los gastos razonables en que se incurran</w:t>
      </w:r>
      <w:r w:rsidR="00157F4C" w:rsidRPr="00F10DEE">
        <w:rPr>
          <w:rStyle w:val="Refdenotaalpie"/>
          <w:sz w:val="16"/>
          <w:szCs w:val="16"/>
        </w:rPr>
        <w:footnoteReference w:id="18"/>
      </w:r>
      <w:r w:rsidR="00157F4C" w:rsidRPr="00F10DEE">
        <w:rPr>
          <w:sz w:val="16"/>
          <w:szCs w:val="16"/>
        </w:rPr>
        <w:t>.</w:t>
      </w:r>
    </w:p>
    <w:p w14:paraId="05FA7847" w14:textId="77777777" w:rsidR="00F10DEE" w:rsidRPr="00F10DEE" w:rsidRDefault="00F10DEE" w:rsidP="00F10DEE">
      <w:pPr>
        <w:ind w:left="850" w:right="850"/>
        <w:jc w:val="both"/>
        <w:rPr>
          <w:sz w:val="16"/>
          <w:szCs w:val="16"/>
        </w:rPr>
      </w:pPr>
    </w:p>
    <w:p w14:paraId="28851AF2" w14:textId="77777777" w:rsidR="00DE2296" w:rsidRPr="00F10DEE" w:rsidRDefault="00DE2296" w:rsidP="00DE2296">
      <w:pPr>
        <w:pStyle w:val="Prrafodelista"/>
      </w:pPr>
      <w:r w:rsidRPr="00F10DEE">
        <w:t xml:space="preserve">La Corte observa que la solicitud de interpretación realizada por el Estado se centra en su disconformidad con lo establecido por el Corte en el párrafo 158 de la Sentencia. Particularmente, en lo referente a los eventuales gastos que se realicen en la etapa de supervisión de cumplimiento de Sentencia. </w:t>
      </w:r>
    </w:p>
    <w:p w14:paraId="1F0AE80A" w14:textId="77777777" w:rsidR="00B20FE9" w:rsidRPr="00F10DEE" w:rsidRDefault="00B20FE9" w:rsidP="0010633A"/>
    <w:p w14:paraId="5FABB309" w14:textId="32E9FDC3" w:rsidR="00C177C7" w:rsidRPr="00F10DEE" w:rsidRDefault="00B20FE9" w:rsidP="0010633A">
      <w:pPr>
        <w:pStyle w:val="Prrafodelista"/>
        <w:rPr>
          <w:bCs/>
        </w:rPr>
      </w:pPr>
      <w:r w:rsidRPr="00F10DEE">
        <w:t xml:space="preserve">La Corte </w:t>
      </w:r>
      <w:r w:rsidR="0004261E" w:rsidRPr="00F10DEE">
        <w:t>considera que el texto transcrito es claro y preciso, en tanto se deduce que el eventual reembolso será de gastos que necesariamente estarían relacionados con el procedimiento de supervisión de cumplimiento de la Sentencia</w:t>
      </w:r>
      <w:r w:rsidR="0004261E" w:rsidRPr="00F10DEE">
        <w:rPr>
          <w:rStyle w:val="Refdenotaalpie"/>
        </w:rPr>
        <w:footnoteReference w:id="19"/>
      </w:r>
      <w:r w:rsidR="0004261E" w:rsidRPr="00F10DEE">
        <w:t xml:space="preserve">. </w:t>
      </w:r>
      <w:r w:rsidR="00DE4B75">
        <w:rPr>
          <w:bCs/>
        </w:rPr>
        <w:t>En esa medida</w:t>
      </w:r>
      <w:r w:rsidR="00C177C7" w:rsidRPr="00F10DEE">
        <w:rPr>
          <w:bCs/>
        </w:rPr>
        <w:t xml:space="preserve">, por las particularidades de cada caso, resulta incierto </w:t>
      </w:r>
      <w:r w:rsidR="001148B2" w:rsidRPr="00F10DEE">
        <w:rPr>
          <w:bCs/>
        </w:rPr>
        <w:t xml:space="preserve">determinar </w:t>
      </w:r>
      <w:r w:rsidR="00C177C7" w:rsidRPr="00F10DEE">
        <w:rPr>
          <w:bCs/>
        </w:rPr>
        <w:t>actualmente el monto u oportunidad en la que se requerirá, durante la supervisión de cumplimiento de la Sentencia, el reembolso a que alude el párrafo 158</w:t>
      </w:r>
      <w:r w:rsidR="00AC4EC3" w:rsidRPr="00F10DEE">
        <w:rPr>
          <w:bCs/>
        </w:rPr>
        <w:t xml:space="preserve"> de la Sentencia</w:t>
      </w:r>
      <w:r w:rsidR="00C177C7" w:rsidRPr="00F10DEE">
        <w:rPr>
          <w:bCs/>
        </w:rPr>
        <w:t>. Así, el reintegro de los gastos será establecido por la misma Corte, que determinará cuáles de las erogaciones pretendidas resultan razonables, dependiendo de su naturaleza, su cuantía y, a la postre, lo que en cada caso aleguen las partes, quienes no verán afectado su derecho de defensa.</w:t>
      </w:r>
    </w:p>
    <w:p w14:paraId="66D2C2E0" w14:textId="77777777" w:rsidR="00C177C7" w:rsidRPr="00F10DEE" w:rsidRDefault="00C177C7" w:rsidP="0010633A"/>
    <w:p w14:paraId="00748946" w14:textId="1F172BAB" w:rsidR="00B20FE9" w:rsidRPr="00F10DEE" w:rsidRDefault="0004261E" w:rsidP="0010633A">
      <w:pPr>
        <w:pStyle w:val="Prrafodelista"/>
        <w:rPr>
          <w:bCs/>
        </w:rPr>
      </w:pPr>
      <w:r w:rsidRPr="00F10DEE">
        <w:t xml:space="preserve">Además, </w:t>
      </w:r>
      <w:r w:rsidR="001D564F" w:rsidRPr="00F10DEE">
        <w:t xml:space="preserve">la Corte </w:t>
      </w:r>
      <w:r w:rsidR="00B20FE9" w:rsidRPr="00F10DEE">
        <w:t xml:space="preserve">advierte que la </w:t>
      </w:r>
      <w:r w:rsidR="00DE4B75">
        <w:t>solicitud del</w:t>
      </w:r>
      <w:r w:rsidR="00B20FE9" w:rsidRPr="00F10DEE">
        <w:t xml:space="preserve"> Estado no corresponde a los supuestos de interpretación establecidos en el artículo 67 de la Convención, ya que no versa sobre el sentido o alcance del fallo, sino sobre su disconformidad con lo ordenado por la Corte en </w:t>
      </w:r>
      <w:r w:rsidR="00C177C7" w:rsidRPr="00F10DEE">
        <w:t>el</w:t>
      </w:r>
      <w:r w:rsidR="00B20FE9" w:rsidRPr="00F10DEE">
        <w:t xml:space="preserve"> párrafo</w:t>
      </w:r>
      <w:r w:rsidR="00C177C7" w:rsidRPr="00F10DEE">
        <w:t xml:space="preserve"> </w:t>
      </w:r>
      <w:r w:rsidR="00B20FE9" w:rsidRPr="00F10DEE">
        <w:t>15</w:t>
      </w:r>
      <w:r w:rsidR="00C177C7" w:rsidRPr="00F10DEE">
        <w:t>8</w:t>
      </w:r>
      <w:r w:rsidR="00B20FE9" w:rsidRPr="00F10DEE">
        <w:t xml:space="preserve"> de la Sentencia.</w:t>
      </w:r>
      <w:r w:rsidR="00C177C7" w:rsidRPr="00F10DEE">
        <w:t xml:space="preserve"> </w:t>
      </w:r>
    </w:p>
    <w:p w14:paraId="2F5A6F1E" w14:textId="1AFFEF10" w:rsidR="00B20FE9" w:rsidRPr="00F10DEE" w:rsidRDefault="00B20FE9" w:rsidP="0010633A"/>
    <w:p w14:paraId="3B65A2BF" w14:textId="225B4DD8" w:rsidR="00B20FE9" w:rsidRPr="00F10DEE" w:rsidRDefault="00DE4B75" w:rsidP="0010633A">
      <w:pPr>
        <w:pStyle w:val="Prrafodelista"/>
      </w:pPr>
      <w:r>
        <w:t>Conform</w:t>
      </w:r>
      <w:r w:rsidR="00F71A26">
        <w:t>e</w:t>
      </w:r>
      <w:r>
        <w:t xml:space="preserve"> a lo anterior, la Corte reitera los argumentos expuestos en los apartados anteriores (</w:t>
      </w:r>
      <w:r w:rsidRPr="00DE4B75">
        <w:rPr>
          <w:i/>
          <w:iCs/>
        </w:rPr>
        <w:t>supra</w:t>
      </w:r>
      <w:r>
        <w:t xml:space="preserve"> párrs. </w:t>
      </w:r>
      <w:r w:rsidR="00F71A26">
        <w:t>17, 25 y 33</w:t>
      </w:r>
      <w:r>
        <w:t>) y encuentra que</w:t>
      </w:r>
      <w:r w:rsidR="00C177C7" w:rsidRPr="00F10DEE">
        <w:t xml:space="preserve"> la pretensión formulada est</w:t>
      </w:r>
      <w:r>
        <w:t>á</w:t>
      </w:r>
      <w:r w:rsidR="00C177C7" w:rsidRPr="00F10DEE">
        <w:t xml:space="preserve"> dirigida a que se definan, de antemano, parámetros que limiten el reembolso de gastos que, en su oportunidad y de haberse causado, la</w:t>
      </w:r>
      <w:r>
        <w:t>s</w:t>
      </w:r>
      <w:r w:rsidR="00C177C7" w:rsidRPr="00F10DEE">
        <w:t xml:space="preserve"> víctima</w:t>
      </w:r>
      <w:r>
        <w:t>s</w:t>
      </w:r>
      <w:r w:rsidR="00C177C7" w:rsidRPr="00F10DEE">
        <w:t xml:space="preserve"> o su representante podrían requerir en la etapa de supervisión de cumplimiento</w:t>
      </w:r>
      <w:r w:rsidR="005367E1">
        <w:t xml:space="preserve"> de sentencia</w:t>
      </w:r>
      <w:r w:rsidR="00C177C7" w:rsidRPr="00F10DEE">
        <w:t xml:space="preserve">, lo que no es </w:t>
      </w:r>
      <w:r w:rsidR="0067748B">
        <w:t>posible</w:t>
      </w:r>
      <w:r w:rsidR="00C177C7" w:rsidRPr="00F10DEE">
        <w:t xml:space="preserve"> por medio de la interpretación de la Sentencia. </w:t>
      </w:r>
      <w:r w:rsidR="00B20FE9" w:rsidRPr="00F10DEE">
        <w:t>Debido a lo anterior, este Tribunal considera que la solicitud del Estado es improcedente.</w:t>
      </w:r>
    </w:p>
    <w:p w14:paraId="43D1327B" w14:textId="77777777" w:rsidR="00157F4C" w:rsidRPr="00F10DEE" w:rsidRDefault="00157F4C" w:rsidP="006F4EE2">
      <w:pPr>
        <w:rPr>
          <w:sz w:val="20"/>
          <w:szCs w:val="20"/>
        </w:rPr>
      </w:pPr>
    </w:p>
    <w:p w14:paraId="115EC5AC" w14:textId="77777777" w:rsidR="0066562C" w:rsidRPr="00780A6C" w:rsidRDefault="0066562C" w:rsidP="006F4EE2">
      <w:pPr>
        <w:pStyle w:val="Ttulo1"/>
        <w:ind w:left="0"/>
        <w:rPr>
          <w:w w:val="99"/>
        </w:rPr>
      </w:pPr>
      <w:r w:rsidRPr="00780A6C">
        <w:rPr>
          <w:w w:val="99"/>
        </w:rPr>
        <w:t>V</w:t>
      </w:r>
    </w:p>
    <w:p w14:paraId="6F43AE65" w14:textId="12102B6E" w:rsidR="0066562C" w:rsidRPr="00780A6C" w:rsidRDefault="0066562C" w:rsidP="006F4EE2">
      <w:pPr>
        <w:pStyle w:val="Ttulo1"/>
        <w:ind w:left="0"/>
      </w:pPr>
      <w:r w:rsidRPr="00780A6C">
        <w:t>PUNTOS</w:t>
      </w:r>
      <w:r w:rsidRPr="00780A6C">
        <w:rPr>
          <w:spacing w:val="-5"/>
        </w:rPr>
        <w:t xml:space="preserve"> </w:t>
      </w:r>
      <w:r w:rsidRPr="00780A6C">
        <w:t>RESOLUTIVOS</w:t>
      </w:r>
    </w:p>
    <w:p w14:paraId="4321E826" w14:textId="77777777" w:rsidR="0066562C" w:rsidRPr="00780A6C" w:rsidRDefault="0066562C" w:rsidP="006F4EE2">
      <w:pPr>
        <w:rPr>
          <w:sz w:val="20"/>
          <w:szCs w:val="20"/>
        </w:rPr>
      </w:pPr>
    </w:p>
    <w:p w14:paraId="2EDD6C1A" w14:textId="77777777" w:rsidR="00C84D5D" w:rsidRPr="00780A6C" w:rsidRDefault="00476033" w:rsidP="0010633A">
      <w:pPr>
        <w:pStyle w:val="Prrafodelista"/>
      </w:pPr>
      <w:r w:rsidRPr="00780A6C">
        <w:t>Por</w:t>
      </w:r>
      <w:r w:rsidRPr="00780A6C">
        <w:rPr>
          <w:spacing w:val="-2"/>
        </w:rPr>
        <w:t xml:space="preserve"> </w:t>
      </w:r>
      <w:r w:rsidRPr="00780A6C">
        <w:t>tanto,</w:t>
      </w:r>
    </w:p>
    <w:p w14:paraId="7F88F61C" w14:textId="77777777" w:rsidR="00C84D5D" w:rsidRPr="00780A6C" w:rsidRDefault="00C84D5D" w:rsidP="006F4EE2">
      <w:pPr>
        <w:pStyle w:val="Textoindependiente"/>
      </w:pPr>
    </w:p>
    <w:p w14:paraId="44569A1D" w14:textId="77777777" w:rsidR="00C84D5D" w:rsidRPr="00780A6C" w:rsidRDefault="00476033" w:rsidP="006F4EE2">
      <w:pPr>
        <w:pStyle w:val="Ttulo1"/>
        <w:ind w:left="0"/>
        <w:jc w:val="left"/>
      </w:pPr>
      <w:r w:rsidRPr="00780A6C">
        <w:t>LA</w:t>
      </w:r>
      <w:r w:rsidRPr="00780A6C">
        <w:rPr>
          <w:spacing w:val="-4"/>
        </w:rPr>
        <w:t xml:space="preserve"> </w:t>
      </w:r>
      <w:r w:rsidRPr="00780A6C">
        <w:t>CORTE</w:t>
      </w:r>
    </w:p>
    <w:p w14:paraId="7281A78F" w14:textId="77777777" w:rsidR="0066562C" w:rsidRPr="00780A6C" w:rsidRDefault="0066562C" w:rsidP="006F4EE2">
      <w:pPr>
        <w:pStyle w:val="Textoindependiente"/>
      </w:pPr>
    </w:p>
    <w:p w14:paraId="66AB627F" w14:textId="5B2F5D80" w:rsidR="00C84D5D" w:rsidRPr="00780A6C" w:rsidRDefault="00476033" w:rsidP="006F4EE2">
      <w:pPr>
        <w:pStyle w:val="Textoindependiente"/>
        <w:jc w:val="both"/>
      </w:pPr>
      <w:r w:rsidRPr="00780A6C">
        <w:t>de</w:t>
      </w:r>
      <w:r w:rsidRPr="00780A6C">
        <w:rPr>
          <w:spacing w:val="-13"/>
        </w:rPr>
        <w:t xml:space="preserve"> </w:t>
      </w:r>
      <w:r w:rsidRPr="00780A6C">
        <w:t>conformidad</w:t>
      </w:r>
      <w:r w:rsidRPr="00780A6C">
        <w:rPr>
          <w:spacing w:val="-10"/>
        </w:rPr>
        <w:t xml:space="preserve"> </w:t>
      </w:r>
      <w:r w:rsidRPr="00780A6C">
        <w:t>con</w:t>
      </w:r>
      <w:r w:rsidRPr="00780A6C">
        <w:rPr>
          <w:spacing w:val="-9"/>
        </w:rPr>
        <w:t xml:space="preserve"> </w:t>
      </w:r>
      <w:r w:rsidRPr="00780A6C">
        <w:t>el</w:t>
      </w:r>
      <w:r w:rsidRPr="00780A6C">
        <w:rPr>
          <w:spacing w:val="-8"/>
        </w:rPr>
        <w:t xml:space="preserve"> </w:t>
      </w:r>
      <w:r w:rsidRPr="00780A6C">
        <w:t>artículo</w:t>
      </w:r>
      <w:r w:rsidRPr="00780A6C">
        <w:rPr>
          <w:spacing w:val="-11"/>
        </w:rPr>
        <w:t xml:space="preserve"> </w:t>
      </w:r>
      <w:r w:rsidRPr="00780A6C">
        <w:t>67</w:t>
      </w:r>
      <w:r w:rsidRPr="00780A6C">
        <w:rPr>
          <w:spacing w:val="-10"/>
        </w:rPr>
        <w:t xml:space="preserve"> </w:t>
      </w:r>
      <w:r w:rsidRPr="00780A6C">
        <w:t>de</w:t>
      </w:r>
      <w:r w:rsidRPr="00780A6C">
        <w:rPr>
          <w:spacing w:val="-12"/>
        </w:rPr>
        <w:t xml:space="preserve"> </w:t>
      </w:r>
      <w:r w:rsidRPr="00780A6C">
        <w:t>la</w:t>
      </w:r>
      <w:r w:rsidRPr="00780A6C">
        <w:rPr>
          <w:spacing w:val="-10"/>
        </w:rPr>
        <w:t xml:space="preserve"> </w:t>
      </w:r>
      <w:r w:rsidRPr="00780A6C">
        <w:t>Convención</w:t>
      </w:r>
      <w:r w:rsidRPr="00780A6C">
        <w:rPr>
          <w:spacing w:val="-10"/>
        </w:rPr>
        <w:t xml:space="preserve"> </w:t>
      </w:r>
      <w:r w:rsidRPr="00780A6C">
        <w:t>Americana</w:t>
      </w:r>
      <w:r w:rsidRPr="00780A6C">
        <w:rPr>
          <w:spacing w:val="-10"/>
        </w:rPr>
        <w:t xml:space="preserve"> </w:t>
      </w:r>
      <w:r w:rsidRPr="00780A6C">
        <w:t>sobre</w:t>
      </w:r>
      <w:r w:rsidRPr="00780A6C">
        <w:rPr>
          <w:spacing w:val="-12"/>
        </w:rPr>
        <w:t xml:space="preserve"> </w:t>
      </w:r>
      <w:r w:rsidRPr="00780A6C">
        <w:t>Derechos</w:t>
      </w:r>
      <w:r w:rsidRPr="00780A6C">
        <w:rPr>
          <w:spacing w:val="-9"/>
        </w:rPr>
        <w:t xml:space="preserve"> </w:t>
      </w:r>
      <w:r w:rsidR="00444C94" w:rsidRPr="00780A6C">
        <w:t xml:space="preserve">Humanos </w:t>
      </w:r>
      <w:r w:rsidR="00444C94" w:rsidRPr="00780A6C">
        <w:rPr>
          <w:spacing w:val="-67"/>
        </w:rPr>
        <w:t>y</w:t>
      </w:r>
      <w:r w:rsidR="00444C94" w:rsidRPr="00780A6C">
        <w:rPr>
          <w:spacing w:val="-2"/>
        </w:rPr>
        <w:t xml:space="preserve"> </w:t>
      </w:r>
      <w:r w:rsidRPr="00780A6C">
        <w:t>los</w:t>
      </w:r>
      <w:r w:rsidRPr="00780A6C">
        <w:rPr>
          <w:spacing w:val="-2"/>
        </w:rPr>
        <w:t xml:space="preserve"> </w:t>
      </w:r>
      <w:r w:rsidRPr="00780A6C">
        <w:t>artículos</w:t>
      </w:r>
      <w:r w:rsidRPr="00780A6C">
        <w:rPr>
          <w:spacing w:val="-2"/>
        </w:rPr>
        <w:t xml:space="preserve"> </w:t>
      </w:r>
      <w:r w:rsidRPr="00780A6C">
        <w:t>31.3</w:t>
      </w:r>
      <w:r w:rsidRPr="00780A6C">
        <w:rPr>
          <w:spacing w:val="-2"/>
        </w:rPr>
        <w:t xml:space="preserve"> </w:t>
      </w:r>
      <w:r w:rsidRPr="00780A6C">
        <w:t>y</w:t>
      </w:r>
      <w:r w:rsidRPr="00780A6C">
        <w:rPr>
          <w:spacing w:val="1"/>
        </w:rPr>
        <w:t xml:space="preserve"> </w:t>
      </w:r>
      <w:r w:rsidRPr="00780A6C">
        <w:t>68</w:t>
      </w:r>
      <w:r w:rsidRPr="00780A6C">
        <w:rPr>
          <w:spacing w:val="2"/>
        </w:rPr>
        <w:t xml:space="preserve"> </w:t>
      </w:r>
      <w:r w:rsidRPr="00780A6C">
        <w:t>del</w:t>
      </w:r>
      <w:r w:rsidRPr="00780A6C">
        <w:rPr>
          <w:spacing w:val="1"/>
        </w:rPr>
        <w:t xml:space="preserve"> </w:t>
      </w:r>
      <w:r w:rsidRPr="00780A6C">
        <w:t>Reglamento</w:t>
      </w:r>
      <w:r w:rsidRPr="00780A6C">
        <w:rPr>
          <w:spacing w:val="-2"/>
        </w:rPr>
        <w:t xml:space="preserve"> </w:t>
      </w:r>
      <w:r w:rsidRPr="00780A6C">
        <w:t>de</w:t>
      </w:r>
      <w:r w:rsidRPr="00780A6C">
        <w:rPr>
          <w:spacing w:val="1"/>
        </w:rPr>
        <w:t xml:space="preserve"> </w:t>
      </w:r>
      <w:r w:rsidRPr="00780A6C">
        <w:t>la</w:t>
      </w:r>
      <w:r w:rsidRPr="00780A6C">
        <w:rPr>
          <w:spacing w:val="-2"/>
        </w:rPr>
        <w:t xml:space="preserve"> </w:t>
      </w:r>
      <w:r w:rsidRPr="00780A6C">
        <w:t>Corte,</w:t>
      </w:r>
    </w:p>
    <w:p w14:paraId="57EE85B7" w14:textId="77777777" w:rsidR="00C84D5D" w:rsidRPr="00780A6C" w:rsidRDefault="00C84D5D" w:rsidP="006F4EE2">
      <w:pPr>
        <w:pStyle w:val="Textoindependiente"/>
      </w:pPr>
    </w:p>
    <w:p w14:paraId="748CA6AD" w14:textId="77777777" w:rsidR="00C84D5D" w:rsidRPr="00780A6C" w:rsidRDefault="00476033" w:rsidP="006F4EE2">
      <w:pPr>
        <w:pStyle w:val="Ttulo1"/>
        <w:ind w:left="0"/>
        <w:jc w:val="left"/>
      </w:pPr>
      <w:r w:rsidRPr="00780A6C">
        <w:t>DECIDE:</w:t>
      </w:r>
    </w:p>
    <w:p w14:paraId="52E33BF3" w14:textId="77777777" w:rsidR="00C84D5D" w:rsidRPr="00780A6C" w:rsidRDefault="00C84D5D" w:rsidP="006F4EE2">
      <w:pPr>
        <w:pStyle w:val="Textoindependiente"/>
        <w:rPr>
          <w:b/>
        </w:rPr>
      </w:pPr>
    </w:p>
    <w:p w14:paraId="727FB1EA" w14:textId="77777777" w:rsidR="00C84D5D" w:rsidRPr="00780A6C" w:rsidRDefault="00476033" w:rsidP="006F4EE2">
      <w:pPr>
        <w:pStyle w:val="Textoindependiente"/>
      </w:pPr>
      <w:r w:rsidRPr="00780A6C">
        <w:t>Por</w:t>
      </w:r>
      <w:r w:rsidRPr="00780A6C">
        <w:rPr>
          <w:spacing w:val="-2"/>
        </w:rPr>
        <w:t xml:space="preserve"> </w:t>
      </w:r>
      <w:r w:rsidRPr="00780A6C">
        <w:t>unanimidad:</w:t>
      </w:r>
    </w:p>
    <w:p w14:paraId="27D959A4" w14:textId="77777777" w:rsidR="00C84D5D" w:rsidRPr="00780A6C" w:rsidRDefault="00C84D5D" w:rsidP="006F4EE2">
      <w:pPr>
        <w:pStyle w:val="Textoindependiente"/>
      </w:pPr>
    </w:p>
    <w:p w14:paraId="5850B754" w14:textId="13A89236" w:rsidR="00C84D5D" w:rsidRDefault="0066562C" w:rsidP="002D3CC1">
      <w:pPr>
        <w:pStyle w:val="Prrafodelista"/>
        <w:numPr>
          <w:ilvl w:val="0"/>
          <w:numId w:val="1"/>
        </w:numPr>
        <w:tabs>
          <w:tab w:val="clear" w:pos="567"/>
        </w:tabs>
        <w:ind w:left="0" w:firstLine="0"/>
      </w:pPr>
      <w:r w:rsidRPr="00780A6C">
        <w:t>De</w:t>
      </w:r>
      <w:r w:rsidR="00C12749" w:rsidRPr="00780A6C">
        <w:t>clarar admisible la</w:t>
      </w:r>
      <w:r w:rsidR="00476033" w:rsidRPr="00780A6C">
        <w:t xml:space="preserve"> solicitud de interpretación de la </w:t>
      </w:r>
      <w:r w:rsidR="00476033" w:rsidRPr="0012570A">
        <w:t xml:space="preserve">Sentencia de </w:t>
      </w:r>
      <w:r w:rsidR="00B20FE9" w:rsidRPr="000D3AC7">
        <w:rPr>
          <w:color w:val="000000" w:themeColor="text1"/>
        </w:rPr>
        <w:t>Excepciones Preliminares, Fondo, Reparaciones y Costas</w:t>
      </w:r>
      <w:r w:rsidR="00B20FE9">
        <w:rPr>
          <w:i/>
          <w:iCs/>
          <w:color w:val="000000" w:themeColor="text1"/>
        </w:rPr>
        <w:t xml:space="preserve"> </w:t>
      </w:r>
      <w:r w:rsidR="00476033" w:rsidRPr="00780A6C">
        <w:t xml:space="preserve">emitida en el </w:t>
      </w:r>
      <w:r w:rsidR="00476033" w:rsidRPr="00780A6C">
        <w:rPr>
          <w:i/>
        </w:rPr>
        <w:t xml:space="preserve">Caso </w:t>
      </w:r>
      <w:r w:rsidR="00B20FE9" w:rsidRPr="009F1ED1">
        <w:rPr>
          <w:i/>
          <w:iCs/>
          <w:color w:val="000000" w:themeColor="text1"/>
        </w:rPr>
        <w:t>Benites Cabrera y otros Vs. Perú</w:t>
      </w:r>
      <w:r w:rsidR="00476033" w:rsidRPr="00780A6C">
        <w:t>,</w:t>
      </w:r>
      <w:r w:rsidR="00476033" w:rsidRPr="00780A6C">
        <w:rPr>
          <w:spacing w:val="1"/>
        </w:rPr>
        <w:t xml:space="preserve"> </w:t>
      </w:r>
      <w:r w:rsidR="00476033" w:rsidRPr="00780A6C">
        <w:t xml:space="preserve">presentada por </w:t>
      </w:r>
      <w:r w:rsidR="00B20FE9">
        <w:t>el Estad</w:t>
      </w:r>
      <w:r w:rsidR="00862BD6">
        <w:t>o</w:t>
      </w:r>
      <w:r w:rsidR="00476033" w:rsidRPr="00780A6C">
        <w:t>, en los términos del párrafo</w:t>
      </w:r>
      <w:r w:rsidRPr="00780A6C">
        <w:t xml:space="preserve"> </w:t>
      </w:r>
      <w:r w:rsidR="00AF1368">
        <w:t>7</w:t>
      </w:r>
      <w:r w:rsidR="00C12749" w:rsidRPr="00780A6C">
        <w:t xml:space="preserve"> </w:t>
      </w:r>
      <w:r w:rsidR="00476033" w:rsidRPr="00780A6C">
        <w:t>de la</w:t>
      </w:r>
      <w:r w:rsidR="00476033" w:rsidRPr="00780A6C">
        <w:rPr>
          <w:spacing w:val="1"/>
        </w:rPr>
        <w:t xml:space="preserve"> </w:t>
      </w:r>
      <w:r w:rsidR="00476033" w:rsidRPr="00780A6C">
        <w:t>presente</w:t>
      </w:r>
      <w:r w:rsidR="00476033" w:rsidRPr="00780A6C">
        <w:rPr>
          <w:spacing w:val="-1"/>
        </w:rPr>
        <w:t xml:space="preserve"> </w:t>
      </w:r>
      <w:r w:rsidR="00476033" w:rsidRPr="00780A6C">
        <w:t>Sentencia</w:t>
      </w:r>
      <w:r w:rsidR="00476033" w:rsidRPr="00780A6C">
        <w:rPr>
          <w:spacing w:val="-1"/>
        </w:rPr>
        <w:t xml:space="preserve"> </w:t>
      </w:r>
      <w:r w:rsidR="00476033" w:rsidRPr="00780A6C">
        <w:t>de Interpretación.</w:t>
      </w:r>
    </w:p>
    <w:p w14:paraId="7B7484BA" w14:textId="77777777" w:rsidR="00C84D5D" w:rsidRPr="00780A6C" w:rsidRDefault="00C84D5D" w:rsidP="002D3CC1">
      <w:pPr>
        <w:pStyle w:val="Textoindependiente"/>
      </w:pPr>
    </w:p>
    <w:p w14:paraId="01F25780" w14:textId="79B355B1" w:rsidR="00862BD6" w:rsidRDefault="00862BD6" w:rsidP="002D3CC1">
      <w:pPr>
        <w:pStyle w:val="Prrafodelista"/>
        <w:numPr>
          <w:ilvl w:val="0"/>
          <w:numId w:val="1"/>
        </w:numPr>
        <w:tabs>
          <w:tab w:val="clear" w:pos="567"/>
        </w:tabs>
        <w:ind w:left="0" w:firstLine="0"/>
      </w:pPr>
      <w:r w:rsidRPr="00862BD6">
        <w:t xml:space="preserve">Desestimar por improcedente la solicitud de interpretación de la Sentencia de Excepciones Preliminares, Fondo, Reparaciones y Costas emitida en </w:t>
      </w:r>
      <w:r w:rsidRPr="00780A6C">
        <w:t xml:space="preserve">el </w:t>
      </w:r>
      <w:r w:rsidRPr="00780A6C">
        <w:rPr>
          <w:i/>
        </w:rPr>
        <w:t xml:space="preserve">Caso </w:t>
      </w:r>
      <w:r w:rsidRPr="009F1ED1">
        <w:rPr>
          <w:i/>
          <w:iCs/>
          <w:color w:val="000000" w:themeColor="text1"/>
        </w:rPr>
        <w:t>Benites Cabrera y otros Vs. Perú</w:t>
      </w:r>
      <w:r w:rsidRPr="00780A6C">
        <w:t>,</w:t>
      </w:r>
      <w:r w:rsidRPr="00780A6C">
        <w:rPr>
          <w:spacing w:val="1"/>
        </w:rPr>
        <w:t xml:space="preserve"> </w:t>
      </w:r>
      <w:r w:rsidRPr="00780A6C">
        <w:t xml:space="preserve">presentada por </w:t>
      </w:r>
      <w:r>
        <w:t>el Estado</w:t>
      </w:r>
      <w:r w:rsidRPr="00780A6C">
        <w:t>,</w:t>
      </w:r>
      <w:r w:rsidRPr="00862BD6">
        <w:t xml:space="preserve"> en los términos de los párrafos </w:t>
      </w:r>
      <w:r w:rsidR="00AF1368">
        <w:t>15 a 17, 21 a 26, 30 a 35 y 39 a 43</w:t>
      </w:r>
      <w:r w:rsidRPr="00862BD6">
        <w:t xml:space="preserve"> de la presente Sentencia de Interpretación. </w:t>
      </w:r>
    </w:p>
    <w:p w14:paraId="49137F4C" w14:textId="77777777" w:rsidR="00862BD6" w:rsidRPr="00862BD6" w:rsidRDefault="00862BD6" w:rsidP="002D3CC1"/>
    <w:p w14:paraId="3CE29FB3" w14:textId="74CB2A30" w:rsidR="00C84D5D" w:rsidRPr="00780A6C" w:rsidRDefault="00476033" w:rsidP="002D3CC1">
      <w:pPr>
        <w:pStyle w:val="Prrafodelista"/>
        <w:numPr>
          <w:ilvl w:val="0"/>
          <w:numId w:val="1"/>
        </w:numPr>
        <w:tabs>
          <w:tab w:val="clear" w:pos="567"/>
        </w:tabs>
        <w:ind w:left="0" w:firstLine="0"/>
      </w:pPr>
      <w:r w:rsidRPr="00780A6C">
        <w:t>Disponer</w:t>
      </w:r>
      <w:r w:rsidRPr="00780A6C">
        <w:rPr>
          <w:spacing w:val="1"/>
        </w:rPr>
        <w:t xml:space="preserve"> </w:t>
      </w:r>
      <w:r w:rsidRPr="00780A6C">
        <w:t>que</w:t>
      </w:r>
      <w:r w:rsidRPr="00780A6C">
        <w:rPr>
          <w:spacing w:val="1"/>
        </w:rPr>
        <w:t xml:space="preserve"> </w:t>
      </w:r>
      <w:r w:rsidRPr="00780A6C">
        <w:t>la</w:t>
      </w:r>
      <w:r w:rsidRPr="00780A6C">
        <w:rPr>
          <w:spacing w:val="1"/>
        </w:rPr>
        <w:t xml:space="preserve"> </w:t>
      </w:r>
      <w:r w:rsidRPr="00780A6C">
        <w:t>Secretaría</w:t>
      </w:r>
      <w:r w:rsidRPr="00780A6C">
        <w:rPr>
          <w:spacing w:val="1"/>
        </w:rPr>
        <w:t xml:space="preserve"> </w:t>
      </w:r>
      <w:r w:rsidRPr="00780A6C">
        <w:t>de</w:t>
      </w:r>
      <w:r w:rsidRPr="00780A6C">
        <w:rPr>
          <w:spacing w:val="1"/>
        </w:rPr>
        <w:t xml:space="preserve"> </w:t>
      </w:r>
      <w:r w:rsidRPr="00780A6C">
        <w:t>la</w:t>
      </w:r>
      <w:r w:rsidRPr="00780A6C">
        <w:rPr>
          <w:spacing w:val="1"/>
        </w:rPr>
        <w:t xml:space="preserve"> </w:t>
      </w:r>
      <w:r w:rsidRPr="00780A6C">
        <w:t>Corte</w:t>
      </w:r>
      <w:r w:rsidRPr="00780A6C">
        <w:rPr>
          <w:spacing w:val="1"/>
        </w:rPr>
        <w:t xml:space="preserve"> </w:t>
      </w:r>
      <w:r w:rsidRPr="00780A6C">
        <w:t>notifique</w:t>
      </w:r>
      <w:r w:rsidRPr="00780A6C">
        <w:rPr>
          <w:spacing w:val="1"/>
        </w:rPr>
        <w:t xml:space="preserve"> </w:t>
      </w:r>
      <w:r w:rsidRPr="00780A6C">
        <w:t>la</w:t>
      </w:r>
      <w:r w:rsidRPr="00780A6C">
        <w:rPr>
          <w:spacing w:val="1"/>
        </w:rPr>
        <w:t xml:space="preserve"> </w:t>
      </w:r>
      <w:r w:rsidRPr="00780A6C">
        <w:t>presente</w:t>
      </w:r>
      <w:r w:rsidRPr="00780A6C">
        <w:rPr>
          <w:spacing w:val="1"/>
        </w:rPr>
        <w:t xml:space="preserve"> </w:t>
      </w:r>
      <w:r w:rsidRPr="00780A6C">
        <w:t>Sentencia</w:t>
      </w:r>
      <w:r w:rsidRPr="00780A6C">
        <w:rPr>
          <w:spacing w:val="1"/>
        </w:rPr>
        <w:t xml:space="preserve"> </w:t>
      </w:r>
      <w:r w:rsidRPr="00780A6C">
        <w:t>de</w:t>
      </w:r>
      <w:r w:rsidRPr="00780A6C">
        <w:rPr>
          <w:spacing w:val="1"/>
        </w:rPr>
        <w:t xml:space="preserve"> </w:t>
      </w:r>
      <w:r w:rsidRPr="00780A6C">
        <w:t xml:space="preserve">Interpretación a la República </w:t>
      </w:r>
      <w:r w:rsidR="00D7035E">
        <w:t>de</w:t>
      </w:r>
      <w:r w:rsidR="00862BD6">
        <w:t>l Perú</w:t>
      </w:r>
      <w:r w:rsidR="0066562C" w:rsidRPr="00780A6C">
        <w:t>,</w:t>
      </w:r>
      <w:r w:rsidRPr="00780A6C">
        <w:t xml:space="preserve"> </w:t>
      </w:r>
      <w:r w:rsidR="0012570A">
        <w:t>e</w:t>
      </w:r>
      <w:r w:rsidR="00D7035E">
        <w:t>l</w:t>
      </w:r>
      <w:r w:rsidRPr="00780A6C">
        <w:t xml:space="preserve"> representante de la</w:t>
      </w:r>
      <w:r w:rsidR="0066562C" w:rsidRPr="00780A6C">
        <w:t>s</w:t>
      </w:r>
      <w:r w:rsidRPr="00780A6C">
        <w:t xml:space="preserve"> víctima</w:t>
      </w:r>
      <w:r w:rsidR="0066562C" w:rsidRPr="00780A6C">
        <w:t>s</w:t>
      </w:r>
      <w:r w:rsidRPr="00780A6C">
        <w:t xml:space="preserve"> y a la Comisión</w:t>
      </w:r>
      <w:r w:rsidRPr="00780A6C">
        <w:rPr>
          <w:spacing w:val="1"/>
        </w:rPr>
        <w:t xml:space="preserve"> </w:t>
      </w:r>
      <w:r w:rsidRPr="00780A6C">
        <w:t>Interamericana</w:t>
      </w:r>
      <w:r w:rsidRPr="00780A6C">
        <w:rPr>
          <w:spacing w:val="-2"/>
        </w:rPr>
        <w:t xml:space="preserve"> </w:t>
      </w:r>
      <w:r w:rsidRPr="00780A6C">
        <w:t>de Derechos Humanos</w:t>
      </w:r>
      <w:r w:rsidR="0066562C" w:rsidRPr="00780A6C">
        <w:t>.</w:t>
      </w:r>
    </w:p>
    <w:p w14:paraId="414A096F" w14:textId="77777777" w:rsidR="00D82ABC" w:rsidRDefault="00D82ABC" w:rsidP="006F4EE2">
      <w:pPr>
        <w:jc w:val="both"/>
        <w:rPr>
          <w:sz w:val="20"/>
          <w:szCs w:val="20"/>
          <w:lang w:val="es-ES"/>
        </w:rPr>
      </w:pPr>
    </w:p>
    <w:p w14:paraId="175ED874" w14:textId="77777777" w:rsidR="00AF678F" w:rsidRDefault="00AF678F" w:rsidP="00AF678F">
      <w:pPr>
        <w:jc w:val="both"/>
        <w:rPr>
          <w:color w:val="000000" w:themeColor="text1"/>
          <w:sz w:val="20"/>
          <w:szCs w:val="20"/>
        </w:rPr>
      </w:pPr>
    </w:p>
    <w:p w14:paraId="760556B4" w14:textId="77777777" w:rsidR="00AF678F" w:rsidRDefault="00AF678F" w:rsidP="00AF678F">
      <w:pPr>
        <w:jc w:val="both"/>
        <w:rPr>
          <w:color w:val="000000" w:themeColor="text1"/>
          <w:sz w:val="20"/>
          <w:szCs w:val="20"/>
        </w:rPr>
      </w:pPr>
    </w:p>
    <w:p w14:paraId="28204414" w14:textId="77777777" w:rsidR="00AF678F" w:rsidRDefault="00AF678F" w:rsidP="00AF678F">
      <w:pPr>
        <w:jc w:val="both"/>
        <w:rPr>
          <w:color w:val="000000" w:themeColor="text1"/>
          <w:sz w:val="20"/>
          <w:szCs w:val="20"/>
        </w:rPr>
      </w:pPr>
    </w:p>
    <w:p w14:paraId="5492F008" w14:textId="77777777" w:rsidR="00AF678F" w:rsidRDefault="00AF678F" w:rsidP="00AF678F">
      <w:pPr>
        <w:jc w:val="both"/>
        <w:rPr>
          <w:color w:val="000000" w:themeColor="text1"/>
          <w:sz w:val="20"/>
          <w:szCs w:val="20"/>
        </w:rPr>
      </w:pPr>
    </w:p>
    <w:p w14:paraId="76698AC4" w14:textId="77777777" w:rsidR="00AF678F" w:rsidRDefault="00AF678F" w:rsidP="00AF678F">
      <w:pPr>
        <w:jc w:val="both"/>
        <w:rPr>
          <w:color w:val="000000" w:themeColor="text1"/>
          <w:sz w:val="20"/>
          <w:szCs w:val="20"/>
        </w:rPr>
      </w:pPr>
    </w:p>
    <w:p w14:paraId="19C26DEA" w14:textId="77777777" w:rsidR="00AF678F" w:rsidRDefault="00AF678F" w:rsidP="00AF678F">
      <w:pPr>
        <w:jc w:val="both"/>
        <w:rPr>
          <w:color w:val="000000" w:themeColor="text1"/>
          <w:sz w:val="20"/>
          <w:szCs w:val="20"/>
        </w:rPr>
      </w:pPr>
    </w:p>
    <w:p w14:paraId="2CD42BA3" w14:textId="77777777" w:rsidR="00AF678F" w:rsidRDefault="00AF678F" w:rsidP="00AF678F">
      <w:pPr>
        <w:jc w:val="both"/>
        <w:rPr>
          <w:color w:val="000000" w:themeColor="text1"/>
          <w:sz w:val="20"/>
          <w:szCs w:val="20"/>
        </w:rPr>
      </w:pPr>
    </w:p>
    <w:p w14:paraId="6B925797" w14:textId="77777777" w:rsidR="00AF678F" w:rsidRDefault="00AF678F" w:rsidP="00AF678F">
      <w:pPr>
        <w:jc w:val="both"/>
        <w:rPr>
          <w:color w:val="000000" w:themeColor="text1"/>
          <w:sz w:val="20"/>
          <w:szCs w:val="20"/>
        </w:rPr>
      </w:pPr>
    </w:p>
    <w:p w14:paraId="2A277BDA" w14:textId="77777777" w:rsidR="00AF678F" w:rsidRDefault="00AF678F" w:rsidP="00AF678F">
      <w:pPr>
        <w:jc w:val="both"/>
        <w:rPr>
          <w:color w:val="000000" w:themeColor="text1"/>
          <w:sz w:val="20"/>
          <w:szCs w:val="20"/>
        </w:rPr>
      </w:pPr>
    </w:p>
    <w:p w14:paraId="3B5E65E8" w14:textId="77777777" w:rsidR="00AF678F" w:rsidRDefault="00AF678F" w:rsidP="00AF678F">
      <w:pPr>
        <w:jc w:val="both"/>
        <w:rPr>
          <w:color w:val="000000" w:themeColor="text1"/>
          <w:sz w:val="20"/>
          <w:szCs w:val="20"/>
        </w:rPr>
      </w:pPr>
    </w:p>
    <w:p w14:paraId="3372219A" w14:textId="77777777" w:rsidR="00AF678F" w:rsidRDefault="00AF678F" w:rsidP="00AF678F">
      <w:pPr>
        <w:jc w:val="both"/>
        <w:rPr>
          <w:color w:val="000000" w:themeColor="text1"/>
          <w:sz w:val="20"/>
          <w:szCs w:val="20"/>
        </w:rPr>
      </w:pPr>
    </w:p>
    <w:p w14:paraId="1056AA1A" w14:textId="77777777" w:rsidR="00AF678F" w:rsidRDefault="00AF678F" w:rsidP="00AF678F">
      <w:pPr>
        <w:jc w:val="both"/>
        <w:rPr>
          <w:color w:val="000000" w:themeColor="text1"/>
          <w:sz w:val="20"/>
          <w:szCs w:val="20"/>
        </w:rPr>
      </w:pPr>
    </w:p>
    <w:p w14:paraId="0ED024D4" w14:textId="77777777" w:rsidR="00AF678F" w:rsidRDefault="00AF678F" w:rsidP="00AF678F">
      <w:pPr>
        <w:jc w:val="both"/>
        <w:rPr>
          <w:color w:val="000000" w:themeColor="text1"/>
          <w:sz w:val="20"/>
          <w:szCs w:val="20"/>
        </w:rPr>
      </w:pPr>
    </w:p>
    <w:p w14:paraId="3D849F05" w14:textId="77777777" w:rsidR="00AF678F" w:rsidRDefault="00AF678F" w:rsidP="00AF678F">
      <w:pPr>
        <w:jc w:val="both"/>
        <w:rPr>
          <w:color w:val="000000" w:themeColor="text1"/>
          <w:sz w:val="20"/>
          <w:szCs w:val="20"/>
        </w:rPr>
      </w:pPr>
    </w:p>
    <w:p w14:paraId="4D4D33D0" w14:textId="77777777" w:rsidR="00AF678F" w:rsidRDefault="00AF678F" w:rsidP="00AF678F">
      <w:pPr>
        <w:jc w:val="both"/>
        <w:rPr>
          <w:color w:val="000000" w:themeColor="text1"/>
          <w:sz w:val="20"/>
          <w:szCs w:val="20"/>
        </w:rPr>
      </w:pPr>
    </w:p>
    <w:p w14:paraId="3FF6BEC5" w14:textId="77777777" w:rsidR="00AF678F" w:rsidRDefault="00AF678F" w:rsidP="00AF678F">
      <w:pPr>
        <w:jc w:val="both"/>
        <w:rPr>
          <w:color w:val="000000" w:themeColor="text1"/>
          <w:sz w:val="20"/>
          <w:szCs w:val="20"/>
        </w:rPr>
      </w:pPr>
    </w:p>
    <w:p w14:paraId="6AD25EF9" w14:textId="77777777" w:rsidR="00AF678F" w:rsidRDefault="00AF678F" w:rsidP="00AF678F">
      <w:pPr>
        <w:jc w:val="both"/>
        <w:rPr>
          <w:color w:val="000000" w:themeColor="text1"/>
          <w:sz w:val="20"/>
          <w:szCs w:val="20"/>
        </w:rPr>
      </w:pPr>
    </w:p>
    <w:p w14:paraId="43E20E86" w14:textId="77777777" w:rsidR="00AF678F" w:rsidRDefault="00AF678F" w:rsidP="00AF678F">
      <w:pPr>
        <w:jc w:val="both"/>
        <w:rPr>
          <w:color w:val="000000" w:themeColor="text1"/>
          <w:sz w:val="20"/>
          <w:szCs w:val="20"/>
        </w:rPr>
      </w:pPr>
    </w:p>
    <w:p w14:paraId="7A136CF2" w14:textId="77777777" w:rsidR="00AF678F" w:rsidRDefault="00AF678F" w:rsidP="00AF678F">
      <w:pPr>
        <w:jc w:val="both"/>
        <w:rPr>
          <w:color w:val="000000" w:themeColor="text1"/>
          <w:sz w:val="20"/>
          <w:szCs w:val="20"/>
        </w:rPr>
      </w:pPr>
    </w:p>
    <w:p w14:paraId="0E6FC311" w14:textId="77777777" w:rsidR="00AF678F" w:rsidRDefault="00AF678F" w:rsidP="00AF678F">
      <w:pPr>
        <w:jc w:val="both"/>
        <w:rPr>
          <w:color w:val="000000" w:themeColor="text1"/>
          <w:sz w:val="20"/>
          <w:szCs w:val="20"/>
        </w:rPr>
      </w:pPr>
    </w:p>
    <w:p w14:paraId="0AC35F32" w14:textId="77777777" w:rsidR="00AF678F" w:rsidRDefault="00AF678F" w:rsidP="00AF678F">
      <w:pPr>
        <w:jc w:val="both"/>
        <w:rPr>
          <w:color w:val="000000" w:themeColor="text1"/>
          <w:sz w:val="20"/>
          <w:szCs w:val="20"/>
        </w:rPr>
      </w:pPr>
    </w:p>
    <w:p w14:paraId="00EB1908" w14:textId="77777777" w:rsidR="00AF678F" w:rsidRDefault="00AF678F" w:rsidP="00AF678F">
      <w:pPr>
        <w:jc w:val="both"/>
        <w:rPr>
          <w:color w:val="000000" w:themeColor="text1"/>
          <w:sz w:val="20"/>
          <w:szCs w:val="20"/>
        </w:rPr>
      </w:pPr>
    </w:p>
    <w:p w14:paraId="70E1AA10" w14:textId="77777777" w:rsidR="00AF678F" w:rsidRDefault="00AF678F" w:rsidP="00AF678F">
      <w:pPr>
        <w:jc w:val="both"/>
        <w:rPr>
          <w:color w:val="000000" w:themeColor="text1"/>
          <w:sz w:val="20"/>
          <w:szCs w:val="20"/>
        </w:rPr>
      </w:pPr>
    </w:p>
    <w:p w14:paraId="4B3A8A9C" w14:textId="77777777" w:rsidR="00AF678F" w:rsidRDefault="00AF678F" w:rsidP="00AF678F">
      <w:pPr>
        <w:jc w:val="both"/>
        <w:rPr>
          <w:color w:val="000000" w:themeColor="text1"/>
          <w:sz w:val="20"/>
          <w:szCs w:val="20"/>
        </w:rPr>
      </w:pPr>
    </w:p>
    <w:p w14:paraId="17A0F50C" w14:textId="77777777" w:rsidR="00AF678F" w:rsidRDefault="00AF678F" w:rsidP="00AF678F">
      <w:pPr>
        <w:jc w:val="both"/>
        <w:rPr>
          <w:color w:val="000000" w:themeColor="text1"/>
          <w:sz w:val="20"/>
          <w:szCs w:val="20"/>
        </w:rPr>
      </w:pPr>
    </w:p>
    <w:p w14:paraId="466F222D" w14:textId="77777777" w:rsidR="00AF678F" w:rsidRDefault="00AF678F" w:rsidP="00AF678F">
      <w:pPr>
        <w:jc w:val="both"/>
        <w:rPr>
          <w:color w:val="000000" w:themeColor="text1"/>
          <w:sz w:val="20"/>
          <w:szCs w:val="20"/>
        </w:rPr>
      </w:pPr>
    </w:p>
    <w:p w14:paraId="134E73E5" w14:textId="77777777" w:rsidR="00AF678F" w:rsidRDefault="00AF678F" w:rsidP="00AF678F">
      <w:pPr>
        <w:jc w:val="both"/>
        <w:rPr>
          <w:color w:val="000000" w:themeColor="text1"/>
          <w:sz w:val="20"/>
          <w:szCs w:val="20"/>
        </w:rPr>
      </w:pPr>
    </w:p>
    <w:p w14:paraId="568E8E13" w14:textId="77777777" w:rsidR="00AF678F" w:rsidRDefault="00AF678F" w:rsidP="00AF678F">
      <w:pPr>
        <w:jc w:val="both"/>
        <w:rPr>
          <w:color w:val="000000" w:themeColor="text1"/>
          <w:sz w:val="20"/>
          <w:szCs w:val="20"/>
        </w:rPr>
      </w:pPr>
    </w:p>
    <w:p w14:paraId="6F426232" w14:textId="77777777" w:rsidR="00AF678F" w:rsidRDefault="00AF678F" w:rsidP="00AF678F">
      <w:pPr>
        <w:jc w:val="both"/>
        <w:rPr>
          <w:color w:val="000000" w:themeColor="text1"/>
          <w:sz w:val="20"/>
          <w:szCs w:val="20"/>
        </w:rPr>
      </w:pPr>
    </w:p>
    <w:p w14:paraId="76079358" w14:textId="77777777" w:rsidR="00AF678F" w:rsidRDefault="00AF678F" w:rsidP="00AF678F">
      <w:pPr>
        <w:jc w:val="both"/>
        <w:rPr>
          <w:color w:val="000000" w:themeColor="text1"/>
          <w:sz w:val="20"/>
          <w:szCs w:val="20"/>
        </w:rPr>
      </w:pPr>
    </w:p>
    <w:p w14:paraId="4863D6F8" w14:textId="77777777" w:rsidR="00AF678F" w:rsidRDefault="00AF678F" w:rsidP="00AF678F">
      <w:pPr>
        <w:jc w:val="both"/>
        <w:rPr>
          <w:color w:val="000000" w:themeColor="text1"/>
          <w:sz w:val="20"/>
          <w:szCs w:val="20"/>
        </w:rPr>
      </w:pPr>
    </w:p>
    <w:p w14:paraId="1D5CE8F0" w14:textId="77777777" w:rsidR="00AF678F" w:rsidRDefault="00AF678F" w:rsidP="00AF678F">
      <w:pPr>
        <w:jc w:val="both"/>
        <w:rPr>
          <w:color w:val="000000" w:themeColor="text1"/>
          <w:sz w:val="20"/>
          <w:szCs w:val="20"/>
        </w:rPr>
      </w:pPr>
    </w:p>
    <w:p w14:paraId="770FDE77" w14:textId="77777777" w:rsidR="00AF678F" w:rsidRDefault="00AF678F" w:rsidP="00AF678F">
      <w:pPr>
        <w:jc w:val="both"/>
        <w:rPr>
          <w:color w:val="000000" w:themeColor="text1"/>
          <w:sz w:val="20"/>
          <w:szCs w:val="20"/>
        </w:rPr>
      </w:pPr>
    </w:p>
    <w:p w14:paraId="5975EF3F" w14:textId="77777777" w:rsidR="00AF678F" w:rsidRDefault="00AF678F" w:rsidP="00AF678F">
      <w:pPr>
        <w:jc w:val="both"/>
        <w:rPr>
          <w:color w:val="000000" w:themeColor="text1"/>
          <w:sz w:val="20"/>
          <w:szCs w:val="20"/>
        </w:rPr>
      </w:pPr>
    </w:p>
    <w:p w14:paraId="679363F5" w14:textId="36D661E2" w:rsidR="00AF678F" w:rsidRPr="00A57264" w:rsidRDefault="00AF678F" w:rsidP="00AF678F">
      <w:pPr>
        <w:jc w:val="both"/>
        <w:rPr>
          <w:color w:val="000000" w:themeColor="text1"/>
          <w:sz w:val="20"/>
          <w:szCs w:val="20"/>
        </w:rPr>
      </w:pPr>
      <w:r w:rsidRPr="00A57264">
        <w:rPr>
          <w:color w:val="000000" w:themeColor="text1"/>
          <w:sz w:val="20"/>
          <w:szCs w:val="20"/>
        </w:rPr>
        <w:lastRenderedPageBreak/>
        <w:t xml:space="preserve">Corte IDH. </w:t>
      </w:r>
      <w:r w:rsidRPr="00A57264">
        <w:rPr>
          <w:i/>
          <w:iCs/>
          <w:color w:val="000000" w:themeColor="text1"/>
          <w:sz w:val="20"/>
          <w:szCs w:val="20"/>
        </w:rPr>
        <w:t>Caso Benites Cabrera y otros Vs. Perú</w:t>
      </w:r>
      <w:r w:rsidRPr="00A57264">
        <w:rPr>
          <w:i/>
          <w:iCs/>
          <w:color w:val="000000" w:themeColor="text1"/>
          <w:sz w:val="20"/>
          <w:szCs w:val="20"/>
          <w:lang w:val="es-ES"/>
        </w:rPr>
        <w:t xml:space="preserve">. </w:t>
      </w:r>
      <w:r w:rsidRPr="00A57264">
        <w:rPr>
          <w:i/>
          <w:iCs/>
          <w:color w:val="000000" w:themeColor="text1"/>
          <w:sz w:val="20"/>
          <w:szCs w:val="20"/>
        </w:rPr>
        <w:t>Interpretación de la Sentencia de Excepciones Preliminares, Fondo, Reparaciones y Costas</w:t>
      </w:r>
      <w:r w:rsidRPr="00A57264">
        <w:rPr>
          <w:color w:val="000000" w:themeColor="text1"/>
          <w:sz w:val="20"/>
          <w:szCs w:val="20"/>
          <w:lang w:val="es-ES"/>
        </w:rPr>
        <w:t>. Sentencia de 28 de noviembre de 2023.</w:t>
      </w:r>
    </w:p>
    <w:p w14:paraId="1C6EA212" w14:textId="030B12DC" w:rsidR="00AF678F" w:rsidRPr="00E262EB" w:rsidRDefault="00AF678F" w:rsidP="00AF678F">
      <w:pPr>
        <w:jc w:val="both"/>
        <w:rPr>
          <w:sz w:val="20"/>
          <w:lang w:val="es-ES"/>
        </w:rPr>
      </w:pPr>
    </w:p>
    <w:p w14:paraId="5B4C4DE0" w14:textId="54087707" w:rsidR="00AF678F" w:rsidRPr="00E262EB" w:rsidRDefault="00AF678F" w:rsidP="00AF678F">
      <w:pPr>
        <w:jc w:val="both"/>
        <w:rPr>
          <w:strike/>
          <w:sz w:val="20"/>
          <w:lang w:val="es-ES"/>
        </w:rPr>
      </w:pPr>
    </w:p>
    <w:p w14:paraId="19547334" w14:textId="77777777" w:rsidR="00AF678F" w:rsidRPr="00E262EB" w:rsidRDefault="00AF678F" w:rsidP="00AF678F">
      <w:pPr>
        <w:jc w:val="center"/>
        <w:rPr>
          <w:sz w:val="20"/>
        </w:rPr>
      </w:pPr>
    </w:p>
    <w:p w14:paraId="57D449C9" w14:textId="77777777" w:rsidR="00AF678F" w:rsidRPr="00E262EB" w:rsidRDefault="00AF678F" w:rsidP="00AF678F">
      <w:pPr>
        <w:jc w:val="center"/>
        <w:rPr>
          <w:sz w:val="20"/>
        </w:rPr>
      </w:pPr>
    </w:p>
    <w:p w14:paraId="061F9132" w14:textId="77777777" w:rsidR="00AF678F" w:rsidRPr="00E262EB" w:rsidRDefault="00AF678F" w:rsidP="00AF678F">
      <w:pPr>
        <w:jc w:val="center"/>
        <w:rPr>
          <w:sz w:val="20"/>
        </w:rPr>
      </w:pPr>
    </w:p>
    <w:p w14:paraId="0411D13B" w14:textId="5ADF25BC" w:rsidR="00AF678F" w:rsidRPr="00B86264" w:rsidRDefault="00AF678F" w:rsidP="00AF678F">
      <w:pPr>
        <w:jc w:val="center"/>
        <w:rPr>
          <w:sz w:val="20"/>
          <w:lang w:val="pt-BR"/>
        </w:rPr>
      </w:pPr>
      <w:r w:rsidRPr="00B86264">
        <w:rPr>
          <w:sz w:val="20"/>
          <w:lang w:val="pt-BR"/>
        </w:rPr>
        <w:t xml:space="preserve">Ricardo C. Pérez </w:t>
      </w:r>
      <w:proofErr w:type="spellStart"/>
      <w:r w:rsidRPr="00B86264">
        <w:rPr>
          <w:sz w:val="20"/>
          <w:lang w:val="pt-BR"/>
        </w:rPr>
        <w:t>Manrique</w:t>
      </w:r>
      <w:proofErr w:type="spellEnd"/>
    </w:p>
    <w:p w14:paraId="3A948266" w14:textId="48A5E150" w:rsidR="00AF678F" w:rsidRPr="00B86264" w:rsidRDefault="00AF678F" w:rsidP="00AF678F">
      <w:pPr>
        <w:jc w:val="center"/>
        <w:rPr>
          <w:sz w:val="20"/>
          <w:lang w:val="pt-BR"/>
        </w:rPr>
      </w:pPr>
      <w:r w:rsidRPr="00B86264">
        <w:rPr>
          <w:sz w:val="20"/>
          <w:lang w:val="pt-BR"/>
        </w:rPr>
        <w:t>Presidente</w:t>
      </w:r>
    </w:p>
    <w:p w14:paraId="6E5B6535" w14:textId="5111B1B4" w:rsidR="00AF678F" w:rsidRPr="00B86264" w:rsidRDefault="00AF678F" w:rsidP="00AF678F">
      <w:pPr>
        <w:jc w:val="center"/>
        <w:rPr>
          <w:sz w:val="20"/>
          <w:lang w:val="pt-BR"/>
        </w:rPr>
      </w:pPr>
    </w:p>
    <w:p w14:paraId="4346A082" w14:textId="77777777" w:rsidR="00AF678F" w:rsidRPr="00B86264" w:rsidRDefault="00AF678F" w:rsidP="00AF678F">
      <w:pPr>
        <w:jc w:val="center"/>
        <w:rPr>
          <w:sz w:val="20"/>
          <w:lang w:val="pt-BR"/>
        </w:rPr>
      </w:pPr>
    </w:p>
    <w:p w14:paraId="0788779E" w14:textId="77777777" w:rsidR="00AF678F" w:rsidRPr="00B86264" w:rsidRDefault="00AF678F" w:rsidP="00AF678F">
      <w:pPr>
        <w:rPr>
          <w:sz w:val="20"/>
          <w:lang w:val="pt-BR"/>
        </w:rPr>
      </w:pPr>
    </w:p>
    <w:p w14:paraId="19619A74" w14:textId="77777777" w:rsidR="00AF678F" w:rsidRPr="00B86264" w:rsidRDefault="00AF678F" w:rsidP="00AF678F">
      <w:pPr>
        <w:rPr>
          <w:sz w:val="20"/>
          <w:lang w:val="pt-BR"/>
        </w:rPr>
      </w:pPr>
    </w:p>
    <w:p w14:paraId="506F1481" w14:textId="77777777" w:rsidR="00AF678F" w:rsidRPr="00177C4E" w:rsidRDefault="00AF678F" w:rsidP="00AF678F">
      <w:pPr>
        <w:rPr>
          <w:sz w:val="20"/>
          <w:lang w:val="pt-BR"/>
        </w:rPr>
      </w:pPr>
      <w:r w:rsidRPr="00177C4E">
        <w:rPr>
          <w:sz w:val="20"/>
          <w:lang w:val="pt-BR"/>
        </w:rPr>
        <w:t xml:space="preserve">Eduardo Ferrer </w:t>
      </w:r>
      <w:proofErr w:type="spellStart"/>
      <w:r w:rsidRPr="00177C4E">
        <w:rPr>
          <w:sz w:val="20"/>
          <w:lang w:val="pt-BR"/>
        </w:rPr>
        <w:t>Mac-Gregor</w:t>
      </w:r>
      <w:proofErr w:type="spellEnd"/>
      <w:r w:rsidRPr="00177C4E">
        <w:rPr>
          <w:sz w:val="20"/>
          <w:lang w:val="pt-BR"/>
        </w:rPr>
        <w:t xml:space="preserve"> </w:t>
      </w:r>
      <w:proofErr w:type="spellStart"/>
      <w:r w:rsidRPr="00177C4E">
        <w:rPr>
          <w:sz w:val="20"/>
          <w:lang w:val="pt-BR"/>
        </w:rPr>
        <w:t>Poisot</w:t>
      </w:r>
      <w:proofErr w:type="spellEnd"/>
    </w:p>
    <w:p w14:paraId="507273D3" w14:textId="73FBFB99" w:rsidR="00AF678F" w:rsidRPr="00177C4E" w:rsidRDefault="007B62A5" w:rsidP="00AF678F">
      <w:pPr>
        <w:ind w:left="5760"/>
        <w:rPr>
          <w:sz w:val="20"/>
          <w:lang w:val="pt-BR"/>
        </w:rPr>
      </w:pPr>
      <w:r>
        <w:rPr>
          <w:sz w:val="20"/>
          <w:lang w:val="pt-BR"/>
        </w:rPr>
        <w:t xml:space="preserve">  </w:t>
      </w:r>
      <w:r w:rsidR="00AF678F" w:rsidRPr="00177C4E">
        <w:rPr>
          <w:sz w:val="20"/>
          <w:lang w:val="pt-BR"/>
        </w:rPr>
        <w:t>Humberto A</w:t>
      </w:r>
      <w:r w:rsidR="006F0F8A">
        <w:rPr>
          <w:sz w:val="20"/>
          <w:lang w:val="pt-BR"/>
        </w:rPr>
        <w:t>.</w:t>
      </w:r>
      <w:r w:rsidR="00AF678F" w:rsidRPr="00177C4E">
        <w:rPr>
          <w:sz w:val="20"/>
          <w:lang w:val="pt-BR"/>
        </w:rPr>
        <w:t xml:space="preserve"> </w:t>
      </w:r>
      <w:proofErr w:type="spellStart"/>
      <w:r w:rsidR="00AF678F" w:rsidRPr="00177C4E">
        <w:rPr>
          <w:sz w:val="20"/>
          <w:lang w:val="pt-BR"/>
        </w:rPr>
        <w:t>Sierra</w:t>
      </w:r>
      <w:proofErr w:type="spellEnd"/>
      <w:r w:rsidR="00AF678F" w:rsidRPr="00177C4E">
        <w:rPr>
          <w:sz w:val="20"/>
          <w:lang w:val="pt-BR"/>
        </w:rPr>
        <w:t xml:space="preserve"> Porto</w:t>
      </w:r>
      <w:r w:rsidR="00AF678F" w:rsidRPr="00177C4E">
        <w:rPr>
          <w:sz w:val="20"/>
          <w:lang w:val="pt-BR"/>
        </w:rPr>
        <w:tab/>
      </w:r>
      <w:r w:rsidR="00AF678F" w:rsidRPr="00177C4E">
        <w:rPr>
          <w:sz w:val="20"/>
          <w:lang w:val="pt-BR"/>
        </w:rPr>
        <w:tab/>
      </w:r>
      <w:r w:rsidR="00AF678F" w:rsidRPr="00177C4E">
        <w:rPr>
          <w:sz w:val="20"/>
          <w:lang w:val="pt-BR"/>
        </w:rPr>
        <w:tab/>
      </w:r>
      <w:r w:rsidR="00AF678F" w:rsidRPr="00177C4E">
        <w:rPr>
          <w:sz w:val="20"/>
          <w:lang w:val="pt-BR"/>
        </w:rPr>
        <w:tab/>
      </w:r>
    </w:p>
    <w:p w14:paraId="51D2531F" w14:textId="1EC1A390" w:rsidR="00AF678F" w:rsidRPr="00177C4E" w:rsidRDefault="00AF678F" w:rsidP="00AF678F">
      <w:pPr>
        <w:rPr>
          <w:sz w:val="20"/>
          <w:lang w:val="pt-BR"/>
        </w:rPr>
      </w:pPr>
    </w:p>
    <w:p w14:paraId="0CCBB491" w14:textId="6C8B5C1E" w:rsidR="00AF678F" w:rsidRPr="00177C4E" w:rsidRDefault="00AF678F" w:rsidP="00AF678F">
      <w:pPr>
        <w:rPr>
          <w:sz w:val="20"/>
          <w:lang w:val="pt-BR"/>
        </w:rPr>
      </w:pPr>
    </w:p>
    <w:p w14:paraId="7DDACC27" w14:textId="77777777" w:rsidR="00AF678F" w:rsidRPr="00177C4E" w:rsidRDefault="00AF678F" w:rsidP="00AF678F">
      <w:pPr>
        <w:rPr>
          <w:sz w:val="20"/>
          <w:lang w:val="pt-BR"/>
        </w:rPr>
      </w:pPr>
    </w:p>
    <w:p w14:paraId="4DD6FE2F" w14:textId="77777777" w:rsidR="00AF678F" w:rsidRPr="00177C4E" w:rsidRDefault="00AF678F" w:rsidP="00AF678F">
      <w:pPr>
        <w:rPr>
          <w:sz w:val="20"/>
          <w:lang w:val="pt-BR"/>
        </w:rPr>
      </w:pPr>
    </w:p>
    <w:p w14:paraId="4BE24164" w14:textId="622CDBEE" w:rsidR="00AF678F" w:rsidRPr="00B86264" w:rsidRDefault="00AF678F" w:rsidP="00AF678F">
      <w:pPr>
        <w:rPr>
          <w:sz w:val="20"/>
          <w:lang w:val="pt-BR"/>
        </w:rPr>
      </w:pPr>
      <w:r w:rsidRPr="00B86264">
        <w:rPr>
          <w:sz w:val="20"/>
          <w:lang w:val="pt-BR"/>
        </w:rPr>
        <w:t>Nancy Hernández López</w:t>
      </w:r>
      <w:r w:rsidRPr="00B86264">
        <w:rPr>
          <w:sz w:val="20"/>
          <w:lang w:val="pt-BR"/>
        </w:rPr>
        <w:tab/>
      </w:r>
      <w:r w:rsidRPr="00B86264">
        <w:rPr>
          <w:sz w:val="20"/>
          <w:lang w:val="pt-BR"/>
        </w:rPr>
        <w:tab/>
      </w:r>
      <w:r w:rsidRPr="00B86264">
        <w:rPr>
          <w:sz w:val="20"/>
          <w:lang w:val="pt-BR"/>
        </w:rPr>
        <w:tab/>
      </w:r>
      <w:r w:rsidRPr="00B86264">
        <w:rPr>
          <w:sz w:val="20"/>
          <w:lang w:val="pt-BR"/>
        </w:rPr>
        <w:tab/>
        <w:t xml:space="preserve">            </w:t>
      </w:r>
      <w:r w:rsidR="007B62A5" w:rsidRPr="00B86264">
        <w:rPr>
          <w:sz w:val="20"/>
          <w:lang w:val="pt-BR"/>
        </w:rPr>
        <w:t xml:space="preserve">  </w:t>
      </w:r>
      <w:r w:rsidRPr="00B86264">
        <w:rPr>
          <w:sz w:val="20"/>
          <w:lang w:val="pt-BR"/>
        </w:rPr>
        <w:t xml:space="preserve">Verónica Gómez                                                  </w:t>
      </w:r>
    </w:p>
    <w:p w14:paraId="41F37DE2" w14:textId="77777777" w:rsidR="00AF678F" w:rsidRPr="00B86264" w:rsidRDefault="00AF678F" w:rsidP="00AF678F">
      <w:pPr>
        <w:rPr>
          <w:sz w:val="20"/>
          <w:lang w:val="pt-BR"/>
        </w:rPr>
      </w:pPr>
    </w:p>
    <w:p w14:paraId="353117CD" w14:textId="3959E4A8" w:rsidR="00AF678F" w:rsidRPr="00B86264" w:rsidRDefault="00AF678F" w:rsidP="00AF678F">
      <w:pPr>
        <w:rPr>
          <w:sz w:val="20"/>
          <w:lang w:val="pt-BR"/>
        </w:rPr>
      </w:pPr>
    </w:p>
    <w:p w14:paraId="376ADF00" w14:textId="05AC9B91" w:rsidR="00AF678F" w:rsidRPr="00B86264" w:rsidRDefault="00AF678F" w:rsidP="00AF678F">
      <w:pPr>
        <w:rPr>
          <w:sz w:val="20"/>
          <w:lang w:val="pt-BR"/>
        </w:rPr>
      </w:pPr>
    </w:p>
    <w:p w14:paraId="19F9E070" w14:textId="77777777" w:rsidR="00AF678F" w:rsidRPr="00B86264" w:rsidRDefault="00AF678F" w:rsidP="00AF678F">
      <w:pPr>
        <w:rPr>
          <w:sz w:val="20"/>
          <w:lang w:val="pt-BR"/>
        </w:rPr>
      </w:pPr>
    </w:p>
    <w:p w14:paraId="2223EF92" w14:textId="77777777" w:rsidR="00AF678F" w:rsidRPr="00B86264" w:rsidRDefault="00AF678F" w:rsidP="00AF678F">
      <w:pPr>
        <w:rPr>
          <w:sz w:val="20"/>
          <w:lang w:val="pt-BR"/>
        </w:rPr>
      </w:pPr>
    </w:p>
    <w:p w14:paraId="57AA876F" w14:textId="2756F870" w:rsidR="00AF678F" w:rsidRPr="00B86264" w:rsidRDefault="00AF678F" w:rsidP="00AF678F">
      <w:pPr>
        <w:rPr>
          <w:sz w:val="20"/>
          <w:lang w:val="pt-BR"/>
        </w:rPr>
      </w:pPr>
      <w:r w:rsidRPr="00B86264">
        <w:rPr>
          <w:sz w:val="20"/>
          <w:lang w:val="pt-BR"/>
        </w:rPr>
        <w:t>Patricia Pérez Goldberg</w:t>
      </w:r>
      <w:r w:rsidRPr="00B86264">
        <w:rPr>
          <w:sz w:val="20"/>
          <w:lang w:val="pt-BR"/>
        </w:rPr>
        <w:tab/>
      </w:r>
      <w:r w:rsidRPr="00B86264">
        <w:rPr>
          <w:sz w:val="20"/>
          <w:lang w:val="pt-BR"/>
        </w:rPr>
        <w:tab/>
      </w:r>
      <w:r w:rsidRPr="00B86264">
        <w:rPr>
          <w:sz w:val="20"/>
          <w:lang w:val="pt-BR"/>
        </w:rPr>
        <w:tab/>
        <w:t xml:space="preserve">                    </w:t>
      </w:r>
      <w:r w:rsidRPr="00B86264">
        <w:rPr>
          <w:sz w:val="20"/>
          <w:lang w:val="pt-BR"/>
        </w:rPr>
        <w:tab/>
        <w:t xml:space="preserve">    </w:t>
      </w:r>
      <w:r w:rsidRPr="00B86264">
        <w:rPr>
          <w:rFonts w:cs="Arial"/>
          <w:color w:val="212529"/>
          <w:sz w:val="20"/>
          <w:lang w:val="pt-BR"/>
        </w:rPr>
        <w:t>Rodrigo Mudrovitsch</w:t>
      </w:r>
    </w:p>
    <w:p w14:paraId="441A8D88" w14:textId="77777777" w:rsidR="00AF678F" w:rsidRPr="00B86264" w:rsidRDefault="00AF678F" w:rsidP="00AF678F">
      <w:pPr>
        <w:jc w:val="both"/>
        <w:rPr>
          <w:sz w:val="20"/>
          <w:lang w:val="pt-BR"/>
        </w:rPr>
      </w:pPr>
    </w:p>
    <w:p w14:paraId="49B47CF0" w14:textId="77777777" w:rsidR="00AF678F" w:rsidRPr="00B86264" w:rsidRDefault="00AF678F" w:rsidP="00AF678F">
      <w:pPr>
        <w:jc w:val="both"/>
        <w:rPr>
          <w:sz w:val="20"/>
          <w:lang w:val="pt-BR"/>
        </w:rPr>
      </w:pPr>
    </w:p>
    <w:p w14:paraId="2C29D78F" w14:textId="49D8AB65" w:rsidR="00AF678F" w:rsidRPr="00B86264" w:rsidRDefault="00AF678F" w:rsidP="00AF678F">
      <w:pPr>
        <w:jc w:val="both"/>
        <w:rPr>
          <w:sz w:val="20"/>
          <w:lang w:val="pt-BR"/>
        </w:rPr>
      </w:pPr>
    </w:p>
    <w:p w14:paraId="5C3F50A7" w14:textId="77777777" w:rsidR="00AF678F" w:rsidRPr="00B86264" w:rsidRDefault="00AF678F" w:rsidP="00AF678F">
      <w:pPr>
        <w:jc w:val="both"/>
        <w:rPr>
          <w:sz w:val="20"/>
          <w:lang w:val="pt-BR"/>
        </w:rPr>
      </w:pPr>
    </w:p>
    <w:p w14:paraId="0406105B" w14:textId="77777777" w:rsidR="00AF678F" w:rsidRPr="00B86264" w:rsidRDefault="00AF678F" w:rsidP="00AF678F">
      <w:pPr>
        <w:jc w:val="both"/>
        <w:rPr>
          <w:sz w:val="20"/>
          <w:lang w:val="pt-BR"/>
        </w:rPr>
      </w:pPr>
    </w:p>
    <w:p w14:paraId="77AE25EF" w14:textId="77777777" w:rsidR="00AF678F" w:rsidRPr="00B86264" w:rsidRDefault="00AF678F" w:rsidP="00AF678F">
      <w:pPr>
        <w:jc w:val="both"/>
        <w:rPr>
          <w:sz w:val="20"/>
          <w:lang w:val="pt-BR"/>
        </w:rPr>
      </w:pPr>
    </w:p>
    <w:p w14:paraId="6EF22879" w14:textId="77777777" w:rsidR="00AF678F" w:rsidRPr="00B86264" w:rsidRDefault="00AF678F" w:rsidP="00AF678F">
      <w:pPr>
        <w:jc w:val="both"/>
        <w:rPr>
          <w:sz w:val="20"/>
          <w:lang w:val="pt-BR"/>
        </w:rPr>
      </w:pPr>
    </w:p>
    <w:p w14:paraId="5B07A477" w14:textId="77777777" w:rsidR="00AF678F" w:rsidRPr="00B86264" w:rsidRDefault="00AF678F" w:rsidP="00AF678F">
      <w:pPr>
        <w:jc w:val="center"/>
        <w:rPr>
          <w:sz w:val="20"/>
          <w:lang w:val="pt-BR"/>
        </w:rPr>
      </w:pPr>
      <w:r w:rsidRPr="00B86264">
        <w:rPr>
          <w:sz w:val="20"/>
          <w:lang w:val="pt-BR"/>
        </w:rPr>
        <w:t>Pablo Saavedra Alessandri</w:t>
      </w:r>
    </w:p>
    <w:p w14:paraId="4F3D4278" w14:textId="52A471F0" w:rsidR="00AF678F" w:rsidRPr="0074799B" w:rsidRDefault="00AF678F" w:rsidP="00AF678F">
      <w:pPr>
        <w:jc w:val="center"/>
        <w:rPr>
          <w:sz w:val="20"/>
        </w:rPr>
      </w:pPr>
      <w:r w:rsidRPr="00B86264">
        <w:rPr>
          <w:sz w:val="20"/>
          <w:lang w:val="pt-BR"/>
        </w:rPr>
        <w:t xml:space="preserve"> </w:t>
      </w:r>
      <w:r w:rsidRPr="0074799B">
        <w:rPr>
          <w:sz w:val="20"/>
        </w:rPr>
        <w:t>Secretario</w:t>
      </w:r>
    </w:p>
    <w:p w14:paraId="7C2BDC3E" w14:textId="77777777" w:rsidR="00AF678F" w:rsidRPr="0074799B" w:rsidRDefault="00AF678F" w:rsidP="00AF678F">
      <w:pPr>
        <w:pStyle w:val="Textonotapie"/>
        <w:rPr>
          <w:lang w:val="es-CR"/>
        </w:rPr>
      </w:pPr>
    </w:p>
    <w:p w14:paraId="39AD30E2" w14:textId="77777777" w:rsidR="00AF678F" w:rsidRPr="0074799B" w:rsidRDefault="00AF678F" w:rsidP="00AF678F">
      <w:pPr>
        <w:pStyle w:val="Textonotapie"/>
        <w:rPr>
          <w:lang w:val="es-CR"/>
        </w:rPr>
      </w:pPr>
    </w:p>
    <w:p w14:paraId="44391968" w14:textId="77777777" w:rsidR="00AF678F" w:rsidRPr="0074799B" w:rsidRDefault="00AF678F" w:rsidP="00AF678F">
      <w:pPr>
        <w:jc w:val="both"/>
        <w:rPr>
          <w:sz w:val="20"/>
        </w:rPr>
      </w:pPr>
      <w:r w:rsidRPr="0074799B">
        <w:rPr>
          <w:sz w:val="20"/>
        </w:rPr>
        <w:t>Comuníquese y ejecútese,</w:t>
      </w:r>
    </w:p>
    <w:p w14:paraId="5D90734F" w14:textId="1834117E" w:rsidR="00AF678F" w:rsidRPr="0074799B" w:rsidRDefault="00AF678F" w:rsidP="00AF678F">
      <w:pPr>
        <w:rPr>
          <w:sz w:val="20"/>
        </w:rPr>
      </w:pPr>
    </w:p>
    <w:p w14:paraId="09A49750" w14:textId="77777777" w:rsidR="00AF678F" w:rsidRPr="0074799B" w:rsidRDefault="00AF678F" w:rsidP="00AF678F">
      <w:pPr>
        <w:jc w:val="center"/>
        <w:rPr>
          <w:sz w:val="20"/>
        </w:rPr>
      </w:pPr>
    </w:p>
    <w:p w14:paraId="0A4D83F9" w14:textId="77777777" w:rsidR="00AF678F" w:rsidRPr="0074799B" w:rsidRDefault="00AF678F" w:rsidP="00AF678F">
      <w:pPr>
        <w:jc w:val="center"/>
        <w:rPr>
          <w:sz w:val="20"/>
        </w:rPr>
      </w:pPr>
    </w:p>
    <w:p w14:paraId="5ACCABDE" w14:textId="208FD369" w:rsidR="00AF678F" w:rsidRPr="0074799B" w:rsidRDefault="00AF678F" w:rsidP="00AF678F">
      <w:pPr>
        <w:jc w:val="right"/>
        <w:rPr>
          <w:sz w:val="20"/>
        </w:rPr>
      </w:pPr>
    </w:p>
    <w:p w14:paraId="78EA3744" w14:textId="03A50866" w:rsidR="00AF678F" w:rsidRPr="0074799B" w:rsidRDefault="00AF678F" w:rsidP="00AF678F">
      <w:pPr>
        <w:jc w:val="center"/>
        <w:rPr>
          <w:sz w:val="20"/>
        </w:rPr>
      </w:pPr>
      <w:r w:rsidRPr="0074799B">
        <w:rPr>
          <w:sz w:val="20"/>
        </w:rPr>
        <w:t xml:space="preserve">                                                                                          </w:t>
      </w:r>
      <w:r>
        <w:rPr>
          <w:sz w:val="20"/>
        </w:rPr>
        <w:t xml:space="preserve"> </w:t>
      </w:r>
      <w:r w:rsidRPr="0074799B">
        <w:rPr>
          <w:sz w:val="20"/>
        </w:rPr>
        <w:t>Ricardo C. Pérez Manrique</w:t>
      </w:r>
    </w:p>
    <w:p w14:paraId="4C5720D1" w14:textId="4645B816" w:rsidR="00AF678F" w:rsidRPr="0074799B" w:rsidRDefault="00AF678F" w:rsidP="00AF678F">
      <w:pPr>
        <w:ind w:left="6480" w:firstLine="720"/>
        <w:rPr>
          <w:sz w:val="20"/>
        </w:rPr>
      </w:pPr>
      <w:r w:rsidRPr="0074799B">
        <w:rPr>
          <w:sz w:val="20"/>
        </w:rPr>
        <w:t xml:space="preserve">  Presidente</w:t>
      </w:r>
    </w:p>
    <w:p w14:paraId="4592C82B" w14:textId="77777777" w:rsidR="00AF678F" w:rsidRPr="0074799B" w:rsidRDefault="00AF678F" w:rsidP="00AF678F">
      <w:pPr>
        <w:jc w:val="both"/>
        <w:rPr>
          <w:sz w:val="20"/>
        </w:rPr>
      </w:pPr>
    </w:p>
    <w:p w14:paraId="2B15F616" w14:textId="77777777" w:rsidR="00AF678F" w:rsidRPr="0074799B" w:rsidRDefault="00AF678F" w:rsidP="00AF678F">
      <w:pPr>
        <w:jc w:val="both"/>
        <w:rPr>
          <w:sz w:val="20"/>
        </w:rPr>
      </w:pPr>
    </w:p>
    <w:p w14:paraId="048E6304" w14:textId="77777777" w:rsidR="00AF678F" w:rsidRPr="0074799B" w:rsidRDefault="00AF678F" w:rsidP="00AF678F">
      <w:pPr>
        <w:jc w:val="both"/>
        <w:rPr>
          <w:sz w:val="20"/>
        </w:rPr>
      </w:pPr>
    </w:p>
    <w:p w14:paraId="65794CB2" w14:textId="77777777" w:rsidR="00AF678F" w:rsidRPr="0074799B" w:rsidRDefault="00AF678F" w:rsidP="00AF678F">
      <w:pPr>
        <w:jc w:val="both"/>
        <w:rPr>
          <w:sz w:val="20"/>
        </w:rPr>
      </w:pPr>
    </w:p>
    <w:p w14:paraId="1C62D9F7" w14:textId="77777777" w:rsidR="00AF678F" w:rsidRPr="0074799B" w:rsidRDefault="00AF678F" w:rsidP="00AF678F">
      <w:pPr>
        <w:rPr>
          <w:sz w:val="20"/>
        </w:rPr>
      </w:pPr>
      <w:r w:rsidRPr="0074799B">
        <w:rPr>
          <w:sz w:val="20"/>
        </w:rPr>
        <w:t>Pablo Saavedra Alessandri</w:t>
      </w:r>
    </w:p>
    <w:p w14:paraId="5058AF2E" w14:textId="2D5AFB16" w:rsidR="00D82ABC" w:rsidRPr="00AF678F" w:rsidRDefault="00AF678F" w:rsidP="00AF678F">
      <w:pPr>
        <w:rPr>
          <w:sz w:val="20"/>
        </w:rPr>
      </w:pPr>
      <w:r>
        <w:rPr>
          <w:sz w:val="20"/>
        </w:rPr>
        <w:t xml:space="preserve">            </w:t>
      </w:r>
      <w:r w:rsidRPr="0074799B">
        <w:rPr>
          <w:sz w:val="20"/>
        </w:rPr>
        <w:t>Secretario</w:t>
      </w:r>
    </w:p>
    <w:sectPr w:rsidR="00D82ABC" w:rsidRPr="00AF678F" w:rsidSect="000D3AC7">
      <w:footerReference w:type="default" r:id="rId8"/>
      <w:headerReference w:type="first" r:id="rId9"/>
      <w:footerReference w:type="first" r:id="rId10"/>
      <w:pgSz w:w="12240" w:h="15840"/>
      <w:pgMar w:top="1500" w:right="1580" w:bottom="1180" w:left="1600" w:header="0" w:footer="99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AC6C4" w14:textId="77777777" w:rsidR="00665FA1" w:rsidRDefault="00665FA1">
      <w:r>
        <w:separator/>
      </w:r>
    </w:p>
  </w:endnote>
  <w:endnote w:type="continuationSeparator" w:id="0">
    <w:p w14:paraId="76383B09" w14:textId="77777777" w:rsidR="00665FA1" w:rsidRDefault="00665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szCs w:val="20"/>
      </w:rPr>
      <w:id w:val="501854732"/>
      <w:docPartObj>
        <w:docPartGallery w:val="Page Numbers (Bottom of Page)"/>
        <w:docPartUnique/>
      </w:docPartObj>
    </w:sdtPr>
    <w:sdtContent>
      <w:p w14:paraId="5007482D" w14:textId="6FE3B3A6" w:rsidR="006C2E0F" w:rsidRPr="00733F9A" w:rsidRDefault="006C2E0F">
        <w:pPr>
          <w:pStyle w:val="Piedepgina"/>
          <w:jc w:val="center"/>
          <w:rPr>
            <w:rFonts w:asciiTheme="minorHAnsi" w:hAnsiTheme="minorHAnsi" w:cstheme="minorHAnsi"/>
            <w:sz w:val="20"/>
            <w:szCs w:val="20"/>
          </w:rPr>
        </w:pPr>
        <w:r w:rsidRPr="00733F9A">
          <w:rPr>
            <w:rFonts w:asciiTheme="minorHAnsi" w:hAnsiTheme="minorHAnsi" w:cstheme="minorHAnsi"/>
            <w:sz w:val="20"/>
            <w:szCs w:val="20"/>
          </w:rPr>
          <w:fldChar w:fldCharType="begin"/>
        </w:r>
        <w:r w:rsidRPr="00733F9A">
          <w:rPr>
            <w:rFonts w:asciiTheme="minorHAnsi" w:hAnsiTheme="minorHAnsi" w:cstheme="minorHAnsi"/>
            <w:sz w:val="20"/>
            <w:szCs w:val="20"/>
          </w:rPr>
          <w:instrText>PAGE   \* MERGEFORMAT</w:instrText>
        </w:r>
        <w:r w:rsidRPr="00733F9A">
          <w:rPr>
            <w:rFonts w:asciiTheme="minorHAnsi" w:hAnsiTheme="minorHAnsi" w:cstheme="minorHAnsi"/>
            <w:sz w:val="20"/>
            <w:szCs w:val="20"/>
          </w:rPr>
          <w:fldChar w:fldCharType="separate"/>
        </w:r>
        <w:r w:rsidRPr="00733F9A">
          <w:rPr>
            <w:rFonts w:asciiTheme="minorHAnsi" w:hAnsiTheme="minorHAnsi" w:cstheme="minorHAnsi"/>
            <w:sz w:val="20"/>
            <w:szCs w:val="20"/>
            <w:lang w:val="es-ES"/>
          </w:rPr>
          <w:t>2</w:t>
        </w:r>
        <w:r w:rsidRPr="00733F9A">
          <w:rPr>
            <w:rFonts w:asciiTheme="minorHAnsi" w:hAnsiTheme="minorHAnsi" w:cstheme="minorHAnsi"/>
            <w:sz w:val="20"/>
            <w:szCs w:val="20"/>
          </w:rPr>
          <w:fldChar w:fldCharType="end"/>
        </w:r>
      </w:p>
    </w:sdtContent>
  </w:sdt>
  <w:p w14:paraId="3CABD36C" w14:textId="15D761AA" w:rsidR="00C84D5D" w:rsidRDefault="00C84D5D">
    <w:pPr>
      <w:pStyle w:val="Textoindependiente"/>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0323" w14:textId="5680474A" w:rsidR="006C2E0F" w:rsidRDefault="006C2E0F">
    <w:pPr>
      <w:pStyle w:val="Piedepgina"/>
      <w:jc w:val="center"/>
    </w:pPr>
  </w:p>
  <w:p w14:paraId="74EC6C05" w14:textId="77777777" w:rsidR="006C2E0F" w:rsidRDefault="006C2E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8F0F2" w14:textId="77777777" w:rsidR="00665FA1" w:rsidRDefault="00665FA1">
      <w:r>
        <w:separator/>
      </w:r>
    </w:p>
  </w:footnote>
  <w:footnote w:type="continuationSeparator" w:id="0">
    <w:p w14:paraId="356FCD9B" w14:textId="77777777" w:rsidR="00665FA1" w:rsidRDefault="00665FA1">
      <w:r>
        <w:continuationSeparator/>
      </w:r>
    </w:p>
  </w:footnote>
  <w:footnote w:id="1">
    <w:p w14:paraId="485AF268" w14:textId="3FD79712" w:rsidR="00AA3AAC" w:rsidRPr="00AA3AAC" w:rsidRDefault="00AA3AAC" w:rsidP="000D3AC7">
      <w:pPr>
        <w:tabs>
          <w:tab w:val="left" w:pos="567"/>
        </w:tabs>
        <w:spacing w:before="60" w:after="60"/>
        <w:jc w:val="both"/>
        <w:rPr>
          <w:sz w:val="16"/>
        </w:rPr>
      </w:pPr>
      <w:r w:rsidRPr="00E17245">
        <w:rPr>
          <w:rStyle w:val="Refdenotaalpie"/>
          <w:sz w:val="16"/>
          <w:szCs w:val="16"/>
        </w:rPr>
        <w:footnoteRef/>
      </w:r>
      <w:r w:rsidRPr="00E17245">
        <w:rPr>
          <w:sz w:val="16"/>
          <w:szCs w:val="16"/>
        </w:rPr>
        <w:t xml:space="preserve"> </w:t>
      </w:r>
      <w:r w:rsidRPr="00E17245">
        <w:rPr>
          <w:sz w:val="16"/>
          <w:szCs w:val="16"/>
        </w:rPr>
        <w:tab/>
      </w:r>
      <w:r w:rsidR="00F004BE">
        <w:rPr>
          <w:sz w:val="16"/>
          <w:szCs w:val="16"/>
        </w:rPr>
        <w:t>La</w:t>
      </w:r>
      <w:r w:rsidR="00F004BE" w:rsidRPr="00E17245">
        <w:rPr>
          <w:sz w:val="16"/>
          <w:szCs w:val="16"/>
        </w:rPr>
        <w:t xml:space="preserve"> </w:t>
      </w:r>
      <w:r w:rsidRPr="00E17245">
        <w:rPr>
          <w:sz w:val="16"/>
          <w:szCs w:val="16"/>
        </w:rPr>
        <w:t>Sentencia fue</w:t>
      </w:r>
      <w:r w:rsidRPr="00E17245">
        <w:rPr>
          <w:spacing w:val="1"/>
          <w:sz w:val="16"/>
          <w:szCs w:val="16"/>
        </w:rPr>
        <w:t xml:space="preserve"> </w:t>
      </w:r>
      <w:r w:rsidRPr="00E17245">
        <w:rPr>
          <w:sz w:val="16"/>
          <w:szCs w:val="16"/>
        </w:rPr>
        <w:t xml:space="preserve">deliberada y aprobada durante el </w:t>
      </w:r>
      <w:r w:rsidR="00483EE8">
        <w:rPr>
          <w:sz w:val="16"/>
          <w:szCs w:val="16"/>
        </w:rPr>
        <w:t>163</w:t>
      </w:r>
      <w:r w:rsidRPr="00E17245">
        <w:rPr>
          <w:sz w:val="16"/>
          <w:szCs w:val="16"/>
        </w:rPr>
        <w:t xml:space="preserve">° Período </w:t>
      </w:r>
      <w:r w:rsidR="00F13DED">
        <w:rPr>
          <w:sz w:val="16"/>
          <w:szCs w:val="16"/>
        </w:rPr>
        <w:t>O</w:t>
      </w:r>
      <w:r w:rsidRPr="00E17245">
        <w:rPr>
          <w:sz w:val="16"/>
          <w:szCs w:val="16"/>
        </w:rPr>
        <w:t>rdinario de Sesiones.</w:t>
      </w:r>
    </w:p>
  </w:footnote>
  <w:footnote w:id="2">
    <w:p w14:paraId="6CF1894F" w14:textId="2B91F3A3" w:rsidR="00501FAE" w:rsidRPr="00501FAE" w:rsidRDefault="00501FAE" w:rsidP="000D3AC7">
      <w:pPr>
        <w:pStyle w:val="Textonotapie"/>
        <w:spacing w:before="60" w:after="60"/>
        <w:rPr>
          <w:lang w:val="es-ES"/>
        </w:rPr>
      </w:pPr>
      <w:r>
        <w:rPr>
          <w:rStyle w:val="Refdenotaalpie"/>
        </w:rPr>
        <w:footnoteRef/>
      </w:r>
      <w:r>
        <w:t xml:space="preserve"> </w:t>
      </w:r>
      <w:r>
        <w:tab/>
      </w:r>
      <w:r>
        <w:rPr>
          <w:i/>
        </w:rPr>
        <w:t xml:space="preserve">Cfr. Caso Loayza Tamayo Vs. Perú. Interpretación de la Sentencia de Fondo. </w:t>
      </w:r>
      <w:r>
        <w:t xml:space="preserve">Resolución de la Corte </w:t>
      </w:r>
      <w:r w:rsidR="002D0C1F">
        <w:t>de 8</w:t>
      </w:r>
      <w:r w:rsidR="002D0C1F">
        <w:rPr>
          <w:spacing w:val="-54"/>
        </w:rPr>
        <w:t xml:space="preserve">  </w:t>
      </w:r>
      <w:r w:rsidR="002D0C1F">
        <w:t xml:space="preserve"> </w:t>
      </w:r>
      <w:r>
        <w:t>de marzo de 1998. Serie C No. 47, párr. 16, y</w:t>
      </w:r>
      <w:r w:rsidR="002D0C1F">
        <w:rPr>
          <w:i/>
          <w:iCs/>
        </w:rPr>
        <w:t xml:space="preserve"> </w:t>
      </w:r>
      <w:r w:rsidR="001715AB" w:rsidRPr="001715AB">
        <w:rPr>
          <w:i/>
          <w:iCs/>
        </w:rPr>
        <w:t xml:space="preserve">Caso Sales Pimenta Vs. Brasil. Interpretación de la Sentencia de Excepciones Preliminares, Fondo, Reparaciones y Costas. </w:t>
      </w:r>
      <w:r w:rsidR="001715AB" w:rsidRPr="000D3AC7">
        <w:t>Sentencia de 30 de agosto de 2023. Serie C No. 502</w:t>
      </w:r>
      <w:r w:rsidR="001715AB">
        <w:t>, párr. 9</w:t>
      </w:r>
      <w:r w:rsidR="001715AB" w:rsidRPr="000D3AC7">
        <w:t>.</w:t>
      </w:r>
    </w:p>
  </w:footnote>
  <w:footnote w:id="3">
    <w:p w14:paraId="55824C98" w14:textId="521A0B74" w:rsidR="00501FAE" w:rsidRPr="00501FAE" w:rsidRDefault="00501FAE" w:rsidP="000D3AC7">
      <w:pPr>
        <w:pStyle w:val="Textonotapie"/>
        <w:spacing w:before="60" w:after="60"/>
        <w:rPr>
          <w:lang w:val="es-ES"/>
        </w:rPr>
      </w:pPr>
      <w:r>
        <w:rPr>
          <w:rStyle w:val="Refdenotaalpie"/>
        </w:rPr>
        <w:footnoteRef/>
      </w:r>
      <w:r>
        <w:t xml:space="preserve"> </w:t>
      </w:r>
      <w:r>
        <w:tab/>
      </w:r>
      <w:r>
        <w:rPr>
          <w:i/>
        </w:rPr>
        <w:t>Cfr.</w:t>
      </w:r>
      <w:r>
        <w:rPr>
          <w:i/>
          <w:spacing w:val="-8"/>
        </w:rPr>
        <w:t xml:space="preserve"> </w:t>
      </w:r>
      <w:r>
        <w:rPr>
          <w:i/>
        </w:rPr>
        <w:t>Caso</w:t>
      </w:r>
      <w:r>
        <w:rPr>
          <w:i/>
          <w:spacing w:val="-6"/>
        </w:rPr>
        <w:t xml:space="preserve"> </w:t>
      </w:r>
      <w:r>
        <w:rPr>
          <w:i/>
        </w:rPr>
        <w:t>Loayza</w:t>
      </w:r>
      <w:r>
        <w:rPr>
          <w:i/>
          <w:spacing w:val="-8"/>
        </w:rPr>
        <w:t xml:space="preserve"> </w:t>
      </w:r>
      <w:r>
        <w:rPr>
          <w:i/>
        </w:rPr>
        <w:t>Tamayo</w:t>
      </w:r>
      <w:r>
        <w:rPr>
          <w:i/>
          <w:spacing w:val="-7"/>
        </w:rPr>
        <w:t xml:space="preserve"> </w:t>
      </w:r>
      <w:r>
        <w:rPr>
          <w:i/>
        </w:rPr>
        <w:t>Vs.</w:t>
      </w:r>
      <w:r>
        <w:rPr>
          <w:i/>
          <w:spacing w:val="-9"/>
        </w:rPr>
        <w:t xml:space="preserve"> </w:t>
      </w:r>
      <w:r>
        <w:rPr>
          <w:i/>
        </w:rPr>
        <w:t>Perú.</w:t>
      </w:r>
      <w:r>
        <w:rPr>
          <w:i/>
          <w:spacing w:val="-6"/>
        </w:rPr>
        <w:t xml:space="preserve"> </w:t>
      </w:r>
      <w:r>
        <w:rPr>
          <w:i/>
        </w:rPr>
        <w:t>Interpretación</w:t>
      </w:r>
      <w:r>
        <w:rPr>
          <w:i/>
          <w:spacing w:val="-7"/>
        </w:rPr>
        <w:t xml:space="preserve"> </w:t>
      </w:r>
      <w:r>
        <w:rPr>
          <w:i/>
        </w:rPr>
        <w:t>de</w:t>
      </w:r>
      <w:r>
        <w:rPr>
          <w:i/>
          <w:spacing w:val="-7"/>
        </w:rPr>
        <w:t xml:space="preserve"> </w:t>
      </w:r>
      <w:r>
        <w:rPr>
          <w:i/>
        </w:rPr>
        <w:t>la</w:t>
      </w:r>
      <w:r>
        <w:rPr>
          <w:i/>
          <w:spacing w:val="-8"/>
        </w:rPr>
        <w:t xml:space="preserve"> </w:t>
      </w:r>
      <w:r>
        <w:rPr>
          <w:i/>
        </w:rPr>
        <w:t>Sentencia</w:t>
      </w:r>
      <w:r>
        <w:rPr>
          <w:i/>
          <w:spacing w:val="-5"/>
        </w:rPr>
        <w:t xml:space="preserve"> </w:t>
      </w:r>
      <w:r>
        <w:rPr>
          <w:i/>
        </w:rPr>
        <w:t>de</w:t>
      </w:r>
      <w:r>
        <w:rPr>
          <w:i/>
          <w:spacing w:val="-10"/>
        </w:rPr>
        <w:t xml:space="preserve"> </w:t>
      </w:r>
      <w:r>
        <w:rPr>
          <w:i/>
        </w:rPr>
        <w:t>Reparaciones</w:t>
      </w:r>
      <w:r>
        <w:rPr>
          <w:i/>
          <w:spacing w:val="-6"/>
        </w:rPr>
        <w:t xml:space="preserve"> </w:t>
      </w:r>
      <w:r>
        <w:rPr>
          <w:i/>
        </w:rPr>
        <w:t>y</w:t>
      </w:r>
      <w:r>
        <w:rPr>
          <w:i/>
          <w:spacing w:val="-6"/>
        </w:rPr>
        <w:t xml:space="preserve"> </w:t>
      </w:r>
      <w:r>
        <w:rPr>
          <w:i/>
        </w:rPr>
        <w:t>Costas.</w:t>
      </w:r>
      <w:r>
        <w:rPr>
          <w:i/>
          <w:spacing w:val="-1"/>
        </w:rPr>
        <w:t xml:space="preserve"> </w:t>
      </w:r>
      <w:r>
        <w:t>Sentencia</w:t>
      </w:r>
      <w:r w:rsidR="00A46FC5">
        <w:t xml:space="preserve"> </w:t>
      </w:r>
      <w:r>
        <w:rPr>
          <w:spacing w:val="-54"/>
        </w:rPr>
        <w:t xml:space="preserve"> </w:t>
      </w:r>
      <w:r>
        <w:t xml:space="preserve">de 3 de junio de 1999. Serie C No. 53, párr. 15, y </w:t>
      </w:r>
      <w:r w:rsidR="00D1047A" w:rsidRPr="001715AB">
        <w:rPr>
          <w:i/>
          <w:iCs/>
        </w:rPr>
        <w:t>Caso Sales Pimenta Vs. Brasil. Interpretación de la Sentencia de Excepciones Preliminares, Fondo, Reparaciones y Costas</w:t>
      </w:r>
      <w:r w:rsidR="002E5733">
        <w:rPr>
          <w:i/>
          <w:iCs/>
        </w:rPr>
        <w:t>, supra,</w:t>
      </w:r>
      <w:r w:rsidR="002E5733" w:rsidRPr="008A0671">
        <w:t xml:space="preserve"> </w:t>
      </w:r>
      <w:r w:rsidR="002E5733">
        <w:t>párr. 1</w:t>
      </w:r>
      <w:r w:rsidR="00D1047A">
        <w:t>0</w:t>
      </w:r>
      <w:r w:rsidR="002E5733">
        <w:t>.</w:t>
      </w:r>
    </w:p>
  </w:footnote>
  <w:footnote w:id="4">
    <w:p w14:paraId="58678875" w14:textId="38B3861F" w:rsidR="00501FAE" w:rsidRPr="00501FAE" w:rsidRDefault="00501FAE" w:rsidP="000D3AC7">
      <w:pPr>
        <w:pStyle w:val="Textonotapie"/>
        <w:spacing w:before="60" w:after="60"/>
        <w:rPr>
          <w:lang w:val="es-ES"/>
        </w:rPr>
      </w:pPr>
      <w:r>
        <w:rPr>
          <w:rStyle w:val="Refdenotaalpie"/>
        </w:rPr>
        <w:footnoteRef/>
      </w:r>
      <w:r>
        <w:t xml:space="preserve"> </w:t>
      </w:r>
      <w:r>
        <w:tab/>
      </w:r>
      <w:r>
        <w:rPr>
          <w:i/>
        </w:rPr>
        <w:t>Cfr. Caso Salvador Chiriboga Vs. Ecuador. Interpretación de la Sentencia de Reparaciones y Costas.</w:t>
      </w:r>
      <w:r>
        <w:rPr>
          <w:i/>
          <w:spacing w:val="1"/>
        </w:rPr>
        <w:t xml:space="preserve"> </w:t>
      </w:r>
      <w:r>
        <w:t xml:space="preserve">Sentencia de 29 de agosto de 2011. Serie C No. 230, párr. 30, y </w:t>
      </w:r>
      <w:r w:rsidR="00D1047A" w:rsidRPr="001715AB">
        <w:rPr>
          <w:i/>
          <w:iCs/>
        </w:rPr>
        <w:t>Caso Sales Pimenta Vs. Brasil. Interpretación de la Sentencia de Excepciones Preliminares, Fondo, Reparaciones y Costas</w:t>
      </w:r>
      <w:r w:rsidR="00B20139">
        <w:rPr>
          <w:i/>
          <w:iCs/>
        </w:rPr>
        <w:t>, supra,</w:t>
      </w:r>
      <w:r w:rsidR="00B20139" w:rsidRPr="008A0671">
        <w:t xml:space="preserve"> </w:t>
      </w:r>
      <w:r w:rsidR="00B20139">
        <w:t>párr. 1</w:t>
      </w:r>
      <w:r w:rsidR="00D1047A">
        <w:t>0</w:t>
      </w:r>
      <w:r w:rsidR="00B20139">
        <w:t>.</w:t>
      </w:r>
    </w:p>
  </w:footnote>
  <w:footnote w:id="5">
    <w:p w14:paraId="692BE948" w14:textId="074EA34E" w:rsidR="00501FAE" w:rsidRPr="00501FAE" w:rsidRDefault="00501FAE" w:rsidP="000D3AC7">
      <w:pPr>
        <w:pStyle w:val="Textonotapie"/>
        <w:spacing w:before="60" w:after="60"/>
        <w:rPr>
          <w:lang w:val="es-ES"/>
        </w:rPr>
      </w:pPr>
      <w:r>
        <w:rPr>
          <w:rStyle w:val="Refdenotaalpie"/>
        </w:rPr>
        <w:footnoteRef/>
      </w:r>
      <w:r>
        <w:t xml:space="preserve"> </w:t>
      </w:r>
      <w:r>
        <w:tab/>
      </w:r>
      <w:r>
        <w:rPr>
          <w:i/>
        </w:rPr>
        <w:t>Cfr. Caso Escher y otros Vs. Brasil. Interpretación de la Sentencia de Excepciones Preliminares, Fondo,</w:t>
      </w:r>
      <w:r>
        <w:rPr>
          <w:i/>
          <w:spacing w:val="-54"/>
        </w:rPr>
        <w:t xml:space="preserve"> </w:t>
      </w:r>
      <w:r>
        <w:rPr>
          <w:i/>
        </w:rPr>
        <w:t>Reparaciones y Costas</w:t>
      </w:r>
      <w:r>
        <w:t>. Sentencia de 20 de noviembre de 2009. Serie C No. 208, párr. 11, y</w:t>
      </w:r>
      <w:r w:rsidRPr="00501FAE">
        <w:rPr>
          <w:rFonts w:cs="Open Sans"/>
          <w:i/>
          <w:shd w:val="clear" w:color="auto" w:fill="FFFFFF"/>
        </w:rPr>
        <w:t xml:space="preserve"> </w:t>
      </w:r>
      <w:r w:rsidR="00B3509D" w:rsidRPr="001715AB">
        <w:rPr>
          <w:i/>
          <w:iCs/>
        </w:rPr>
        <w:t>Caso Sales Pimenta Vs. Brasil. Interpretación de la Sentencia de Excepciones Preliminares, Fondo, Reparaciones y Costas</w:t>
      </w:r>
      <w:r w:rsidR="002E5733">
        <w:rPr>
          <w:i/>
          <w:iCs/>
        </w:rPr>
        <w:t>, supra,</w:t>
      </w:r>
      <w:r w:rsidR="002E5733" w:rsidRPr="008A0671">
        <w:t xml:space="preserve"> </w:t>
      </w:r>
      <w:r w:rsidR="002E5733">
        <w:t>párr. 1</w:t>
      </w:r>
      <w:r w:rsidR="00B3509D">
        <w:t>0</w:t>
      </w:r>
      <w:r w:rsidR="002E5733">
        <w:t>.</w:t>
      </w:r>
    </w:p>
  </w:footnote>
  <w:footnote w:id="6">
    <w:p w14:paraId="200530C0" w14:textId="570AFEDB" w:rsidR="00604E37" w:rsidRPr="00D24A0D" w:rsidRDefault="00604E37" w:rsidP="000D3AC7">
      <w:pPr>
        <w:pStyle w:val="Textonotapie"/>
        <w:spacing w:before="60" w:after="60"/>
        <w:rPr>
          <w:lang w:val="es-CR"/>
        </w:rPr>
      </w:pPr>
      <w:r>
        <w:rPr>
          <w:rStyle w:val="Refdenotaalpie"/>
        </w:rPr>
        <w:footnoteRef/>
      </w:r>
      <w:r>
        <w:t xml:space="preserve"> </w:t>
      </w:r>
      <w:r>
        <w:tab/>
      </w:r>
      <w:r w:rsidR="007763DE" w:rsidRPr="007763DE">
        <w:rPr>
          <w:i/>
          <w:iCs/>
        </w:rPr>
        <w:t xml:space="preserve">Caso Benites Cabrera y otros Vs. Perú. Excepciones Preliminares, Fondo, Reparaciones y Costas. </w:t>
      </w:r>
      <w:r w:rsidR="007763DE" w:rsidRPr="007763DE">
        <w:t>Sentencia de 4 de octubre de 2022. Serie C No. 465</w:t>
      </w:r>
      <w:r w:rsidR="00FC589C">
        <w:t xml:space="preserve">, párr. </w:t>
      </w:r>
      <w:r w:rsidR="007763DE">
        <w:t>105</w:t>
      </w:r>
      <w:r w:rsidR="00A17BEE">
        <w:t>.</w:t>
      </w:r>
    </w:p>
  </w:footnote>
  <w:footnote w:id="7">
    <w:p w14:paraId="65B5FDEC" w14:textId="7B22234F" w:rsidR="007F1225" w:rsidRPr="00D24A0D" w:rsidRDefault="007F1225" w:rsidP="007F1225">
      <w:pPr>
        <w:pStyle w:val="Textonotapie"/>
        <w:spacing w:before="60" w:after="60"/>
        <w:rPr>
          <w:lang w:val="es-CR"/>
        </w:rPr>
      </w:pPr>
      <w:r>
        <w:rPr>
          <w:rStyle w:val="Refdenotaalpie"/>
        </w:rPr>
        <w:footnoteRef/>
      </w:r>
      <w:r>
        <w:t xml:space="preserve"> </w:t>
      </w:r>
      <w:r>
        <w:tab/>
      </w:r>
      <w:r w:rsidRPr="007763DE">
        <w:rPr>
          <w:i/>
          <w:iCs/>
        </w:rPr>
        <w:t>Caso Benites Cabrera y otros Vs. Perú</w:t>
      </w:r>
      <w:r>
        <w:rPr>
          <w:i/>
          <w:iCs/>
        </w:rPr>
        <w:t>, supra</w:t>
      </w:r>
      <w:r>
        <w:t>, punto resolutivo 6.</w:t>
      </w:r>
    </w:p>
  </w:footnote>
  <w:footnote w:id="8">
    <w:p w14:paraId="7F174688" w14:textId="0FB6E002" w:rsidR="004B61BC" w:rsidRPr="00501FAE" w:rsidRDefault="004B61BC" w:rsidP="000D3AC7">
      <w:pPr>
        <w:pStyle w:val="Textonotapie"/>
        <w:spacing w:before="60" w:after="60"/>
        <w:rPr>
          <w:lang w:val="es-ES"/>
        </w:rPr>
      </w:pPr>
      <w:r>
        <w:rPr>
          <w:rStyle w:val="Refdenotaalpie"/>
        </w:rPr>
        <w:footnoteRef/>
      </w:r>
      <w:r>
        <w:t xml:space="preserve"> </w:t>
      </w:r>
      <w:r>
        <w:tab/>
      </w:r>
      <w:r w:rsidRPr="004B61BC">
        <w:rPr>
          <w:i/>
          <w:iCs/>
        </w:rPr>
        <w:t>Cfr. Caso Loayza Tamayo Vs. Perú. Interpretación de la Sentencia de Reparaciones y Costas</w:t>
      </w:r>
      <w:r w:rsidRPr="004B61BC">
        <w:t xml:space="preserve">, </w:t>
      </w:r>
      <w:r w:rsidRPr="000D3AC7">
        <w:rPr>
          <w:i/>
          <w:iCs/>
        </w:rPr>
        <w:t>supra</w:t>
      </w:r>
      <w:r w:rsidRPr="004B61BC">
        <w:t xml:space="preserve">, párr. 15, y </w:t>
      </w:r>
      <w:r w:rsidRPr="004B61BC">
        <w:rPr>
          <w:i/>
          <w:iCs/>
        </w:rPr>
        <w:t xml:space="preserve">Caso Federación Nacional de Trabajadores Marítimos y Portuarios (FEMAPOR) Vs. Perú. Interpretación de la Sentencia de Excepciones Preliminares, Fondo y Reparaciones. </w:t>
      </w:r>
      <w:r w:rsidRPr="004B61BC">
        <w:t xml:space="preserve">Sentencia de 21 de noviembre de 2022. Serie C No. 480, párr. </w:t>
      </w:r>
      <w:r>
        <w:t>23</w:t>
      </w:r>
      <w:r w:rsidRPr="004B61BC">
        <w:t>.</w:t>
      </w:r>
    </w:p>
  </w:footnote>
  <w:footnote w:id="9">
    <w:p w14:paraId="0ACF26B8" w14:textId="48617F65" w:rsidR="004B61BC" w:rsidRPr="00501FAE" w:rsidRDefault="004B61BC" w:rsidP="000D3AC7">
      <w:pPr>
        <w:pStyle w:val="Textonotapie"/>
        <w:spacing w:before="60" w:after="60"/>
        <w:rPr>
          <w:lang w:val="es-ES"/>
        </w:rPr>
      </w:pPr>
      <w:r>
        <w:rPr>
          <w:rStyle w:val="Refdenotaalpie"/>
        </w:rPr>
        <w:footnoteRef/>
      </w:r>
      <w:r>
        <w:t xml:space="preserve"> </w:t>
      </w:r>
      <w:r>
        <w:tab/>
      </w:r>
      <w:r w:rsidRPr="004B61BC">
        <w:rPr>
          <w:i/>
          <w:iCs/>
        </w:rPr>
        <w:t>Cfr. Caso Loayza Tamayo Vs. Perú, Interpretación de la Sentencia de Reparaciones y Costas, supra</w:t>
      </w:r>
      <w:r w:rsidRPr="004B61BC">
        <w:t xml:space="preserve">, párr. 16, y </w:t>
      </w:r>
      <w:r w:rsidRPr="004B61BC">
        <w:rPr>
          <w:i/>
          <w:iCs/>
        </w:rPr>
        <w:t>Caso Federación Nacional de Trabajadores Marítimos y Portuarios (FEMAPOR) Vs. Perú. Interpretación de la Sentencia de Excepciones Preliminares, Fondo y Reparaciones</w:t>
      </w:r>
      <w:r w:rsidR="00114F78">
        <w:rPr>
          <w:i/>
          <w:iCs/>
        </w:rPr>
        <w:t>, supra</w:t>
      </w:r>
      <w:r w:rsidRPr="004B61BC">
        <w:t xml:space="preserve">, párr. </w:t>
      </w:r>
      <w:r>
        <w:t>23</w:t>
      </w:r>
      <w:r w:rsidRPr="004B61BC">
        <w:t>.</w:t>
      </w:r>
    </w:p>
  </w:footnote>
  <w:footnote w:id="10">
    <w:p w14:paraId="2E7651F2" w14:textId="5BEE14AD" w:rsidR="00157F4C" w:rsidRPr="00D24A0D" w:rsidRDefault="00157F4C" w:rsidP="000D3AC7">
      <w:pPr>
        <w:pStyle w:val="Textonotapie"/>
        <w:spacing w:before="60" w:after="60"/>
        <w:rPr>
          <w:lang w:val="es-CR"/>
        </w:rPr>
      </w:pPr>
      <w:r>
        <w:rPr>
          <w:rStyle w:val="Refdenotaalpie"/>
        </w:rPr>
        <w:footnoteRef/>
      </w:r>
      <w:r>
        <w:t xml:space="preserve"> </w:t>
      </w:r>
      <w:r>
        <w:tab/>
      </w:r>
      <w:r w:rsidR="007763DE" w:rsidRPr="007763DE">
        <w:rPr>
          <w:i/>
          <w:iCs/>
        </w:rPr>
        <w:t>Caso Benites Cabrera y otros Vs. Perú</w:t>
      </w:r>
      <w:r w:rsidR="00FD511E">
        <w:rPr>
          <w:i/>
          <w:iCs/>
        </w:rPr>
        <w:t>, supra</w:t>
      </w:r>
      <w:r>
        <w:t xml:space="preserve">, párr. </w:t>
      </w:r>
      <w:r w:rsidR="007763DE">
        <w:t>115</w:t>
      </w:r>
      <w:r>
        <w:t>.</w:t>
      </w:r>
      <w:r w:rsidR="0057344D">
        <w:t xml:space="preserve"> El párrafo 81, al que hace referencia el apartado citado, señala: “</w:t>
      </w:r>
      <w:r w:rsidR="0057344D" w:rsidRPr="0057344D">
        <w:t xml:space="preserve">81.  </w:t>
      </w:r>
      <w:r w:rsidR="0057344D">
        <w:t>[La]</w:t>
      </w:r>
      <w:r w:rsidR="0057344D" w:rsidRPr="0057344D">
        <w:t xml:space="preserve"> decisión </w:t>
      </w:r>
      <w:r w:rsidR="0057344D">
        <w:t xml:space="preserve">[que declaró improcedente el amparo en primera instancia] </w:t>
      </w:r>
      <w:r w:rsidR="0057344D" w:rsidRPr="0057344D">
        <w:t>fue apelada ante la Quinta Sala de la Corte Superior de Justicia de Lima que, mediante decisión del 18 de junio de 2002, confirmó la sentencia recurrida. Argumentó que los accionantes pretendían cuestionar los resultados del proceso de evaluación y calificación de personal y que el amparo no era la vía idónea para ello. Lo anterior, porque en las acciones de garantía no existía etapa probatoria. Esta decisión, fue recurrida ante el Tribunal Constitucional, órgano que el 6 de diciembre de 2002 resolvió confirmar la sentencia recurrida y declarar improcedente el amparo debido a que no era posible reponer las cosas al estado anterior al cese: [D]ado que al expedirse la Constitución de 1993, la estructura orgánica del Congreso y, por ende, su Cuadro de Asignación de Personal variaron sustancialmente, no es posible, por la vía del amparo reponer las cosas al estado anterior a la agresión, por cuanto esta ha devenido en irreparable […]. Por estos fundamentos. el Tribunal Constitucional, en uso de las atribuciones</w:t>
      </w:r>
      <w:r w:rsidR="00664526">
        <w:t xml:space="preserve"> </w:t>
      </w:r>
      <w:r w:rsidR="0057344D" w:rsidRPr="0057344D">
        <w:t>que le confieren la Constitución Política del Perú y su Ley Orgánica, FALLA CONFIRMANDO la recurrida, que confirmando la apelada, declaró IMPROCEDENTE la acción de amparo</w:t>
      </w:r>
      <w:r w:rsidR="0057344D">
        <w:t>”</w:t>
      </w:r>
      <w:r w:rsidR="0057344D" w:rsidRPr="0057344D">
        <w:t>.</w:t>
      </w:r>
      <w:r w:rsidR="00664526">
        <w:t xml:space="preserve"> </w:t>
      </w:r>
      <w:r w:rsidR="00664526" w:rsidRPr="007763DE">
        <w:rPr>
          <w:i/>
          <w:iCs/>
        </w:rPr>
        <w:t>Caso Benites Cabrera y otros Vs. Perú</w:t>
      </w:r>
      <w:r w:rsidR="00664526">
        <w:rPr>
          <w:i/>
          <w:iCs/>
        </w:rPr>
        <w:t>, supra</w:t>
      </w:r>
      <w:r w:rsidR="00664526">
        <w:t>, párr. 81.</w:t>
      </w:r>
    </w:p>
  </w:footnote>
  <w:footnote w:id="11">
    <w:p w14:paraId="7C9640AB" w14:textId="3ADCAAED" w:rsidR="00FE62E3" w:rsidRPr="00D24A0D" w:rsidRDefault="00FE62E3" w:rsidP="00FE62E3">
      <w:pPr>
        <w:pStyle w:val="Textonotapie"/>
        <w:spacing w:before="60" w:after="60"/>
        <w:rPr>
          <w:lang w:val="es-CR"/>
        </w:rPr>
      </w:pPr>
      <w:r>
        <w:rPr>
          <w:rStyle w:val="Refdenotaalpie"/>
        </w:rPr>
        <w:footnoteRef/>
      </w:r>
      <w:r>
        <w:t xml:space="preserve"> </w:t>
      </w:r>
      <w:r>
        <w:tab/>
      </w:r>
      <w:r w:rsidRPr="007763DE">
        <w:rPr>
          <w:i/>
          <w:iCs/>
        </w:rPr>
        <w:t>Caso Benites Cabrera y otros Vs. Perú</w:t>
      </w:r>
      <w:r>
        <w:rPr>
          <w:i/>
          <w:iCs/>
        </w:rPr>
        <w:t>, supra</w:t>
      </w:r>
      <w:r>
        <w:t>, párrs. 98 y 99.</w:t>
      </w:r>
    </w:p>
  </w:footnote>
  <w:footnote w:id="12">
    <w:p w14:paraId="7E144B9B" w14:textId="1EE33C4E" w:rsidR="005D7775" w:rsidRPr="00D24A0D" w:rsidRDefault="005D7775" w:rsidP="005D7775">
      <w:pPr>
        <w:pStyle w:val="Textonotapie"/>
        <w:spacing w:before="60" w:after="60"/>
        <w:rPr>
          <w:lang w:val="es-CR"/>
        </w:rPr>
      </w:pPr>
      <w:r>
        <w:rPr>
          <w:rStyle w:val="Refdenotaalpie"/>
        </w:rPr>
        <w:footnoteRef/>
      </w:r>
      <w:r>
        <w:t xml:space="preserve"> </w:t>
      </w:r>
      <w:r>
        <w:tab/>
      </w:r>
      <w:r w:rsidRPr="007763DE">
        <w:rPr>
          <w:i/>
          <w:iCs/>
        </w:rPr>
        <w:t>Caso Benites Cabrera y otros Vs. Perú</w:t>
      </w:r>
      <w:r>
        <w:rPr>
          <w:i/>
          <w:iCs/>
        </w:rPr>
        <w:t>, supra</w:t>
      </w:r>
      <w:r>
        <w:t>, párr. 115.</w:t>
      </w:r>
    </w:p>
  </w:footnote>
  <w:footnote w:id="13">
    <w:p w14:paraId="62A2F61B" w14:textId="25A1B5BF" w:rsidR="00275BBC" w:rsidRPr="00501FAE" w:rsidRDefault="00275BBC" w:rsidP="000D3AC7">
      <w:pPr>
        <w:pStyle w:val="Textonotapie"/>
        <w:spacing w:before="60" w:after="60"/>
        <w:rPr>
          <w:lang w:val="es-ES"/>
        </w:rPr>
      </w:pPr>
      <w:r>
        <w:rPr>
          <w:rStyle w:val="Refdenotaalpie"/>
        </w:rPr>
        <w:footnoteRef/>
      </w:r>
      <w:r>
        <w:t xml:space="preserve"> </w:t>
      </w:r>
      <w:r>
        <w:tab/>
      </w:r>
      <w:r>
        <w:rPr>
          <w:i/>
        </w:rPr>
        <w:t>Cfr. Caso Loayza Tamayo Vs. Perú. Interpretación de la Sentencia de Fondo</w:t>
      </w:r>
      <w:r w:rsidR="002261B2">
        <w:rPr>
          <w:i/>
        </w:rPr>
        <w:t>, supra</w:t>
      </w:r>
      <w:r>
        <w:t>, párr. 16, y</w:t>
      </w:r>
      <w:r>
        <w:rPr>
          <w:i/>
          <w:iCs/>
        </w:rPr>
        <w:t xml:space="preserve"> </w:t>
      </w:r>
      <w:r w:rsidR="001F49B9" w:rsidRPr="001715AB">
        <w:rPr>
          <w:i/>
          <w:iCs/>
        </w:rPr>
        <w:t>Caso Sales Pimenta Vs. Brasil. Interpretación de la Sentencia de Excepciones Preliminares, Fondo, Reparaciones y Costas</w:t>
      </w:r>
      <w:r w:rsidR="001F49B9">
        <w:t xml:space="preserve">, </w:t>
      </w:r>
      <w:r w:rsidR="001F49B9">
        <w:rPr>
          <w:i/>
          <w:iCs/>
        </w:rPr>
        <w:t>supra</w:t>
      </w:r>
      <w:r w:rsidR="001F49B9">
        <w:t>, párr. 9</w:t>
      </w:r>
      <w:r w:rsidR="001F49B9" w:rsidRPr="00F17153">
        <w:t>.</w:t>
      </w:r>
    </w:p>
  </w:footnote>
  <w:footnote w:id="14">
    <w:p w14:paraId="265358CF" w14:textId="171540F8" w:rsidR="00157F4C" w:rsidRPr="00D24A0D" w:rsidRDefault="00157F4C" w:rsidP="000D3AC7">
      <w:pPr>
        <w:pStyle w:val="Textonotapie"/>
        <w:spacing w:before="60" w:after="60"/>
        <w:rPr>
          <w:lang w:val="es-CR"/>
        </w:rPr>
      </w:pPr>
      <w:r>
        <w:rPr>
          <w:rStyle w:val="Refdenotaalpie"/>
        </w:rPr>
        <w:footnoteRef/>
      </w:r>
      <w:r>
        <w:t xml:space="preserve"> </w:t>
      </w:r>
      <w:r>
        <w:tab/>
      </w:r>
      <w:r w:rsidR="006E7480" w:rsidRPr="007763DE">
        <w:rPr>
          <w:i/>
          <w:iCs/>
        </w:rPr>
        <w:t>Caso Benites Cabrera y otros Vs. Perú</w:t>
      </w:r>
      <w:r w:rsidR="007C3D24">
        <w:rPr>
          <w:i/>
          <w:iCs/>
        </w:rPr>
        <w:t>, supra</w:t>
      </w:r>
      <w:r>
        <w:t xml:space="preserve">, párr. </w:t>
      </w:r>
      <w:r w:rsidR="006E7480">
        <w:t>144</w:t>
      </w:r>
      <w:r>
        <w:t>.</w:t>
      </w:r>
    </w:p>
  </w:footnote>
  <w:footnote w:id="15">
    <w:p w14:paraId="6682B89E" w14:textId="01F08D63" w:rsidR="00157F4C" w:rsidRPr="00D24A0D" w:rsidRDefault="00157F4C" w:rsidP="000D3AC7">
      <w:pPr>
        <w:pStyle w:val="Textonotapie"/>
        <w:spacing w:before="60" w:after="60"/>
        <w:rPr>
          <w:lang w:val="es-CR"/>
        </w:rPr>
      </w:pPr>
      <w:r>
        <w:rPr>
          <w:rStyle w:val="Refdenotaalpie"/>
        </w:rPr>
        <w:footnoteRef/>
      </w:r>
      <w:r>
        <w:t xml:space="preserve"> </w:t>
      </w:r>
      <w:r>
        <w:tab/>
      </w:r>
      <w:r w:rsidR="006E7480" w:rsidRPr="007763DE">
        <w:rPr>
          <w:i/>
          <w:iCs/>
        </w:rPr>
        <w:t>Caso Benites Cabrera y otros Vs. Perú</w:t>
      </w:r>
      <w:r w:rsidR="007C3D24">
        <w:rPr>
          <w:i/>
          <w:iCs/>
        </w:rPr>
        <w:t>, supra</w:t>
      </w:r>
      <w:r>
        <w:t xml:space="preserve">, párr. </w:t>
      </w:r>
      <w:r w:rsidR="006E7480">
        <w:t>154</w:t>
      </w:r>
      <w:r>
        <w:t>.</w:t>
      </w:r>
    </w:p>
  </w:footnote>
  <w:footnote w:id="16">
    <w:p w14:paraId="6964925A" w14:textId="09778E9B" w:rsidR="00FC4E3D" w:rsidRPr="00501FAE" w:rsidRDefault="00FC4E3D" w:rsidP="000D3AC7">
      <w:pPr>
        <w:pStyle w:val="Textonotapie"/>
        <w:spacing w:before="60" w:after="60"/>
        <w:rPr>
          <w:lang w:val="es-ES"/>
        </w:rPr>
      </w:pPr>
      <w:r>
        <w:rPr>
          <w:rStyle w:val="Refdenotaalpie"/>
        </w:rPr>
        <w:footnoteRef/>
      </w:r>
      <w:r>
        <w:t xml:space="preserve"> </w:t>
      </w:r>
      <w:r>
        <w:tab/>
      </w:r>
      <w:r>
        <w:rPr>
          <w:i/>
        </w:rPr>
        <w:t>Cfr. Caso Loayza Tamayo Vs. Perú. Interpretación de la Sentencia de Fondo</w:t>
      </w:r>
      <w:r w:rsidR="002261B2">
        <w:rPr>
          <w:i/>
        </w:rPr>
        <w:t>, supra</w:t>
      </w:r>
      <w:r>
        <w:t>, párr. 16, y</w:t>
      </w:r>
      <w:r>
        <w:rPr>
          <w:i/>
          <w:iCs/>
        </w:rPr>
        <w:t xml:space="preserve"> </w:t>
      </w:r>
      <w:r w:rsidR="00F84E1A" w:rsidRPr="001715AB">
        <w:rPr>
          <w:i/>
          <w:iCs/>
        </w:rPr>
        <w:t>Caso Sales Pimenta Vs. Brasil. Interpretación de la Sentencia de Excepciones Preliminares, Fondo, Reparaciones y Costas</w:t>
      </w:r>
      <w:r w:rsidR="00F84E1A">
        <w:t xml:space="preserve">, </w:t>
      </w:r>
      <w:r w:rsidR="00F84E1A">
        <w:rPr>
          <w:i/>
          <w:iCs/>
        </w:rPr>
        <w:t>supra</w:t>
      </w:r>
      <w:r w:rsidR="00F84E1A">
        <w:t>, párr. 9</w:t>
      </w:r>
      <w:r w:rsidR="00F84E1A" w:rsidRPr="00F17153">
        <w:t>.</w:t>
      </w:r>
    </w:p>
  </w:footnote>
  <w:footnote w:id="17">
    <w:p w14:paraId="550A15D0" w14:textId="70147E3A" w:rsidR="00076AD4" w:rsidRPr="00501FAE" w:rsidRDefault="00076AD4" w:rsidP="000D3AC7">
      <w:pPr>
        <w:pStyle w:val="Textonotapie"/>
        <w:spacing w:before="60" w:after="60"/>
        <w:rPr>
          <w:lang w:val="es-ES"/>
        </w:rPr>
      </w:pPr>
      <w:r>
        <w:rPr>
          <w:rStyle w:val="Refdenotaalpie"/>
        </w:rPr>
        <w:footnoteRef/>
      </w:r>
      <w:r>
        <w:t xml:space="preserve"> </w:t>
      </w:r>
      <w:r>
        <w:tab/>
      </w:r>
      <w:r w:rsidRPr="004B61BC">
        <w:rPr>
          <w:i/>
          <w:iCs/>
        </w:rPr>
        <w:t>Cfr. Caso Loayza Tamayo Vs. Perú. Interpretación de la Sentencia de Reparaciones y Costas</w:t>
      </w:r>
      <w:r w:rsidRPr="004B61BC">
        <w:t xml:space="preserve">, </w:t>
      </w:r>
      <w:r w:rsidRPr="000D3AC7">
        <w:rPr>
          <w:i/>
          <w:iCs/>
        </w:rPr>
        <w:t>supra</w:t>
      </w:r>
      <w:r w:rsidRPr="004B61BC">
        <w:t xml:space="preserve">, párr. 15, y </w:t>
      </w:r>
      <w:r w:rsidRPr="004B61BC">
        <w:rPr>
          <w:i/>
          <w:iCs/>
        </w:rPr>
        <w:t>Caso Federación Nacional de Trabajadores Marítimos y Portuarios (FEMAPOR) Vs. Perú. Interpretación de la Sentencia de Excepciones Preliminares, Fondo y Reparaciones</w:t>
      </w:r>
      <w:r w:rsidR="00796F75">
        <w:rPr>
          <w:i/>
          <w:iCs/>
        </w:rPr>
        <w:t>, supra</w:t>
      </w:r>
      <w:r w:rsidRPr="004B61BC">
        <w:t xml:space="preserve">, párr. </w:t>
      </w:r>
      <w:r>
        <w:t>22</w:t>
      </w:r>
      <w:r w:rsidRPr="004B61BC">
        <w:t>.</w:t>
      </w:r>
    </w:p>
  </w:footnote>
  <w:footnote w:id="18">
    <w:p w14:paraId="0C5845CF" w14:textId="67CCAFE2" w:rsidR="00157F4C" w:rsidRPr="00D24A0D" w:rsidRDefault="00157F4C" w:rsidP="000D3AC7">
      <w:pPr>
        <w:pStyle w:val="Textonotapie"/>
        <w:spacing w:before="60" w:after="60"/>
        <w:rPr>
          <w:lang w:val="es-CR"/>
        </w:rPr>
      </w:pPr>
      <w:r>
        <w:rPr>
          <w:rStyle w:val="Refdenotaalpie"/>
        </w:rPr>
        <w:footnoteRef/>
      </w:r>
      <w:r>
        <w:t xml:space="preserve"> </w:t>
      </w:r>
      <w:r>
        <w:tab/>
      </w:r>
      <w:r w:rsidR="009E061B" w:rsidRPr="007763DE">
        <w:rPr>
          <w:i/>
          <w:iCs/>
        </w:rPr>
        <w:t>Caso Benites Cabrera y otros Vs. Perú</w:t>
      </w:r>
      <w:r w:rsidR="00F71A26">
        <w:rPr>
          <w:i/>
          <w:iCs/>
        </w:rPr>
        <w:t>, supra</w:t>
      </w:r>
      <w:r>
        <w:t xml:space="preserve">, párr. </w:t>
      </w:r>
      <w:r w:rsidR="009E061B">
        <w:t>158</w:t>
      </w:r>
      <w:r>
        <w:t>.</w:t>
      </w:r>
    </w:p>
  </w:footnote>
  <w:footnote w:id="19">
    <w:p w14:paraId="516B431D" w14:textId="6B53534C" w:rsidR="0004261E" w:rsidRPr="00501FAE" w:rsidRDefault="0004261E" w:rsidP="000D3AC7">
      <w:pPr>
        <w:pStyle w:val="Textonotapie"/>
        <w:spacing w:before="60" w:after="60"/>
        <w:rPr>
          <w:lang w:val="es-ES"/>
        </w:rPr>
      </w:pPr>
      <w:r>
        <w:rPr>
          <w:rStyle w:val="Refdenotaalpie"/>
        </w:rPr>
        <w:footnoteRef/>
      </w:r>
      <w:r>
        <w:t xml:space="preserve"> </w:t>
      </w:r>
      <w:r>
        <w:tab/>
      </w:r>
      <w:r>
        <w:rPr>
          <w:i/>
        </w:rPr>
        <w:t>Cfr. Caso Loayza Tamayo Vs. Perú. Interpretación de la Sentencia de Fondo</w:t>
      </w:r>
      <w:r w:rsidR="002261B2">
        <w:rPr>
          <w:i/>
        </w:rPr>
        <w:t>, supra</w:t>
      </w:r>
      <w:r>
        <w:t>, párr. 16, y</w:t>
      </w:r>
      <w:r>
        <w:rPr>
          <w:i/>
          <w:iCs/>
        </w:rPr>
        <w:t xml:space="preserve"> </w:t>
      </w:r>
      <w:r w:rsidRPr="0004261E">
        <w:rPr>
          <w:i/>
          <w:iCs/>
        </w:rPr>
        <w:t>Caso Casa Nina Vs. Perú. Interpretación de la Sentencia de Excepciones preliminares, Fondo, Reparaciones y Costas. Sentencia de 1 de septiembre de 2021. Serie C No. 433</w:t>
      </w:r>
      <w:r>
        <w:t>, párr. 38</w:t>
      </w:r>
      <w:r w:rsidRPr="002D0C1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D696" w14:textId="7E9925CD" w:rsidR="001933A9" w:rsidRDefault="001933A9" w:rsidP="001933A9">
    <w:pPr>
      <w:pStyle w:val="Encabezado"/>
      <w:ind w:right="-579"/>
      <w:jc w:val="right"/>
      <w:rPr>
        <w:rFonts w:asciiTheme="minorHAnsi" w:hAnsiTheme="minorHAnsi" w:cstheme="minorHAnsi"/>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78BD"/>
    <w:multiLevelType w:val="hybridMultilevel"/>
    <w:tmpl w:val="7054DB4C"/>
    <w:lvl w:ilvl="0" w:tplc="9DE85AC6">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tplc="E9B20A58">
      <w:numFmt w:val="bullet"/>
      <w:lvlText w:val="•"/>
      <w:lvlJc w:val="left"/>
      <w:pPr>
        <w:ind w:left="996" w:hanging="567"/>
      </w:pPr>
      <w:rPr>
        <w:rFonts w:hint="default"/>
        <w:lang w:val="es-CR" w:eastAsia="en-US" w:bidi="ar-SA"/>
      </w:rPr>
    </w:lvl>
    <w:lvl w:ilvl="2" w:tplc="4282E5D8">
      <w:numFmt w:val="bullet"/>
      <w:lvlText w:val="•"/>
      <w:lvlJc w:val="left"/>
      <w:pPr>
        <w:ind w:left="1892" w:hanging="567"/>
      </w:pPr>
      <w:rPr>
        <w:rFonts w:hint="default"/>
        <w:lang w:val="es-CR" w:eastAsia="en-US" w:bidi="ar-SA"/>
      </w:rPr>
    </w:lvl>
    <w:lvl w:ilvl="3" w:tplc="1A129E4E">
      <w:numFmt w:val="bullet"/>
      <w:lvlText w:val="•"/>
      <w:lvlJc w:val="left"/>
      <w:pPr>
        <w:ind w:left="2788" w:hanging="567"/>
      </w:pPr>
      <w:rPr>
        <w:rFonts w:hint="default"/>
        <w:lang w:val="es-CR" w:eastAsia="en-US" w:bidi="ar-SA"/>
      </w:rPr>
    </w:lvl>
    <w:lvl w:ilvl="4" w:tplc="841A5D6C">
      <w:numFmt w:val="bullet"/>
      <w:lvlText w:val="•"/>
      <w:lvlJc w:val="left"/>
      <w:pPr>
        <w:ind w:left="3684" w:hanging="567"/>
      </w:pPr>
      <w:rPr>
        <w:rFonts w:hint="default"/>
        <w:lang w:val="es-CR" w:eastAsia="en-US" w:bidi="ar-SA"/>
      </w:rPr>
    </w:lvl>
    <w:lvl w:ilvl="5" w:tplc="8FB6B82C">
      <w:numFmt w:val="bullet"/>
      <w:lvlText w:val="•"/>
      <w:lvlJc w:val="left"/>
      <w:pPr>
        <w:ind w:left="4580" w:hanging="567"/>
      </w:pPr>
      <w:rPr>
        <w:rFonts w:hint="default"/>
        <w:lang w:val="es-CR" w:eastAsia="en-US" w:bidi="ar-SA"/>
      </w:rPr>
    </w:lvl>
    <w:lvl w:ilvl="6" w:tplc="F5F2EBF0">
      <w:numFmt w:val="bullet"/>
      <w:lvlText w:val="•"/>
      <w:lvlJc w:val="left"/>
      <w:pPr>
        <w:ind w:left="5476" w:hanging="567"/>
      </w:pPr>
      <w:rPr>
        <w:rFonts w:hint="default"/>
        <w:lang w:val="es-CR" w:eastAsia="en-US" w:bidi="ar-SA"/>
      </w:rPr>
    </w:lvl>
    <w:lvl w:ilvl="7" w:tplc="05000FA6">
      <w:numFmt w:val="bullet"/>
      <w:lvlText w:val="•"/>
      <w:lvlJc w:val="left"/>
      <w:pPr>
        <w:ind w:left="6372" w:hanging="567"/>
      </w:pPr>
      <w:rPr>
        <w:rFonts w:hint="default"/>
        <w:lang w:val="es-CR" w:eastAsia="en-US" w:bidi="ar-SA"/>
      </w:rPr>
    </w:lvl>
    <w:lvl w:ilvl="8" w:tplc="A1BC585A">
      <w:numFmt w:val="bullet"/>
      <w:lvlText w:val="•"/>
      <w:lvlJc w:val="left"/>
      <w:pPr>
        <w:ind w:left="7268" w:hanging="567"/>
      </w:pPr>
      <w:rPr>
        <w:rFonts w:hint="default"/>
        <w:lang w:val="es-CR" w:eastAsia="en-US" w:bidi="ar-SA"/>
      </w:rPr>
    </w:lvl>
  </w:abstractNum>
  <w:abstractNum w:abstractNumId="1" w15:restartNumberingAfterBreak="0">
    <w:nsid w:val="3396300C"/>
    <w:multiLevelType w:val="multilevel"/>
    <w:tmpl w:val="14183ADE"/>
    <w:lvl w:ilvl="0">
      <w:start w:val="2"/>
      <w:numFmt w:val="upperLetter"/>
      <w:lvlText w:val="%1."/>
      <w:lvlJc w:val="left"/>
      <w:pPr>
        <w:ind w:left="668" w:hanging="315"/>
      </w:pPr>
      <w:rPr>
        <w:rFonts w:ascii="Verdana" w:eastAsia="Verdana" w:hAnsi="Verdana" w:cs="Verdana" w:hint="default"/>
        <w:b/>
        <w:bCs/>
        <w:i/>
        <w:iCs/>
        <w:w w:val="99"/>
        <w:sz w:val="20"/>
        <w:szCs w:val="20"/>
        <w:lang w:val="es-CR" w:eastAsia="en-US" w:bidi="ar-SA"/>
      </w:rPr>
    </w:lvl>
    <w:lvl w:ilvl="1">
      <w:start w:val="1"/>
      <w:numFmt w:val="decimal"/>
      <w:lvlText w:val="%1.%2."/>
      <w:lvlJc w:val="left"/>
      <w:pPr>
        <w:ind w:left="1460" w:hanging="507"/>
      </w:pPr>
      <w:rPr>
        <w:rFonts w:ascii="Verdana" w:eastAsia="Verdana" w:hAnsi="Verdana" w:cs="Verdana" w:hint="default"/>
        <w:b/>
        <w:bCs/>
        <w:i/>
        <w:iCs/>
        <w:w w:val="99"/>
        <w:sz w:val="20"/>
        <w:szCs w:val="20"/>
        <w:lang w:val="es-CR" w:eastAsia="en-US" w:bidi="ar-SA"/>
      </w:rPr>
    </w:lvl>
    <w:lvl w:ilvl="2">
      <w:numFmt w:val="bullet"/>
      <w:lvlText w:val="•"/>
      <w:lvlJc w:val="left"/>
      <w:pPr>
        <w:ind w:left="1460" w:hanging="507"/>
      </w:pPr>
      <w:rPr>
        <w:rFonts w:hint="default"/>
        <w:lang w:val="es-CR" w:eastAsia="en-US" w:bidi="ar-SA"/>
      </w:rPr>
    </w:lvl>
    <w:lvl w:ilvl="3">
      <w:numFmt w:val="bullet"/>
      <w:lvlText w:val="•"/>
      <w:lvlJc w:val="left"/>
      <w:pPr>
        <w:ind w:left="1480" w:hanging="507"/>
      </w:pPr>
      <w:rPr>
        <w:rFonts w:hint="default"/>
        <w:lang w:val="es-CR" w:eastAsia="en-US" w:bidi="ar-SA"/>
      </w:rPr>
    </w:lvl>
    <w:lvl w:ilvl="4">
      <w:numFmt w:val="bullet"/>
      <w:lvlText w:val="•"/>
      <w:lvlJc w:val="left"/>
      <w:pPr>
        <w:ind w:left="2562" w:hanging="507"/>
      </w:pPr>
      <w:rPr>
        <w:rFonts w:hint="default"/>
        <w:lang w:val="es-CR" w:eastAsia="en-US" w:bidi="ar-SA"/>
      </w:rPr>
    </w:lvl>
    <w:lvl w:ilvl="5">
      <w:numFmt w:val="bullet"/>
      <w:lvlText w:val="•"/>
      <w:lvlJc w:val="left"/>
      <w:pPr>
        <w:ind w:left="3645" w:hanging="507"/>
      </w:pPr>
      <w:rPr>
        <w:rFonts w:hint="default"/>
        <w:lang w:val="es-CR" w:eastAsia="en-US" w:bidi="ar-SA"/>
      </w:rPr>
    </w:lvl>
    <w:lvl w:ilvl="6">
      <w:numFmt w:val="bullet"/>
      <w:lvlText w:val="•"/>
      <w:lvlJc w:val="left"/>
      <w:pPr>
        <w:ind w:left="4728" w:hanging="507"/>
      </w:pPr>
      <w:rPr>
        <w:rFonts w:hint="default"/>
        <w:lang w:val="es-CR" w:eastAsia="en-US" w:bidi="ar-SA"/>
      </w:rPr>
    </w:lvl>
    <w:lvl w:ilvl="7">
      <w:numFmt w:val="bullet"/>
      <w:lvlText w:val="•"/>
      <w:lvlJc w:val="left"/>
      <w:pPr>
        <w:ind w:left="5811" w:hanging="507"/>
      </w:pPr>
      <w:rPr>
        <w:rFonts w:hint="default"/>
        <w:lang w:val="es-CR" w:eastAsia="en-US" w:bidi="ar-SA"/>
      </w:rPr>
    </w:lvl>
    <w:lvl w:ilvl="8">
      <w:numFmt w:val="bullet"/>
      <w:lvlText w:val="•"/>
      <w:lvlJc w:val="left"/>
      <w:pPr>
        <w:ind w:left="6894" w:hanging="507"/>
      </w:pPr>
      <w:rPr>
        <w:rFonts w:hint="default"/>
        <w:lang w:val="es-CR" w:eastAsia="en-US" w:bidi="ar-SA"/>
      </w:rPr>
    </w:lvl>
  </w:abstractNum>
  <w:abstractNum w:abstractNumId="2" w15:restartNumberingAfterBreak="0">
    <w:nsid w:val="405C54B2"/>
    <w:multiLevelType w:val="multilevel"/>
    <w:tmpl w:val="6CB02AA6"/>
    <w:lvl w:ilvl="0">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start w:val="1"/>
      <w:numFmt w:val="upperLetter"/>
      <w:lvlText w:val="%2."/>
      <w:lvlJc w:val="left"/>
      <w:pPr>
        <w:ind w:left="668" w:hanging="288"/>
      </w:pPr>
      <w:rPr>
        <w:rFonts w:ascii="Verdana" w:eastAsia="Verdana" w:hAnsi="Verdana" w:cs="Verdana" w:hint="default"/>
        <w:b/>
        <w:bCs/>
        <w:i/>
        <w:iCs/>
        <w:spacing w:val="-2"/>
        <w:w w:val="99"/>
        <w:sz w:val="20"/>
        <w:szCs w:val="20"/>
        <w:lang w:val="es-CR" w:eastAsia="en-US" w:bidi="ar-SA"/>
      </w:rPr>
    </w:lvl>
    <w:lvl w:ilvl="2">
      <w:start w:val="1"/>
      <w:numFmt w:val="decimal"/>
      <w:lvlText w:val="%2.%3."/>
      <w:lvlJc w:val="left"/>
      <w:pPr>
        <w:ind w:left="1462" w:hanging="509"/>
      </w:pPr>
      <w:rPr>
        <w:rFonts w:ascii="Verdana" w:eastAsia="Verdana" w:hAnsi="Verdana" w:cs="Verdana" w:hint="default"/>
        <w:b/>
        <w:bCs/>
        <w:i/>
        <w:iCs/>
        <w:spacing w:val="-2"/>
        <w:w w:val="99"/>
        <w:sz w:val="20"/>
        <w:szCs w:val="20"/>
        <w:lang w:val="es-CR" w:eastAsia="en-US" w:bidi="ar-SA"/>
      </w:rPr>
    </w:lvl>
    <w:lvl w:ilvl="3">
      <w:numFmt w:val="bullet"/>
      <w:lvlText w:val="•"/>
      <w:lvlJc w:val="left"/>
      <w:pPr>
        <w:ind w:left="2410" w:hanging="509"/>
      </w:pPr>
      <w:rPr>
        <w:rFonts w:hint="default"/>
        <w:lang w:val="es-CR" w:eastAsia="en-US" w:bidi="ar-SA"/>
      </w:rPr>
    </w:lvl>
    <w:lvl w:ilvl="4">
      <w:numFmt w:val="bullet"/>
      <w:lvlText w:val="•"/>
      <w:lvlJc w:val="left"/>
      <w:pPr>
        <w:ind w:left="3360" w:hanging="509"/>
      </w:pPr>
      <w:rPr>
        <w:rFonts w:hint="default"/>
        <w:lang w:val="es-CR" w:eastAsia="en-US" w:bidi="ar-SA"/>
      </w:rPr>
    </w:lvl>
    <w:lvl w:ilvl="5">
      <w:numFmt w:val="bullet"/>
      <w:lvlText w:val="•"/>
      <w:lvlJc w:val="left"/>
      <w:pPr>
        <w:ind w:left="4310" w:hanging="509"/>
      </w:pPr>
      <w:rPr>
        <w:rFonts w:hint="default"/>
        <w:lang w:val="es-CR" w:eastAsia="en-US" w:bidi="ar-SA"/>
      </w:rPr>
    </w:lvl>
    <w:lvl w:ilvl="6">
      <w:numFmt w:val="bullet"/>
      <w:lvlText w:val="•"/>
      <w:lvlJc w:val="left"/>
      <w:pPr>
        <w:ind w:left="5260" w:hanging="509"/>
      </w:pPr>
      <w:rPr>
        <w:rFonts w:hint="default"/>
        <w:lang w:val="es-CR" w:eastAsia="en-US" w:bidi="ar-SA"/>
      </w:rPr>
    </w:lvl>
    <w:lvl w:ilvl="7">
      <w:numFmt w:val="bullet"/>
      <w:lvlText w:val="•"/>
      <w:lvlJc w:val="left"/>
      <w:pPr>
        <w:ind w:left="6210" w:hanging="509"/>
      </w:pPr>
      <w:rPr>
        <w:rFonts w:hint="default"/>
        <w:lang w:val="es-CR" w:eastAsia="en-US" w:bidi="ar-SA"/>
      </w:rPr>
    </w:lvl>
    <w:lvl w:ilvl="8">
      <w:numFmt w:val="bullet"/>
      <w:lvlText w:val="•"/>
      <w:lvlJc w:val="left"/>
      <w:pPr>
        <w:ind w:left="7160" w:hanging="509"/>
      </w:pPr>
      <w:rPr>
        <w:rFonts w:hint="default"/>
        <w:lang w:val="es-CR" w:eastAsia="en-US" w:bidi="ar-SA"/>
      </w:rPr>
    </w:lvl>
  </w:abstractNum>
  <w:abstractNum w:abstractNumId="3" w15:restartNumberingAfterBreak="0">
    <w:nsid w:val="44227CE8"/>
    <w:multiLevelType w:val="hybridMultilevel"/>
    <w:tmpl w:val="465A6D3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4BFF47E3"/>
    <w:multiLevelType w:val="hybridMultilevel"/>
    <w:tmpl w:val="0810A412"/>
    <w:lvl w:ilvl="0" w:tplc="E910D270">
      <w:start w:val="1"/>
      <w:numFmt w:val="decimal"/>
      <w:pStyle w:val="Prrafodelista"/>
      <w:lvlText w:val="%1."/>
      <w:lvlJc w:val="left"/>
      <w:pPr>
        <w:ind w:left="930" w:hanging="570"/>
      </w:pPr>
      <w:rPr>
        <w:rFonts w:hint="default"/>
        <w:b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62935C2C"/>
    <w:multiLevelType w:val="hybridMultilevel"/>
    <w:tmpl w:val="A3627CBA"/>
    <w:lvl w:ilvl="0" w:tplc="140A000F">
      <w:start w:val="1"/>
      <w:numFmt w:val="decimal"/>
      <w:lvlText w:val="%1."/>
      <w:lvlJc w:val="left"/>
      <w:pPr>
        <w:ind w:left="1004" w:hanging="360"/>
      </w:pPr>
    </w:lvl>
    <w:lvl w:ilvl="1" w:tplc="140A0019" w:tentative="1">
      <w:start w:val="1"/>
      <w:numFmt w:val="lowerLetter"/>
      <w:lvlText w:val="%2."/>
      <w:lvlJc w:val="left"/>
      <w:pPr>
        <w:ind w:left="1724" w:hanging="360"/>
      </w:pPr>
    </w:lvl>
    <w:lvl w:ilvl="2" w:tplc="140A001B" w:tentative="1">
      <w:start w:val="1"/>
      <w:numFmt w:val="lowerRoman"/>
      <w:lvlText w:val="%3."/>
      <w:lvlJc w:val="right"/>
      <w:pPr>
        <w:ind w:left="2444" w:hanging="180"/>
      </w:pPr>
    </w:lvl>
    <w:lvl w:ilvl="3" w:tplc="140A000F" w:tentative="1">
      <w:start w:val="1"/>
      <w:numFmt w:val="decimal"/>
      <w:lvlText w:val="%4."/>
      <w:lvlJc w:val="left"/>
      <w:pPr>
        <w:ind w:left="3164" w:hanging="360"/>
      </w:pPr>
    </w:lvl>
    <w:lvl w:ilvl="4" w:tplc="140A0019" w:tentative="1">
      <w:start w:val="1"/>
      <w:numFmt w:val="lowerLetter"/>
      <w:lvlText w:val="%5."/>
      <w:lvlJc w:val="left"/>
      <w:pPr>
        <w:ind w:left="3884" w:hanging="360"/>
      </w:pPr>
    </w:lvl>
    <w:lvl w:ilvl="5" w:tplc="140A001B" w:tentative="1">
      <w:start w:val="1"/>
      <w:numFmt w:val="lowerRoman"/>
      <w:lvlText w:val="%6."/>
      <w:lvlJc w:val="right"/>
      <w:pPr>
        <w:ind w:left="4604" w:hanging="180"/>
      </w:pPr>
    </w:lvl>
    <w:lvl w:ilvl="6" w:tplc="140A000F" w:tentative="1">
      <w:start w:val="1"/>
      <w:numFmt w:val="decimal"/>
      <w:lvlText w:val="%7."/>
      <w:lvlJc w:val="left"/>
      <w:pPr>
        <w:ind w:left="5324" w:hanging="360"/>
      </w:pPr>
    </w:lvl>
    <w:lvl w:ilvl="7" w:tplc="140A0019" w:tentative="1">
      <w:start w:val="1"/>
      <w:numFmt w:val="lowerLetter"/>
      <w:lvlText w:val="%8."/>
      <w:lvlJc w:val="left"/>
      <w:pPr>
        <w:ind w:left="6044" w:hanging="360"/>
      </w:pPr>
    </w:lvl>
    <w:lvl w:ilvl="8" w:tplc="140A001B" w:tentative="1">
      <w:start w:val="1"/>
      <w:numFmt w:val="lowerRoman"/>
      <w:lvlText w:val="%9."/>
      <w:lvlJc w:val="right"/>
      <w:pPr>
        <w:ind w:left="6764" w:hanging="180"/>
      </w:pPr>
    </w:lvl>
  </w:abstractNum>
  <w:abstractNum w:abstractNumId="6" w15:restartNumberingAfterBreak="0">
    <w:nsid w:val="6CB115C5"/>
    <w:multiLevelType w:val="hybridMultilevel"/>
    <w:tmpl w:val="BA0AA424"/>
    <w:lvl w:ilvl="0" w:tplc="89782758">
      <w:start w:val="136"/>
      <w:numFmt w:val="decimal"/>
      <w:lvlText w:val="%1."/>
      <w:lvlJc w:val="left"/>
      <w:pPr>
        <w:ind w:left="668" w:hanging="434"/>
      </w:pPr>
      <w:rPr>
        <w:rFonts w:ascii="Verdana" w:eastAsia="Verdana" w:hAnsi="Verdana" w:cs="Verdana" w:hint="default"/>
        <w:b w:val="0"/>
        <w:bCs w:val="0"/>
        <w:i w:val="0"/>
        <w:iCs w:val="0"/>
        <w:spacing w:val="-2"/>
        <w:w w:val="100"/>
        <w:sz w:val="16"/>
        <w:szCs w:val="16"/>
        <w:lang w:val="es-CR" w:eastAsia="en-US" w:bidi="ar-SA"/>
      </w:rPr>
    </w:lvl>
    <w:lvl w:ilvl="1" w:tplc="B2DE6DFC">
      <w:numFmt w:val="bullet"/>
      <w:lvlText w:val="•"/>
      <w:lvlJc w:val="left"/>
      <w:pPr>
        <w:ind w:left="1500" w:hanging="434"/>
      </w:pPr>
      <w:rPr>
        <w:rFonts w:hint="default"/>
        <w:lang w:val="es-CR" w:eastAsia="en-US" w:bidi="ar-SA"/>
      </w:rPr>
    </w:lvl>
    <w:lvl w:ilvl="2" w:tplc="F71C962C">
      <w:numFmt w:val="bullet"/>
      <w:lvlText w:val="•"/>
      <w:lvlJc w:val="left"/>
      <w:pPr>
        <w:ind w:left="2340" w:hanging="434"/>
      </w:pPr>
      <w:rPr>
        <w:rFonts w:hint="default"/>
        <w:lang w:val="es-CR" w:eastAsia="en-US" w:bidi="ar-SA"/>
      </w:rPr>
    </w:lvl>
    <w:lvl w:ilvl="3" w:tplc="A87ABBD6">
      <w:numFmt w:val="bullet"/>
      <w:lvlText w:val="•"/>
      <w:lvlJc w:val="left"/>
      <w:pPr>
        <w:ind w:left="3180" w:hanging="434"/>
      </w:pPr>
      <w:rPr>
        <w:rFonts w:hint="default"/>
        <w:lang w:val="es-CR" w:eastAsia="en-US" w:bidi="ar-SA"/>
      </w:rPr>
    </w:lvl>
    <w:lvl w:ilvl="4" w:tplc="99DAB9DA">
      <w:numFmt w:val="bullet"/>
      <w:lvlText w:val="•"/>
      <w:lvlJc w:val="left"/>
      <w:pPr>
        <w:ind w:left="4020" w:hanging="434"/>
      </w:pPr>
      <w:rPr>
        <w:rFonts w:hint="default"/>
        <w:lang w:val="es-CR" w:eastAsia="en-US" w:bidi="ar-SA"/>
      </w:rPr>
    </w:lvl>
    <w:lvl w:ilvl="5" w:tplc="5404739E">
      <w:numFmt w:val="bullet"/>
      <w:lvlText w:val="•"/>
      <w:lvlJc w:val="left"/>
      <w:pPr>
        <w:ind w:left="4860" w:hanging="434"/>
      </w:pPr>
      <w:rPr>
        <w:rFonts w:hint="default"/>
        <w:lang w:val="es-CR" w:eastAsia="en-US" w:bidi="ar-SA"/>
      </w:rPr>
    </w:lvl>
    <w:lvl w:ilvl="6" w:tplc="D30CE9F8">
      <w:numFmt w:val="bullet"/>
      <w:lvlText w:val="•"/>
      <w:lvlJc w:val="left"/>
      <w:pPr>
        <w:ind w:left="5700" w:hanging="434"/>
      </w:pPr>
      <w:rPr>
        <w:rFonts w:hint="default"/>
        <w:lang w:val="es-CR" w:eastAsia="en-US" w:bidi="ar-SA"/>
      </w:rPr>
    </w:lvl>
    <w:lvl w:ilvl="7" w:tplc="519AEEB6">
      <w:numFmt w:val="bullet"/>
      <w:lvlText w:val="•"/>
      <w:lvlJc w:val="left"/>
      <w:pPr>
        <w:ind w:left="6540" w:hanging="434"/>
      </w:pPr>
      <w:rPr>
        <w:rFonts w:hint="default"/>
        <w:lang w:val="es-CR" w:eastAsia="en-US" w:bidi="ar-SA"/>
      </w:rPr>
    </w:lvl>
    <w:lvl w:ilvl="8" w:tplc="6F02295E">
      <w:numFmt w:val="bullet"/>
      <w:lvlText w:val="•"/>
      <w:lvlJc w:val="left"/>
      <w:pPr>
        <w:ind w:left="7380" w:hanging="434"/>
      </w:pPr>
      <w:rPr>
        <w:rFonts w:hint="default"/>
        <w:lang w:val="es-CR" w:eastAsia="en-US" w:bidi="ar-SA"/>
      </w:rPr>
    </w:lvl>
  </w:abstractNum>
  <w:abstractNum w:abstractNumId="7" w15:restartNumberingAfterBreak="0">
    <w:nsid w:val="73A972C7"/>
    <w:multiLevelType w:val="hybridMultilevel"/>
    <w:tmpl w:val="5D5E682A"/>
    <w:lvl w:ilvl="0" w:tplc="3D32FE24">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8" w15:restartNumberingAfterBreak="0">
    <w:nsid w:val="74A816AC"/>
    <w:multiLevelType w:val="hybridMultilevel"/>
    <w:tmpl w:val="EE745B62"/>
    <w:lvl w:ilvl="0" w:tplc="EF2E3FCC">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74E714D6"/>
    <w:multiLevelType w:val="hybridMultilevel"/>
    <w:tmpl w:val="1400A708"/>
    <w:lvl w:ilvl="0" w:tplc="8B187C9A">
      <w:start w:val="1"/>
      <w:numFmt w:val="upperLetter"/>
      <w:pStyle w:val="Ttulo2"/>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num w:numId="1" w16cid:durableId="1741439228">
    <w:abstractNumId w:val="0"/>
  </w:num>
  <w:num w:numId="2" w16cid:durableId="680200309">
    <w:abstractNumId w:val="6"/>
  </w:num>
  <w:num w:numId="3" w16cid:durableId="116725266">
    <w:abstractNumId w:val="2"/>
  </w:num>
  <w:num w:numId="4" w16cid:durableId="568807206">
    <w:abstractNumId w:val="1"/>
  </w:num>
  <w:num w:numId="5" w16cid:durableId="763259461">
    <w:abstractNumId w:val="4"/>
  </w:num>
  <w:num w:numId="6" w16cid:durableId="819033602">
    <w:abstractNumId w:val="8"/>
  </w:num>
  <w:num w:numId="7" w16cid:durableId="252974515">
    <w:abstractNumId w:val="7"/>
  </w:num>
  <w:num w:numId="8" w16cid:durableId="1640305960">
    <w:abstractNumId w:val="5"/>
  </w:num>
  <w:num w:numId="9" w16cid:durableId="991367878">
    <w:abstractNumId w:val="9"/>
  </w:num>
  <w:num w:numId="10" w16cid:durableId="191722425">
    <w:abstractNumId w:val="3"/>
  </w:num>
  <w:num w:numId="11" w16cid:durableId="122067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D5D"/>
    <w:rsid w:val="0000174D"/>
    <w:rsid w:val="00003B9D"/>
    <w:rsid w:val="00014089"/>
    <w:rsid w:val="00034F56"/>
    <w:rsid w:val="00036333"/>
    <w:rsid w:val="00040CA8"/>
    <w:rsid w:val="0004261E"/>
    <w:rsid w:val="00043E83"/>
    <w:rsid w:val="00067FAE"/>
    <w:rsid w:val="00076AD4"/>
    <w:rsid w:val="00077DB1"/>
    <w:rsid w:val="0008662D"/>
    <w:rsid w:val="00093F6B"/>
    <w:rsid w:val="00094856"/>
    <w:rsid w:val="000A363C"/>
    <w:rsid w:val="000C1BC1"/>
    <w:rsid w:val="000C3772"/>
    <w:rsid w:val="000C437A"/>
    <w:rsid w:val="000D280C"/>
    <w:rsid w:val="000D3AC7"/>
    <w:rsid w:val="000E7638"/>
    <w:rsid w:val="0010633A"/>
    <w:rsid w:val="001108CE"/>
    <w:rsid w:val="00113A6D"/>
    <w:rsid w:val="001148B2"/>
    <w:rsid w:val="00114F78"/>
    <w:rsid w:val="001217BF"/>
    <w:rsid w:val="00123CFC"/>
    <w:rsid w:val="0012570A"/>
    <w:rsid w:val="00125829"/>
    <w:rsid w:val="00127DEB"/>
    <w:rsid w:val="0013209E"/>
    <w:rsid w:val="001408D4"/>
    <w:rsid w:val="0014199D"/>
    <w:rsid w:val="001438B7"/>
    <w:rsid w:val="00150BE7"/>
    <w:rsid w:val="00157C93"/>
    <w:rsid w:val="00157F4C"/>
    <w:rsid w:val="001715AB"/>
    <w:rsid w:val="00185EAD"/>
    <w:rsid w:val="00186143"/>
    <w:rsid w:val="001915B9"/>
    <w:rsid w:val="00193375"/>
    <w:rsid w:val="001933A9"/>
    <w:rsid w:val="001B43DF"/>
    <w:rsid w:val="001C33C5"/>
    <w:rsid w:val="001C5DB0"/>
    <w:rsid w:val="001D564F"/>
    <w:rsid w:val="001D6889"/>
    <w:rsid w:val="001E745C"/>
    <w:rsid w:val="001F49B9"/>
    <w:rsid w:val="001F6AC9"/>
    <w:rsid w:val="002058A3"/>
    <w:rsid w:val="002116BB"/>
    <w:rsid w:val="00212275"/>
    <w:rsid w:val="00224241"/>
    <w:rsid w:val="002261B2"/>
    <w:rsid w:val="00235CFB"/>
    <w:rsid w:val="002366DB"/>
    <w:rsid w:val="002418F2"/>
    <w:rsid w:val="00246FF6"/>
    <w:rsid w:val="00256843"/>
    <w:rsid w:val="00265BA8"/>
    <w:rsid w:val="00275516"/>
    <w:rsid w:val="00275BBC"/>
    <w:rsid w:val="00275DE7"/>
    <w:rsid w:val="00276328"/>
    <w:rsid w:val="00277200"/>
    <w:rsid w:val="00286A92"/>
    <w:rsid w:val="002A0A86"/>
    <w:rsid w:val="002A1DBC"/>
    <w:rsid w:val="002B0440"/>
    <w:rsid w:val="002B49E4"/>
    <w:rsid w:val="002D0C1F"/>
    <w:rsid w:val="002D16CD"/>
    <w:rsid w:val="002D3CC1"/>
    <w:rsid w:val="002E1EA8"/>
    <w:rsid w:val="002E5733"/>
    <w:rsid w:val="002E5FE7"/>
    <w:rsid w:val="002F23FF"/>
    <w:rsid w:val="003000BB"/>
    <w:rsid w:val="00300A66"/>
    <w:rsid w:val="00311861"/>
    <w:rsid w:val="00313ED0"/>
    <w:rsid w:val="00316C95"/>
    <w:rsid w:val="00317D44"/>
    <w:rsid w:val="00320D7B"/>
    <w:rsid w:val="0033095A"/>
    <w:rsid w:val="00343001"/>
    <w:rsid w:val="0034482B"/>
    <w:rsid w:val="00353400"/>
    <w:rsid w:val="00362322"/>
    <w:rsid w:val="003652B1"/>
    <w:rsid w:val="003700AD"/>
    <w:rsid w:val="00371753"/>
    <w:rsid w:val="00373885"/>
    <w:rsid w:val="00376270"/>
    <w:rsid w:val="00376DA4"/>
    <w:rsid w:val="00384E1F"/>
    <w:rsid w:val="003A30B8"/>
    <w:rsid w:val="003A413C"/>
    <w:rsid w:val="003B06C2"/>
    <w:rsid w:val="003B1363"/>
    <w:rsid w:val="003B35C4"/>
    <w:rsid w:val="003C1CB4"/>
    <w:rsid w:val="003D5A31"/>
    <w:rsid w:val="003F3D4F"/>
    <w:rsid w:val="003F77FC"/>
    <w:rsid w:val="003F7BAE"/>
    <w:rsid w:val="00404B81"/>
    <w:rsid w:val="00410327"/>
    <w:rsid w:val="00434D1E"/>
    <w:rsid w:val="00437374"/>
    <w:rsid w:val="00444C94"/>
    <w:rsid w:val="00446D94"/>
    <w:rsid w:val="00456EBF"/>
    <w:rsid w:val="004669D1"/>
    <w:rsid w:val="00471323"/>
    <w:rsid w:val="004741E6"/>
    <w:rsid w:val="00476033"/>
    <w:rsid w:val="00481E55"/>
    <w:rsid w:val="00483EE8"/>
    <w:rsid w:val="004854E0"/>
    <w:rsid w:val="004956B7"/>
    <w:rsid w:val="004A5111"/>
    <w:rsid w:val="004B61BC"/>
    <w:rsid w:val="004C1CC4"/>
    <w:rsid w:val="004D5034"/>
    <w:rsid w:val="004E23C8"/>
    <w:rsid w:val="004E5BF3"/>
    <w:rsid w:val="00501FAE"/>
    <w:rsid w:val="00503B4E"/>
    <w:rsid w:val="00504959"/>
    <w:rsid w:val="005064D3"/>
    <w:rsid w:val="00524B4A"/>
    <w:rsid w:val="00527611"/>
    <w:rsid w:val="00536023"/>
    <w:rsid w:val="0053648E"/>
    <w:rsid w:val="005367E1"/>
    <w:rsid w:val="00543BE7"/>
    <w:rsid w:val="00555458"/>
    <w:rsid w:val="0057344D"/>
    <w:rsid w:val="00577313"/>
    <w:rsid w:val="005870F6"/>
    <w:rsid w:val="00590952"/>
    <w:rsid w:val="005921ED"/>
    <w:rsid w:val="005951EE"/>
    <w:rsid w:val="005B57B9"/>
    <w:rsid w:val="005C365F"/>
    <w:rsid w:val="005D6C4E"/>
    <w:rsid w:val="005D7775"/>
    <w:rsid w:val="005E0155"/>
    <w:rsid w:val="005E0954"/>
    <w:rsid w:val="005E108D"/>
    <w:rsid w:val="005E1CB3"/>
    <w:rsid w:val="00604E37"/>
    <w:rsid w:val="006207B3"/>
    <w:rsid w:val="00631804"/>
    <w:rsid w:val="00634A89"/>
    <w:rsid w:val="00650121"/>
    <w:rsid w:val="00656182"/>
    <w:rsid w:val="00660F61"/>
    <w:rsid w:val="006638A6"/>
    <w:rsid w:val="00664526"/>
    <w:rsid w:val="0066562C"/>
    <w:rsid w:val="00665FA1"/>
    <w:rsid w:val="00666672"/>
    <w:rsid w:val="0067313A"/>
    <w:rsid w:val="0067748B"/>
    <w:rsid w:val="00685F25"/>
    <w:rsid w:val="006B43A5"/>
    <w:rsid w:val="006B6985"/>
    <w:rsid w:val="006C2E0F"/>
    <w:rsid w:val="006E2FAA"/>
    <w:rsid w:val="006E7480"/>
    <w:rsid w:val="006F08F4"/>
    <w:rsid w:val="006F0F8A"/>
    <w:rsid w:val="006F4EE2"/>
    <w:rsid w:val="00703F9C"/>
    <w:rsid w:val="00712B04"/>
    <w:rsid w:val="007263B7"/>
    <w:rsid w:val="00733F9A"/>
    <w:rsid w:val="007505A4"/>
    <w:rsid w:val="00750BD8"/>
    <w:rsid w:val="007532FD"/>
    <w:rsid w:val="00762B5E"/>
    <w:rsid w:val="00766DEB"/>
    <w:rsid w:val="0077007E"/>
    <w:rsid w:val="007763DE"/>
    <w:rsid w:val="00780A6C"/>
    <w:rsid w:val="007855BC"/>
    <w:rsid w:val="00791F35"/>
    <w:rsid w:val="00796F75"/>
    <w:rsid w:val="007A071F"/>
    <w:rsid w:val="007A17F3"/>
    <w:rsid w:val="007A44CA"/>
    <w:rsid w:val="007A6D48"/>
    <w:rsid w:val="007B62A5"/>
    <w:rsid w:val="007B7CD8"/>
    <w:rsid w:val="007C3D24"/>
    <w:rsid w:val="007C7C63"/>
    <w:rsid w:val="007D014D"/>
    <w:rsid w:val="007D11C7"/>
    <w:rsid w:val="007F1225"/>
    <w:rsid w:val="007F1C87"/>
    <w:rsid w:val="007F2920"/>
    <w:rsid w:val="00806066"/>
    <w:rsid w:val="008071B4"/>
    <w:rsid w:val="00811491"/>
    <w:rsid w:val="00820777"/>
    <w:rsid w:val="0084583A"/>
    <w:rsid w:val="00851F7F"/>
    <w:rsid w:val="008548B1"/>
    <w:rsid w:val="00862BD6"/>
    <w:rsid w:val="0086402F"/>
    <w:rsid w:val="00870571"/>
    <w:rsid w:val="00893D8F"/>
    <w:rsid w:val="008A0671"/>
    <w:rsid w:val="008B0D32"/>
    <w:rsid w:val="008B15F6"/>
    <w:rsid w:val="008C0F95"/>
    <w:rsid w:val="008E0E6B"/>
    <w:rsid w:val="008F7831"/>
    <w:rsid w:val="0090193A"/>
    <w:rsid w:val="0090279C"/>
    <w:rsid w:val="00906313"/>
    <w:rsid w:val="00935FA4"/>
    <w:rsid w:val="00952EB0"/>
    <w:rsid w:val="0095523A"/>
    <w:rsid w:val="009552EE"/>
    <w:rsid w:val="00961C0E"/>
    <w:rsid w:val="00966861"/>
    <w:rsid w:val="00977227"/>
    <w:rsid w:val="00977574"/>
    <w:rsid w:val="0099760D"/>
    <w:rsid w:val="009A7BC6"/>
    <w:rsid w:val="009C0AAF"/>
    <w:rsid w:val="009C21DD"/>
    <w:rsid w:val="009C5713"/>
    <w:rsid w:val="009E061B"/>
    <w:rsid w:val="009F1ED1"/>
    <w:rsid w:val="009F4C93"/>
    <w:rsid w:val="009F745A"/>
    <w:rsid w:val="00A0303C"/>
    <w:rsid w:val="00A17BEE"/>
    <w:rsid w:val="00A21EF9"/>
    <w:rsid w:val="00A46FC5"/>
    <w:rsid w:val="00A54D14"/>
    <w:rsid w:val="00A76C14"/>
    <w:rsid w:val="00A8565E"/>
    <w:rsid w:val="00AA3AAC"/>
    <w:rsid w:val="00AB2673"/>
    <w:rsid w:val="00AB5997"/>
    <w:rsid w:val="00AC027A"/>
    <w:rsid w:val="00AC0DBF"/>
    <w:rsid w:val="00AC4EC3"/>
    <w:rsid w:val="00AE1B98"/>
    <w:rsid w:val="00AF0CC9"/>
    <w:rsid w:val="00AF1368"/>
    <w:rsid w:val="00AF47D5"/>
    <w:rsid w:val="00AF678F"/>
    <w:rsid w:val="00B04DFC"/>
    <w:rsid w:val="00B076D5"/>
    <w:rsid w:val="00B10E2A"/>
    <w:rsid w:val="00B1566B"/>
    <w:rsid w:val="00B20139"/>
    <w:rsid w:val="00B20FE9"/>
    <w:rsid w:val="00B3509D"/>
    <w:rsid w:val="00B35694"/>
    <w:rsid w:val="00B40C82"/>
    <w:rsid w:val="00B531F4"/>
    <w:rsid w:val="00B5523F"/>
    <w:rsid w:val="00B7179E"/>
    <w:rsid w:val="00B77F15"/>
    <w:rsid w:val="00B81384"/>
    <w:rsid w:val="00B81775"/>
    <w:rsid w:val="00B836D9"/>
    <w:rsid w:val="00B86264"/>
    <w:rsid w:val="00B86F2E"/>
    <w:rsid w:val="00B90780"/>
    <w:rsid w:val="00B90785"/>
    <w:rsid w:val="00B9108C"/>
    <w:rsid w:val="00B91471"/>
    <w:rsid w:val="00B916C4"/>
    <w:rsid w:val="00B922DC"/>
    <w:rsid w:val="00BB0D5A"/>
    <w:rsid w:val="00BE562D"/>
    <w:rsid w:val="00BE6A7B"/>
    <w:rsid w:val="00BF12FD"/>
    <w:rsid w:val="00BF3D24"/>
    <w:rsid w:val="00C04E18"/>
    <w:rsid w:val="00C12749"/>
    <w:rsid w:val="00C14179"/>
    <w:rsid w:val="00C177C7"/>
    <w:rsid w:val="00C36E20"/>
    <w:rsid w:val="00C37211"/>
    <w:rsid w:val="00C43C9C"/>
    <w:rsid w:val="00C43E29"/>
    <w:rsid w:val="00C55426"/>
    <w:rsid w:val="00C60B69"/>
    <w:rsid w:val="00C63823"/>
    <w:rsid w:val="00C65F6C"/>
    <w:rsid w:val="00C801A3"/>
    <w:rsid w:val="00C84D5D"/>
    <w:rsid w:val="00CB5890"/>
    <w:rsid w:val="00CB5F8C"/>
    <w:rsid w:val="00CC4E32"/>
    <w:rsid w:val="00CD6528"/>
    <w:rsid w:val="00CE3508"/>
    <w:rsid w:val="00CF4707"/>
    <w:rsid w:val="00CF70BA"/>
    <w:rsid w:val="00D01569"/>
    <w:rsid w:val="00D02F5F"/>
    <w:rsid w:val="00D1047A"/>
    <w:rsid w:val="00D1230D"/>
    <w:rsid w:val="00D135C0"/>
    <w:rsid w:val="00D22669"/>
    <w:rsid w:val="00D322FF"/>
    <w:rsid w:val="00D40BB7"/>
    <w:rsid w:val="00D7035E"/>
    <w:rsid w:val="00D738D9"/>
    <w:rsid w:val="00D73B9C"/>
    <w:rsid w:val="00D82ABC"/>
    <w:rsid w:val="00D87678"/>
    <w:rsid w:val="00DA3051"/>
    <w:rsid w:val="00DA35DD"/>
    <w:rsid w:val="00DC563E"/>
    <w:rsid w:val="00DD3D4D"/>
    <w:rsid w:val="00DE0F8C"/>
    <w:rsid w:val="00DE2296"/>
    <w:rsid w:val="00DE4B75"/>
    <w:rsid w:val="00DE5CB0"/>
    <w:rsid w:val="00E17245"/>
    <w:rsid w:val="00E3042E"/>
    <w:rsid w:val="00E33BCD"/>
    <w:rsid w:val="00E41836"/>
    <w:rsid w:val="00E62646"/>
    <w:rsid w:val="00E672B8"/>
    <w:rsid w:val="00E7302E"/>
    <w:rsid w:val="00E75B50"/>
    <w:rsid w:val="00E846EF"/>
    <w:rsid w:val="00E91F22"/>
    <w:rsid w:val="00E9603D"/>
    <w:rsid w:val="00EB3A2F"/>
    <w:rsid w:val="00EB3D74"/>
    <w:rsid w:val="00EB5D3C"/>
    <w:rsid w:val="00EC44FC"/>
    <w:rsid w:val="00EE3682"/>
    <w:rsid w:val="00F004BE"/>
    <w:rsid w:val="00F029E9"/>
    <w:rsid w:val="00F0706B"/>
    <w:rsid w:val="00F10DEE"/>
    <w:rsid w:val="00F13DED"/>
    <w:rsid w:val="00F16DEB"/>
    <w:rsid w:val="00F26924"/>
    <w:rsid w:val="00F35D67"/>
    <w:rsid w:val="00F463A3"/>
    <w:rsid w:val="00F52D8B"/>
    <w:rsid w:val="00F553B5"/>
    <w:rsid w:val="00F610AE"/>
    <w:rsid w:val="00F64220"/>
    <w:rsid w:val="00F71A26"/>
    <w:rsid w:val="00F84E1A"/>
    <w:rsid w:val="00F87E87"/>
    <w:rsid w:val="00F939A7"/>
    <w:rsid w:val="00F95FD9"/>
    <w:rsid w:val="00FC4E3D"/>
    <w:rsid w:val="00FC589C"/>
    <w:rsid w:val="00FD0F67"/>
    <w:rsid w:val="00FD2E1F"/>
    <w:rsid w:val="00FD511E"/>
    <w:rsid w:val="00FE62E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FFAA"/>
  <w15:docId w15:val="{298A4EBB-DD1D-49E0-8614-411A4269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33A9"/>
    <w:rPr>
      <w:rFonts w:ascii="Verdana" w:eastAsia="Verdana" w:hAnsi="Verdana" w:cs="Verdana"/>
      <w:lang w:val="es-CR"/>
    </w:rPr>
  </w:style>
  <w:style w:type="paragraph" w:styleId="Ttulo1">
    <w:name w:val="heading 1"/>
    <w:basedOn w:val="Normal"/>
    <w:uiPriority w:val="1"/>
    <w:qFormat/>
    <w:pPr>
      <w:ind w:left="1630"/>
      <w:jc w:val="center"/>
      <w:outlineLvl w:val="0"/>
    </w:pPr>
    <w:rPr>
      <w:b/>
      <w:bCs/>
      <w:sz w:val="20"/>
      <w:szCs w:val="20"/>
    </w:rPr>
  </w:style>
  <w:style w:type="paragraph" w:styleId="Ttulo2">
    <w:name w:val="heading 2"/>
    <w:basedOn w:val="Normal"/>
    <w:link w:val="Ttulo2Car"/>
    <w:uiPriority w:val="1"/>
    <w:qFormat/>
    <w:rsid w:val="004741E6"/>
    <w:pPr>
      <w:numPr>
        <w:numId w:val="9"/>
      </w:numPr>
      <w:tabs>
        <w:tab w:val="left" w:pos="957"/>
      </w:tabs>
      <w:jc w:val="both"/>
      <w:outlineLvl w:val="1"/>
    </w:pPr>
    <w:rPr>
      <w:b/>
      <w:bCs/>
      <w:sz w:val="20"/>
      <w:szCs w:val="20"/>
    </w:rPr>
  </w:style>
  <w:style w:type="paragraph" w:styleId="Ttulo3">
    <w:name w:val="heading 3"/>
    <w:basedOn w:val="Normal"/>
    <w:next w:val="Normal"/>
    <w:link w:val="Ttulo3Car"/>
    <w:uiPriority w:val="9"/>
    <w:unhideWhenUsed/>
    <w:qFormat/>
    <w:rsid w:val="004741E6"/>
    <w:pPr>
      <w:ind w:left="567"/>
      <w:outlineLvl w:val="2"/>
    </w:pPr>
    <w:rPr>
      <w:b/>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rsid w:val="0010633A"/>
    <w:pPr>
      <w:numPr>
        <w:numId w:val="5"/>
      </w:numPr>
      <w:tabs>
        <w:tab w:val="left" w:pos="567"/>
      </w:tabs>
      <w:ind w:left="0" w:firstLine="0"/>
      <w:jc w:val="both"/>
    </w:pPr>
    <w:rPr>
      <w:sz w:val="20"/>
      <w:szCs w:val="20"/>
    </w:rPr>
  </w:style>
  <w:style w:type="paragraph" w:customStyle="1" w:styleId="TableParagraph">
    <w:name w:val="Table Paragraph"/>
    <w:basedOn w:val="Normal"/>
    <w:uiPriority w:val="1"/>
    <w:qFormat/>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750BD8"/>
    <w:pPr>
      <w:widowControl/>
      <w:tabs>
        <w:tab w:val="left" w:pos="567"/>
      </w:tabs>
      <w:autoSpaceDE/>
      <w:autoSpaceDN/>
      <w:spacing w:before="120" w:after="120"/>
      <w:jc w:val="both"/>
    </w:pPr>
    <w:rPr>
      <w:rFonts w:eastAsia="MS Mincho" w:cs="Times New Roman"/>
      <w:sz w:val="16"/>
      <w:szCs w:val="16"/>
      <w:lang w:val="es-GT"/>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750BD8"/>
    <w:rPr>
      <w:rFonts w:ascii="Verdana" w:eastAsia="MS Mincho" w:hAnsi="Verdana" w:cs="Times New Roman"/>
      <w:sz w:val="16"/>
      <w:szCs w:val="16"/>
      <w:lang w:val="es-GT"/>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nhideWhenUsed/>
    <w:qFormat/>
    <w:rsid w:val="00750BD8"/>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qFormat/>
    <w:rsid w:val="00750BD8"/>
    <w:pPr>
      <w:widowControl/>
      <w:autoSpaceDE/>
      <w:autoSpaceDN/>
      <w:spacing w:after="160" w:line="240" w:lineRule="exact"/>
    </w:pPr>
    <w:rPr>
      <w:rFonts w:asciiTheme="minorHAnsi" w:eastAsiaTheme="minorHAnsi" w:hAnsiTheme="minorHAnsi" w:cstheme="minorBidi"/>
      <w:vertAlign w:val="superscript"/>
      <w:lang w:val="en-US"/>
    </w:rPr>
  </w:style>
  <w:style w:type="character" w:styleId="Refdecomentario">
    <w:name w:val="annotation reference"/>
    <w:basedOn w:val="Fuentedeprrafopredeter"/>
    <w:uiPriority w:val="99"/>
    <w:semiHidden/>
    <w:unhideWhenUsed/>
    <w:rsid w:val="002A0A86"/>
    <w:rPr>
      <w:sz w:val="16"/>
      <w:szCs w:val="16"/>
    </w:rPr>
  </w:style>
  <w:style w:type="paragraph" w:styleId="Textocomentario">
    <w:name w:val="annotation text"/>
    <w:basedOn w:val="Normal"/>
    <w:link w:val="TextocomentarioCar"/>
    <w:uiPriority w:val="99"/>
    <w:unhideWhenUsed/>
    <w:rsid w:val="002A0A86"/>
    <w:rPr>
      <w:sz w:val="20"/>
      <w:szCs w:val="20"/>
    </w:rPr>
  </w:style>
  <w:style w:type="character" w:customStyle="1" w:styleId="TextocomentarioCar">
    <w:name w:val="Texto comentario Car"/>
    <w:basedOn w:val="Fuentedeprrafopredeter"/>
    <w:link w:val="Textocomentario"/>
    <w:uiPriority w:val="99"/>
    <w:rsid w:val="002A0A86"/>
    <w:rPr>
      <w:rFonts w:ascii="Verdana" w:eastAsia="Verdana" w:hAnsi="Verdana" w:cs="Verdana"/>
      <w:sz w:val="20"/>
      <w:szCs w:val="20"/>
      <w:lang w:val="es-CR"/>
    </w:rPr>
  </w:style>
  <w:style w:type="paragraph" w:styleId="Asuntodelcomentario">
    <w:name w:val="annotation subject"/>
    <w:basedOn w:val="Textocomentario"/>
    <w:next w:val="Textocomentario"/>
    <w:link w:val="AsuntodelcomentarioCar"/>
    <w:uiPriority w:val="99"/>
    <w:semiHidden/>
    <w:unhideWhenUsed/>
    <w:rsid w:val="002A0A86"/>
    <w:rPr>
      <w:b/>
      <w:bCs/>
    </w:rPr>
  </w:style>
  <w:style w:type="character" w:customStyle="1" w:styleId="AsuntodelcomentarioCar">
    <w:name w:val="Asunto del comentario Car"/>
    <w:basedOn w:val="TextocomentarioCar"/>
    <w:link w:val="Asuntodelcomentario"/>
    <w:uiPriority w:val="99"/>
    <w:semiHidden/>
    <w:rsid w:val="002A0A86"/>
    <w:rPr>
      <w:rFonts w:ascii="Verdana" w:eastAsia="Verdana" w:hAnsi="Verdana" w:cs="Verdana"/>
      <w:b/>
      <w:bCs/>
      <w:sz w:val="20"/>
      <w:szCs w:val="20"/>
      <w:lang w:val="es-CR"/>
    </w:rPr>
  </w:style>
  <w:style w:type="paragraph" w:styleId="Revisin">
    <w:name w:val="Revision"/>
    <w:hidden/>
    <w:uiPriority w:val="99"/>
    <w:semiHidden/>
    <w:rsid w:val="00F26924"/>
    <w:pPr>
      <w:widowControl/>
      <w:autoSpaceDE/>
      <w:autoSpaceDN/>
    </w:pPr>
    <w:rPr>
      <w:rFonts w:ascii="Verdana" w:eastAsia="Verdana" w:hAnsi="Verdana" w:cs="Verdana"/>
      <w:lang w:val="es-CR"/>
    </w:rPr>
  </w:style>
  <w:style w:type="character" w:styleId="Hipervnculo">
    <w:name w:val="Hyperlink"/>
    <w:basedOn w:val="Fuentedeprrafopredeter"/>
    <w:uiPriority w:val="99"/>
    <w:unhideWhenUsed/>
    <w:rsid w:val="00AC0DBF"/>
    <w:rPr>
      <w:color w:val="0000FF" w:themeColor="hyperlink"/>
      <w:u w:val="single"/>
    </w:rPr>
  </w:style>
  <w:style w:type="character" w:styleId="Mencinsinresolver">
    <w:name w:val="Unresolved Mention"/>
    <w:basedOn w:val="Fuentedeprrafopredeter"/>
    <w:uiPriority w:val="99"/>
    <w:semiHidden/>
    <w:unhideWhenUsed/>
    <w:rsid w:val="00AC0DBF"/>
    <w:rPr>
      <w:color w:val="605E5C"/>
      <w:shd w:val="clear" w:color="auto" w:fill="E1DFDD"/>
    </w:rPr>
  </w:style>
  <w:style w:type="paragraph" w:styleId="Encabezado">
    <w:name w:val="header"/>
    <w:basedOn w:val="Normal"/>
    <w:link w:val="EncabezadoCar"/>
    <w:uiPriority w:val="99"/>
    <w:unhideWhenUsed/>
    <w:rsid w:val="00E7302E"/>
    <w:pPr>
      <w:tabs>
        <w:tab w:val="center" w:pos="4419"/>
        <w:tab w:val="right" w:pos="8838"/>
      </w:tabs>
    </w:pPr>
  </w:style>
  <w:style w:type="character" w:customStyle="1" w:styleId="EncabezadoCar">
    <w:name w:val="Encabezado Car"/>
    <w:basedOn w:val="Fuentedeprrafopredeter"/>
    <w:link w:val="Encabezado"/>
    <w:uiPriority w:val="99"/>
    <w:rsid w:val="00E7302E"/>
    <w:rPr>
      <w:rFonts w:ascii="Verdana" w:eastAsia="Verdana" w:hAnsi="Verdana" w:cs="Verdana"/>
      <w:lang w:val="es-CR"/>
    </w:rPr>
  </w:style>
  <w:style w:type="paragraph" w:styleId="Piedepgina">
    <w:name w:val="footer"/>
    <w:basedOn w:val="Normal"/>
    <w:link w:val="PiedepginaCar"/>
    <w:uiPriority w:val="99"/>
    <w:unhideWhenUsed/>
    <w:rsid w:val="00E7302E"/>
    <w:pPr>
      <w:tabs>
        <w:tab w:val="center" w:pos="4419"/>
        <w:tab w:val="right" w:pos="8838"/>
      </w:tabs>
    </w:pPr>
  </w:style>
  <w:style w:type="character" w:customStyle="1" w:styleId="PiedepginaCar">
    <w:name w:val="Pie de página Car"/>
    <w:basedOn w:val="Fuentedeprrafopredeter"/>
    <w:link w:val="Piedepgina"/>
    <w:uiPriority w:val="99"/>
    <w:rsid w:val="00E7302E"/>
    <w:rPr>
      <w:rFonts w:ascii="Verdana" w:eastAsia="Verdana" w:hAnsi="Verdana" w:cs="Verdana"/>
      <w:lang w:val="es-CR"/>
    </w:rPr>
  </w:style>
  <w:style w:type="character" w:customStyle="1" w:styleId="Ttulo2Car">
    <w:name w:val="Título 2 Car"/>
    <w:basedOn w:val="Fuentedeprrafopredeter"/>
    <w:link w:val="Ttulo2"/>
    <w:uiPriority w:val="1"/>
    <w:rsid w:val="004741E6"/>
    <w:rPr>
      <w:rFonts w:ascii="Verdana" w:eastAsia="Verdana" w:hAnsi="Verdana" w:cs="Verdana"/>
      <w:b/>
      <w:bCs/>
      <w:sz w:val="20"/>
      <w:szCs w:val="20"/>
      <w:lang w:val="es-CR"/>
    </w:rPr>
  </w:style>
  <w:style w:type="character" w:customStyle="1" w:styleId="TextoindependienteCar">
    <w:name w:val="Texto independiente Car"/>
    <w:basedOn w:val="Fuentedeprrafopredeter"/>
    <w:link w:val="Textoindependiente"/>
    <w:uiPriority w:val="1"/>
    <w:rsid w:val="00157F4C"/>
    <w:rPr>
      <w:rFonts w:ascii="Verdana" w:eastAsia="Verdana" w:hAnsi="Verdana" w:cs="Verdana"/>
      <w:sz w:val="20"/>
      <w:szCs w:val="20"/>
      <w:lang w:val="es-CR"/>
    </w:rPr>
  </w:style>
  <w:style w:type="character" w:customStyle="1" w:styleId="Ttulo3Car">
    <w:name w:val="Título 3 Car"/>
    <w:basedOn w:val="Fuentedeprrafopredeter"/>
    <w:link w:val="Ttulo3"/>
    <w:uiPriority w:val="9"/>
    <w:rsid w:val="004741E6"/>
    <w:rPr>
      <w:rFonts w:ascii="Verdana" w:eastAsia="Verdana" w:hAnsi="Verdana" w:cs="Verdana"/>
      <w:b/>
      <w:i/>
      <w:sz w:val="20"/>
      <w:szCs w:val="20"/>
      <w:lang w:val="es-CR"/>
    </w:rPr>
  </w:style>
  <w:style w:type="character" w:styleId="Nmerodelnea">
    <w:name w:val="line number"/>
    <w:basedOn w:val="Fuentedeprrafopredeter"/>
    <w:uiPriority w:val="99"/>
    <w:unhideWhenUsed/>
    <w:rsid w:val="001933A9"/>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603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838E5-5E9E-44A6-AF77-A1EF9BF32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4768</Words>
  <Characters>26225</Characters>
  <Application>Microsoft Office Word</Application>
  <DocSecurity>0</DocSecurity>
  <Lines>218</Lines>
  <Paragraphs>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Francella Hernandez</cp:lastModifiedBy>
  <cp:revision>2</cp:revision>
  <dcterms:created xsi:type="dcterms:W3CDTF">2023-12-14T20:43:00Z</dcterms:created>
  <dcterms:modified xsi:type="dcterms:W3CDTF">2023-12-14T20:43:00Z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2021-09-02T00:00:00Z</vt:filetime>
  </property>
  <property fmtid="{D5CDD505-2E9C-101B-9397-08002B2CF9AE}" pid="3" name="Creator">
    <vt:lpwstr>Microsoft® Word 2016</vt:lpwstr>
  </property>
  <property fmtid="{D5CDD505-2E9C-101B-9397-08002B2CF9AE}" pid="4" name="LastSaved">
    <vt:filetime>2021-09-02T00:00:00Z</vt:filetime>
  </property>
</Properties>
</file>