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F7235B" w14:textId="77777777" w:rsidR="00AF2B9E" w:rsidRPr="00465F79" w:rsidRDefault="00AF2B9E" w:rsidP="00AB35C8">
      <w:pPr>
        <w:suppressLineNumbers/>
        <w:spacing w:line="240" w:lineRule="auto"/>
        <w:jc w:val="center"/>
        <w:rPr>
          <w:rFonts w:eastAsia="Calibri" w:cs="Calibri"/>
          <w:b/>
        </w:rPr>
      </w:pPr>
      <w:bookmarkStart w:id="0" w:name="_Toc495658661"/>
      <w:bookmarkStart w:id="1" w:name="_Toc498013630"/>
      <w:bookmarkStart w:id="2" w:name="_Toc514172615"/>
      <w:bookmarkStart w:id="3" w:name="_Toc24447077"/>
    </w:p>
    <w:p w14:paraId="72FE2EFB" w14:textId="77777777" w:rsidR="00AF2B9E" w:rsidRPr="00465F79" w:rsidRDefault="00AF2B9E" w:rsidP="00E0705E">
      <w:pPr>
        <w:spacing w:line="240" w:lineRule="auto"/>
        <w:jc w:val="center"/>
        <w:rPr>
          <w:rFonts w:eastAsia="Calibri" w:cs="Calibri"/>
          <w:b/>
        </w:rPr>
      </w:pPr>
    </w:p>
    <w:p w14:paraId="544E5869" w14:textId="77777777" w:rsidR="00315143" w:rsidRPr="00465F79" w:rsidRDefault="00315143" w:rsidP="00315143">
      <w:pPr>
        <w:suppressLineNumbers/>
        <w:spacing w:line="240" w:lineRule="auto"/>
        <w:jc w:val="center"/>
        <w:rPr>
          <w:rFonts w:eastAsia="Calibri" w:cs="Calibri"/>
          <w:b/>
        </w:rPr>
      </w:pPr>
      <w:r>
        <w:rPr>
          <w:rFonts w:eastAsia="Calibri" w:cs="Calibri"/>
          <w:b/>
        </w:rPr>
        <w:t>CORTE INTERAMERICANA DE DERECHOS HUMANOS</w:t>
      </w:r>
    </w:p>
    <w:p w14:paraId="07BC0D13" w14:textId="77777777" w:rsidR="00315143" w:rsidRDefault="00315143" w:rsidP="00E0705E">
      <w:pPr>
        <w:spacing w:line="240" w:lineRule="auto"/>
        <w:jc w:val="center"/>
        <w:rPr>
          <w:rFonts w:eastAsia="Calibri" w:cs="Calibri"/>
          <w:b/>
        </w:rPr>
      </w:pPr>
    </w:p>
    <w:p w14:paraId="683EC51C" w14:textId="77777777" w:rsidR="00315143" w:rsidRDefault="00315143" w:rsidP="00E0705E">
      <w:pPr>
        <w:spacing w:line="240" w:lineRule="auto"/>
        <w:jc w:val="center"/>
        <w:rPr>
          <w:rFonts w:eastAsia="Calibri" w:cs="Calibri"/>
          <w:b/>
        </w:rPr>
      </w:pPr>
    </w:p>
    <w:p w14:paraId="522116F7" w14:textId="47399954" w:rsidR="00E0705E" w:rsidRPr="00465F79" w:rsidRDefault="00E0705E" w:rsidP="00E0705E">
      <w:pPr>
        <w:spacing w:line="240" w:lineRule="auto"/>
        <w:jc w:val="center"/>
        <w:rPr>
          <w:rFonts w:eastAsia="Calibri" w:cs="Verdana"/>
          <w:b/>
          <w:bCs/>
          <w:caps/>
          <w:snapToGrid w:val="0"/>
          <w:lang w:eastAsia="es-ES"/>
        </w:rPr>
      </w:pPr>
      <w:r w:rsidRPr="00465F79">
        <w:rPr>
          <w:rFonts w:eastAsia="Calibri" w:cs="Calibri"/>
          <w:b/>
        </w:rPr>
        <w:t xml:space="preserve">CASO </w:t>
      </w:r>
      <w:r w:rsidR="00EC3525" w:rsidRPr="00465F79">
        <w:rPr>
          <w:rFonts w:eastAsia="Calibri" w:cs="Calibri"/>
          <w:b/>
        </w:rPr>
        <w:t>CUÉLLAR SANDOVAL</w:t>
      </w:r>
      <w:r w:rsidR="0015272F" w:rsidRPr="00465F79">
        <w:rPr>
          <w:rFonts w:eastAsia="Calibri" w:cs="Calibri"/>
          <w:b/>
        </w:rPr>
        <w:t xml:space="preserve"> Y </w:t>
      </w:r>
      <w:r w:rsidR="00EC3525" w:rsidRPr="00465F79">
        <w:rPr>
          <w:rFonts w:eastAsia="Calibri" w:cs="Calibri"/>
          <w:b/>
        </w:rPr>
        <w:t>OTROS</w:t>
      </w:r>
      <w:r w:rsidRPr="00465F79">
        <w:rPr>
          <w:rFonts w:eastAsia="Calibri" w:cs="Calibri"/>
          <w:b/>
        </w:rPr>
        <w:t xml:space="preserve"> VS. </w:t>
      </w:r>
      <w:r w:rsidR="00EC3525" w:rsidRPr="00465F79">
        <w:rPr>
          <w:rFonts w:eastAsia="Calibri" w:cs="Calibri"/>
          <w:b/>
        </w:rPr>
        <w:t>EL SALVADOR</w:t>
      </w:r>
      <w:r w:rsidRPr="00465F79">
        <w:rPr>
          <w:rFonts w:eastAsia="Calibri" w:cs="Calibri"/>
          <w:b/>
        </w:rPr>
        <w:br/>
      </w:r>
    </w:p>
    <w:p w14:paraId="5A7AD367" w14:textId="262C5D54" w:rsidR="00E0705E" w:rsidRPr="00465F79" w:rsidRDefault="00E0705E" w:rsidP="00E0705E">
      <w:pPr>
        <w:tabs>
          <w:tab w:val="left" w:pos="720"/>
        </w:tabs>
        <w:spacing w:line="240" w:lineRule="auto"/>
        <w:jc w:val="center"/>
        <w:rPr>
          <w:rFonts w:eastAsia="Calibri" w:cs="Verdana"/>
          <w:b/>
          <w:bCs/>
          <w:snapToGrid w:val="0"/>
          <w:lang w:eastAsia="es-ES"/>
        </w:rPr>
      </w:pPr>
      <w:r w:rsidRPr="00465F79">
        <w:rPr>
          <w:rFonts w:eastAsia="Calibri" w:cs="Verdana"/>
          <w:b/>
          <w:bCs/>
          <w:snapToGrid w:val="0"/>
          <w:lang w:eastAsia="es-ES"/>
        </w:rPr>
        <w:t>SENTENCIA DE</w:t>
      </w:r>
      <w:r w:rsidR="00E372E3" w:rsidRPr="00465F79">
        <w:rPr>
          <w:rFonts w:eastAsia="Calibri" w:cs="Verdana"/>
          <w:b/>
          <w:bCs/>
          <w:snapToGrid w:val="0"/>
          <w:lang w:eastAsia="es-ES"/>
        </w:rPr>
        <w:t xml:space="preserve"> </w:t>
      </w:r>
      <w:r w:rsidR="00F566ED">
        <w:rPr>
          <w:rFonts w:eastAsia="Calibri" w:cs="Verdana"/>
          <w:b/>
          <w:bCs/>
          <w:snapToGrid w:val="0"/>
          <w:lang w:eastAsia="es-ES"/>
        </w:rPr>
        <w:t>18</w:t>
      </w:r>
      <w:r w:rsidRPr="00465F79">
        <w:rPr>
          <w:rFonts w:eastAsia="Calibri" w:cs="Verdana"/>
          <w:b/>
          <w:bCs/>
          <w:snapToGrid w:val="0"/>
          <w:lang w:eastAsia="es-ES"/>
        </w:rPr>
        <w:t xml:space="preserve"> DE </w:t>
      </w:r>
      <w:r w:rsidR="00FF581E">
        <w:rPr>
          <w:rFonts w:eastAsia="Calibri" w:cs="Verdana"/>
          <w:b/>
          <w:bCs/>
          <w:snapToGrid w:val="0"/>
          <w:lang w:eastAsia="es-ES"/>
        </w:rPr>
        <w:t>MARZO</w:t>
      </w:r>
      <w:r w:rsidR="00745254" w:rsidRPr="00465F79">
        <w:rPr>
          <w:rFonts w:eastAsia="Calibri" w:cs="Verdana"/>
          <w:b/>
          <w:bCs/>
          <w:snapToGrid w:val="0"/>
          <w:lang w:eastAsia="es-ES"/>
        </w:rPr>
        <w:t xml:space="preserve"> </w:t>
      </w:r>
      <w:r w:rsidRPr="00465F79">
        <w:rPr>
          <w:rFonts w:eastAsia="Calibri" w:cs="Verdana"/>
          <w:b/>
          <w:bCs/>
          <w:snapToGrid w:val="0"/>
          <w:lang w:eastAsia="es-ES"/>
        </w:rPr>
        <w:t xml:space="preserve">DE </w:t>
      </w:r>
      <w:r w:rsidR="0015272F" w:rsidRPr="00465F79">
        <w:rPr>
          <w:rFonts w:eastAsia="Calibri" w:cs="Verdana"/>
          <w:b/>
          <w:bCs/>
          <w:snapToGrid w:val="0"/>
          <w:lang w:eastAsia="es-ES"/>
        </w:rPr>
        <w:t>202</w:t>
      </w:r>
      <w:r w:rsidR="00EC3525" w:rsidRPr="00465F79">
        <w:rPr>
          <w:rFonts w:eastAsia="Calibri" w:cs="Verdana"/>
          <w:b/>
          <w:bCs/>
          <w:snapToGrid w:val="0"/>
          <w:lang w:eastAsia="es-ES"/>
        </w:rPr>
        <w:t>4</w:t>
      </w:r>
    </w:p>
    <w:p w14:paraId="350CEFCF" w14:textId="77777777" w:rsidR="00E0705E" w:rsidRPr="00465F79" w:rsidRDefault="00E0705E" w:rsidP="00E0705E">
      <w:pPr>
        <w:tabs>
          <w:tab w:val="left" w:pos="720"/>
        </w:tabs>
        <w:spacing w:line="240" w:lineRule="auto"/>
        <w:jc w:val="center"/>
        <w:rPr>
          <w:rFonts w:eastAsia="Calibri" w:cs="Verdana"/>
          <w:b/>
          <w:bCs/>
          <w:caps/>
          <w:snapToGrid w:val="0"/>
          <w:lang w:eastAsia="es-ES"/>
        </w:rPr>
      </w:pPr>
    </w:p>
    <w:p w14:paraId="4C58A66D" w14:textId="4AF4EBE9" w:rsidR="00E0705E" w:rsidRDefault="00E0705E" w:rsidP="005B282F">
      <w:pPr>
        <w:tabs>
          <w:tab w:val="left" w:pos="720"/>
        </w:tabs>
        <w:spacing w:after="480" w:line="240" w:lineRule="auto"/>
        <w:jc w:val="center"/>
        <w:rPr>
          <w:rFonts w:eastAsia="Calibri" w:cs="Verdana"/>
          <w:b/>
          <w:bCs/>
          <w:i/>
          <w:iCs/>
          <w:snapToGrid w:val="0"/>
          <w:lang w:val="es-ES" w:eastAsia="es-ES"/>
        </w:rPr>
      </w:pPr>
      <w:r w:rsidRPr="00465F79">
        <w:rPr>
          <w:rFonts w:eastAsia="Calibri" w:cs="Verdana"/>
          <w:b/>
          <w:bCs/>
          <w:i/>
          <w:iCs/>
          <w:snapToGrid w:val="0"/>
          <w:lang w:val="es-ES" w:eastAsia="es-ES"/>
        </w:rPr>
        <w:t>(Fondo</w:t>
      </w:r>
      <w:r w:rsidR="00B7698F" w:rsidRPr="00465F79">
        <w:rPr>
          <w:rFonts w:eastAsia="Calibri" w:cs="Verdana"/>
          <w:b/>
          <w:bCs/>
          <w:i/>
          <w:iCs/>
          <w:snapToGrid w:val="0"/>
          <w:lang w:val="es-ES" w:eastAsia="es-ES"/>
        </w:rPr>
        <w:t>,</w:t>
      </w:r>
      <w:r w:rsidRPr="00465F79">
        <w:rPr>
          <w:rFonts w:eastAsia="Calibri" w:cs="Verdana"/>
          <w:b/>
          <w:bCs/>
          <w:i/>
          <w:iCs/>
          <w:snapToGrid w:val="0"/>
          <w:lang w:val="es-ES" w:eastAsia="es-ES"/>
        </w:rPr>
        <w:t xml:space="preserve"> Reparaciones</w:t>
      </w:r>
      <w:r w:rsidR="00B7698F" w:rsidRPr="00465F79">
        <w:rPr>
          <w:rFonts w:eastAsia="Calibri" w:cs="Verdana"/>
          <w:b/>
          <w:bCs/>
          <w:i/>
          <w:iCs/>
          <w:snapToGrid w:val="0"/>
          <w:lang w:val="es-ES" w:eastAsia="es-ES"/>
        </w:rPr>
        <w:t xml:space="preserve"> y C</w:t>
      </w:r>
      <w:r w:rsidR="00FE341C" w:rsidRPr="00465F79">
        <w:rPr>
          <w:rFonts w:eastAsia="Calibri" w:cs="Verdana"/>
          <w:b/>
          <w:bCs/>
          <w:i/>
          <w:iCs/>
          <w:snapToGrid w:val="0"/>
          <w:lang w:val="es-ES" w:eastAsia="es-ES"/>
        </w:rPr>
        <w:t>ostas</w:t>
      </w:r>
      <w:r w:rsidRPr="00465F79">
        <w:rPr>
          <w:rFonts w:eastAsia="Calibri" w:cs="Verdana"/>
          <w:b/>
          <w:bCs/>
          <w:i/>
          <w:iCs/>
          <w:snapToGrid w:val="0"/>
          <w:lang w:val="es-ES" w:eastAsia="es-ES"/>
        </w:rPr>
        <w:t>)</w:t>
      </w:r>
    </w:p>
    <w:p w14:paraId="5609F684" w14:textId="181078BF" w:rsidR="00E0705E" w:rsidRPr="00465F79" w:rsidRDefault="00E0705E" w:rsidP="00E0705E">
      <w:pPr>
        <w:tabs>
          <w:tab w:val="left" w:pos="720"/>
        </w:tabs>
        <w:spacing w:line="240" w:lineRule="auto"/>
        <w:rPr>
          <w:rFonts w:eastAsia="Verdana" w:cs="Verdana"/>
          <w:i/>
          <w:lang w:val="es-ES"/>
        </w:rPr>
      </w:pPr>
      <w:r w:rsidRPr="00465F79">
        <w:rPr>
          <w:rFonts w:eastAsia="Verdana" w:cs="Verdana"/>
          <w:lang w:val="es-ES"/>
        </w:rPr>
        <w:t xml:space="preserve">En el caso </w:t>
      </w:r>
      <w:r w:rsidR="00EC3525" w:rsidRPr="00465F79">
        <w:rPr>
          <w:rFonts w:eastAsia="Verdana" w:cs="Verdana"/>
          <w:i/>
          <w:lang w:val="es-ES"/>
        </w:rPr>
        <w:t>Cuéllar Sandoval</w:t>
      </w:r>
      <w:r w:rsidR="0015272F" w:rsidRPr="00465F79">
        <w:rPr>
          <w:rFonts w:eastAsia="Verdana" w:cs="Verdana"/>
          <w:i/>
          <w:lang w:val="es-ES"/>
        </w:rPr>
        <w:t xml:space="preserve"> y otr</w:t>
      </w:r>
      <w:r w:rsidR="00EC3525" w:rsidRPr="00465F79">
        <w:rPr>
          <w:rFonts w:eastAsia="Verdana" w:cs="Verdana"/>
          <w:i/>
          <w:lang w:val="es-ES"/>
        </w:rPr>
        <w:t>os</w:t>
      </w:r>
      <w:r w:rsidRPr="00465F79">
        <w:rPr>
          <w:rFonts w:eastAsia="Verdana" w:cs="Verdana"/>
          <w:i/>
          <w:lang w:val="es-ES"/>
        </w:rPr>
        <w:t xml:space="preserve"> Vs. </w:t>
      </w:r>
      <w:r w:rsidR="00EC3525" w:rsidRPr="00465F79">
        <w:rPr>
          <w:rFonts w:eastAsia="Verdana" w:cs="Verdana"/>
          <w:i/>
          <w:lang w:val="es-ES"/>
        </w:rPr>
        <w:t>El Salvador</w:t>
      </w:r>
      <w:r w:rsidRPr="00465F79">
        <w:rPr>
          <w:rFonts w:eastAsia="Verdana" w:cs="Verdana"/>
          <w:lang w:val="es-ES"/>
        </w:rPr>
        <w:t>,</w:t>
      </w:r>
    </w:p>
    <w:p w14:paraId="57430868" w14:textId="77777777" w:rsidR="00E0705E" w:rsidRPr="00465F79" w:rsidRDefault="00E0705E" w:rsidP="00E0705E">
      <w:pPr>
        <w:spacing w:before="4" w:line="240" w:lineRule="exact"/>
        <w:rPr>
          <w:rFonts w:eastAsia="Calibri"/>
          <w:lang w:val="es-ES"/>
        </w:rPr>
      </w:pPr>
    </w:p>
    <w:p w14:paraId="41A6718C" w14:textId="68813A9E" w:rsidR="00E0705E" w:rsidRPr="00465F79" w:rsidRDefault="00E0705E" w:rsidP="00E0705E">
      <w:pPr>
        <w:tabs>
          <w:tab w:val="left" w:pos="720"/>
        </w:tabs>
        <w:spacing w:line="240" w:lineRule="auto"/>
        <w:rPr>
          <w:rFonts w:eastAsia="Calibri" w:cs="Verdana"/>
          <w:lang w:val="es-ES"/>
        </w:rPr>
      </w:pPr>
      <w:r w:rsidRPr="00465F79">
        <w:rPr>
          <w:rFonts w:eastAsia="Calibri" w:cs="Verdana"/>
          <w:lang w:val="es-ES"/>
        </w:rPr>
        <w:t xml:space="preserve">la Corte Interamericana de Derechos Humanos (en adelante “la Corte Interamericana”, “la Corte” o “este Tribunal”), integrada por los siguientes </w:t>
      </w:r>
      <w:r w:rsidR="006C66E0" w:rsidRPr="00465F79">
        <w:rPr>
          <w:rFonts w:eastAsia="Calibri" w:cs="Verdana"/>
          <w:lang w:val="es-ES"/>
        </w:rPr>
        <w:t>J</w:t>
      </w:r>
      <w:r w:rsidRPr="00465F79">
        <w:rPr>
          <w:rFonts w:eastAsia="Calibri" w:cs="Verdana"/>
          <w:lang w:val="es-ES"/>
        </w:rPr>
        <w:t>ueces</w:t>
      </w:r>
      <w:r w:rsidR="006C66E0" w:rsidRPr="00465F79">
        <w:rPr>
          <w:rFonts w:eastAsia="Calibri" w:cs="Verdana"/>
          <w:lang w:val="es-ES"/>
        </w:rPr>
        <w:t xml:space="preserve"> y Juezas</w:t>
      </w:r>
      <w:r w:rsidRPr="00465F79">
        <w:rPr>
          <w:rFonts w:eastAsia="Calibri" w:cs="Verdana"/>
          <w:lang w:val="es-ES"/>
        </w:rPr>
        <w:t>:</w:t>
      </w:r>
      <w:r w:rsidRPr="00465F79">
        <w:rPr>
          <w:rFonts w:eastAsia="Calibri" w:cs="Verdana"/>
          <w:lang w:val="es-ES"/>
        </w:rPr>
        <w:tab/>
      </w:r>
    </w:p>
    <w:p w14:paraId="295ED3B0" w14:textId="77777777" w:rsidR="00E0705E" w:rsidRPr="00465F79" w:rsidRDefault="00E0705E" w:rsidP="00E0705E">
      <w:pPr>
        <w:tabs>
          <w:tab w:val="left" w:pos="720"/>
        </w:tabs>
        <w:spacing w:line="240" w:lineRule="auto"/>
        <w:rPr>
          <w:rFonts w:eastAsia="Calibri" w:cs="Verdana"/>
          <w:lang w:val="es-ES"/>
        </w:rPr>
      </w:pPr>
    </w:p>
    <w:p w14:paraId="5E882304" w14:textId="77777777" w:rsidR="003E2E38" w:rsidRPr="00465F79" w:rsidRDefault="003E2E38" w:rsidP="00E0705E">
      <w:pPr>
        <w:tabs>
          <w:tab w:val="left" w:pos="720"/>
        </w:tabs>
        <w:spacing w:line="240" w:lineRule="auto"/>
        <w:rPr>
          <w:rFonts w:eastAsia="Calibri" w:cs="Verdana"/>
          <w:lang w:val="es-ES"/>
        </w:rPr>
      </w:pPr>
      <w:r w:rsidRPr="00465F79">
        <w:rPr>
          <w:rFonts w:eastAsia="Calibri" w:cs="Verdana"/>
          <w:lang w:val="es-ES"/>
        </w:rPr>
        <w:t>Nancy Hernández López, Presidenta;</w:t>
      </w:r>
    </w:p>
    <w:p w14:paraId="62D91320" w14:textId="23044FB8" w:rsidR="003E2E38" w:rsidRPr="00465F79" w:rsidRDefault="003E2E38" w:rsidP="00E0705E">
      <w:pPr>
        <w:tabs>
          <w:tab w:val="left" w:pos="720"/>
        </w:tabs>
        <w:spacing w:line="240" w:lineRule="auto"/>
        <w:rPr>
          <w:rFonts w:eastAsia="Calibri" w:cs="Verdana"/>
          <w:lang w:val="es-ES"/>
        </w:rPr>
      </w:pPr>
      <w:r w:rsidRPr="00465F79">
        <w:rPr>
          <w:rFonts w:eastAsia="Calibri" w:cs="Verdana"/>
          <w:lang w:val="es-ES"/>
        </w:rPr>
        <w:t>Rodrigo Mudrovitsch, Vicepresidente;</w:t>
      </w:r>
    </w:p>
    <w:p w14:paraId="71C66926" w14:textId="041FA4F1" w:rsidR="003E2E38" w:rsidRPr="00465F79" w:rsidRDefault="003E2E38" w:rsidP="003E2E38">
      <w:pPr>
        <w:tabs>
          <w:tab w:val="left" w:pos="720"/>
        </w:tabs>
        <w:spacing w:line="240" w:lineRule="auto"/>
        <w:rPr>
          <w:rFonts w:eastAsia="Calibri" w:cs="Verdana"/>
          <w:lang w:val="es-ES"/>
        </w:rPr>
      </w:pPr>
      <w:r w:rsidRPr="00465F79">
        <w:rPr>
          <w:rFonts w:eastAsia="Calibri" w:cs="Verdana"/>
          <w:lang w:val="es-ES"/>
        </w:rPr>
        <w:t xml:space="preserve">Humberto </w:t>
      </w:r>
      <w:r w:rsidR="00F01B69">
        <w:rPr>
          <w:rFonts w:eastAsia="Calibri" w:cs="Verdana"/>
          <w:lang w:val="es-ES"/>
        </w:rPr>
        <w:t xml:space="preserve">A. </w:t>
      </w:r>
      <w:r w:rsidRPr="00465F79">
        <w:rPr>
          <w:rFonts w:eastAsia="Calibri" w:cs="Verdana"/>
          <w:lang w:val="es-ES"/>
        </w:rPr>
        <w:t>Sierra Porto, Juez</w:t>
      </w:r>
      <w:r w:rsidR="00E81E5B" w:rsidRPr="00465F79">
        <w:rPr>
          <w:rFonts w:eastAsia="Calibri" w:cs="Verdana"/>
          <w:lang w:val="es-ES"/>
        </w:rPr>
        <w:t>;</w:t>
      </w:r>
    </w:p>
    <w:p w14:paraId="0E49C122" w14:textId="77777777" w:rsidR="003E2E38" w:rsidRPr="00465F79" w:rsidRDefault="003E2E38" w:rsidP="003E2E38">
      <w:pPr>
        <w:tabs>
          <w:tab w:val="left" w:pos="720"/>
        </w:tabs>
        <w:spacing w:line="240" w:lineRule="auto"/>
        <w:rPr>
          <w:rFonts w:eastAsia="Calibri" w:cs="Verdana"/>
          <w:lang w:val="es-ES"/>
        </w:rPr>
      </w:pPr>
      <w:r w:rsidRPr="00465F79">
        <w:rPr>
          <w:rFonts w:eastAsia="Calibri" w:cs="Verdana"/>
          <w:lang w:val="es-ES"/>
        </w:rPr>
        <w:t>Eduardo Ferrer Mac-Gregor Poisot, Juez;</w:t>
      </w:r>
    </w:p>
    <w:p w14:paraId="35EBD9E2" w14:textId="15E1DFCE" w:rsidR="00E0705E" w:rsidRPr="00465F79" w:rsidRDefault="00E0705E" w:rsidP="00E0705E">
      <w:pPr>
        <w:tabs>
          <w:tab w:val="left" w:pos="720"/>
        </w:tabs>
        <w:spacing w:line="240" w:lineRule="auto"/>
        <w:rPr>
          <w:rFonts w:eastAsia="Calibri" w:cs="Verdana"/>
          <w:lang w:val="es-ES"/>
        </w:rPr>
      </w:pPr>
      <w:r w:rsidRPr="00465F79">
        <w:rPr>
          <w:rFonts w:eastAsia="Calibri" w:cs="Verdana"/>
          <w:lang w:val="es-ES"/>
        </w:rPr>
        <w:t xml:space="preserve">Ricardo C. Pérez Manrique, </w:t>
      </w:r>
      <w:r w:rsidR="00E81E5B" w:rsidRPr="00465F79">
        <w:rPr>
          <w:rFonts w:eastAsia="Calibri" w:cs="Verdana"/>
          <w:lang w:val="es-ES"/>
        </w:rPr>
        <w:t>Juez</w:t>
      </w:r>
      <w:r w:rsidRPr="00465F79">
        <w:rPr>
          <w:rFonts w:eastAsia="Calibri" w:cs="Verdana"/>
          <w:lang w:val="es-ES"/>
        </w:rPr>
        <w:t>;</w:t>
      </w:r>
    </w:p>
    <w:p w14:paraId="4FE97C37" w14:textId="099BB82A" w:rsidR="00E0705E" w:rsidRPr="00465F79" w:rsidRDefault="00E0705E" w:rsidP="00E0705E">
      <w:pPr>
        <w:tabs>
          <w:tab w:val="left" w:pos="720"/>
        </w:tabs>
        <w:spacing w:line="240" w:lineRule="auto"/>
        <w:rPr>
          <w:rFonts w:eastAsia="Calibri" w:cs="Verdana"/>
        </w:rPr>
      </w:pPr>
      <w:r w:rsidRPr="00465F79">
        <w:rPr>
          <w:rFonts w:eastAsia="Calibri" w:cs="Verdana"/>
        </w:rPr>
        <w:t>Verónica Gómez, Jueza</w:t>
      </w:r>
      <w:r w:rsidR="003E2E38" w:rsidRPr="00465F79">
        <w:rPr>
          <w:rFonts w:eastAsia="Calibri" w:cs="Verdana"/>
        </w:rPr>
        <w:t xml:space="preserve">, y </w:t>
      </w:r>
    </w:p>
    <w:p w14:paraId="366B9D78" w14:textId="2BAF878C" w:rsidR="00E0705E" w:rsidRPr="00465F79" w:rsidRDefault="00E0705E" w:rsidP="003E2E38">
      <w:pPr>
        <w:tabs>
          <w:tab w:val="left" w:pos="720"/>
        </w:tabs>
        <w:spacing w:line="240" w:lineRule="auto"/>
        <w:rPr>
          <w:rFonts w:eastAsia="Calibri" w:cs="Verdana"/>
          <w:lang w:val="es-ES"/>
        </w:rPr>
      </w:pPr>
      <w:r w:rsidRPr="00465F79">
        <w:rPr>
          <w:rFonts w:eastAsia="Calibri" w:cs="Verdana"/>
          <w:lang w:val="es-ES"/>
        </w:rPr>
        <w:t>Patricia Pérez Goldberg, Jueza</w:t>
      </w:r>
      <w:r w:rsidR="003E2E38" w:rsidRPr="00465F79">
        <w:rPr>
          <w:rFonts w:eastAsia="Calibri" w:cs="Verdana"/>
          <w:lang w:val="es-ES"/>
        </w:rPr>
        <w:t>;</w:t>
      </w:r>
    </w:p>
    <w:p w14:paraId="5984E1CE" w14:textId="77777777" w:rsidR="00E0705E" w:rsidRPr="00465F79" w:rsidRDefault="00E0705E" w:rsidP="00E0705E">
      <w:pPr>
        <w:tabs>
          <w:tab w:val="left" w:pos="720"/>
        </w:tabs>
        <w:spacing w:line="240" w:lineRule="auto"/>
        <w:rPr>
          <w:rFonts w:eastAsia="Calibri" w:cs="Verdana"/>
          <w:lang w:val="es-ES"/>
        </w:rPr>
      </w:pPr>
    </w:p>
    <w:p w14:paraId="3F14136E" w14:textId="77777777" w:rsidR="00847410" w:rsidRPr="00465F79" w:rsidRDefault="00847410" w:rsidP="00E0705E">
      <w:pPr>
        <w:tabs>
          <w:tab w:val="left" w:pos="720"/>
        </w:tabs>
        <w:spacing w:line="240" w:lineRule="auto"/>
        <w:rPr>
          <w:rFonts w:eastAsia="Calibri" w:cs="Verdana"/>
          <w:lang w:val="es-ES"/>
        </w:rPr>
      </w:pPr>
    </w:p>
    <w:p w14:paraId="3990C21B" w14:textId="7CB1764B" w:rsidR="00E0705E" w:rsidRPr="00465F79" w:rsidRDefault="00E0705E" w:rsidP="00E0705E">
      <w:pPr>
        <w:tabs>
          <w:tab w:val="left" w:pos="720"/>
        </w:tabs>
        <w:spacing w:line="240" w:lineRule="auto"/>
        <w:rPr>
          <w:rFonts w:eastAsia="Calibri" w:cs="Verdana"/>
          <w:lang w:val="es-ES"/>
        </w:rPr>
      </w:pPr>
      <w:r w:rsidRPr="00465F79">
        <w:rPr>
          <w:rFonts w:eastAsia="Calibri" w:cs="Verdana"/>
          <w:lang w:val="es-ES"/>
        </w:rPr>
        <w:t>presente, además,</w:t>
      </w:r>
    </w:p>
    <w:p w14:paraId="017364E6" w14:textId="77777777" w:rsidR="00E0705E" w:rsidRPr="00465F79" w:rsidRDefault="00E0705E" w:rsidP="00E0705E">
      <w:pPr>
        <w:tabs>
          <w:tab w:val="left" w:pos="720"/>
        </w:tabs>
        <w:spacing w:line="240" w:lineRule="auto"/>
        <w:rPr>
          <w:rFonts w:eastAsia="Calibri" w:cs="Verdana"/>
          <w:lang w:val="es-ES"/>
        </w:rPr>
      </w:pPr>
    </w:p>
    <w:p w14:paraId="6ED79915" w14:textId="2B192E6F" w:rsidR="005F7D9A" w:rsidRPr="00465F79" w:rsidRDefault="005F7D9A" w:rsidP="00E0705E">
      <w:pPr>
        <w:tabs>
          <w:tab w:val="left" w:pos="720"/>
        </w:tabs>
        <w:spacing w:line="240" w:lineRule="auto"/>
        <w:rPr>
          <w:rFonts w:eastAsia="Calibri" w:cs="Verdana"/>
          <w:lang w:val="es-ES"/>
        </w:rPr>
      </w:pPr>
      <w:r w:rsidRPr="00465F79">
        <w:rPr>
          <w:rFonts w:eastAsia="Calibri" w:cs="Verdana"/>
          <w:lang w:val="es-ES"/>
        </w:rPr>
        <w:t>Pablo Saavedra Alessandri, Secretario, y</w:t>
      </w:r>
    </w:p>
    <w:p w14:paraId="6923288E" w14:textId="413C6A37" w:rsidR="00E0705E" w:rsidRPr="00465F79" w:rsidRDefault="00E0705E" w:rsidP="00E0705E">
      <w:pPr>
        <w:tabs>
          <w:tab w:val="left" w:pos="720"/>
        </w:tabs>
        <w:spacing w:line="240" w:lineRule="auto"/>
        <w:rPr>
          <w:rFonts w:eastAsia="Calibri" w:cs="Verdana"/>
          <w:lang w:val="es-ES"/>
        </w:rPr>
      </w:pPr>
      <w:r w:rsidRPr="00465F79">
        <w:rPr>
          <w:rFonts w:eastAsia="Calibri" w:cs="Verdana"/>
          <w:lang w:val="es-ES"/>
        </w:rPr>
        <w:t xml:space="preserve">Romina I. Sijniensky, Secretaria Adjunta, </w:t>
      </w:r>
    </w:p>
    <w:p w14:paraId="04D7C381" w14:textId="77777777" w:rsidR="00E0705E" w:rsidRPr="00465F79" w:rsidRDefault="00E0705E" w:rsidP="00E0705E">
      <w:pPr>
        <w:tabs>
          <w:tab w:val="left" w:pos="720"/>
        </w:tabs>
        <w:spacing w:line="240" w:lineRule="auto"/>
        <w:rPr>
          <w:rFonts w:eastAsia="Calibri" w:cs="Verdana"/>
          <w:lang w:val="es-ES"/>
        </w:rPr>
      </w:pPr>
    </w:p>
    <w:p w14:paraId="2A393F96" w14:textId="69931C82" w:rsidR="001D23E3" w:rsidRPr="004211BE" w:rsidRDefault="00E0705E" w:rsidP="004211BE">
      <w:pPr>
        <w:tabs>
          <w:tab w:val="left" w:pos="720"/>
        </w:tabs>
        <w:spacing w:line="240" w:lineRule="auto"/>
        <w:rPr>
          <w:rFonts w:eastAsia="Calibri" w:cs="Verdana"/>
          <w:lang w:val="es-ES"/>
        </w:rPr>
      </w:pPr>
      <w:r w:rsidRPr="00465F79">
        <w:rPr>
          <w:rFonts w:eastAsia="Calibri" w:cs="Verdana"/>
          <w:lang w:val="es-ES"/>
        </w:rPr>
        <w:t>de conformidad con los artículos 62.3 y 63.1 de la Convención Americana sobre Derechos Humanos (en adelante “la Convención Americana” o “la Convención”) y con los artículos 31, 32, 62, 65 y 67 del Reglamento de la Corte (en adelante “el Reglamento” o “el Reglamento de la Corte”), dicta la presente Sentencia, que se estructura en el siguiente orden:</w:t>
      </w:r>
      <w:r w:rsidR="003D433F">
        <w:rPr>
          <w:rFonts w:eastAsia="Calibri"/>
          <w:highlight w:val="yellow"/>
          <w:lang w:val="es-ES"/>
        </w:rPr>
        <w:br w:type="page"/>
      </w:r>
    </w:p>
    <w:sdt>
      <w:sdtPr>
        <w:rPr>
          <w:b w:val="0"/>
          <w:lang w:val="es-CR" w:eastAsia="es-CR"/>
        </w:rPr>
        <w:id w:val="-850710881"/>
        <w:docPartObj>
          <w:docPartGallery w:val="Table of Contents"/>
          <w:docPartUnique/>
        </w:docPartObj>
      </w:sdtPr>
      <w:sdtEndPr>
        <w:rPr>
          <w:bCs/>
          <w:lang w:val="es-ES"/>
        </w:rPr>
      </w:sdtEndPr>
      <w:sdtContent>
        <w:p w14:paraId="1AA3CC79" w14:textId="461699E5" w:rsidR="0067534D" w:rsidRPr="003D433F" w:rsidRDefault="00A64D32" w:rsidP="00465F79">
          <w:pPr>
            <w:pStyle w:val="TtuloTDC"/>
            <w:rPr>
              <w:lang w:val="es-CR"/>
            </w:rPr>
          </w:pPr>
          <w:r w:rsidRPr="003D433F">
            <w:rPr>
              <w:lang w:val="es-CR"/>
            </w:rPr>
            <w:t>ÍNDICE</w:t>
          </w:r>
        </w:p>
        <w:p w14:paraId="7DAE7A99" w14:textId="5DBBEED8" w:rsidR="00815295" w:rsidRDefault="0067534D">
          <w:pPr>
            <w:pStyle w:val="TDC1"/>
            <w:rPr>
              <w:rFonts w:asciiTheme="minorHAnsi" w:eastAsiaTheme="minorEastAsia" w:hAnsiTheme="minorHAnsi" w:cstheme="minorBidi"/>
              <w:b w:val="0"/>
              <w:bCs w:val="0"/>
              <w:caps w:val="0"/>
              <w:noProof/>
              <w:kern w:val="2"/>
              <w:sz w:val="24"/>
              <w:szCs w:val="24"/>
              <w14:ligatures w14:val="standardContextual"/>
            </w:rPr>
          </w:pPr>
          <w:r w:rsidRPr="00465F79">
            <w:fldChar w:fldCharType="begin"/>
          </w:r>
          <w:r w:rsidRPr="00465F79">
            <w:instrText xml:space="preserve"> TOC \o "1-3" \h \z \u </w:instrText>
          </w:r>
          <w:r w:rsidRPr="00465F79">
            <w:fldChar w:fldCharType="separate"/>
          </w:r>
          <w:hyperlink w:anchor="_Toc165022596" w:history="1">
            <w:r w:rsidR="00815295" w:rsidRPr="000725B2">
              <w:rPr>
                <w:rStyle w:val="Hipervnculo"/>
                <w:noProof/>
              </w:rPr>
              <w:t>I INTRODUCCIÓN DE LA CAUSA Y OBJETO DE LA CONTROVERSIA</w:t>
            </w:r>
            <w:r w:rsidR="00815295">
              <w:rPr>
                <w:noProof/>
                <w:webHidden/>
              </w:rPr>
              <w:tab/>
            </w:r>
            <w:r w:rsidR="00815295">
              <w:rPr>
                <w:noProof/>
                <w:webHidden/>
              </w:rPr>
              <w:fldChar w:fldCharType="begin"/>
            </w:r>
            <w:r w:rsidR="00815295">
              <w:rPr>
                <w:noProof/>
                <w:webHidden/>
              </w:rPr>
              <w:instrText xml:space="preserve"> PAGEREF _Toc165022596 \h </w:instrText>
            </w:r>
            <w:r w:rsidR="00815295">
              <w:rPr>
                <w:noProof/>
                <w:webHidden/>
              </w:rPr>
            </w:r>
            <w:r w:rsidR="00815295">
              <w:rPr>
                <w:noProof/>
                <w:webHidden/>
              </w:rPr>
              <w:fldChar w:fldCharType="separate"/>
            </w:r>
            <w:r w:rsidR="00C17BA4">
              <w:rPr>
                <w:noProof/>
                <w:webHidden/>
              </w:rPr>
              <w:t>4</w:t>
            </w:r>
            <w:r w:rsidR="00815295">
              <w:rPr>
                <w:noProof/>
                <w:webHidden/>
              </w:rPr>
              <w:fldChar w:fldCharType="end"/>
            </w:r>
          </w:hyperlink>
        </w:p>
        <w:p w14:paraId="29A23958" w14:textId="5851E094" w:rsidR="00815295" w:rsidRDefault="00000000">
          <w:pPr>
            <w:pStyle w:val="TDC1"/>
            <w:rPr>
              <w:rFonts w:asciiTheme="minorHAnsi" w:eastAsiaTheme="minorEastAsia" w:hAnsiTheme="minorHAnsi" w:cstheme="minorBidi"/>
              <w:b w:val="0"/>
              <w:bCs w:val="0"/>
              <w:caps w:val="0"/>
              <w:noProof/>
              <w:kern w:val="2"/>
              <w:sz w:val="24"/>
              <w:szCs w:val="24"/>
              <w14:ligatures w14:val="standardContextual"/>
            </w:rPr>
          </w:pPr>
          <w:hyperlink w:anchor="_Toc165022597" w:history="1">
            <w:r w:rsidR="00815295" w:rsidRPr="000725B2">
              <w:rPr>
                <w:rStyle w:val="Hipervnculo"/>
                <w:noProof/>
              </w:rPr>
              <w:t>II PROCEDIMIENTO ANTE LA CORTE</w:t>
            </w:r>
            <w:r w:rsidR="00815295">
              <w:rPr>
                <w:noProof/>
                <w:webHidden/>
              </w:rPr>
              <w:tab/>
            </w:r>
            <w:r w:rsidR="00815295">
              <w:rPr>
                <w:noProof/>
                <w:webHidden/>
              </w:rPr>
              <w:fldChar w:fldCharType="begin"/>
            </w:r>
            <w:r w:rsidR="00815295">
              <w:rPr>
                <w:noProof/>
                <w:webHidden/>
              </w:rPr>
              <w:instrText xml:space="preserve"> PAGEREF _Toc165022597 \h </w:instrText>
            </w:r>
            <w:r w:rsidR="00815295">
              <w:rPr>
                <w:noProof/>
                <w:webHidden/>
              </w:rPr>
            </w:r>
            <w:r w:rsidR="00815295">
              <w:rPr>
                <w:noProof/>
                <w:webHidden/>
              </w:rPr>
              <w:fldChar w:fldCharType="separate"/>
            </w:r>
            <w:r w:rsidR="00C17BA4">
              <w:rPr>
                <w:noProof/>
                <w:webHidden/>
              </w:rPr>
              <w:t>5</w:t>
            </w:r>
            <w:r w:rsidR="00815295">
              <w:rPr>
                <w:noProof/>
                <w:webHidden/>
              </w:rPr>
              <w:fldChar w:fldCharType="end"/>
            </w:r>
          </w:hyperlink>
        </w:p>
        <w:p w14:paraId="4F7E9EE3" w14:textId="17DD90F6" w:rsidR="00815295" w:rsidRDefault="00000000">
          <w:pPr>
            <w:pStyle w:val="TDC1"/>
            <w:rPr>
              <w:rFonts w:asciiTheme="minorHAnsi" w:eastAsiaTheme="minorEastAsia" w:hAnsiTheme="minorHAnsi" w:cstheme="minorBidi"/>
              <w:b w:val="0"/>
              <w:bCs w:val="0"/>
              <w:caps w:val="0"/>
              <w:noProof/>
              <w:kern w:val="2"/>
              <w:sz w:val="24"/>
              <w:szCs w:val="24"/>
              <w14:ligatures w14:val="standardContextual"/>
            </w:rPr>
          </w:pPr>
          <w:hyperlink w:anchor="_Toc165022598" w:history="1">
            <w:r w:rsidR="00815295" w:rsidRPr="000725B2">
              <w:rPr>
                <w:rStyle w:val="Hipervnculo"/>
                <w:noProof/>
              </w:rPr>
              <w:t>III COMPETENCIA</w:t>
            </w:r>
            <w:r w:rsidR="00815295">
              <w:rPr>
                <w:noProof/>
                <w:webHidden/>
              </w:rPr>
              <w:tab/>
            </w:r>
            <w:r w:rsidR="00815295">
              <w:rPr>
                <w:noProof/>
                <w:webHidden/>
              </w:rPr>
              <w:fldChar w:fldCharType="begin"/>
            </w:r>
            <w:r w:rsidR="00815295">
              <w:rPr>
                <w:noProof/>
                <w:webHidden/>
              </w:rPr>
              <w:instrText xml:space="preserve"> PAGEREF _Toc165022598 \h </w:instrText>
            </w:r>
            <w:r w:rsidR="00815295">
              <w:rPr>
                <w:noProof/>
                <w:webHidden/>
              </w:rPr>
            </w:r>
            <w:r w:rsidR="00815295">
              <w:rPr>
                <w:noProof/>
                <w:webHidden/>
              </w:rPr>
              <w:fldChar w:fldCharType="separate"/>
            </w:r>
            <w:r w:rsidR="00C17BA4">
              <w:rPr>
                <w:noProof/>
                <w:webHidden/>
              </w:rPr>
              <w:t>6</w:t>
            </w:r>
            <w:r w:rsidR="00815295">
              <w:rPr>
                <w:noProof/>
                <w:webHidden/>
              </w:rPr>
              <w:fldChar w:fldCharType="end"/>
            </w:r>
          </w:hyperlink>
        </w:p>
        <w:p w14:paraId="47A253F7" w14:textId="1A2A753E" w:rsidR="00815295" w:rsidRDefault="00000000">
          <w:pPr>
            <w:pStyle w:val="TDC1"/>
            <w:rPr>
              <w:rFonts w:asciiTheme="minorHAnsi" w:eastAsiaTheme="minorEastAsia" w:hAnsiTheme="minorHAnsi" w:cstheme="minorBidi"/>
              <w:b w:val="0"/>
              <w:bCs w:val="0"/>
              <w:caps w:val="0"/>
              <w:noProof/>
              <w:kern w:val="2"/>
              <w:sz w:val="24"/>
              <w:szCs w:val="24"/>
              <w14:ligatures w14:val="standardContextual"/>
            </w:rPr>
          </w:pPr>
          <w:hyperlink w:anchor="_Toc165022599" w:history="1">
            <w:r w:rsidR="00815295" w:rsidRPr="000725B2">
              <w:rPr>
                <w:rStyle w:val="Hipervnculo"/>
                <w:noProof/>
              </w:rPr>
              <w:t>IV RECONOCIMIENTO DE RESPONSABILIDAD</w:t>
            </w:r>
            <w:r w:rsidR="00815295">
              <w:rPr>
                <w:noProof/>
                <w:webHidden/>
              </w:rPr>
              <w:tab/>
            </w:r>
            <w:r w:rsidR="00815295">
              <w:rPr>
                <w:noProof/>
                <w:webHidden/>
              </w:rPr>
              <w:fldChar w:fldCharType="begin"/>
            </w:r>
            <w:r w:rsidR="00815295">
              <w:rPr>
                <w:noProof/>
                <w:webHidden/>
              </w:rPr>
              <w:instrText xml:space="preserve"> PAGEREF _Toc165022599 \h </w:instrText>
            </w:r>
            <w:r w:rsidR="00815295">
              <w:rPr>
                <w:noProof/>
                <w:webHidden/>
              </w:rPr>
            </w:r>
            <w:r w:rsidR="00815295">
              <w:rPr>
                <w:noProof/>
                <w:webHidden/>
              </w:rPr>
              <w:fldChar w:fldCharType="separate"/>
            </w:r>
            <w:r w:rsidR="00C17BA4">
              <w:rPr>
                <w:noProof/>
                <w:webHidden/>
              </w:rPr>
              <w:t>7</w:t>
            </w:r>
            <w:r w:rsidR="00815295">
              <w:rPr>
                <w:noProof/>
                <w:webHidden/>
              </w:rPr>
              <w:fldChar w:fldCharType="end"/>
            </w:r>
          </w:hyperlink>
        </w:p>
        <w:p w14:paraId="397BFAFB" w14:textId="682989FE" w:rsidR="00815295" w:rsidRDefault="00000000">
          <w:pPr>
            <w:pStyle w:val="TDC2"/>
            <w:rPr>
              <w:rFonts w:asciiTheme="minorHAnsi" w:eastAsiaTheme="minorEastAsia" w:hAnsiTheme="minorHAnsi" w:cstheme="minorBidi"/>
              <w:bCs w:val="0"/>
              <w:i w:val="0"/>
              <w:kern w:val="2"/>
              <w:sz w:val="24"/>
              <w:szCs w:val="24"/>
              <w:lang w:val="es-CR"/>
              <w14:ligatures w14:val="standardContextual"/>
            </w:rPr>
          </w:pPr>
          <w:hyperlink w:anchor="_Toc165022600" w:history="1">
            <w:r w:rsidR="00815295" w:rsidRPr="000725B2">
              <w:rPr>
                <w:rStyle w:val="Hipervnculo"/>
              </w:rPr>
              <w:t>A.</w:t>
            </w:r>
            <w:r w:rsidR="00815295">
              <w:rPr>
                <w:rFonts w:asciiTheme="minorHAnsi" w:eastAsiaTheme="minorEastAsia" w:hAnsiTheme="minorHAnsi" w:cstheme="minorBidi"/>
                <w:bCs w:val="0"/>
                <w:i w:val="0"/>
                <w:kern w:val="2"/>
                <w:sz w:val="24"/>
                <w:szCs w:val="24"/>
                <w:lang w:val="es-CR"/>
                <w14:ligatures w14:val="standardContextual"/>
              </w:rPr>
              <w:tab/>
            </w:r>
            <w:r w:rsidR="00815295" w:rsidRPr="000725B2">
              <w:rPr>
                <w:rStyle w:val="Hipervnculo"/>
              </w:rPr>
              <w:t>Reconocimiento de responsabilidad del Estado y observaciones de la Comisión y del representante</w:t>
            </w:r>
            <w:r w:rsidR="00815295">
              <w:rPr>
                <w:webHidden/>
              </w:rPr>
              <w:tab/>
            </w:r>
            <w:r w:rsidR="00815295">
              <w:rPr>
                <w:webHidden/>
              </w:rPr>
              <w:fldChar w:fldCharType="begin"/>
            </w:r>
            <w:r w:rsidR="00815295">
              <w:rPr>
                <w:webHidden/>
              </w:rPr>
              <w:instrText xml:space="preserve"> PAGEREF _Toc165022600 \h </w:instrText>
            </w:r>
            <w:r w:rsidR="00815295">
              <w:rPr>
                <w:webHidden/>
              </w:rPr>
            </w:r>
            <w:r w:rsidR="00815295">
              <w:rPr>
                <w:webHidden/>
              </w:rPr>
              <w:fldChar w:fldCharType="separate"/>
            </w:r>
            <w:r w:rsidR="00C17BA4">
              <w:rPr>
                <w:webHidden/>
              </w:rPr>
              <w:t>7</w:t>
            </w:r>
            <w:r w:rsidR="00815295">
              <w:rPr>
                <w:webHidden/>
              </w:rPr>
              <w:fldChar w:fldCharType="end"/>
            </w:r>
          </w:hyperlink>
        </w:p>
        <w:p w14:paraId="64583743" w14:textId="38271984" w:rsidR="00815295" w:rsidRDefault="00000000">
          <w:pPr>
            <w:pStyle w:val="TDC2"/>
            <w:rPr>
              <w:rFonts w:asciiTheme="minorHAnsi" w:eastAsiaTheme="minorEastAsia" w:hAnsiTheme="minorHAnsi" w:cstheme="minorBidi"/>
              <w:bCs w:val="0"/>
              <w:i w:val="0"/>
              <w:kern w:val="2"/>
              <w:sz w:val="24"/>
              <w:szCs w:val="24"/>
              <w:lang w:val="es-CR"/>
              <w14:ligatures w14:val="standardContextual"/>
            </w:rPr>
          </w:pPr>
          <w:hyperlink w:anchor="_Toc165022601" w:history="1">
            <w:r w:rsidR="00815295" w:rsidRPr="000725B2">
              <w:rPr>
                <w:rStyle w:val="Hipervnculo"/>
                <w:lang w:eastAsia="es-MX"/>
              </w:rPr>
              <w:t>B.</w:t>
            </w:r>
            <w:r w:rsidR="00815295">
              <w:rPr>
                <w:rFonts w:asciiTheme="minorHAnsi" w:eastAsiaTheme="minorEastAsia" w:hAnsiTheme="minorHAnsi" w:cstheme="minorBidi"/>
                <w:bCs w:val="0"/>
                <w:i w:val="0"/>
                <w:kern w:val="2"/>
                <w:sz w:val="24"/>
                <w:szCs w:val="24"/>
                <w:lang w:val="es-CR"/>
                <w14:ligatures w14:val="standardContextual"/>
              </w:rPr>
              <w:tab/>
            </w:r>
            <w:r w:rsidR="00815295" w:rsidRPr="000725B2">
              <w:rPr>
                <w:rStyle w:val="Hipervnculo"/>
                <w:lang w:eastAsia="es-MX"/>
              </w:rPr>
              <w:t>Consideraciones de la Corte</w:t>
            </w:r>
            <w:r w:rsidR="00815295">
              <w:rPr>
                <w:webHidden/>
              </w:rPr>
              <w:tab/>
            </w:r>
            <w:r w:rsidR="00815295">
              <w:rPr>
                <w:webHidden/>
              </w:rPr>
              <w:fldChar w:fldCharType="begin"/>
            </w:r>
            <w:r w:rsidR="00815295">
              <w:rPr>
                <w:webHidden/>
              </w:rPr>
              <w:instrText xml:space="preserve"> PAGEREF _Toc165022601 \h </w:instrText>
            </w:r>
            <w:r w:rsidR="00815295">
              <w:rPr>
                <w:webHidden/>
              </w:rPr>
            </w:r>
            <w:r w:rsidR="00815295">
              <w:rPr>
                <w:webHidden/>
              </w:rPr>
              <w:fldChar w:fldCharType="separate"/>
            </w:r>
            <w:r w:rsidR="00C17BA4">
              <w:rPr>
                <w:webHidden/>
              </w:rPr>
              <w:t>8</w:t>
            </w:r>
            <w:r w:rsidR="00815295">
              <w:rPr>
                <w:webHidden/>
              </w:rPr>
              <w:fldChar w:fldCharType="end"/>
            </w:r>
          </w:hyperlink>
        </w:p>
        <w:p w14:paraId="274CFB81" w14:textId="6547C721" w:rsidR="00815295" w:rsidRDefault="00000000">
          <w:pPr>
            <w:pStyle w:val="TDC3"/>
            <w:rPr>
              <w:rFonts w:asciiTheme="minorHAnsi" w:eastAsiaTheme="minorEastAsia" w:hAnsiTheme="minorHAnsi" w:cstheme="minorBidi"/>
              <w:i w:val="0"/>
              <w:iCs w:val="0"/>
              <w:noProof/>
              <w:kern w:val="2"/>
              <w:sz w:val="24"/>
              <w:szCs w:val="24"/>
              <w14:ligatures w14:val="standardContextual"/>
            </w:rPr>
          </w:pPr>
          <w:hyperlink w:anchor="_Toc165022602" w:history="1">
            <w:r w:rsidR="00815295" w:rsidRPr="000725B2">
              <w:rPr>
                <w:rStyle w:val="Hipervnculo"/>
                <w:bCs/>
                <w:noProof/>
                <w:lang w:eastAsia="es-MX"/>
              </w:rPr>
              <w:t>B.1. En cuanto a los hechos</w:t>
            </w:r>
            <w:r w:rsidR="00815295">
              <w:rPr>
                <w:noProof/>
                <w:webHidden/>
              </w:rPr>
              <w:tab/>
            </w:r>
            <w:r w:rsidR="00815295">
              <w:rPr>
                <w:noProof/>
                <w:webHidden/>
              </w:rPr>
              <w:fldChar w:fldCharType="begin"/>
            </w:r>
            <w:r w:rsidR="00815295">
              <w:rPr>
                <w:noProof/>
                <w:webHidden/>
              </w:rPr>
              <w:instrText xml:space="preserve"> PAGEREF _Toc165022602 \h </w:instrText>
            </w:r>
            <w:r w:rsidR="00815295">
              <w:rPr>
                <w:noProof/>
                <w:webHidden/>
              </w:rPr>
            </w:r>
            <w:r w:rsidR="00815295">
              <w:rPr>
                <w:noProof/>
                <w:webHidden/>
              </w:rPr>
              <w:fldChar w:fldCharType="separate"/>
            </w:r>
            <w:r w:rsidR="00C17BA4">
              <w:rPr>
                <w:noProof/>
                <w:webHidden/>
              </w:rPr>
              <w:t>8</w:t>
            </w:r>
            <w:r w:rsidR="00815295">
              <w:rPr>
                <w:noProof/>
                <w:webHidden/>
              </w:rPr>
              <w:fldChar w:fldCharType="end"/>
            </w:r>
          </w:hyperlink>
        </w:p>
        <w:p w14:paraId="4F59487F" w14:textId="12C08108" w:rsidR="00815295" w:rsidRDefault="00000000">
          <w:pPr>
            <w:pStyle w:val="TDC3"/>
            <w:rPr>
              <w:rFonts w:asciiTheme="minorHAnsi" w:eastAsiaTheme="minorEastAsia" w:hAnsiTheme="minorHAnsi" w:cstheme="minorBidi"/>
              <w:i w:val="0"/>
              <w:iCs w:val="0"/>
              <w:noProof/>
              <w:kern w:val="2"/>
              <w:sz w:val="24"/>
              <w:szCs w:val="24"/>
              <w14:ligatures w14:val="standardContextual"/>
            </w:rPr>
          </w:pPr>
          <w:hyperlink w:anchor="_Toc165022603" w:history="1">
            <w:r w:rsidR="00815295" w:rsidRPr="000725B2">
              <w:rPr>
                <w:rStyle w:val="Hipervnculo"/>
                <w:bCs/>
                <w:noProof/>
                <w:lang w:eastAsia="es-MX"/>
              </w:rPr>
              <w:t>B.2. En cuanto a las pretensiones de derecho</w:t>
            </w:r>
            <w:r w:rsidR="00815295">
              <w:rPr>
                <w:noProof/>
                <w:webHidden/>
              </w:rPr>
              <w:tab/>
            </w:r>
            <w:r w:rsidR="00815295">
              <w:rPr>
                <w:noProof/>
                <w:webHidden/>
              </w:rPr>
              <w:fldChar w:fldCharType="begin"/>
            </w:r>
            <w:r w:rsidR="00815295">
              <w:rPr>
                <w:noProof/>
                <w:webHidden/>
              </w:rPr>
              <w:instrText xml:space="preserve"> PAGEREF _Toc165022603 \h </w:instrText>
            </w:r>
            <w:r w:rsidR="00815295">
              <w:rPr>
                <w:noProof/>
                <w:webHidden/>
              </w:rPr>
            </w:r>
            <w:r w:rsidR="00815295">
              <w:rPr>
                <w:noProof/>
                <w:webHidden/>
              </w:rPr>
              <w:fldChar w:fldCharType="separate"/>
            </w:r>
            <w:r w:rsidR="00C17BA4">
              <w:rPr>
                <w:noProof/>
                <w:webHidden/>
              </w:rPr>
              <w:t>8</w:t>
            </w:r>
            <w:r w:rsidR="00815295">
              <w:rPr>
                <w:noProof/>
                <w:webHidden/>
              </w:rPr>
              <w:fldChar w:fldCharType="end"/>
            </w:r>
          </w:hyperlink>
        </w:p>
        <w:p w14:paraId="2F3F18AA" w14:textId="1A79EC90" w:rsidR="00815295" w:rsidRDefault="00000000">
          <w:pPr>
            <w:pStyle w:val="TDC3"/>
            <w:rPr>
              <w:rFonts w:asciiTheme="minorHAnsi" w:eastAsiaTheme="minorEastAsia" w:hAnsiTheme="minorHAnsi" w:cstheme="minorBidi"/>
              <w:i w:val="0"/>
              <w:iCs w:val="0"/>
              <w:noProof/>
              <w:kern w:val="2"/>
              <w:sz w:val="24"/>
              <w:szCs w:val="24"/>
              <w14:ligatures w14:val="standardContextual"/>
            </w:rPr>
          </w:pPr>
          <w:hyperlink w:anchor="_Toc165022604" w:history="1">
            <w:r w:rsidR="00815295" w:rsidRPr="000725B2">
              <w:rPr>
                <w:rStyle w:val="Hipervnculo"/>
                <w:bCs/>
                <w:noProof/>
                <w:lang w:eastAsia="es-MX"/>
              </w:rPr>
              <w:t>B.3. En cuanto a las eventuales medidas de reparación</w:t>
            </w:r>
            <w:r w:rsidR="00815295">
              <w:rPr>
                <w:noProof/>
                <w:webHidden/>
              </w:rPr>
              <w:tab/>
            </w:r>
            <w:r w:rsidR="00815295">
              <w:rPr>
                <w:noProof/>
                <w:webHidden/>
              </w:rPr>
              <w:fldChar w:fldCharType="begin"/>
            </w:r>
            <w:r w:rsidR="00815295">
              <w:rPr>
                <w:noProof/>
                <w:webHidden/>
              </w:rPr>
              <w:instrText xml:space="preserve"> PAGEREF _Toc165022604 \h </w:instrText>
            </w:r>
            <w:r w:rsidR="00815295">
              <w:rPr>
                <w:noProof/>
                <w:webHidden/>
              </w:rPr>
            </w:r>
            <w:r w:rsidR="00815295">
              <w:rPr>
                <w:noProof/>
                <w:webHidden/>
              </w:rPr>
              <w:fldChar w:fldCharType="separate"/>
            </w:r>
            <w:r w:rsidR="00C17BA4">
              <w:rPr>
                <w:noProof/>
                <w:webHidden/>
              </w:rPr>
              <w:t>8</w:t>
            </w:r>
            <w:r w:rsidR="00815295">
              <w:rPr>
                <w:noProof/>
                <w:webHidden/>
              </w:rPr>
              <w:fldChar w:fldCharType="end"/>
            </w:r>
          </w:hyperlink>
        </w:p>
        <w:p w14:paraId="22A1F425" w14:textId="7207810C" w:rsidR="00815295" w:rsidRDefault="00000000">
          <w:pPr>
            <w:pStyle w:val="TDC3"/>
            <w:rPr>
              <w:rFonts w:asciiTheme="minorHAnsi" w:eastAsiaTheme="minorEastAsia" w:hAnsiTheme="minorHAnsi" w:cstheme="minorBidi"/>
              <w:i w:val="0"/>
              <w:iCs w:val="0"/>
              <w:noProof/>
              <w:kern w:val="2"/>
              <w:sz w:val="24"/>
              <w:szCs w:val="24"/>
              <w14:ligatures w14:val="standardContextual"/>
            </w:rPr>
          </w:pPr>
          <w:hyperlink w:anchor="_Toc165022605" w:history="1">
            <w:r w:rsidR="00815295" w:rsidRPr="000725B2">
              <w:rPr>
                <w:rStyle w:val="Hipervnculo"/>
                <w:bCs/>
                <w:noProof/>
                <w:lang w:eastAsia="es-MX"/>
              </w:rPr>
              <w:t>B.4. Valoración del alcance del reconocimiento de responsabilidad</w:t>
            </w:r>
            <w:r w:rsidR="00815295">
              <w:rPr>
                <w:noProof/>
                <w:webHidden/>
              </w:rPr>
              <w:tab/>
            </w:r>
            <w:r w:rsidR="00815295">
              <w:rPr>
                <w:noProof/>
                <w:webHidden/>
              </w:rPr>
              <w:fldChar w:fldCharType="begin"/>
            </w:r>
            <w:r w:rsidR="00815295">
              <w:rPr>
                <w:noProof/>
                <w:webHidden/>
              </w:rPr>
              <w:instrText xml:space="preserve"> PAGEREF _Toc165022605 \h </w:instrText>
            </w:r>
            <w:r w:rsidR="00815295">
              <w:rPr>
                <w:noProof/>
                <w:webHidden/>
              </w:rPr>
            </w:r>
            <w:r w:rsidR="00815295">
              <w:rPr>
                <w:noProof/>
                <w:webHidden/>
              </w:rPr>
              <w:fldChar w:fldCharType="separate"/>
            </w:r>
            <w:r w:rsidR="00C17BA4">
              <w:rPr>
                <w:noProof/>
                <w:webHidden/>
              </w:rPr>
              <w:t>9</w:t>
            </w:r>
            <w:r w:rsidR="00815295">
              <w:rPr>
                <w:noProof/>
                <w:webHidden/>
              </w:rPr>
              <w:fldChar w:fldCharType="end"/>
            </w:r>
          </w:hyperlink>
        </w:p>
        <w:p w14:paraId="3A2006BC" w14:textId="70A7252E" w:rsidR="00815295" w:rsidRDefault="00000000">
          <w:pPr>
            <w:pStyle w:val="TDC1"/>
            <w:rPr>
              <w:rFonts w:asciiTheme="minorHAnsi" w:eastAsiaTheme="minorEastAsia" w:hAnsiTheme="minorHAnsi" w:cstheme="minorBidi"/>
              <w:b w:val="0"/>
              <w:bCs w:val="0"/>
              <w:caps w:val="0"/>
              <w:noProof/>
              <w:kern w:val="2"/>
              <w:sz w:val="24"/>
              <w:szCs w:val="24"/>
              <w14:ligatures w14:val="standardContextual"/>
            </w:rPr>
          </w:pPr>
          <w:hyperlink w:anchor="_Toc165022606" w:history="1">
            <w:r w:rsidR="00815295" w:rsidRPr="000725B2">
              <w:rPr>
                <w:rStyle w:val="Hipervnculo"/>
                <w:noProof/>
              </w:rPr>
              <w:t>V PRUEBA</w:t>
            </w:r>
            <w:r w:rsidR="00815295">
              <w:rPr>
                <w:noProof/>
                <w:webHidden/>
              </w:rPr>
              <w:tab/>
            </w:r>
            <w:r w:rsidR="00815295">
              <w:rPr>
                <w:noProof/>
                <w:webHidden/>
              </w:rPr>
              <w:fldChar w:fldCharType="begin"/>
            </w:r>
            <w:r w:rsidR="00815295">
              <w:rPr>
                <w:noProof/>
                <w:webHidden/>
              </w:rPr>
              <w:instrText xml:space="preserve"> PAGEREF _Toc165022606 \h </w:instrText>
            </w:r>
            <w:r w:rsidR="00815295">
              <w:rPr>
                <w:noProof/>
                <w:webHidden/>
              </w:rPr>
            </w:r>
            <w:r w:rsidR="00815295">
              <w:rPr>
                <w:noProof/>
                <w:webHidden/>
              </w:rPr>
              <w:fldChar w:fldCharType="separate"/>
            </w:r>
            <w:r w:rsidR="00C17BA4">
              <w:rPr>
                <w:noProof/>
                <w:webHidden/>
              </w:rPr>
              <w:t>10</w:t>
            </w:r>
            <w:r w:rsidR="00815295">
              <w:rPr>
                <w:noProof/>
                <w:webHidden/>
              </w:rPr>
              <w:fldChar w:fldCharType="end"/>
            </w:r>
          </w:hyperlink>
        </w:p>
        <w:p w14:paraId="79AF2539" w14:textId="590E2C58" w:rsidR="00815295" w:rsidRDefault="00000000">
          <w:pPr>
            <w:pStyle w:val="TDC2"/>
            <w:rPr>
              <w:rFonts w:asciiTheme="minorHAnsi" w:eastAsiaTheme="minorEastAsia" w:hAnsiTheme="minorHAnsi" w:cstheme="minorBidi"/>
              <w:bCs w:val="0"/>
              <w:i w:val="0"/>
              <w:kern w:val="2"/>
              <w:sz w:val="24"/>
              <w:szCs w:val="24"/>
              <w:lang w:val="es-CR"/>
              <w14:ligatures w14:val="standardContextual"/>
            </w:rPr>
          </w:pPr>
          <w:hyperlink w:anchor="_Toc165022607" w:history="1">
            <w:r w:rsidR="00815295" w:rsidRPr="000725B2">
              <w:rPr>
                <w:rStyle w:val="Hipervnculo"/>
              </w:rPr>
              <w:t>A.</w:t>
            </w:r>
            <w:r w:rsidR="00815295">
              <w:rPr>
                <w:rFonts w:asciiTheme="minorHAnsi" w:eastAsiaTheme="minorEastAsia" w:hAnsiTheme="minorHAnsi" w:cstheme="minorBidi"/>
                <w:bCs w:val="0"/>
                <w:i w:val="0"/>
                <w:kern w:val="2"/>
                <w:sz w:val="24"/>
                <w:szCs w:val="24"/>
                <w:lang w:val="es-CR"/>
                <w14:ligatures w14:val="standardContextual"/>
              </w:rPr>
              <w:tab/>
            </w:r>
            <w:r w:rsidR="00815295" w:rsidRPr="000725B2">
              <w:rPr>
                <w:rStyle w:val="Hipervnculo"/>
              </w:rPr>
              <w:t>Admisibilidad de la prueba documental</w:t>
            </w:r>
            <w:r w:rsidR="00815295">
              <w:rPr>
                <w:webHidden/>
              </w:rPr>
              <w:tab/>
            </w:r>
            <w:r w:rsidR="00815295">
              <w:rPr>
                <w:webHidden/>
              </w:rPr>
              <w:fldChar w:fldCharType="begin"/>
            </w:r>
            <w:r w:rsidR="00815295">
              <w:rPr>
                <w:webHidden/>
              </w:rPr>
              <w:instrText xml:space="preserve"> PAGEREF _Toc165022607 \h </w:instrText>
            </w:r>
            <w:r w:rsidR="00815295">
              <w:rPr>
                <w:webHidden/>
              </w:rPr>
            </w:r>
            <w:r w:rsidR="00815295">
              <w:rPr>
                <w:webHidden/>
              </w:rPr>
              <w:fldChar w:fldCharType="separate"/>
            </w:r>
            <w:r w:rsidR="00C17BA4">
              <w:rPr>
                <w:webHidden/>
              </w:rPr>
              <w:t>10</w:t>
            </w:r>
            <w:r w:rsidR="00815295">
              <w:rPr>
                <w:webHidden/>
              </w:rPr>
              <w:fldChar w:fldCharType="end"/>
            </w:r>
          </w:hyperlink>
        </w:p>
        <w:p w14:paraId="4F33EE1F" w14:textId="08A4BB97" w:rsidR="00815295" w:rsidRDefault="00000000">
          <w:pPr>
            <w:pStyle w:val="TDC2"/>
            <w:rPr>
              <w:rFonts w:asciiTheme="minorHAnsi" w:eastAsiaTheme="minorEastAsia" w:hAnsiTheme="minorHAnsi" w:cstheme="minorBidi"/>
              <w:bCs w:val="0"/>
              <w:i w:val="0"/>
              <w:kern w:val="2"/>
              <w:sz w:val="24"/>
              <w:szCs w:val="24"/>
              <w:lang w:val="es-CR"/>
              <w14:ligatures w14:val="standardContextual"/>
            </w:rPr>
          </w:pPr>
          <w:hyperlink w:anchor="_Toc165022608" w:history="1">
            <w:r w:rsidR="00815295" w:rsidRPr="000725B2">
              <w:rPr>
                <w:rStyle w:val="Hipervnculo"/>
              </w:rPr>
              <w:t>B.</w:t>
            </w:r>
            <w:r w:rsidR="00815295">
              <w:rPr>
                <w:rFonts w:asciiTheme="minorHAnsi" w:eastAsiaTheme="minorEastAsia" w:hAnsiTheme="minorHAnsi" w:cstheme="minorBidi"/>
                <w:bCs w:val="0"/>
                <w:i w:val="0"/>
                <w:kern w:val="2"/>
                <w:sz w:val="24"/>
                <w:szCs w:val="24"/>
                <w:lang w:val="es-CR"/>
                <w14:ligatures w14:val="standardContextual"/>
              </w:rPr>
              <w:tab/>
            </w:r>
            <w:r w:rsidR="00815295" w:rsidRPr="000725B2">
              <w:rPr>
                <w:rStyle w:val="Hipervnculo"/>
              </w:rPr>
              <w:t>Admisibilidad de la prueba testimonial</w:t>
            </w:r>
            <w:r w:rsidR="00815295">
              <w:rPr>
                <w:webHidden/>
              </w:rPr>
              <w:tab/>
            </w:r>
            <w:r w:rsidR="00815295">
              <w:rPr>
                <w:webHidden/>
              </w:rPr>
              <w:fldChar w:fldCharType="begin"/>
            </w:r>
            <w:r w:rsidR="00815295">
              <w:rPr>
                <w:webHidden/>
              </w:rPr>
              <w:instrText xml:space="preserve"> PAGEREF _Toc165022608 \h </w:instrText>
            </w:r>
            <w:r w:rsidR="00815295">
              <w:rPr>
                <w:webHidden/>
              </w:rPr>
            </w:r>
            <w:r w:rsidR="00815295">
              <w:rPr>
                <w:webHidden/>
              </w:rPr>
              <w:fldChar w:fldCharType="separate"/>
            </w:r>
            <w:r w:rsidR="00C17BA4">
              <w:rPr>
                <w:webHidden/>
              </w:rPr>
              <w:t>11</w:t>
            </w:r>
            <w:r w:rsidR="00815295">
              <w:rPr>
                <w:webHidden/>
              </w:rPr>
              <w:fldChar w:fldCharType="end"/>
            </w:r>
          </w:hyperlink>
        </w:p>
        <w:p w14:paraId="16430331" w14:textId="208DD3E8" w:rsidR="00815295" w:rsidRDefault="00000000">
          <w:pPr>
            <w:pStyle w:val="TDC1"/>
            <w:rPr>
              <w:rFonts w:asciiTheme="minorHAnsi" w:eastAsiaTheme="minorEastAsia" w:hAnsiTheme="minorHAnsi" w:cstheme="minorBidi"/>
              <w:b w:val="0"/>
              <w:bCs w:val="0"/>
              <w:caps w:val="0"/>
              <w:noProof/>
              <w:kern w:val="2"/>
              <w:sz w:val="24"/>
              <w:szCs w:val="24"/>
              <w14:ligatures w14:val="standardContextual"/>
            </w:rPr>
          </w:pPr>
          <w:hyperlink w:anchor="_Toc165022609" w:history="1">
            <w:r w:rsidR="00815295" w:rsidRPr="000725B2">
              <w:rPr>
                <w:rStyle w:val="Hipervnculo"/>
                <w:noProof/>
              </w:rPr>
              <w:t>VI HECHOS</w:t>
            </w:r>
            <w:r w:rsidR="00815295">
              <w:rPr>
                <w:noProof/>
                <w:webHidden/>
              </w:rPr>
              <w:tab/>
            </w:r>
            <w:r w:rsidR="00815295">
              <w:rPr>
                <w:noProof/>
                <w:webHidden/>
              </w:rPr>
              <w:fldChar w:fldCharType="begin"/>
            </w:r>
            <w:r w:rsidR="00815295">
              <w:rPr>
                <w:noProof/>
                <w:webHidden/>
              </w:rPr>
              <w:instrText xml:space="preserve"> PAGEREF _Toc165022609 \h </w:instrText>
            </w:r>
            <w:r w:rsidR="00815295">
              <w:rPr>
                <w:noProof/>
                <w:webHidden/>
              </w:rPr>
            </w:r>
            <w:r w:rsidR="00815295">
              <w:rPr>
                <w:noProof/>
                <w:webHidden/>
              </w:rPr>
              <w:fldChar w:fldCharType="separate"/>
            </w:r>
            <w:r w:rsidR="00C17BA4">
              <w:rPr>
                <w:noProof/>
                <w:webHidden/>
              </w:rPr>
              <w:t>12</w:t>
            </w:r>
            <w:r w:rsidR="00815295">
              <w:rPr>
                <w:noProof/>
                <w:webHidden/>
              </w:rPr>
              <w:fldChar w:fldCharType="end"/>
            </w:r>
          </w:hyperlink>
        </w:p>
        <w:p w14:paraId="23DE1FCE" w14:textId="3D722DC1" w:rsidR="00815295" w:rsidRDefault="00000000">
          <w:pPr>
            <w:pStyle w:val="TDC2"/>
            <w:rPr>
              <w:rFonts w:asciiTheme="minorHAnsi" w:eastAsiaTheme="minorEastAsia" w:hAnsiTheme="minorHAnsi" w:cstheme="minorBidi"/>
              <w:bCs w:val="0"/>
              <w:i w:val="0"/>
              <w:kern w:val="2"/>
              <w:sz w:val="24"/>
              <w:szCs w:val="24"/>
              <w:lang w:val="es-CR"/>
              <w14:ligatures w14:val="standardContextual"/>
            </w:rPr>
          </w:pPr>
          <w:hyperlink w:anchor="_Toc165022610" w:history="1">
            <w:r w:rsidR="00815295" w:rsidRPr="000725B2">
              <w:rPr>
                <w:rStyle w:val="Hipervnculo"/>
              </w:rPr>
              <w:t>A.</w:t>
            </w:r>
            <w:r w:rsidR="00815295">
              <w:rPr>
                <w:rFonts w:asciiTheme="minorHAnsi" w:eastAsiaTheme="minorEastAsia" w:hAnsiTheme="minorHAnsi" w:cstheme="minorBidi"/>
                <w:bCs w:val="0"/>
                <w:i w:val="0"/>
                <w:kern w:val="2"/>
                <w:sz w:val="24"/>
                <w:szCs w:val="24"/>
                <w:lang w:val="es-CR"/>
                <w14:ligatures w14:val="standardContextual"/>
              </w:rPr>
              <w:tab/>
            </w:r>
            <w:r w:rsidR="00815295" w:rsidRPr="000725B2">
              <w:rPr>
                <w:rStyle w:val="Hipervnculo"/>
              </w:rPr>
              <w:t>Del contexto de desapariciones forzadas en el conflicto armado en El Salvador</w:t>
            </w:r>
            <w:r w:rsidR="00815295">
              <w:rPr>
                <w:webHidden/>
              </w:rPr>
              <w:tab/>
            </w:r>
            <w:r w:rsidR="00815295">
              <w:rPr>
                <w:webHidden/>
              </w:rPr>
              <w:fldChar w:fldCharType="begin"/>
            </w:r>
            <w:r w:rsidR="00815295">
              <w:rPr>
                <w:webHidden/>
              </w:rPr>
              <w:instrText xml:space="preserve"> PAGEREF _Toc165022610 \h </w:instrText>
            </w:r>
            <w:r w:rsidR="00815295">
              <w:rPr>
                <w:webHidden/>
              </w:rPr>
            </w:r>
            <w:r w:rsidR="00815295">
              <w:rPr>
                <w:webHidden/>
              </w:rPr>
              <w:fldChar w:fldCharType="separate"/>
            </w:r>
            <w:r w:rsidR="00C17BA4">
              <w:rPr>
                <w:webHidden/>
              </w:rPr>
              <w:t>12</w:t>
            </w:r>
            <w:r w:rsidR="00815295">
              <w:rPr>
                <w:webHidden/>
              </w:rPr>
              <w:fldChar w:fldCharType="end"/>
            </w:r>
          </w:hyperlink>
        </w:p>
        <w:p w14:paraId="1B76F3BC" w14:textId="487793F4" w:rsidR="00815295" w:rsidRDefault="00000000">
          <w:pPr>
            <w:pStyle w:val="TDC2"/>
            <w:rPr>
              <w:rFonts w:asciiTheme="minorHAnsi" w:eastAsiaTheme="minorEastAsia" w:hAnsiTheme="minorHAnsi" w:cstheme="minorBidi"/>
              <w:bCs w:val="0"/>
              <w:i w:val="0"/>
              <w:kern w:val="2"/>
              <w:sz w:val="24"/>
              <w:szCs w:val="24"/>
              <w:lang w:val="es-CR"/>
              <w14:ligatures w14:val="standardContextual"/>
            </w:rPr>
          </w:pPr>
          <w:hyperlink w:anchor="_Toc165022611" w:history="1">
            <w:r w:rsidR="00815295" w:rsidRPr="000725B2">
              <w:rPr>
                <w:rStyle w:val="Hipervnculo"/>
              </w:rPr>
              <w:t>B.</w:t>
            </w:r>
            <w:r w:rsidR="00815295">
              <w:rPr>
                <w:rFonts w:asciiTheme="minorHAnsi" w:eastAsiaTheme="minorEastAsia" w:hAnsiTheme="minorHAnsi" w:cstheme="minorBidi"/>
                <w:bCs w:val="0"/>
                <w:i w:val="0"/>
                <w:kern w:val="2"/>
                <w:sz w:val="24"/>
                <w:szCs w:val="24"/>
                <w:lang w:val="es-CR"/>
                <w14:ligatures w14:val="standardContextual"/>
              </w:rPr>
              <w:tab/>
            </w:r>
            <w:r w:rsidR="00815295" w:rsidRPr="000725B2">
              <w:rPr>
                <w:rStyle w:val="Hipervnculo"/>
              </w:rPr>
              <w:t>Sobre Patricia Emilie Cuéllar Sandoval y su trabajo en la oficina del Socorro Jurídico Cristiano</w:t>
            </w:r>
            <w:r w:rsidR="00815295">
              <w:rPr>
                <w:webHidden/>
              </w:rPr>
              <w:tab/>
            </w:r>
            <w:r w:rsidR="00815295">
              <w:rPr>
                <w:webHidden/>
              </w:rPr>
              <w:fldChar w:fldCharType="begin"/>
            </w:r>
            <w:r w:rsidR="00815295">
              <w:rPr>
                <w:webHidden/>
              </w:rPr>
              <w:instrText xml:space="preserve"> PAGEREF _Toc165022611 \h </w:instrText>
            </w:r>
            <w:r w:rsidR="00815295">
              <w:rPr>
                <w:webHidden/>
              </w:rPr>
            </w:r>
            <w:r w:rsidR="00815295">
              <w:rPr>
                <w:webHidden/>
              </w:rPr>
              <w:fldChar w:fldCharType="separate"/>
            </w:r>
            <w:r w:rsidR="00C17BA4">
              <w:rPr>
                <w:webHidden/>
              </w:rPr>
              <w:t>14</w:t>
            </w:r>
            <w:r w:rsidR="00815295">
              <w:rPr>
                <w:webHidden/>
              </w:rPr>
              <w:fldChar w:fldCharType="end"/>
            </w:r>
          </w:hyperlink>
        </w:p>
        <w:p w14:paraId="3D713B3B" w14:textId="2A3E441E" w:rsidR="00815295" w:rsidRDefault="00000000">
          <w:pPr>
            <w:pStyle w:val="TDC2"/>
            <w:rPr>
              <w:rFonts w:asciiTheme="minorHAnsi" w:eastAsiaTheme="minorEastAsia" w:hAnsiTheme="minorHAnsi" w:cstheme="minorBidi"/>
              <w:bCs w:val="0"/>
              <w:i w:val="0"/>
              <w:kern w:val="2"/>
              <w:sz w:val="24"/>
              <w:szCs w:val="24"/>
              <w:lang w:val="es-CR"/>
              <w14:ligatures w14:val="standardContextual"/>
            </w:rPr>
          </w:pPr>
          <w:hyperlink w:anchor="_Toc165022612" w:history="1">
            <w:r w:rsidR="00815295" w:rsidRPr="000725B2">
              <w:rPr>
                <w:rStyle w:val="Hipervnculo"/>
              </w:rPr>
              <w:t>C.</w:t>
            </w:r>
            <w:r w:rsidR="00815295">
              <w:rPr>
                <w:rFonts w:asciiTheme="minorHAnsi" w:eastAsiaTheme="minorEastAsia" w:hAnsiTheme="minorHAnsi" w:cstheme="minorBidi"/>
                <w:bCs w:val="0"/>
                <w:i w:val="0"/>
                <w:kern w:val="2"/>
                <w:sz w:val="24"/>
                <w:szCs w:val="24"/>
                <w:lang w:val="es-CR"/>
                <w14:ligatures w14:val="standardContextual"/>
              </w:rPr>
              <w:tab/>
            </w:r>
            <w:r w:rsidR="00815295" w:rsidRPr="000725B2">
              <w:rPr>
                <w:rStyle w:val="Hipervnculo"/>
              </w:rPr>
              <w:t>Sobre la desaparición de Patricia Emilie Cuéllar Sandoval, Mauricio Cuéllar Cuéllar y Julia Orbelina Pérez</w:t>
            </w:r>
            <w:r w:rsidR="00815295">
              <w:rPr>
                <w:webHidden/>
              </w:rPr>
              <w:tab/>
            </w:r>
            <w:r w:rsidR="00815295">
              <w:rPr>
                <w:webHidden/>
              </w:rPr>
              <w:fldChar w:fldCharType="begin"/>
            </w:r>
            <w:r w:rsidR="00815295">
              <w:rPr>
                <w:webHidden/>
              </w:rPr>
              <w:instrText xml:space="preserve"> PAGEREF _Toc165022612 \h </w:instrText>
            </w:r>
            <w:r w:rsidR="00815295">
              <w:rPr>
                <w:webHidden/>
              </w:rPr>
            </w:r>
            <w:r w:rsidR="00815295">
              <w:rPr>
                <w:webHidden/>
              </w:rPr>
              <w:fldChar w:fldCharType="separate"/>
            </w:r>
            <w:r w:rsidR="00C17BA4">
              <w:rPr>
                <w:webHidden/>
              </w:rPr>
              <w:t>16</w:t>
            </w:r>
            <w:r w:rsidR="00815295">
              <w:rPr>
                <w:webHidden/>
              </w:rPr>
              <w:fldChar w:fldCharType="end"/>
            </w:r>
          </w:hyperlink>
        </w:p>
        <w:p w14:paraId="3BFA084C" w14:textId="62024750" w:rsidR="00815295" w:rsidRDefault="00000000">
          <w:pPr>
            <w:pStyle w:val="TDC2"/>
            <w:rPr>
              <w:rFonts w:asciiTheme="minorHAnsi" w:eastAsiaTheme="minorEastAsia" w:hAnsiTheme="minorHAnsi" w:cstheme="minorBidi"/>
              <w:bCs w:val="0"/>
              <w:i w:val="0"/>
              <w:kern w:val="2"/>
              <w:sz w:val="24"/>
              <w:szCs w:val="24"/>
              <w:lang w:val="es-CR"/>
              <w14:ligatures w14:val="standardContextual"/>
            </w:rPr>
          </w:pPr>
          <w:hyperlink w:anchor="_Toc165022613" w:history="1">
            <w:r w:rsidR="00815295" w:rsidRPr="000725B2">
              <w:rPr>
                <w:rStyle w:val="Hipervnculo"/>
              </w:rPr>
              <w:t>D.</w:t>
            </w:r>
            <w:r w:rsidR="00815295">
              <w:rPr>
                <w:rFonts w:asciiTheme="minorHAnsi" w:eastAsiaTheme="minorEastAsia" w:hAnsiTheme="minorHAnsi" w:cstheme="minorBidi"/>
                <w:bCs w:val="0"/>
                <w:i w:val="0"/>
                <w:kern w:val="2"/>
                <w:sz w:val="24"/>
                <w:szCs w:val="24"/>
                <w:lang w:val="es-CR"/>
                <w14:ligatures w14:val="standardContextual"/>
              </w:rPr>
              <w:tab/>
            </w:r>
            <w:r w:rsidR="00815295" w:rsidRPr="000725B2">
              <w:rPr>
                <w:rStyle w:val="Hipervnculo"/>
              </w:rPr>
              <w:t>Las acciones de investigación</w:t>
            </w:r>
            <w:r w:rsidR="00815295">
              <w:rPr>
                <w:webHidden/>
              </w:rPr>
              <w:tab/>
            </w:r>
            <w:r w:rsidR="00815295">
              <w:rPr>
                <w:webHidden/>
              </w:rPr>
              <w:fldChar w:fldCharType="begin"/>
            </w:r>
            <w:r w:rsidR="00815295">
              <w:rPr>
                <w:webHidden/>
              </w:rPr>
              <w:instrText xml:space="preserve"> PAGEREF _Toc165022613 \h </w:instrText>
            </w:r>
            <w:r w:rsidR="00815295">
              <w:rPr>
                <w:webHidden/>
              </w:rPr>
            </w:r>
            <w:r w:rsidR="00815295">
              <w:rPr>
                <w:webHidden/>
              </w:rPr>
              <w:fldChar w:fldCharType="separate"/>
            </w:r>
            <w:r w:rsidR="00C17BA4">
              <w:rPr>
                <w:webHidden/>
              </w:rPr>
              <w:t>17</w:t>
            </w:r>
            <w:r w:rsidR="00815295">
              <w:rPr>
                <w:webHidden/>
              </w:rPr>
              <w:fldChar w:fldCharType="end"/>
            </w:r>
          </w:hyperlink>
        </w:p>
        <w:p w14:paraId="021D187D" w14:textId="42B73858" w:rsidR="00815295" w:rsidRDefault="00000000">
          <w:pPr>
            <w:pStyle w:val="TDC3"/>
            <w:rPr>
              <w:rFonts w:asciiTheme="minorHAnsi" w:eastAsiaTheme="minorEastAsia" w:hAnsiTheme="minorHAnsi" w:cstheme="minorBidi"/>
              <w:i w:val="0"/>
              <w:iCs w:val="0"/>
              <w:noProof/>
              <w:kern w:val="2"/>
              <w:sz w:val="24"/>
              <w:szCs w:val="24"/>
              <w14:ligatures w14:val="standardContextual"/>
            </w:rPr>
          </w:pPr>
          <w:hyperlink w:anchor="_Toc165022614" w:history="1">
            <w:r w:rsidR="00815295" w:rsidRPr="000725B2">
              <w:rPr>
                <w:rStyle w:val="Hipervnculo"/>
                <w:bCs/>
                <w:noProof/>
                <w:lang w:val="es-ES"/>
              </w:rPr>
              <w:t>D.1. Solicitud de habeas corpus</w:t>
            </w:r>
            <w:r w:rsidR="00815295">
              <w:rPr>
                <w:noProof/>
                <w:webHidden/>
              </w:rPr>
              <w:tab/>
            </w:r>
            <w:r w:rsidR="00815295">
              <w:rPr>
                <w:noProof/>
                <w:webHidden/>
              </w:rPr>
              <w:fldChar w:fldCharType="begin"/>
            </w:r>
            <w:r w:rsidR="00815295">
              <w:rPr>
                <w:noProof/>
                <w:webHidden/>
              </w:rPr>
              <w:instrText xml:space="preserve"> PAGEREF _Toc165022614 \h </w:instrText>
            </w:r>
            <w:r w:rsidR="00815295">
              <w:rPr>
                <w:noProof/>
                <w:webHidden/>
              </w:rPr>
            </w:r>
            <w:r w:rsidR="00815295">
              <w:rPr>
                <w:noProof/>
                <w:webHidden/>
              </w:rPr>
              <w:fldChar w:fldCharType="separate"/>
            </w:r>
            <w:r w:rsidR="00C17BA4">
              <w:rPr>
                <w:noProof/>
                <w:webHidden/>
              </w:rPr>
              <w:t>17</w:t>
            </w:r>
            <w:r w:rsidR="00815295">
              <w:rPr>
                <w:noProof/>
                <w:webHidden/>
              </w:rPr>
              <w:fldChar w:fldCharType="end"/>
            </w:r>
          </w:hyperlink>
        </w:p>
        <w:p w14:paraId="314134D3" w14:textId="3CCE6F08" w:rsidR="00815295" w:rsidRDefault="00000000">
          <w:pPr>
            <w:pStyle w:val="TDC3"/>
            <w:rPr>
              <w:rFonts w:asciiTheme="minorHAnsi" w:eastAsiaTheme="minorEastAsia" w:hAnsiTheme="minorHAnsi" w:cstheme="minorBidi"/>
              <w:i w:val="0"/>
              <w:iCs w:val="0"/>
              <w:noProof/>
              <w:kern w:val="2"/>
              <w:sz w:val="24"/>
              <w:szCs w:val="24"/>
              <w14:ligatures w14:val="standardContextual"/>
            </w:rPr>
          </w:pPr>
          <w:hyperlink w:anchor="_Toc165022615" w:history="1">
            <w:r w:rsidR="00815295" w:rsidRPr="000725B2">
              <w:rPr>
                <w:rStyle w:val="Hipervnculo"/>
                <w:bCs/>
                <w:noProof/>
                <w:lang w:val="es-ES"/>
              </w:rPr>
              <w:t>D.2. Investigación penal por secuestro</w:t>
            </w:r>
            <w:r w:rsidR="00815295">
              <w:rPr>
                <w:noProof/>
                <w:webHidden/>
              </w:rPr>
              <w:tab/>
            </w:r>
            <w:r w:rsidR="00815295">
              <w:rPr>
                <w:noProof/>
                <w:webHidden/>
              </w:rPr>
              <w:fldChar w:fldCharType="begin"/>
            </w:r>
            <w:r w:rsidR="00815295">
              <w:rPr>
                <w:noProof/>
                <w:webHidden/>
              </w:rPr>
              <w:instrText xml:space="preserve"> PAGEREF _Toc165022615 \h </w:instrText>
            </w:r>
            <w:r w:rsidR="00815295">
              <w:rPr>
                <w:noProof/>
                <w:webHidden/>
              </w:rPr>
            </w:r>
            <w:r w:rsidR="00815295">
              <w:rPr>
                <w:noProof/>
                <w:webHidden/>
              </w:rPr>
              <w:fldChar w:fldCharType="separate"/>
            </w:r>
            <w:r w:rsidR="00C17BA4">
              <w:rPr>
                <w:noProof/>
                <w:webHidden/>
              </w:rPr>
              <w:t>18</w:t>
            </w:r>
            <w:r w:rsidR="00815295">
              <w:rPr>
                <w:noProof/>
                <w:webHidden/>
              </w:rPr>
              <w:fldChar w:fldCharType="end"/>
            </w:r>
          </w:hyperlink>
        </w:p>
        <w:p w14:paraId="2D944C16" w14:textId="7979120F" w:rsidR="00815295" w:rsidRDefault="00000000">
          <w:pPr>
            <w:pStyle w:val="TDC3"/>
            <w:rPr>
              <w:rFonts w:asciiTheme="minorHAnsi" w:eastAsiaTheme="minorEastAsia" w:hAnsiTheme="minorHAnsi" w:cstheme="minorBidi"/>
              <w:i w:val="0"/>
              <w:iCs w:val="0"/>
              <w:noProof/>
              <w:kern w:val="2"/>
              <w:sz w:val="24"/>
              <w:szCs w:val="24"/>
              <w14:ligatures w14:val="standardContextual"/>
            </w:rPr>
          </w:pPr>
          <w:hyperlink w:anchor="_Toc165022616" w:history="1">
            <w:r w:rsidR="00815295" w:rsidRPr="000725B2">
              <w:rPr>
                <w:rStyle w:val="Hipervnculo"/>
                <w:bCs/>
                <w:noProof/>
                <w:lang w:val="es-ES"/>
              </w:rPr>
              <w:t>D.3. Investigación penal por desaparición forzada</w:t>
            </w:r>
            <w:r w:rsidR="00815295">
              <w:rPr>
                <w:noProof/>
                <w:webHidden/>
              </w:rPr>
              <w:tab/>
            </w:r>
            <w:r w:rsidR="00815295">
              <w:rPr>
                <w:noProof/>
                <w:webHidden/>
              </w:rPr>
              <w:fldChar w:fldCharType="begin"/>
            </w:r>
            <w:r w:rsidR="00815295">
              <w:rPr>
                <w:noProof/>
                <w:webHidden/>
              </w:rPr>
              <w:instrText xml:space="preserve"> PAGEREF _Toc165022616 \h </w:instrText>
            </w:r>
            <w:r w:rsidR="00815295">
              <w:rPr>
                <w:noProof/>
                <w:webHidden/>
              </w:rPr>
            </w:r>
            <w:r w:rsidR="00815295">
              <w:rPr>
                <w:noProof/>
                <w:webHidden/>
              </w:rPr>
              <w:fldChar w:fldCharType="separate"/>
            </w:r>
            <w:r w:rsidR="00C17BA4">
              <w:rPr>
                <w:noProof/>
                <w:webHidden/>
              </w:rPr>
              <w:t>20</w:t>
            </w:r>
            <w:r w:rsidR="00815295">
              <w:rPr>
                <w:noProof/>
                <w:webHidden/>
              </w:rPr>
              <w:fldChar w:fldCharType="end"/>
            </w:r>
          </w:hyperlink>
        </w:p>
        <w:p w14:paraId="2D37B2C6" w14:textId="62DEA35D" w:rsidR="00815295" w:rsidRDefault="00000000">
          <w:pPr>
            <w:pStyle w:val="TDC1"/>
            <w:rPr>
              <w:rFonts w:asciiTheme="minorHAnsi" w:eastAsiaTheme="minorEastAsia" w:hAnsiTheme="minorHAnsi" w:cstheme="minorBidi"/>
              <w:b w:val="0"/>
              <w:bCs w:val="0"/>
              <w:caps w:val="0"/>
              <w:noProof/>
              <w:kern w:val="2"/>
              <w:sz w:val="24"/>
              <w:szCs w:val="24"/>
              <w14:ligatures w14:val="standardContextual"/>
            </w:rPr>
          </w:pPr>
          <w:hyperlink w:anchor="_Toc165022617" w:history="1">
            <w:r w:rsidR="00815295" w:rsidRPr="000725B2">
              <w:rPr>
                <w:rStyle w:val="Hipervnculo"/>
                <w:noProof/>
              </w:rPr>
              <w:t>VII FONDO</w:t>
            </w:r>
            <w:r w:rsidR="00815295">
              <w:rPr>
                <w:noProof/>
                <w:webHidden/>
              </w:rPr>
              <w:tab/>
            </w:r>
            <w:r w:rsidR="00815295">
              <w:rPr>
                <w:noProof/>
                <w:webHidden/>
              </w:rPr>
              <w:fldChar w:fldCharType="begin"/>
            </w:r>
            <w:r w:rsidR="00815295">
              <w:rPr>
                <w:noProof/>
                <w:webHidden/>
              </w:rPr>
              <w:instrText xml:space="preserve"> PAGEREF _Toc165022617 \h </w:instrText>
            </w:r>
            <w:r w:rsidR="00815295">
              <w:rPr>
                <w:noProof/>
                <w:webHidden/>
              </w:rPr>
            </w:r>
            <w:r w:rsidR="00815295">
              <w:rPr>
                <w:noProof/>
                <w:webHidden/>
              </w:rPr>
              <w:fldChar w:fldCharType="separate"/>
            </w:r>
            <w:r w:rsidR="00C17BA4">
              <w:rPr>
                <w:noProof/>
                <w:webHidden/>
              </w:rPr>
              <w:t>21</w:t>
            </w:r>
            <w:r w:rsidR="00815295">
              <w:rPr>
                <w:noProof/>
                <w:webHidden/>
              </w:rPr>
              <w:fldChar w:fldCharType="end"/>
            </w:r>
          </w:hyperlink>
        </w:p>
        <w:p w14:paraId="4CD2140B" w14:textId="0A7EA46E" w:rsidR="00815295" w:rsidRDefault="00000000">
          <w:pPr>
            <w:pStyle w:val="TDC1"/>
            <w:rPr>
              <w:rFonts w:asciiTheme="minorHAnsi" w:eastAsiaTheme="minorEastAsia" w:hAnsiTheme="minorHAnsi" w:cstheme="minorBidi"/>
              <w:b w:val="0"/>
              <w:bCs w:val="0"/>
              <w:caps w:val="0"/>
              <w:noProof/>
              <w:kern w:val="2"/>
              <w:sz w:val="24"/>
              <w:szCs w:val="24"/>
              <w14:ligatures w14:val="standardContextual"/>
            </w:rPr>
          </w:pPr>
          <w:hyperlink w:anchor="_Toc165022618" w:history="1">
            <w:r w:rsidR="00815295" w:rsidRPr="000725B2">
              <w:rPr>
                <w:rStyle w:val="Hipervnculo"/>
                <w:noProof/>
              </w:rPr>
              <w:t>VII-1 DERECHOS AL RECONOCIMIENTO DE LA PERSONALIDAD JURÍDICA, VIDA, INTEGRIDAD PERSONAL, LIBERTAD PERSONAL, LIBERTAD DE PENSAMIENTO Y EXPRESIÓN Y LIBERTAD DE ASOCIACIÓN</w:t>
            </w:r>
            <w:r w:rsidR="00815295">
              <w:rPr>
                <w:noProof/>
                <w:webHidden/>
              </w:rPr>
              <w:tab/>
            </w:r>
            <w:r w:rsidR="00815295">
              <w:rPr>
                <w:noProof/>
                <w:webHidden/>
              </w:rPr>
              <w:fldChar w:fldCharType="begin"/>
            </w:r>
            <w:r w:rsidR="00815295">
              <w:rPr>
                <w:noProof/>
                <w:webHidden/>
              </w:rPr>
              <w:instrText xml:space="preserve"> PAGEREF _Toc165022618 \h </w:instrText>
            </w:r>
            <w:r w:rsidR="00815295">
              <w:rPr>
                <w:noProof/>
                <w:webHidden/>
              </w:rPr>
            </w:r>
            <w:r w:rsidR="00815295">
              <w:rPr>
                <w:noProof/>
                <w:webHidden/>
              </w:rPr>
              <w:fldChar w:fldCharType="separate"/>
            </w:r>
            <w:r w:rsidR="00C17BA4">
              <w:rPr>
                <w:noProof/>
                <w:webHidden/>
              </w:rPr>
              <w:t>22</w:t>
            </w:r>
            <w:r w:rsidR="00815295">
              <w:rPr>
                <w:noProof/>
                <w:webHidden/>
              </w:rPr>
              <w:fldChar w:fldCharType="end"/>
            </w:r>
          </w:hyperlink>
        </w:p>
        <w:p w14:paraId="3257DA17" w14:textId="616E1A48" w:rsidR="00815295" w:rsidRDefault="00000000">
          <w:pPr>
            <w:pStyle w:val="TDC2"/>
            <w:rPr>
              <w:rFonts w:asciiTheme="minorHAnsi" w:eastAsiaTheme="minorEastAsia" w:hAnsiTheme="minorHAnsi" w:cstheme="minorBidi"/>
              <w:bCs w:val="0"/>
              <w:i w:val="0"/>
              <w:kern w:val="2"/>
              <w:sz w:val="24"/>
              <w:szCs w:val="24"/>
              <w:lang w:val="es-CR"/>
              <w14:ligatures w14:val="standardContextual"/>
            </w:rPr>
          </w:pPr>
          <w:hyperlink w:anchor="_Toc165022619" w:history="1">
            <w:r w:rsidR="00815295" w:rsidRPr="000725B2">
              <w:rPr>
                <w:rStyle w:val="Hipervnculo"/>
              </w:rPr>
              <w:t>A.</w:t>
            </w:r>
            <w:r w:rsidR="00815295">
              <w:rPr>
                <w:rFonts w:asciiTheme="minorHAnsi" w:eastAsiaTheme="minorEastAsia" w:hAnsiTheme="minorHAnsi" w:cstheme="minorBidi"/>
                <w:bCs w:val="0"/>
                <w:i w:val="0"/>
                <w:kern w:val="2"/>
                <w:sz w:val="24"/>
                <w:szCs w:val="24"/>
                <w:lang w:val="es-CR"/>
                <w14:ligatures w14:val="standardContextual"/>
              </w:rPr>
              <w:tab/>
            </w:r>
            <w:r w:rsidR="00815295" w:rsidRPr="000725B2">
              <w:rPr>
                <w:rStyle w:val="Hipervnculo"/>
              </w:rPr>
              <w:t>Argumentos de las partes y de la Comisión</w:t>
            </w:r>
            <w:r w:rsidR="00815295">
              <w:rPr>
                <w:webHidden/>
              </w:rPr>
              <w:tab/>
            </w:r>
            <w:r w:rsidR="00815295">
              <w:rPr>
                <w:webHidden/>
              </w:rPr>
              <w:fldChar w:fldCharType="begin"/>
            </w:r>
            <w:r w:rsidR="00815295">
              <w:rPr>
                <w:webHidden/>
              </w:rPr>
              <w:instrText xml:space="preserve"> PAGEREF _Toc165022619 \h </w:instrText>
            </w:r>
            <w:r w:rsidR="00815295">
              <w:rPr>
                <w:webHidden/>
              </w:rPr>
            </w:r>
            <w:r w:rsidR="00815295">
              <w:rPr>
                <w:webHidden/>
              </w:rPr>
              <w:fldChar w:fldCharType="separate"/>
            </w:r>
            <w:r w:rsidR="00C17BA4">
              <w:rPr>
                <w:webHidden/>
              </w:rPr>
              <w:t>22</w:t>
            </w:r>
            <w:r w:rsidR="00815295">
              <w:rPr>
                <w:webHidden/>
              </w:rPr>
              <w:fldChar w:fldCharType="end"/>
            </w:r>
          </w:hyperlink>
        </w:p>
        <w:p w14:paraId="6F567400" w14:textId="25ECEECC" w:rsidR="00815295" w:rsidRDefault="00000000">
          <w:pPr>
            <w:pStyle w:val="TDC2"/>
            <w:rPr>
              <w:rFonts w:asciiTheme="minorHAnsi" w:eastAsiaTheme="minorEastAsia" w:hAnsiTheme="minorHAnsi" w:cstheme="minorBidi"/>
              <w:bCs w:val="0"/>
              <w:i w:val="0"/>
              <w:kern w:val="2"/>
              <w:sz w:val="24"/>
              <w:szCs w:val="24"/>
              <w:lang w:val="es-CR"/>
              <w14:ligatures w14:val="standardContextual"/>
            </w:rPr>
          </w:pPr>
          <w:hyperlink w:anchor="_Toc165022620" w:history="1">
            <w:r w:rsidR="00815295" w:rsidRPr="000725B2">
              <w:rPr>
                <w:rStyle w:val="Hipervnculo"/>
              </w:rPr>
              <w:t>B.</w:t>
            </w:r>
            <w:r w:rsidR="00815295">
              <w:rPr>
                <w:rFonts w:asciiTheme="minorHAnsi" w:eastAsiaTheme="minorEastAsia" w:hAnsiTheme="minorHAnsi" w:cstheme="minorBidi"/>
                <w:bCs w:val="0"/>
                <w:i w:val="0"/>
                <w:kern w:val="2"/>
                <w:sz w:val="24"/>
                <w:szCs w:val="24"/>
                <w:lang w:val="es-CR"/>
                <w14:ligatures w14:val="standardContextual"/>
              </w:rPr>
              <w:tab/>
            </w:r>
            <w:r w:rsidR="00815295" w:rsidRPr="000725B2">
              <w:rPr>
                <w:rStyle w:val="Hipervnculo"/>
              </w:rPr>
              <w:t>Consideraciones de la Corte</w:t>
            </w:r>
            <w:r w:rsidR="00815295">
              <w:rPr>
                <w:webHidden/>
              </w:rPr>
              <w:tab/>
            </w:r>
            <w:r w:rsidR="00815295">
              <w:rPr>
                <w:webHidden/>
              </w:rPr>
              <w:fldChar w:fldCharType="begin"/>
            </w:r>
            <w:r w:rsidR="00815295">
              <w:rPr>
                <w:webHidden/>
              </w:rPr>
              <w:instrText xml:space="preserve"> PAGEREF _Toc165022620 \h </w:instrText>
            </w:r>
            <w:r w:rsidR="00815295">
              <w:rPr>
                <w:webHidden/>
              </w:rPr>
            </w:r>
            <w:r w:rsidR="00815295">
              <w:rPr>
                <w:webHidden/>
              </w:rPr>
              <w:fldChar w:fldCharType="separate"/>
            </w:r>
            <w:r w:rsidR="00C17BA4">
              <w:rPr>
                <w:webHidden/>
              </w:rPr>
              <w:t>23</w:t>
            </w:r>
            <w:r w:rsidR="00815295">
              <w:rPr>
                <w:webHidden/>
              </w:rPr>
              <w:fldChar w:fldCharType="end"/>
            </w:r>
          </w:hyperlink>
        </w:p>
        <w:p w14:paraId="62AD276C" w14:textId="30651B26" w:rsidR="00815295" w:rsidRDefault="00000000">
          <w:pPr>
            <w:pStyle w:val="TDC3"/>
            <w:rPr>
              <w:rFonts w:asciiTheme="minorHAnsi" w:eastAsiaTheme="minorEastAsia" w:hAnsiTheme="minorHAnsi" w:cstheme="minorBidi"/>
              <w:i w:val="0"/>
              <w:iCs w:val="0"/>
              <w:noProof/>
              <w:kern w:val="2"/>
              <w:sz w:val="24"/>
              <w:szCs w:val="24"/>
              <w14:ligatures w14:val="standardContextual"/>
            </w:rPr>
          </w:pPr>
          <w:hyperlink w:anchor="_Toc165022621" w:history="1">
            <w:r w:rsidR="00815295" w:rsidRPr="000725B2">
              <w:rPr>
                <w:rStyle w:val="Hipervnculo"/>
                <w:bCs/>
                <w:noProof/>
                <w:lang w:val="es-ES"/>
              </w:rPr>
              <w:t>B.1. Desaparición forzada de Patricia Emilie Cuéllar Sandoval, Mauricio Cuéllar Cuéllar y Julia Orbelina Pérez</w:t>
            </w:r>
            <w:r w:rsidR="00815295">
              <w:rPr>
                <w:noProof/>
                <w:webHidden/>
              </w:rPr>
              <w:tab/>
            </w:r>
            <w:r w:rsidR="00815295">
              <w:rPr>
                <w:noProof/>
                <w:webHidden/>
              </w:rPr>
              <w:fldChar w:fldCharType="begin"/>
            </w:r>
            <w:r w:rsidR="00815295">
              <w:rPr>
                <w:noProof/>
                <w:webHidden/>
              </w:rPr>
              <w:instrText xml:space="preserve"> PAGEREF _Toc165022621 \h </w:instrText>
            </w:r>
            <w:r w:rsidR="00815295">
              <w:rPr>
                <w:noProof/>
                <w:webHidden/>
              </w:rPr>
            </w:r>
            <w:r w:rsidR="00815295">
              <w:rPr>
                <w:noProof/>
                <w:webHidden/>
              </w:rPr>
              <w:fldChar w:fldCharType="separate"/>
            </w:r>
            <w:r w:rsidR="00C17BA4">
              <w:rPr>
                <w:noProof/>
                <w:webHidden/>
              </w:rPr>
              <w:t>23</w:t>
            </w:r>
            <w:r w:rsidR="00815295">
              <w:rPr>
                <w:noProof/>
                <w:webHidden/>
              </w:rPr>
              <w:fldChar w:fldCharType="end"/>
            </w:r>
          </w:hyperlink>
        </w:p>
        <w:p w14:paraId="27CE4B27" w14:textId="79C429E5" w:rsidR="00815295" w:rsidRDefault="00000000">
          <w:pPr>
            <w:pStyle w:val="TDC3"/>
            <w:rPr>
              <w:rFonts w:asciiTheme="minorHAnsi" w:eastAsiaTheme="minorEastAsia" w:hAnsiTheme="minorHAnsi" w:cstheme="minorBidi"/>
              <w:i w:val="0"/>
              <w:iCs w:val="0"/>
              <w:noProof/>
              <w:kern w:val="2"/>
              <w:sz w:val="24"/>
              <w:szCs w:val="24"/>
              <w14:ligatures w14:val="standardContextual"/>
            </w:rPr>
          </w:pPr>
          <w:hyperlink w:anchor="_Toc165022622" w:history="1">
            <w:r w:rsidR="00815295" w:rsidRPr="000725B2">
              <w:rPr>
                <w:rStyle w:val="Hipervnculo"/>
                <w:bCs/>
                <w:noProof/>
                <w:lang w:val="es-ES"/>
              </w:rPr>
              <w:t>B.2. Afectación al derecho a defender derechos humanos de Patricia Emilie Cuéllar Sandoval</w:t>
            </w:r>
            <w:r w:rsidR="00815295">
              <w:rPr>
                <w:noProof/>
                <w:webHidden/>
              </w:rPr>
              <w:tab/>
            </w:r>
            <w:r w:rsidR="00815295">
              <w:rPr>
                <w:noProof/>
                <w:webHidden/>
              </w:rPr>
              <w:fldChar w:fldCharType="begin"/>
            </w:r>
            <w:r w:rsidR="00815295">
              <w:rPr>
                <w:noProof/>
                <w:webHidden/>
              </w:rPr>
              <w:instrText xml:space="preserve"> PAGEREF _Toc165022622 \h </w:instrText>
            </w:r>
            <w:r w:rsidR="00815295">
              <w:rPr>
                <w:noProof/>
                <w:webHidden/>
              </w:rPr>
            </w:r>
            <w:r w:rsidR="00815295">
              <w:rPr>
                <w:noProof/>
                <w:webHidden/>
              </w:rPr>
              <w:fldChar w:fldCharType="separate"/>
            </w:r>
            <w:r w:rsidR="00C17BA4">
              <w:rPr>
                <w:noProof/>
                <w:webHidden/>
              </w:rPr>
              <w:t>24</w:t>
            </w:r>
            <w:r w:rsidR="00815295">
              <w:rPr>
                <w:noProof/>
                <w:webHidden/>
              </w:rPr>
              <w:fldChar w:fldCharType="end"/>
            </w:r>
          </w:hyperlink>
        </w:p>
        <w:p w14:paraId="3025E6BE" w14:textId="06B825B7" w:rsidR="00815295" w:rsidRDefault="00000000">
          <w:pPr>
            <w:pStyle w:val="TDC3"/>
            <w:rPr>
              <w:rFonts w:asciiTheme="minorHAnsi" w:eastAsiaTheme="minorEastAsia" w:hAnsiTheme="minorHAnsi" w:cstheme="minorBidi"/>
              <w:i w:val="0"/>
              <w:iCs w:val="0"/>
              <w:noProof/>
              <w:kern w:val="2"/>
              <w:sz w:val="24"/>
              <w:szCs w:val="24"/>
              <w14:ligatures w14:val="standardContextual"/>
            </w:rPr>
          </w:pPr>
          <w:hyperlink w:anchor="_Toc165022623" w:history="1">
            <w:r w:rsidR="00815295" w:rsidRPr="000725B2">
              <w:rPr>
                <w:rStyle w:val="Hipervnculo"/>
                <w:bCs/>
                <w:noProof/>
                <w:lang w:val="es-ES"/>
              </w:rPr>
              <w:t>B.3. Conclusión</w:t>
            </w:r>
            <w:r w:rsidR="00815295">
              <w:rPr>
                <w:noProof/>
                <w:webHidden/>
              </w:rPr>
              <w:tab/>
            </w:r>
            <w:r w:rsidR="00815295">
              <w:rPr>
                <w:noProof/>
                <w:webHidden/>
              </w:rPr>
              <w:fldChar w:fldCharType="begin"/>
            </w:r>
            <w:r w:rsidR="00815295">
              <w:rPr>
                <w:noProof/>
                <w:webHidden/>
              </w:rPr>
              <w:instrText xml:space="preserve"> PAGEREF _Toc165022623 \h </w:instrText>
            </w:r>
            <w:r w:rsidR="00815295">
              <w:rPr>
                <w:noProof/>
                <w:webHidden/>
              </w:rPr>
            </w:r>
            <w:r w:rsidR="00815295">
              <w:rPr>
                <w:noProof/>
                <w:webHidden/>
              </w:rPr>
              <w:fldChar w:fldCharType="separate"/>
            </w:r>
            <w:r w:rsidR="00C17BA4">
              <w:rPr>
                <w:noProof/>
                <w:webHidden/>
              </w:rPr>
              <w:t>27</w:t>
            </w:r>
            <w:r w:rsidR="00815295">
              <w:rPr>
                <w:noProof/>
                <w:webHidden/>
              </w:rPr>
              <w:fldChar w:fldCharType="end"/>
            </w:r>
          </w:hyperlink>
        </w:p>
        <w:p w14:paraId="3911DD1E" w14:textId="40A6EB4D" w:rsidR="00815295" w:rsidRDefault="00000000">
          <w:pPr>
            <w:pStyle w:val="TDC1"/>
            <w:rPr>
              <w:rFonts w:asciiTheme="minorHAnsi" w:eastAsiaTheme="minorEastAsia" w:hAnsiTheme="minorHAnsi" w:cstheme="minorBidi"/>
              <w:b w:val="0"/>
              <w:bCs w:val="0"/>
              <w:caps w:val="0"/>
              <w:noProof/>
              <w:kern w:val="2"/>
              <w:sz w:val="24"/>
              <w:szCs w:val="24"/>
              <w14:ligatures w14:val="standardContextual"/>
            </w:rPr>
          </w:pPr>
          <w:hyperlink w:anchor="_Toc165022624" w:history="1">
            <w:r w:rsidR="00815295" w:rsidRPr="000725B2">
              <w:rPr>
                <w:rStyle w:val="Hipervnculo"/>
                <w:noProof/>
              </w:rPr>
              <w:t>VII-2 DERECHOS A LAS GARANTÍAS JUDICIALES Y A LA PROTECCIÓN JUDICIAL</w:t>
            </w:r>
            <w:r w:rsidR="00815295">
              <w:rPr>
                <w:noProof/>
                <w:webHidden/>
              </w:rPr>
              <w:tab/>
            </w:r>
            <w:r w:rsidR="00815295">
              <w:rPr>
                <w:noProof/>
                <w:webHidden/>
              </w:rPr>
              <w:fldChar w:fldCharType="begin"/>
            </w:r>
            <w:r w:rsidR="00815295">
              <w:rPr>
                <w:noProof/>
                <w:webHidden/>
              </w:rPr>
              <w:instrText xml:space="preserve"> PAGEREF _Toc165022624 \h </w:instrText>
            </w:r>
            <w:r w:rsidR="00815295">
              <w:rPr>
                <w:noProof/>
                <w:webHidden/>
              </w:rPr>
            </w:r>
            <w:r w:rsidR="00815295">
              <w:rPr>
                <w:noProof/>
                <w:webHidden/>
              </w:rPr>
              <w:fldChar w:fldCharType="separate"/>
            </w:r>
            <w:r w:rsidR="00C17BA4">
              <w:rPr>
                <w:noProof/>
                <w:webHidden/>
              </w:rPr>
              <w:t>27</w:t>
            </w:r>
            <w:r w:rsidR="00815295">
              <w:rPr>
                <w:noProof/>
                <w:webHidden/>
              </w:rPr>
              <w:fldChar w:fldCharType="end"/>
            </w:r>
          </w:hyperlink>
        </w:p>
        <w:p w14:paraId="7D5C966B" w14:textId="62285B2F" w:rsidR="00815295" w:rsidRDefault="00000000">
          <w:pPr>
            <w:pStyle w:val="TDC2"/>
            <w:rPr>
              <w:rFonts w:asciiTheme="minorHAnsi" w:eastAsiaTheme="minorEastAsia" w:hAnsiTheme="minorHAnsi" w:cstheme="minorBidi"/>
              <w:bCs w:val="0"/>
              <w:i w:val="0"/>
              <w:kern w:val="2"/>
              <w:sz w:val="24"/>
              <w:szCs w:val="24"/>
              <w:lang w:val="es-CR"/>
              <w14:ligatures w14:val="standardContextual"/>
            </w:rPr>
          </w:pPr>
          <w:hyperlink w:anchor="_Toc165022625" w:history="1">
            <w:r w:rsidR="00815295" w:rsidRPr="000725B2">
              <w:rPr>
                <w:rStyle w:val="Hipervnculo"/>
              </w:rPr>
              <w:t>A.</w:t>
            </w:r>
            <w:r w:rsidR="00815295">
              <w:rPr>
                <w:rFonts w:asciiTheme="minorHAnsi" w:eastAsiaTheme="minorEastAsia" w:hAnsiTheme="minorHAnsi" w:cstheme="minorBidi"/>
                <w:bCs w:val="0"/>
                <w:i w:val="0"/>
                <w:kern w:val="2"/>
                <w:sz w:val="24"/>
                <w:szCs w:val="24"/>
                <w:lang w:val="es-CR"/>
                <w14:ligatures w14:val="standardContextual"/>
              </w:rPr>
              <w:tab/>
            </w:r>
            <w:r w:rsidR="00815295" w:rsidRPr="000725B2">
              <w:rPr>
                <w:rStyle w:val="Hipervnculo"/>
              </w:rPr>
              <w:t>Argumentos de las partes y de la Comisión</w:t>
            </w:r>
            <w:r w:rsidR="00815295">
              <w:rPr>
                <w:webHidden/>
              </w:rPr>
              <w:tab/>
            </w:r>
            <w:r w:rsidR="00815295">
              <w:rPr>
                <w:webHidden/>
              </w:rPr>
              <w:fldChar w:fldCharType="begin"/>
            </w:r>
            <w:r w:rsidR="00815295">
              <w:rPr>
                <w:webHidden/>
              </w:rPr>
              <w:instrText xml:space="preserve"> PAGEREF _Toc165022625 \h </w:instrText>
            </w:r>
            <w:r w:rsidR="00815295">
              <w:rPr>
                <w:webHidden/>
              </w:rPr>
            </w:r>
            <w:r w:rsidR="00815295">
              <w:rPr>
                <w:webHidden/>
              </w:rPr>
              <w:fldChar w:fldCharType="separate"/>
            </w:r>
            <w:r w:rsidR="00C17BA4">
              <w:rPr>
                <w:webHidden/>
              </w:rPr>
              <w:t>27</w:t>
            </w:r>
            <w:r w:rsidR="00815295">
              <w:rPr>
                <w:webHidden/>
              </w:rPr>
              <w:fldChar w:fldCharType="end"/>
            </w:r>
          </w:hyperlink>
        </w:p>
        <w:p w14:paraId="640394DC" w14:textId="2C05714C" w:rsidR="00815295" w:rsidRDefault="00000000">
          <w:pPr>
            <w:pStyle w:val="TDC2"/>
            <w:rPr>
              <w:rFonts w:asciiTheme="minorHAnsi" w:eastAsiaTheme="minorEastAsia" w:hAnsiTheme="minorHAnsi" w:cstheme="minorBidi"/>
              <w:bCs w:val="0"/>
              <w:i w:val="0"/>
              <w:kern w:val="2"/>
              <w:sz w:val="24"/>
              <w:szCs w:val="24"/>
              <w:lang w:val="es-CR"/>
              <w14:ligatures w14:val="standardContextual"/>
            </w:rPr>
          </w:pPr>
          <w:hyperlink w:anchor="_Toc165022626" w:history="1">
            <w:r w:rsidR="00815295" w:rsidRPr="000725B2">
              <w:rPr>
                <w:rStyle w:val="Hipervnculo"/>
              </w:rPr>
              <w:t>B.</w:t>
            </w:r>
            <w:r w:rsidR="00815295">
              <w:rPr>
                <w:rFonts w:asciiTheme="minorHAnsi" w:eastAsiaTheme="minorEastAsia" w:hAnsiTheme="minorHAnsi" w:cstheme="minorBidi"/>
                <w:bCs w:val="0"/>
                <w:i w:val="0"/>
                <w:kern w:val="2"/>
                <w:sz w:val="24"/>
                <w:szCs w:val="24"/>
                <w:lang w:val="es-CR"/>
                <w14:ligatures w14:val="standardContextual"/>
              </w:rPr>
              <w:tab/>
            </w:r>
            <w:r w:rsidR="00815295" w:rsidRPr="000725B2">
              <w:rPr>
                <w:rStyle w:val="Hipervnculo"/>
              </w:rPr>
              <w:t>Consideraciones de la Corte</w:t>
            </w:r>
            <w:r w:rsidR="00815295">
              <w:rPr>
                <w:webHidden/>
              </w:rPr>
              <w:tab/>
            </w:r>
            <w:r w:rsidR="00815295">
              <w:rPr>
                <w:webHidden/>
              </w:rPr>
              <w:fldChar w:fldCharType="begin"/>
            </w:r>
            <w:r w:rsidR="00815295">
              <w:rPr>
                <w:webHidden/>
              </w:rPr>
              <w:instrText xml:space="preserve"> PAGEREF _Toc165022626 \h </w:instrText>
            </w:r>
            <w:r w:rsidR="00815295">
              <w:rPr>
                <w:webHidden/>
              </w:rPr>
            </w:r>
            <w:r w:rsidR="00815295">
              <w:rPr>
                <w:webHidden/>
              </w:rPr>
              <w:fldChar w:fldCharType="separate"/>
            </w:r>
            <w:r w:rsidR="00C17BA4">
              <w:rPr>
                <w:webHidden/>
              </w:rPr>
              <w:t>28</w:t>
            </w:r>
            <w:r w:rsidR="00815295">
              <w:rPr>
                <w:webHidden/>
              </w:rPr>
              <w:fldChar w:fldCharType="end"/>
            </w:r>
          </w:hyperlink>
        </w:p>
        <w:p w14:paraId="78729DDA" w14:textId="6ACD6793" w:rsidR="00815295" w:rsidRDefault="00000000">
          <w:pPr>
            <w:pStyle w:val="TDC3"/>
            <w:rPr>
              <w:rFonts w:asciiTheme="minorHAnsi" w:eastAsiaTheme="minorEastAsia" w:hAnsiTheme="minorHAnsi" w:cstheme="minorBidi"/>
              <w:i w:val="0"/>
              <w:iCs w:val="0"/>
              <w:noProof/>
              <w:kern w:val="2"/>
              <w:sz w:val="24"/>
              <w:szCs w:val="24"/>
              <w14:ligatures w14:val="standardContextual"/>
            </w:rPr>
          </w:pPr>
          <w:hyperlink w:anchor="_Toc165022627" w:history="1">
            <w:r w:rsidR="00815295" w:rsidRPr="000725B2">
              <w:rPr>
                <w:rStyle w:val="Hipervnculo"/>
                <w:bCs/>
                <w:noProof/>
                <w:lang w:val="es-ES"/>
              </w:rPr>
              <w:t>B.1. Afectaciones a las garantías judiciales, protección judicial, derecho a la verdad y plazo razonable</w:t>
            </w:r>
            <w:r w:rsidR="00815295">
              <w:rPr>
                <w:noProof/>
                <w:webHidden/>
              </w:rPr>
              <w:tab/>
            </w:r>
            <w:r w:rsidR="00815295">
              <w:rPr>
                <w:noProof/>
                <w:webHidden/>
              </w:rPr>
              <w:fldChar w:fldCharType="begin"/>
            </w:r>
            <w:r w:rsidR="00815295">
              <w:rPr>
                <w:noProof/>
                <w:webHidden/>
              </w:rPr>
              <w:instrText xml:space="preserve"> PAGEREF _Toc165022627 \h </w:instrText>
            </w:r>
            <w:r w:rsidR="00815295">
              <w:rPr>
                <w:noProof/>
                <w:webHidden/>
              </w:rPr>
            </w:r>
            <w:r w:rsidR="00815295">
              <w:rPr>
                <w:noProof/>
                <w:webHidden/>
              </w:rPr>
              <w:fldChar w:fldCharType="separate"/>
            </w:r>
            <w:r w:rsidR="00C17BA4">
              <w:rPr>
                <w:noProof/>
                <w:webHidden/>
              </w:rPr>
              <w:t>28</w:t>
            </w:r>
            <w:r w:rsidR="00815295">
              <w:rPr>
                <w:noProof/>
                <w:webHidden/>
              </w:rPr>
              <w:fldChar w:fldCharType="end"/>
            </w:r>
          </w:hyperlink>
        </w:p>
        <w:p w14:paraId="601E9D8B" w14:textId="00F98FED" w:rsidR="00815295" w:rsidRDefault="00000000">
          <w:pPr>
            <w:pStyle w:val="TDC3"/>
            <w:rPr>
              <w:rFonts w:asciiTheme="minorHAnsi" w:eastAsiaTheme="minorEastAsia" w:hAnsiTheme="minorHAnsi" w:cstheme="minorBidi"/>
              <w:i w:val="0"/>
              <w:iCs w:val="0"/>
              <w:noProof/>
              <w:kern w:val="2"/>
              <w:sz w:val="24"/>
              <w:szCs w:val="24"/>
              <w14:ligatures w14:val="standardContextual"/>
            </w:rPr>
          </w:pPr>
          <w:hyperlink w:anchor="_Toc165022628" w:history="1">
            <w:r w:rsidR="00815295" w:rsidRPr="000725B2">
              <w:rPr>
                <w:rStyle w:val="Hipervnculo"/>
                <w:bCs/>
                <w:noProof/>
                <w:lang w:val="es-ES"/>
              </w:rPr>
              <w:t>B.2. Conclusión</w:t>
            </w:r>
            <w:r w:rsidR="00815295">
              <w:rPr>
                <w:noProof/>
                <w:webHidden/>
              </w:rPr>
              <w:tab/>
            </w:r>
            <w:r w:rsidR="00815295">
              <w:rPr>
                <w:noProof/>
                <w:webHidden/>
              </w:rPr>
              <w:fldChar w:fldCharType="begin"/>
            </w:r>
            <w:r w:rsidR="00815295">
              <w:rPr>
                <w:noProof/>
                <w:webHidden/>
              </w:rPr>
              <w:instrText xml:space="preserve"> PAGEREF _Toc165022628 \h </w:instrText>
            </w:r>
            <w:r w:rsidR="00815295">
              <w:rPr>
                <w:noProof/>
                <w:webHidden/>
              </w:rPr>
            </w:r>
            <w:r w:rsidR="00815295">
              <w:rPr>
                <w:noProof/>
                <w:webHidden/>
              </w:rPr>
              <w:fldChar w:fldCharType="separate"/>
            </w:r>
            <w:r w:rsidR="00C17BA4">
              <w:rPr>
                <w:noProof/>
                <w:webHidden/>
              </w:rPr>
              <w:t>31</w:t>
            </w:r>
            <w:r w:rsidR="00815295">
              <w:rPr>
                <w:noProof/>
                <w:webHidden/>
              </w:rPr>
              <w:fldChar w:fldCharType="end"/>
            </w:r>
          </w:hyperlink>
        </w:p>
        <w:p w14:paraId="118EC653" w14:textId="555851F7" w:rsidR="00815295" w:rsidRDefault="00000000">
          <w:pPr>
            <w:pStyle w:val="TDC1"/>
            <w:rPr>
              <w:rFonts w:asciiTheme="minorHAnsi" w:eastAsiaTheme="minorEastAsia" w:hAnsiTheme="minorHAnsi" w:cstheme="minorBidi"/>
              <w:b w:val="0"/>
              <w:bCs w:val="0"/>
              <w:caps w:val="0"/>
              <w:noProof/>
              <w:kern w:val="2"/>
              <w:sz w:val="24"/>
              <w:szCs w:val="24"/>
              <w14:ligatures w14:val="standardContextual"/>
            </w:rPr>
          </w:pPr>
          <w:hyperlink w:anchor="_Toc165022629" w:history="1">
            <w:r w:rsidR="00815295" w:rsidRPr="000725B2">
              <w:rPr>
                <w:rStyle w:val="Hipervnculo"/>
                <w:noProof/>
              </w:rPr>
              <w:t>VII-3 DERECHO A LA INTEGRIDAD PERSONAL, PROTECCIÓN A LA FAMILIA Y DERECHOS DE LA NIÑEZ DE LOS FAMILIARES DE PATRICIA EMILIE CUÉLLAR SANDOVAL, MAURICIO CUÉLLAR CUÉLLAR Y JULIA ORBELINA PÉREZ</w:t>
            </w:r>
            <w:r w:rsidR="00815295">
              <w:rPr>
                <w:noProof/>
                <w:webHidden/>
              </w:rPr>
              <w:tab/>
            </w:r>
            <w:r w:rsidR="00815295">
              <w:rPr>
                <w:noProof/>
                <w:webHidden/>
              </w:rPr>
              <w:fldChar w:fldCharType="begin"/>
            </w:r>
            <w:r w:rsidR="00815295">
              <w:rPr>
                <w:noProof/>
                <w:webHidden/>
              </w:rPr>
              <w:instrText xml:space="preserve"> PAGEREF _Toc165022629 \h </w:instrText>
            </w:r>
            <w:r w:rsidR="00815295">
              <w:rPr>
                <w:noProof/>
                <w:webHidden/>
              </w:rPr>
            </w:r>
            <w:r w:rsidR="00815295">
              <w:rPr>
                <w:noProof/>
                <w:webHidden/>
              </w:rPr>
              <w:fldChar w:fldCharType="separate"/>
            </w:r>
            <w:r w:rsidR="00C17BA4">
              <w:rPr>
                <w:noProof/>
                <w:webHidden/>
              </w:rPr>
              <w:t>32</w:t>
            </w:r>
            <w:r w:rsidR="00815295">
              <w:rPr>
                <w:noProof/>
                <w:webHidden/>
              </w:rPr>
              <w:fldChar w:fldCharType="end"/>
            </w:r>
          </w:hyperlink>
        </w:p>
        <w:p w14:paraId="2D5B160D" w14:textId="09EE99C5" w:rsidR="00815295" w:rsidRDefault="00000000">
          <w:pPr>
            <w:pStyle w:val="TDC2"/>
            <w:rPr>
              <w:rFonts w:asciiTheme="minorHAnsi" w:eastAsiaTheme="minorEastAsia" w:hAnsiTheme="minorHAnsi" w:cstheme="minorBidi"/>
              <w:bCs w:val="0"/>
              <w:i w:val="0"/>
              <w:kern w:val="2"/>
              <w:sz w:val="24"/>
              <w:szCs w:val="24"/>
              <w:lang w:val="es-CR"/>
              <w14:ligatures w14:val="standardContextual"/>
            </w:rPr>
          </w:pPr>
          <w:hyperlink w:anchor="_Toc165022630" w:history="1">
            <w:r w:rsidR="00815295" w:rsidRPr="000725B2">
              <w:rPr>
                <w:rStyle w:val="Hipervnculo"/>
              </w:rPr>
              <w:t>A.</w:t>
            </w:r>
            <w:r w:rsidR="00815295">
              <w:rPr>
                <w:rFonts w:asciiTheme="minorHAnsi" w:eastAsiaTheme="minorEastAsia" w:hAnsiTheme="minorHAnsi" w:cstheme="minorBidi"/>
                <w:bCs w:val="0"/>
                <w:i w:val="0"/>
                <w:kern w:val="2"/>
                <w:sz w:val="24"/>
                <w:szCs w:val="24"/>
                <w:lang w:val="es-CR"/>
                <w14:ligatures w14:val="standardContextual"/>
              </w:rPr>
              <w:tab/>
            </w:r>
            <w:r w:rsidR="00815295" w:rsidRPr="000725B2">
              <w:rPr>
                <w:rStyle w:val="Hipervnculo"/>
              </w:rPr>
              <w:t>Argumentos de las partes y de la Comisión</w:t>
            </w:r>
            <w:r w:rsidR="00815295">
              <w:rPr>
                <w:webHidden/>
              </w:rPr>
              <w:tab/>
            </w:r>
            <w:r w:rsidR="00815295">
              <w:rPr>
                <w:webHidden/>
              </w:rPr>
              <w:fldChar w:fldCharType="begin"/>
            </w:r>
            <w:r w:rsidR="00815295">
              <w:rPr>
                <w:webHidden/>
              </w:rPr>
              <w:instrText xml:space="preserve"> PAGEREF _Toc165022630 \h </w:instrText>
            </w:r>
            <w:r w:rsidR="00815295">
              <w:rPr>
                <w:webHidden/>
              </w:rPr>
            </w:r>
            <w:r w:rsidR="00815295">
              <w:rPr>
                <w:webHidden/>
              </w:rPr>
              <w:fldChar w:fldCharType="separate"/>
            </w:r>
            <w:r w:rsidR="00C17BA4">
              <w:rPr>
                <w:webHidden/>
              </w:rPr>
              <w:t>32</w:t>
            </w:r>
            <w:r w:rsidR="00815295">
              <w:rPr>
                <w:webHidden/>
              </w:rPr>
              <w:fldChar w:fldCharType="end"/>
            </w:r>
          </w:hyperlink>
        </w:p>
        <w:p w14:paraId="1A69B788" w14:textId="5688604A" w:rsidR="00815295" w:rsidRDefault="00000000">
          <w:pPr>
            <w:pStyle w:val="TDC2"/>
            <w:rPr>
              <w:rFonts w:asciiTheme="minorHAnsi" w:eastAsiaTheme="minorEastAsia" w:hAnsiTheme="minorHAnsi" w:cstheme="minorBidi"/>
              <w:bCs w:val="0"/>
              <w:i w:val="0"/>
              <w:kern w:val="2"/>
              <w:sz w:val="24"/>
              <w:szCs w:val="24"/>
              <w:lang w:val="es-CR"/>
              <w14:ligatures w14:val="standardContextual"/>
            </w:rPr>
          </w:pPr>
          <w:hyperlink w:anchor="_Toc165022631" w:history="1">
            <w:r w:rsidR="00815295" w:rsidRPr="000725B2">
              <w:rPr>
                <w:rStyle w:val="Hipervnculo"/>
              </w:rPr>
              <w:t>B.</w:t>
            </w:r>
            <w:r w:rsidR="00815295">
              <w:rPr>
                <w:rFonts w:asciiTheme="minorHAnsi" w:eastAsiaTheme="minorEastAsia" w:hAnsiTheme="minorHAnsi" w:cstheme="minorBidi"/>
                <w:bCs w:val="0"/>
                <w:i w:val="0"/>
                <w:kern w:val="2"/>
                <w:sz w:val="24"/>
                <w:szCs w:val="24"/>
                <w:lang w:val="es-CR"/>
                <w14:ligatures w14:val="standardContextual"/>
              </w:rPr>
              <w:tab/>
            </w:r>
            <w:r w:rsidR="00815295" w:rsidRPr="000725B2">
              <w:rPr>
                <w:rStyle w:val="Hipervnculo"/>
              </w:rPr>
              <w:t>Consideraciones de la Corte</w:t>
            </w:r>
            <w:r w:rsidR="00815295">
              <w:rPr>
                <w:webHidden/>
              </w:rPr>
              <w:tab/>
            </w:r>
            <w:r w:rsidR="00815295">
              <w:rPr>
                <w:webHidden/>
              </w:rPr>
              <w:fldChar w:fldCharType="begin"/>
            </w:r>
            <w:r w:rsidR="00815295">
              <w:rPr>
                <w:webHidden/>
              </w:rPr>
              <w:instrText xml:space="preserve"> PAGEREF _Toc165022631 \h </w:instrText>
            </w:r>
            <w:r w:rsidR="00815295">
              <w:rPr>
                <w:webHidden/>
              </w:rPr>
            </w:r>
            <w:r w:rsidR="00815295">
              <w:rPr>
                <w:webHidden/>
              </w:rPr>
              <w:fldChar w:fldCharType="separate"/>
            </w:r>
            <w:r w:rsidR="00C17BA4">
              <w:rPr>
                <w:webHidden/>
              </w:rPr>
              <w:t>32</w:t>
            </w:r>
            <w:r w:rsidR="00815295">
              <w:rPr>
                <w:webHidden/>
              </w:rPr>
              <w:fldChar w:fldCharType="end"/>
            </w:r>
          </w:hyperlink>
        </w:p>
        <w:p w14:paraId="64B2A8D5" w14:textId="430EBC9E" w:rsidR="00815295" w:rsidRDefault="00000000">
          <w:pPr>
            <w:pStyle w:val="TDC3"/>
            <w:rPr>
              <w:rFonts w:asciiTheme="minorHAnsi" w:eastAsiaTheme="minorEastAsia" w:hAnsiTheme="minorHAnsi" w:cstheme="minorBidi"/>
              <w:i w:val="0"/>
              <w:iCs w:val="0"/>
              <w:noProof/>
              <w:kern w:val="2"/>
              <w:sz w:val="24"/>
              <w:szCs w:val="24"/>
              <w14:ligatures w14:val="standardContextual"/>
            </w:rPr>
          </w:pPr>
          <w:hyperlink w:anchor="_Toc165022632" w:history="1">
            <w:r w:rsidR="00815295" w:rsidRPr="000725B2">
              <w:rPr>
                <w:rStyle w:val="Hipervnculo"/>
                <w:bCs/>
                <w:noProof/>
                <w:lang w:val="es-ES"/>
              </w:rPr>
              <w:t>B.1. Afectaciones a la integridad personal, protección a la familia y derechos de la niñez</w:t>
            </w:r>
            <w:r w:rsidR="00815295">
              <w:rPr>
                <w:noProof/>
                <w:webHidden/>
              </w:rPr>
              <w:tab/>
            </w:r>
            <w:r w:rsidR="00815295">
              <w:rPr>
                <w:noProof/>
                <w:webHidden/>
              </w:rPr>
              <w:fldChar w:fldCharType="begin"/>
            </w:r>
            <w:r w:rsidR="00815295">
              <w:rPr>
                <w:noProof/>
                <w:webHidden/>
              </w:rPr>
              <w:instrText xml:space="preserve"> PAGEREF _Toc165022632 \h </w:instrText>
            </w:r>
            <w:r w:rsidR="00815295">
              <w:rPr>
                <w:noProof/>
                <w:webHidden/>
              </w:rPr>
            </w:r>
            <w:r w:rsidR="00815295">
              <w:rPr>
                <w:noProof/>
                <w:webHidden/>
              </w:rPr>
              <w:fldChar w:fldCharType="separate"/>
            </w:r>
            <w:r w:rsidR="00C17BA4">
              <w:rPr>
                <w:noProof/>
                <w:webHidden/>
              </w:rPr>
              <w:t>32</w:t>
            </w:r>
            <w:r w:rsidR="00815295">
              <w:rPr>
                <w:noProof/>
                <w:webHidden/>
              </w:rPr>
              <w:fldChar w:fldCharType="end"/>
            </w:r>
          </w:hyperlink>
        </w:p>
        <w:p w14:paraId="3503D7B5" w14:textId="2DE826AA" w:rsidR="00815295" w:rsidRDefault="00000000">
          <w:pPr>
            <w:pStyle w:val="TDC3"/>
            <w:rPr>
              <w:rFonts w:asciiTheme="minorHAnsi" w:eastAsiaTheme="minorEastAsia" w:hAnsiTheme="minorHAnsi" w:cstheme="minorBidi"/>
              <w:i w:val="0"/>
              <w:iCs w:val="0"/>
              <w:noProof/>
              <w:kern w:val="2"/>
              <w:sz w:val="24"/>
              <w:szCs w:val="24"/>
              <w14:ligatures w14:val="standardContextual"/>
            </w:rPr>
          </w:pPr>
          <w:hyperlink w:anchor="_Toc165022633" w:history="1">
            <w:r w:rsidR="00815295" w:rsidRPr="000725B2">
              <w:rPr>
                <w:rStyle w:val="Hipervnculo"/>
                <w:bCs/>
                <w:noProof/>
                <w:lang w:val="es-ES"/>
              </w:rPr>
              <w:t>B.2. Conclusión</w:t>
            </w:r>
            <w:r w:rsidR="00815295">
              <w:rPr>
                <w:noProof/>
                <w:webHidden/>
              </w:rPr>
              <w:tab/>
            </w:r>
            <w:r w:rsidR="00815295">
              <w:rPr>
                <w:noProof/>
                <w:webHidden/>
              </w:rPr>
              <w:fldChar w:fldCharType="begin"/>
            </w:r>
            <w:r w:rsidR="00815295">
              <w:rPr>
                <w:noProof/>
                <w:webHidden/>
              </w:rPr>
              <w:instrText xml:space="preserve"> PAGEREF _Toc165022633 \h </w:instrText>
            </w:r>
            <w:r w:rsidR="00815295">
              <w:rPr>
                <w:noProof/>
                <w:webHidden/>
              </w:rPr>
            </w:r>
            <w:r w:rsidR="00815295">
              <w:rPr>
                <w:noProof/>
                <w:webHidden/>
              </w:rPr>
              <w:fldChar w:fldCharType="separate"/>
            </w:r>
            <w:r w:rsidR="00C17BA4">
              <w:rPr>
                <w:noProof/>
                <w:webHidden/>
              </w:rPr>
              <w:t>36</w:t>
            </w:r>
            <w:r w:rsidR="00815295">
              <w:rPr>
                <w:noProof/>
                <w:webHidden/>
              </w:rPr>
              <w:fldChar w:fldCharType="end"/>
            </w:r>
          </w:hyperlink>
        </w:p>
        <w:p w14:paraId="6F771CE8" w14:textId="6CD63461" w:rsidR="00815295" w:rsidRDefault="00000000">
          <w:pPr>
            <w:pStyle w:val="TDC1"/>
            <w:rPr>
              <w:rFonts w:asciiTheme="minorHAnsi" w:eastAsiaTheme="minorEastAsia" w:hAnsiTheme="minorHAnsi" w:cstheme="minorBidi"/>
              <w:b w:val="0"/>
              <w:bCs w:val="0"/>
              <w:caps w:val="0"/>
              <w:noProof/>
              <w:kern w:val="2"/>
              <w:sz w:val="24"/>
              <w:szCs w:val="24"/>
              <w14:ligatures w14:val="standardContextual"/>
            </w:rPr>
          </w:pPr>
          <w:hyperlink w:anchor="_Toc165022634" w:history="1">
            <w:r w:rsidR="00815295" w:rsidRPr="000725B2">
              <w:rPr>
                <w:rStyle w:val="Hipervnculo"/>
                <w:noProof/>
              </w:rPr>
              <w:t>VIII REPARACIONES</w:t>
            </w:r>
            <w:r w:rsidR="00815295">
              <w:rPr>
                <w:noProof/>
                <w:webHidden/>
              </w:rPr>
              <w:tab/>
            </w:r>
            <w:r w:rsidR="00815295">
              <w:rPr>
                <w:noProof/>
                <w:webHidden/>
              </w:rPr>
              <w:fldChar w:fldCharType="begin"/>
            </w:r>
            <w:r w:rsidR="00815295">
              <w:rPr>
                <w:noProof/>
                <w:webHidden/>
              </w:rPr>
              <w:instrText xml:space="preserve"> PAGEREF _Toc165022634 \h </w:instrText>
            </w:r>
            <w:r w:rsidR="00815295">
              <w:rPr>
                <w:noProof/>
                <w:webHidden/>
              </w:rPr>
            </w:r>
            <w:r w:rsidR="00815295">
              <w:rPr>
                <w:noProof/>
                <w:webHidden/>
              </w:rPr>
              <w:fldChar w:fldCharType="separate"/>
            </w:r>
            <w:r w:rsidR="00C17BA4">
              <w:rPr>
                <w:noProof/>
                <w:webHidden/>
              </w:rPr>
              <w:t>36</w:t>
            </w:r>
            <w:r w:rsidR="00815295">
              <w:rPr>
                <w:noProof/>
                <w:webHidden/>
              </w:rPr>
              <w:fldChar w:fldCharType="end"/>
            </w:r>
          </w:hyperlink>
        </w:p>
        <w:p w14:paraId="479CEE89" w14:textId="6CC873A9" w:rsidR="00815295" w:rsidRDefault="00000000">
          <w:pPr>
            <w:pStyle w:val="TDC2"/>
            <w:rPr>
              <w:rFonts w:asciiTheme="minorHAnsi" w:eastAsiaTheme="minorEastAsia" w:hAnsiTheme="minorHAnsi" w:cstheme="minorBidi"/>
              <w:bCs w:val="0"/>
              <w:i w:val="0"/>
              <w:kern w:val="2"/>
              <w:sz w:val="24"/>
              <w:szCs w:val="24"/>
              <w:lang w:val="es-CR"/>
              <w14:ligatures w14:val="standardContextual"/>
            </w:rPr>
          </w:pPr>
          <w:hyperlink w:anchor="_Toc165022635" w:history="1">
            <w:r w:rsidR="00815295" w:rsidRPr="000725B2">
              <w:rPr>
                <w:rStyle w:val="Hipervnculo"/>
              </w:rPr>
              <w:t>A.</w:t>
            </w:r>
            <w:r w:rsidR="00815295">
              <w:rPr>
                <w:rFonts w:asciiTheme="minorHAnsi" w:eastAsiaTheme="minorEastAsia" w:hAnsiTheme="minorHAnsi" w:cstheme="minorBidi"/>
                <w:bCs w:val="0"/>
                <w:i w:val="0"/>
                <w:kern w:val="2"/>
                <w:sz w:val="24"/>
                <w:szCs w:val="24"/>
                <w:lang w:val="es-CR"/>
                <w14:ligatures w14:val="standardContextual"/>
              </w:rPr>
              <w:tab/>
            </w:r>
            <w:r w:rsidR="00815295" w:rsidRPr="000725B2">
              <w:rPr>
                <w:rStyle w:val="Hipervnculo"/>
              </w:rPr>
              <w:t>Parte lesionada</w:t>
            </w:r>
            <w:r w:rsidR="00815295">
              <w:rPr>
                <w:webHidden/>
              </w:rPr>
              <w:tab/>
            </w:r>
            <w:r w:rsidR="00815295">
              <w:rPr>
                <w:webHidden/>
              </w:rPr>
              <w:fldChar w:fldCharType="begin"/>
            </w:r>
            <w:r w:rsidR="00815295">
              <w:rPr>
                <w:webHidden/>
              </w:rPr>
              <w:instrText xml:space="preserve"> PAGEREF _Toc165022635 \h </w:instrText>
            </w:r>
            <w:r w:rsidR="00815295">
              <w:rPr>
                <w:webHidden/>
              </w:rPr>
            </w:r>
            <w:r w:rsidR="00815295">
              <w:rPr>
                <w:webHidden/>
              </w:rPr>
              <w:fldChar w:fldCharType="separate"/>
            </w:r>
            <w:r w:rsidR="00C17BA4">
              <w:rPr>
                <w:webHidden/>
              </w:rPr>
              <w:t>37</w:t>
            </w:r>
            <w:r w:rsidR="00815295">
              <w:rPr>
                <w:webHidden/>
              </w:rPr>
              <w:fldChar w:fldCharType="end"/>
            </w:r>
          </w:hyperlink>
        </w:p>
        <w:p w14:paraId="6A77DA27" w14:textId="59B14817" w:rsidR="00815295" w:rsidRDefault="00000000">
          <w:pPr>
            <w:pStyle w:val="TDC2"/>
            <w:rPr>
              <w:rFonts w:asciiTheme="minorHAnsi" w:eastAsiaTheme="minorEastAsia" w:hAnsiTheme="minorHAnsi" w:cstheme="minorBidi"/>
              <w:bCs w:val="0"/>
              <w:i w:val="0"/>
              <w:kern w:val="2"/>
              <w:sz w:val="24"/>
              <w:szCs w:val="24"/>
              <w:lang w:val="es-CR"/>
              <w14:ligatures w14:val="standardContextual"/>
            </w:rPr>
          </w:pPr>
          <w:hyperlink w:anchor="_Toc165022636" w:history="1">
            <w:r w:rsidR="00815295" w:rsidRPr="000725B2">
              <w:rPr>
                <w:rStyle w:val="Hipervnculo"/>
              </w:rPr>
              <w:t>B.</w:t>
            </w:r>
            <w:r w:rsidR="00815295">
              <w:rPr>
                <w:rFonts w:asciiTheme="minorHAnsi" w:eastAsiaTheme="minorEastAsia" w:hAnsiTheme="minorHAnsi" w:cstheme="minorBidi"/>
                <w:bCs w:val="0"/>
                <w:i w:val="0"/>
                <w:kern w:val="2"/>
                <w:sz w:val="24"/>
                <w:szCs w:val="24"/>
                <w:lang w:val="es-CR"/>
                <w14:ligatures w14:val="standardContextual"/>
              </w:rPr>
              <w:tab/>
            </w:r>
            <w:r w:rsidR="00815295" w:rsidRPr="000725B2">
              <w:rPr>
                <w:rStyle w:val="Hipervnculo"/>
              </w:rPr>
              <w:t>Obligación de investigar</w:t>
            </w:r>
            <w:r w:rsidR="00815295">
              <w:rPr>
                <w:webHidden/>
              </w:rPr>
              <w:tab/>
            </w:r>
            <w:r w:rsidR="00815295">
              <w:rPr>
                <w:webHidden/>
              </w:rPr>
              <w:fldChar w:fldCharType="begin"/>
            </w:r>
            <w:r w:rsidR="00815295">
              <w:rPr>
                <w:webHidden/>
              </w:rPr>
              <w:instrText xml:space="preserve"> PAGEREF _Toc165022636 \h </w:instrText>
            </w:r>
            <w:r w:rsidR="00815295">
              <w:rPr>
                <w:webHidden/>
              </w:rPr>
            </w:r>
            <w:r w:rsidR="00815295">
              <w:rPr>
                <w:webHidden/>
              </w:rPr>
              <w:fldChar w:fldCharType="separate"/>
            </w:r>
            <w:r w:rsidR="00C17BA4">
              <w:rPr>
                <w:webHidden/>
              </w:rPr>
              <w:t>38</w:t>
            </w:r>
            <w:r w:rsidR="00815295">
              <w:rPr>
                <w:webHidden/>
              </w:rPr>
              <w:fldChar w:fldCharType="end"/>
            </w:r>
          </w:hyperlink>
        </w:p>
        <w:p w14:paraId="12F908F3" w14:textId="62118ECA" w:rsidR="00815295" w:rsidRDefault="00000000">
          <w:pPr>
            <w:pStyle w:val="TDC2"/>
            <w:rPr>
              <w:rFonts w:asciiTheme="minorHAnsi" w:eastAsiaTheme="minorEastAsia" w:hAnsiTheme="minorHAnsi" w:cstheme="minorBidi"/>
              <w:bCs w:val="0"/>
              <w:i w:val="0"/>
              <w:kern w:val="2"/>
              <w:sz w:val="24"/>
              <w:szCs w:val="24"/>
              <w:lang w:val="es-CR"/>
              <w14:ligatures w14:val="standardContextual"/>
            </w:rPr>
          </w:pPr>
          <w:hyperlink w:anchor="_Toc165022637" w:history="1">
            <w:r w:rsidR="00815295" w:rsidRPr="000725B2">
              <w:rPr>
                <w:rStyle w:val="Hipervnculo"/>
                <w:lang w:eastAsia="es-ES_tradnl"/>
              </w:rPr>
              <w:t>C.</w:t>
            </w:r>
            <w:r w:rsidR="00815295">
              <w:rPr>
                <w:rFonts w:asciiTheme="minorHAnsi" w:eastAsiaTheme="minorEastAsia" w:hAnsiTheme="minorHAnsi" w:cstheme="minorBidi"/>
                <w:bCs w:val="0"/>
                <w:i w:val="0"/>
                <w:kern w:val="2"/>
                <w:sz w:val="24"/>
                <w:szCs w:val="24"/>
                <w:lang w:val="es-CR"/>
                <w14:ligatures w14:val="standardContextual"/>
              </w:rPr>
              <w:tab/>
            </w:r>
            <w:r w:rsidR="00815295" w:rsidRPr="000725B2">
              <w:rPr>
                <w:rStyle w:val="Hipervnculo"/>
              </w:rPr>
              <w:t xml:space="preserve">Determinación del paradero de </w:t>
            </w:r>
            <w:r w:rsidR="00815295" w:rsidRPr="000725B2">
              <w:rPr>
                <w:rStyle w:val="Hipervnculo"/>
                <w:lang w:eastAsia="es-ES_tradnl"/>
              </w:rPr>
              <w:t>Patricia Emilie Cuéllar Sandoval, Mauricio Cuéllar Cuéllar y Julia Orbelina Pérez</w:t>
            </w:r>
            <w:r w:rsidR="00815295">
              <w:rPr>
                <w:webHidden/>
              </w:rPr>
              <w:tab/>
            </w:r>
            <w:r w:rsidR="00815295">
              <w:rPr>
                <w:webHidden/>
              </w:rPr>
              <w:fldChar w:fldCharType="begin"/>
            </w:r>
            <w:r w:rsidR="00815295">
              <w:rPr>
                <w:webHidden/>
              </w:rPr>
              <w:instrText xml:space="preserve"> PAGEREF _Toc165022637 \h </w:instrText>
            </w:r>
            <w:r w:rsidR="00815295">
              <w:rPr>
                <w:webHidden/>
              </w:rPr>
            </w:r>
            <w:r w:rsidR="00815295">
              <w:rPr>
                <w:webHidden/>
              </w:rPr>
              <w:fldChar w:fldCharType="separate"/>
            </w:r>
            <w:r w:rsidR="00C17BA4">
              <w:rPr>
                <w:webHidden/>
              </w:rPr>
              <w:t>39</w:t>
            </w:r>
            <w:r w:rsidR="00815295">
              <w:rPr>
                <w:webHidden/>
              </w:rPr>
              <w:fldChar w:fldCharType="end"/>
            </w:r>
          </w:hyperlink>
        </w:p>
        <w:p w14:paraId="76D912A3" w14:textId="4C8FD3F3" w:rsidR="00815295" w:rsidRDefault="00000000">
          <w:pPr>
            <w:pStyle w:val="TDC2"/>
            <w:rPr>
              <w:rFonts w:asciiTheme="minorHAnsi" w:eastAsiaTheme="minorEastAsia" w:hAnsiTheme="minorHAnsi" w:cstheme="minorBidi"/>
              <w:bCs w:val="0"/>
              <w:i w:val="0"/>
              <w:kern w:val="2"/>
              <w:sz w:val="24"/>
              <w:szCs w:val="24"/>
              <w:lang w:val="es-CR"/>
              <w14:ligatures w14:val="standardContextual"/>
            </w:rPr>
          </w:pPr>
          <w:hyperlink w:anchor="_Toc165022638" w:history="1">
            <w:r w:rsidR="00815295" w:rsidRPr="000725B2">
              <w:rPr>
                <w:rStyle w:val="Hipervnculo"/>
              </w:rPr>
              <w:t>D.</w:t>
            </w:r>
            <w:r w:rsidR="00815295">
              <w:rPr>
                <w:rFonts w:asciiTheme="minorHAnsi" w:eastAsiaTheme="minorEastAsia" w:hAnsiTheme="minorHAnsi" w:cstheme="minorBidi"/>
                <w:bCs w:val="0"/>
                <w:i w:val="0"/>
                <w:kern w:val="2"/>
                <w:sz w:val="24"/>
                <w:szCs w:val="24"/>
                <w:lang w:val="es-CR"/>
                <w14:ligatures w14:val="standardContextual"/>
              </w:rPr>
              <w:tab/>
            </w:r>
            <w:r w:rsidR="00815295" w:rsidRPr="000725B2">
              <w:rPr>
                <w:rStyle w:val="Hipervnculo"/>
              </w:rPr>
              <w:t>Medida de rehabilitación</w:t>
            </w:r>
            <w:r w:rsidR="00815295">
              <w:rPr>
                <w:webHidden/>
              </w:rPr>
              <w:tab/>
            </w:r>
            <w:r w:rsidR="00815295">
              <w:rPr>
                <w:webHidden/>
              </w:rPr>
              <w:fldChar w:fldCharType="begin"/>
            </w:r>
            <w:r w:rsidR="00815295">
              <w:rPr>
                <w:webHidden/>
              </w:rPr>
              <w:instrText xml:space="preserve"> PAGEREF _Toc165022638 \h </w:instrText>
            </w:r>
            <w:r w:rsidR="00815295">
              <w:rPr>
                <w:webHidden/>
              </w:rPr>
            </w:r>
            <w:r w:rsidR="00815295">
              <w:rPr>
                <w:webHidden/>
              </w:rPr>
              <w:fldChar w:fldCharType="separate"/>
            </w:r>
            <w:r w:rsidR="00C17BA4">
              <w:rPr>
                <w:webHidden/>
              </w:rPr>
              <w:t>40</w:t>
            </w:r>
            <w:r w:rsidR="00815295">
              <w:rPr>
                <w:webHidden/>
              </w:rPr>
              <w:fldChar w:fldCharType="end"/>
            </w:r>
          </w:hyperlink>
        </w:p>
        <w:p w14:paraId="00ACF88C" w14:textId="03DCB9EC" w:rsidR="00815295" w:rsidRDefault="00000000">
          <w:pPr>
            <w:pStyle w:val="TDC2"/>
            <w:rPr>
              <w:rFonts w:asciiTheme="minorHAnsi" w:eastAsiaTheme="minorEastAsia" w:hAnsiTheme="minorHAnsi" w:cstheme="minorBidi"/>
              <w:bCs w:val="0"/>
              <w:i w:val="0"/>
              <w:kern w:val="2"/>
              <w:sz w:val="24"/>
              <w:szCs w:val="24"/>
              <w:lang w:val="es-CR"/>
              <w14:ligatures w14:val="standardContextual"/>
            </w:rPr>
          </w:pPr>
          <w:hyperlink w:anchor="_Toc165022639" w:history="1">
            <w:r w:rsidR="00815295" w:rsidRPr="000725B2">
              <w:rPr>
                <w:rStyle w:val="Hipervnculo"/>
              </w:rPr>
              <w:t>E.</w:t>
            </w:r>
            <w:r w:rsidR="00815295">
              <w:rPr>
                <w:rFonts w:asciiTheme="minorHAnsi" w:eastAsiaTheme="minorEastAsia" w:hAnsiTheme="minorHAnsi" w:cstheme="minorBidi"/>
                <w:bCs w:val="0"/>
                <w:i w:val="0"/>
                <w:kern w:val="2"/>
                <w:sz w:val="24"/>
                <w:szCs w:val="24"/>
                <w:lang w:val="es-CR"/>
                <w14:ligatures w14:val="standardContextual"/>
              </w:rPr>
              <w:tab/>
            </w:r>
            <w:r w:rsidR="00815295" w:rsidRPr="000725B2">
              <w:rPr>
                <w:rStyle w:val="Hipervnculo"/>
              </w:rPr>
              <w:t>Medidas de satisfacción</w:t>
            </w:r>
            <w:r w:rsidR="00815295">
              <w:rPr>
                <w:webHidden/>
              </w:rPr>
              <w:tab/>
            </w:r>
            <w:r w:rsidR="00815295">
              <w:rPr>
                <w:webHidden/>
              </w:rPr>
              <w:fldChar w:fldCharType="begin"/>
            </w:r>
            <w:r w:rsidR="00815295">
              <w:rPr>
                <w:webHidden/>
              </w:rPr>
              <w:instrText xml:space="preserve"> PAGEREF _Toc165022639 \h </w:instrText>
            </w:r>
            <w:r w:rsidR="00815295">
              <w:rPr>
                <w:webHidden/>
              </w:rPr>
            </w:r>
            <w:r w:rsidR="00815295">
              <w:rPr>
                <w:webHidden/>
              </w:rPr>
              <w:fldChar w:fldCharType="separate"/>
            </w:r>
            <w:r w:rsidR="00C17BA4">
              <w:rPr>
                <w:webHidden/>
              </w:rPr>
              <w:t>42</w:t>
            </w:r>
            <w:r w:rsidR="00815295">
              <w:rPr>
                <w:webHidden/>
              </w:rPr>
              <w:fldChar w:fldCharType="end"/>
            </w:r>
          </w:hyperlink>
        </w:p>
        <w:p w14:paraId="06C7B3C2" w14:textId="1F8C32F8" w:rsidR="00815295" w:rsidRDefault="00000000">
          <w:pPr>
            <w:pStyle w:val="TDC2"/>
            <w:rPr>
              <w:rFonts w:asciiTheme="minorHAnsi" w:eastAsiaTheme="minorEastAsia" w:hAnsiTheme="minorHAnsi" w:cstheme="minorBidi"/>
              <w:bCs w:val="0"/>
              <w:i w:val="0"/>
              <w:kern w:val="2"/>
              <w:sz w:val="24"/>
              <w:szCs w:val="24"/>
              <w:lang w:val="es-CR"/>
              <w14:ligatures w14:val="standardContextual"/>
            </w:rPr>
          </w:pPr>
          <w:hyperlink w:anchor="_Toc165022640" w:history="1">
            <w:r w:rsidR="00815295" w:rsidRPr="000725B2">
              <w:rPr>
                <w:rStyle w:val="Hipervnculo"/>
              </w:rPr>
              <w:t>F.</w:t>
            </w:r>
            <w:r w:rsidR="00815295">
              <w:rPr>
                <w:rFonts w:asciiTheme="minorHAnsi" w:eastAsiaTheme="minorEastAsia" w:hAnsiTheme="minorHAnsi" w:cstheme="minorBidi"/>
                <w:bCs w:val="0"/>
                <w:i w:val="0"/>
                <w:kern w:val="2"/>
                <w:sz w:val="24"/>
                <w:szCs w:val="24"/>
                <w:lang w:val="es-CR"/>
                <w14:ligatures w14:val="standardContextual"/>
              </w:rPr>
              <w:tab/>
            </w:r>
            <w:r w:rsidR="00815295" w:rsidRPr="000725B2">
              <w:rPr>
                <w:rStyle w:val="Hipervnculo"/>
              </w:rPr>
              <w:t>Garantías de no repetición</w:t>
            </w:r>
            <w:r w:rsidR="00815295">
              <w:rPr>
                <w:webHidden/>
              </w:rPr>
              <w:tab/>
            </w:r>
            <w:r w:rsidR="00815295">
              <w:rPr>
                <w:webHidden/>
              </w:rPr>
              <w:fldChar w:fldCharType="begin"/>
            </w:r>
            <w:r w:rsidR="00815295">
              <w:rPr>
                <w:webHidden/>
              </w:rPr>
              <w:instrText xml:space="preserve"> PAGEREF _Toc165022640 \h </w:instrText>
            </w:r>
            <w:r w:rsidR="00815295">
              <w:rPr>
                <w:webHidden/>
              </w:rPr>
            </w:r>
            <w:r w:rsidR="00815295">
              <w:rPr>
                <w:webHidden/>
              </w:rPr>
              <w:fldChar w:fldCharType="separate"/>
            </w:r>
            <w:r w:rsidR="00C17BA4">
              <w:rPr>
                <w:webHidden/>
              </w:rPr>
              <w:t>44</w:t>
            </w:r>
            <w:r w:rsidR="00815295">
              <w:rPr>
                <w:webHidden/>
              </w:rPr>
              <w:fldChar w:fldCharType="end"/>
            </w:r>
          </w:hyperlink>
        </w:p>
        <w:p w14:paraId="3647C2FD" w14:textId="76E8BF43" w:rsidR="00815295" w:rsidRDefault="00000000">
          <w:pPr>
            <w:pStyle w:val="TDC2"/>
            <w:rPr>
              <w:rFonts w:asciiTheme="minorHAnsi" w:eastAsiaTheme="minorEastAsia" w:hAnsiTheme="minorHAnsi" w:cstheme="minorBidi"/>
              <w:bCs w:val="0"/>
              <w:i w:val="0"/>
              <w:kern w:val="2"/>
              <w:sz w:val="24"/>
              <w:szCs w:val="24"/>
              <w:lang w:val="es-CR"/>
              <w14:ligatures w14:val="standardContextual"/>
            </w:rPr>
          </w:pPr>
          <w:hyperlink w:anchor="_Toc165022641" w:history="1">
            <w:r w:rsidR="00815295" w:rsidRPr="000725B2">
              <w:rPr>
                <w:rStyle w:val="Hipervnculo"/>
              </w:rPr>
              <w:t>G.</w:t>
            </w:r>
            <w:r w:rsidR="00815295">
              <w:rPr>
                <w:rFonts w:asciiTheme="minorHAnsi" w:eastAsiaTheme="minorEastAsia" w:hAnsiTheme="minorHAnsi" w:cstheme="minorBidi"/>
                <w:bCs w:val="0"/>
                <w:i w:val="0"/>
                <w:kern w:val="2"/>
                <w:sz w:val="24"/>
                <w:szCs w:val="24"/>
                <w:lang w:val="es-CR"/>
                <w14:ligatures w14:val="standardContextual"/>
              </w:rPr>
              <w:tab/>
            </w:r>
            <w:r w:rsidR="00815295" w:rsidRPr="000725B2">
              <w:rPr>
                <w:rStyle w:val="Hipervnculo"/>
              </w:rPr>
              <w:t>Medidas pecuniarias</w:t>
            </w:r>
            <w:r w:rsidR="00815295">
              <w:rPr>
                <w:webHidden/>
              </w:rPr>
              <w:tab/>
            </w:r>
            <w:r w:rsidR="00815295">
              <w:rPr>
                <w:webHidden/>
              </w:rPr>
              <w:fldChar w:fldCharType="begin"/>
            </w:r>
            <w:r w:rsidR="00815295">
              <w:rPr>
                <w:webHidden/>
              </w:rPr>
              <w:instrText xml:space="preserve"> PAGEREF _Toc165022641 \h </w:instrText>
            </w:r>
            <w:r w:rsidR="00815295">
              <w:rPr>
                <w:webHidden/>
              </w:rPr>
            </w:r>
            <w:r w:rsidR="00815295">
              <w:rPr>
                <w:webHidden/>
              </w:rPr>
              <w:fldChar w:fldCharType="separate"/>
            </w:r>
            <w:r w:rsidR="00C17BA4">
              <w:rPr>
                <w:webHidden/>
              </w:rPr>
              <w:t>51</w:t>
            </w:r>
            <w:r w:rsidR="00815295">
              <w:rPr>
                <w:webHidden/>
              </w:rPr>
              <w:fldChar w:fldCharType="end"/>
            </w:r>
          </w:hyperlink>
        </w:p>
        <w:p w14:paraId="7A103B03" w14:textId="0C95AF19" w:rsidR="00815295" w:rsidRDefault="00000000">
          <w:pPr>
            <w:pStyle w:val="TDC3"/>
            <w:rPr>
              <w:rFonts w:asciiTheme="minorHAnsi" w:eastAsiaTheme="minorEastAsia" w:hAnsiTheme="minorHAnsi" w:cstheme="minorBidi"/>
              <w:i w:val="0"/>
              <w:iCs w:val="0"/>
              <w:noProof/>
              <w:kern w:val="2"/>
              <w:sz w:val="24"/>
              <w:szCs w:val="24"/>
              <w14:ligatures w14:val="standardContextual"/>
            </w:rPr>
          </w:pPr>
          <w:hyperlink w:anchor="_Toc165022642" w:history="1">
            <w:r w:rsidR="00815295" w:rsidRPr="000725B2">
              <w:rPr>
                <w:rStyle w:val="Hipervnculo"/>
                <w:noProof/>
              </w:rPr>
              <w:t>G.1. Daño material</w:t>
            </w:r>
            <w:r w:rsidR="00815295">
              <w:rPr>
                <w:noProof/>
                <w:webHidden/>
              </w:rPr>
              <w:tab/>
            </w:r>
            <w:r w:rsidR="00815295">
              <w:rPr>
                <w:noProof/>
                <w:webHidden/>
              </w:rPr>
              <w:fldChar w:fldCharType="begin"/>
            </w:r>
            <w:r w:rsidR="00815295">
              <w:rPr>
                <w:noProof/>
                <w:webHidden/>
              </w:rPr>
              <w:instrText xml:space="preserve"> PAGEREF _Toc165022642 \h </w:instrText>
            </w:r>
            <w:r w:rsidR="00815295">
              <w:rPr>
                <w:noProof/>
                <w:webHidden/>
              </w:rPr>
            </w:r>
            <w:r w:rsidR="00815295">
              <w:rPr>
                <w:noProof/>
                <w:webHidden/>
              </w:rPr>
              <w:fldChar w:fldCharType="separate"/>
            </w:r>
            <w:r w:rsidR="00C17BA4">
              <w:rPr>
                <w:noProof/>
                <w:webHidden/>
              </w:rPr>
              <w:t>51</w:t>
            </w:r>
            <w:r w:rsidR="00815295">
              <w:rPr>
                <w:noProof/>
                <w:webHidden/>
              </w:rPr>
              <w:fldChar w:fldCharType="end"/>
            </w:r>
          </w:hyperlink>
        </w:p>
        <w:p w14:paraId="5BB4D52E" w14:textId="5545762E" w:rsidR="00815295" w:rsidRDefault="00000000">
          <w:pPr>
            <w:pStyle w:val="TDC3"/>
            <w:rPr>
              <w:rFonts w:asciiTheme="minorHAnsi" w:eastAsiaTheme="minorEastAsia" w:hAnsiTheme="minorHAnsi" w:cstheme="minorBidi"/>
              <w:i w:val="0"/>
              <w:iCs w:val="0"/>
              <w:noProof/>
              <w:kern w:val="2"/>
              <w:sz w:val="24"/>
              <w:szCs w:val="24"/>
              <w14:ligatures w14:val="standardContextual"/>
            </w:rPr>
          </w:pPr>
          <w:hyperlink w:anchor="_Toc165022643" w:history="1">
            <w:r w:rsidR="00815295" w:rsidRPr="000725B2">
              <w:rPr>
                <w:rStyle w:val="Hipervnculo"/>
                <w:noProof/>
              </w:rPr>
              <w:t>G.2. Daño inmaterial</w:t>
            </w:r>
            <w:r w:rsidR="00815295">
              <w:rPr>
                <w:noProof/>
                <w:webHidden/>
              </w:rPr>
              <w:tab/>
            </w:r>
            <w:r w:rsidR="00815295">
              <w:rPr>
                <w:noProof/>
                <w:webHidden/>
              </w:rPr>
              <w:fldChar w:fldCharType="begin"/>
            </w:r>
            <w:r w:rsidR="00815295">
              <w:rPr>
                <w:noProof/>
                <w:webHidden/>
              </w:rPr>
              <w:instrText xml:space="preserve"> PAGEREF _Toc165022643 \h </w:instrText>
            </w:r>
            <w:r w:rsidR="00815295">
              <w:rPr>
                <w:noProof/>
                <w:webHidden/>
              </w:rPr>
            </w:r>
            <w:r w:rsidR="00815295">
              <w:rPr>
                <w:noProof/>
                <w:webHidden/>
              </w:rPr>
              <w:fldChar w:fldCharType="separate"/>
            </w:r>
            <w:r w:rsidR="00C17BA4">
              <w:rPr>
                <w:noProof/>
                <w:webHidden/>
              </w:rPr>
              <w:t>52</w:t>
            </w:r>
            <w:r w:rsidR="00815295">
              <w:rPr>
                <w:noProof/>
                <w:webHidden/>
              </w:rPr>
              <w:fldChar w:fldCharType="end"/>
            </w:r>
          </w:hyperlink>
        </w:p>
        <w:p w14:paraId="43631F8D" w14:textId="28A796AD" w:rsidR="00815295" w:rsidRDefault="00000000">
          <w:pPr>
            <w:pStyle w:val="TDC2"/>
            <w:rPr>
              <w:rFonts w:asciiTheme="minorHAnsi" w:eastAsiaTheme="minorEastAsia" w:hAnsiTheme="minorHAnsi" w:cstheme="minorBidi"/>
              <w:bCs w:val="0"/>
              <w:i w:val="0"/>
              <w:kern w:val="2"/>
              <w:sz w:val="24"/>
              <w:szCs w:val="24"/>
              <w:lang w:val="es-CR"/>
              <w14:ligatures w14:val="standardContextual"/>
            </w:rPr>
          </w:pPr>
          <w:hyperlink w:anchor="_Toc165022644" w:history="1">
            <w:r w:rsidR="00815295" w:rsidRPr="000725B2">
              <w:rPr>
                <w:rStyle w:val="Hipervnculo"/>
              </w:rPr>
              <w:t>H.</w:t>
            </w:r>
            <w:r w:rsidR="00815295">
              <w:rPr>
                <w:rFonts w:asciiTheme="minorHAnsi" w:eastAsiaTheme="minorEastAsia" w:hAnsiTheme="minorHAnsi" w:cstheme="minorBidi"/>
                <w:bCs w:val="0"/>
                <w:i w:val="0"/>
                <w:kern w:val="2"/>
                <w:sz w:val="24"/>
                <w:szCs w:val="24"/>
                <w:lang w:val="es-CR"/>
                <w14:ligatures w14:val="standardContextual"/>
              </w:rPr>
              <w:tab/>
            </w:r>
            <w:r w:rsidR="00815295" w:rsidRPr="000725B2">
              <w:rPr>
                <w:rStyle w:val="Hipervnculo"/>
              </w:rPr>
              <w:t>Costas y Gastos</w:t>
            </w:r>
            <w:r w:rsidR="00815295">
              <w:rPr>
                <w:webHidden/>
              </w:rPr>
              <w:tab/>
            </w:r>
            <w:r w:rsidR="00815295">
              <w:rPr>
                <w:webHidden/>
              </w:rPr>
              <w:fldChar w:fldCharType="begin"/>
            </w:r>
            <w:r w:rsidR="00815295">
              <w:rPr>
                <w:webHidden/>
              </w:rPr>
              <w:instrText xml:space="preserve"> PAGEREF _Toc165022644 \h </w:instrText>
            </w:r>
            <w:r w:rsidR="00815295">
              <w:rPr>
                <w:webHidden/>
              </w:rPr>
            </w:r>
            <w:r w:rsidR="00815295">
              <w:rPr>
                <w:webHidden/>
              </w:rPr>
              <w:fldChar w:fldCharType="separate"/>
            </w:r>
            <w:r w:rsidR="00C17BA4">
              <w:rPr>
                <w:webHidden/>
              </w:rPr>
              <w:t>54</w:t>
            </w:r>
            <w:r w:rsidR="00815295">
              <w:rPr>
                <w:webHidden/>
              </w:rPr>
              <w:fldChar w:fldCharType="end"/>
            </w:r>
          </w:hyperlink>
        </w:p>
        <w:p w14:paraId="4CBE35E5" w14:textId="4689E16A" w:rsidR="00815295" w:rsidRDefault="00000000">
          <w:pPr>
            <w:pStyle w:val="TDC2"/>
            <w:rPr>
              <w:rFonts w:asciiTheme="minorHAnsi" w:eastAsiaTheme="minorEastAsia" w:hAnsiTheme="minorHAnsi" w:cstheme="minorBidi"/>
              <w:bCs w:val="0"/>
              <w:i w:val="0"/>
              <w:kern w:val="2"/>
              <w:sz w:val="24"/>
              <w:szCs w:val="24"/>
              <w:lang w:val="es-CR"/>
              <w14:ligatures w14:val="standardContextual"/>
            </w:rPr>
          </w:pPr>
          <w:hyperlink w:anchor="_Toc165022645" w:history="1">
            <w:r w:rsidR="00815295" w:rsidRPr="000725B2">
              <w:rPr>
                <w:rStyle w:val="Hipervnculo"/>
              </w:rPr>
              <w:t>I.</w:t>
            </w:r>
            <w:r w:rsidR="00815295">
              <w:rPr>
                <w:rFonts w:asciiTheme="minorHAnsi" w:eastAsiaTheme="minorEastAsia" w:hAnsiTheme="minorHAnsi" w:cstheme="minorBidi"/>
                <w:bCs w:val="0"/>
                <w:i w:val="0"/>
                <w:kern w:val="2"/>
                <w:sz w:val="24"/>
                <w:szCs w:val="24"/>
                <w:lang w:val="es-CR"/>
                <w14:ligatures w14:val="standardContextual"/>
              </w:rPr>
              <w:tab/>
            </w:r>
            <w:r w:rsidR="00815295" w:rsidRPr="000725B2">
              <w:rPr>
                <w:rStyle w:val="Hipervnculo"/>
              </w:rPr>
              <w:t>Modalidad de cumplimiento de los pagos ordenados</w:t>
            </w:r>
            <w:r w:rsidR="00815295">
              <w:rPr>
                <w:webHidden/>
              </w:rPr>
              <w:tab/>
            </w:r>
            <w:r w:rsidR="00815295">
              <w:rPr>
                <w:webHidden/>
              </w:rPr>
              <w:fldChar w:fldCharType="begin"/>
            </w:r>
            <w:r w:rsidR="00815295">
              <w:rPr>
                <w:webHidden/>
              </w:rPr>
              <w:instrText xml:space="preserve"> PAGEREF _Toc165022645 \h </w:instrText>
            </w:r>
            <w:r w:rsidR="00815295">
              <w:rPr>
                <w:webHidden/>
              </w:rPr>
            </w:r>
            <w:r w:rsidR="00815295">
              <w:rPr>
                <w:webHidden/>
              </w:rPr>
              <w:fldChar w:fldCharType="separate"/>
            </w:r>
            <w:r w:rsidR="00C17BA4">
              <w:rPr>
                <w:webHidden/>
              </w:rPr>
              <w:t>54</w:t>
            </w:r>
            <w:r w:rsidR="00815295">
              <w:rPr>
                <w:webHidden/>
              </w:rPr>
              <w:fldChar w:fldCharType="end"/>
            </w:r>
          </w:hyperlink>
        </w:p>
        <w:p w14:paraId="38266B95" w14:textId="454CB771" w:rsidR="00815295" w:rsidRDefault="00000000">
          <w:pPr>
            <w:pStyle w:val="TDC1"/>
            <w:rPr>
              <w:rFonts w:asciiTheme="minorHAnsi" w:eastAsiaTheme="minorEastAsia" w:hAnsiTheme="minorHAnsi" w:cstheme="minorBidi"/>
              <w:b w:val="0"/>
              <w:bCs w:val="0"/>
              <w:caps w:val="0"/>
              <w:noProof/>
              <w:kern w:val="2"/>
              <w:sz w:val="24"/>
              <w:szCs w:val="24"/>
              <w14:ligatures w14:val="standardContextual"/>
            </w:rPr>
          </w:pPr>
          <w:hyperlink w:anchor="_Toc165022646" w:history="1">
            <w:r w:rsidR="00815295" w:rsidRPr="000725B2">
              <w:rPr>
                <w:rStyle w:val="Hipervnculo"/>
                <w:noProof/>
              </w:rPr>
              <w:t>IX PUNTOS RESOLUTIVOS</w:t>
            </w:r>
            <w:r w:rsidR="00815295">
              <w:rPr>
                <w:noProof/>
                <w:webHidden/>
              </w:rPr>
              <w:tab/>
            </w:r>
            <w:r w:rsidR="00815295">
              <w:rPr>
                <w:noProof/>
                <w:webHidden/>
              </w:rPr>
              <w:fldChar w:fldCharType="begin"/>
            </w:r>
            <w:r w:rsidR="00815295">
              <w:rPr>
                <w:noProof/>
                <w:webHidden/>
              </w:rPr>
              <w:instrText xml:space="preserve"> PAGEREF _Toc165022646 \h </w:instrText>
            </w:r>
            <w:r w:rsidR="00815295">
              <w:rPr>
                <w:noProof/>
                <w:webHidden/>
              </w:rPr>
            </w:r>
            <w:r w:rsidR="00815295">
              <w:rPr>
                <w:noProof/>
                <w:webHidden/>
              </w:rPr>
              <w:fldChar w:fldCharType="separate"/>
            </w:r>
            <w:r w:rsidR="00C17BA4">
              <w:rPr>
                <w:noProof/>
                <w:webHidden/>
              </w:rPr>
              <w:t>56</w:t>
            </w:r>
            <w:r w:rsidR="00815295">
              <w:rPr>
                <w:noProof/>
                <w:webHidden/>
              </w:rPr>
              <w:fldChar w:fldCharType="end"/>
            </w:r>
          </w:hyperlink>
        </w:p>
        <w:p w14:paraId="18E8084A" w14:textId="34FA015B" w:rsidR="0067534D" w:rsidRPr="00465F79" w:rsidRDefault="0067534D" w:rsidP="00FC3A2E">
          <w:pPr>
            <w:spacing w:before="20" w:after="20" w:line="240" w:lineRule="auto"/>
          </w:pPr>
          <w:r w:rsidRPr="00465F79">
            <w:rPr>
              <w:b/>
              <w:bCs/>
              <w:lang w:val="es-ES"/>
            </w:rPr>
            <w:fldChar w:fldCharType="end"/>
          </w:r>
        </w:p>
      </w:sdtContent>
    </w:sdt>
    <w:p w14:paraId="77AB7458" w14:textId="77777777" w:rsidR="00E0705E" w:rsidRPr="00465F79" w:rsidRDefault="00E0705E" w:rsidP="00E0705E">
      <w:pPr>
        <w:widowControl/>
        <w:adjustRightInd/>
        <w:spacing w:after="160" w:line="256" w:lineRule="auto"/>
        <w:jc w:val="left"/>
        <w:rPr>
          <w:rFonts w:cs="Verdana"/>
          <w:b/>
          <w:bCs/>
          <w:caps/>
          <w:snapToGrid w:val="0"/>
          <w:lang w:val="es-ES"/>
        </w:rPr>
      </w:pPr>
      <w:r w:rsidRPr="00465F79">
        <w:rPr>
          <w:lang w:val="es-ES"/>
        </w:rPr>
        <w:br w:type="page"/>
      </w:r>
    </w:p>
    <w:p w14:paraId="079B4CE8" w14:textId="7CE6805E" w:rsidR="00E0705E" w:rsidRPr="00465F79" w:rsidRDefault="00E0705E" w:rsidP="00465F79">
      <w:pPr>
        <w:pStyle w:val="Ttulo1"/>
      </w:pPr>
      <w:bookmarkStart w:id="4" w:name="_Toc165022596"/>
      <w:r w:rsidRPr="00465F79">
        <w:lastRenderedPageBreak/>
        <w:t>I</w:t>
      </w:r>
      <w:r w:rsidRPr="00465F79">
        <w:br/>
        <w:t>INTRODUCCIÓN DE LA CAUSA Y OBJETO DE LA CONTROVERSIA</w:t>
      </w:r>
      <w:bookmarkEnd w:id="4"/>
    </w:p>
    <w:p w14:paraId="07C5F1E5" w14:textId="3CF364F4" w:rsidR="00CD69FC" w:rsidRPr="00465F79" w:rsidRDefault="00CD69FC" w:rsidP="00EC3525">
      <w:pPr>
        <w:numPr>
          <w:ilvl w:val="0"/>
          <w:numId w:val="7"/>
        </w:numPr>
        <w:tabs>
          <w:tab w:val="left" w:pos="567"/>
          <w:tab w:val="num" w:pos="1569"/>
          <w:tab w:val="num" w:pos="12305"/>
        </w:tabs>
        <w:spacing w:line="240" w:lineRule="auto"/>
        <w:ind w:left="0" w:firstLine="0"/>
      </w:pPr>
      <w:r w:rsidRPr="00465F79">
        <w:rPr>
          <w:i/>
          <w:lang w:val="es-ES"/>
        </w:rPr>
        <w:t xml:space="preserve"> </w:t>
      </w:r>
      <w:r w:rsidR="00E0705E" w:rsidRPr="00465F79">
        <w:rPr>
          <w:i/>
          <w:lang w:val="es-ES"/>
        </w:rPr>
        <w:t xml:space="preserve">El caso sometido a la Corte. </w:t>
      </w:r>
      <w:r w:rsidR="00E0705E" w:rsidRPr="00465F79">
        <w:rPr>
          <w:lang w:val="es-ES"/>
        </w:rPr>
        <w:t xml:space="preserve">– </w:t>
      </w:r>
      <w:r w:rsidR="00703AE7" w:rsidRPr="00465F79">
        <w:t xml:space="preserve">El </w:t>
      </w:r>
      <w:r w:rsidR="00EC3525" w:rsidRPr="00465F79">
        <w:t>14</w:t>
      </w:r>
      <w:r w:rsidR="00703AE7" w:rsidRPr="00465F79">
        <w:t xml:space="preserve"> de </w:t>
      </w:r>
      <w:r w:rsidR="00EC3525" w:rsidRPr="00465F79">
        <w:t>mayo</w:t>
      </w:r>
      <w:r w:rsidR="00703AE7" w:rsidRPr="00465F79">
        <w:t xml:space="preserve"> de</w:t>
      </w:r>
      <w:r w:rsidR="0015272F" w:rsidRPr="00465F79">
        <w:t xml:space="preserve"> </w:t>
      </w:r>
      <w:r w:rsidR="007D499B" w:rsidRPr="00465F79">
        <w:t>202</w:t>
      </w:r>
      <w:r w:rsidR="00EC3525" w:rsidRPr="00465F79">
        <w:t>2</w:t>
      </w:r>
      <w:r w:rsidR="00637F3B" w:rsidRPr="00465F79">
        <w:t xml:space="preserve"> </w:t>
      </w:r>
      <w:r w:rsidR="00703AE7" w:rsidRPr="00465F79">
        <w:t>la Comisión Interamericana de Derechos Humanos</w:t>
      </w:r>
      <w:r w:rsidR="00703AE7" w:rsidRPr="00465F79">
        <w:rPr>
          <w:b/>
          <w:bCs/>
          <w:i/>
          <w:iCs/>
        </w:rPr>
        <w:t xml:space="preserve"> </w:t>
      </w:r>
      <w:r w:rsidR="00703AE7" w:rsidRPr="00465F79">
        <w:t>(en adelante “la Comisión Interamericana</w:t>
      </w:r>
      <w:r w:rsidR="00270E7C">
        <w:t>”</w:t>
      </w:r>
      <w:r w:rsidR="00F045E1" w:rsidRPr="00465F79">
        <w:t xml:space="preserve"> o</w:t>
      </w:r>
      <w:r w:rsidR="00703AE7" w:rsidRPr="00465F79">
        <w:t xml:space="preserve"> “la Comisión”) sometió a la jurisdicción de la Corte</w:t>
      </w:r>
      <w:r w:rsidR="008F065A" w:rsidRPr="00465F79">
        <w:t xml:space="preserve"> Interamericana de Derechos Humanos (en adelante “la Corte” o “el Tribunal”) </w:t>
      </w:r>
      <w:r w:rsidR="00703AE7" w:rsidRPr="00465F79">
        <w:t xml:space="preserve">el caso </w:t>
      </w:r>
      <w:r w:rsidR="00EC3525" w:rsidRPr="00465F79">
        <w:t>Patricia Emilie Cuéllar Sandoval y otros</w:t>
      </w:r>
      <w:r w:rsidR="0015272F" w:rsidRPr="00465F79">
        <w:t xml:space="preserve"> </w:t>
      </w:r>
      <w:r w:rsidR="00790F00" w:rsidRPr="00465F79">
        <w:t>(en adelante “</w:t>
      </w:r>
      <w:r w:rsidR="00EC3525" w:rsidRPr="00465F79">
        <w:t>las presuntas víctimas</w:t>
      </w:r>
      <w:r w:rsidR="00790F00" w:rsidRPr="00465F79">
        <w:t xml:space="preserve">”) </w:t>
      </w:r>
      <w:r w:rsidR="00EC3525" w:rsidRPr="00465F79">
        <w:t>contra la República de El Salvador</w:t>
      </w:r>
      <w:r w:rsidR="00703AE7" w:rsidRPr="00465F79">
        <w:t xml:space="preserve"> (en adelante, “el Estado” o “</w:t>
      </w:r>
      <w:r w:rsidR="00EC3525" w:rsidRPr="00465F79">
        <w:t>El Salvador</w:t>
      </w:r>
      <w:r w:rsidR="00703AE7" w:rsidRPr="00465F79">
        <w:t xml:space="preserve">”). </w:t>
      </w:r>
      <w:r w:rsidR="00124AFB" w:rsidRPr="00465F79">
        <w:t>La</w:t>
      </w:r>
      <w:r w:rsidR="00703AE7" w:rsidRPr="00465F79">
        <w:t xml:space="preserve"> Comisión</w:t>
      </w:r>
      <w:r w:rsidR="00124AFB" w:rsidRPr="00465F79">
        <w:t xml:space="preserve"> indicó que</w:t>
      </w:r>
      <w:r w:rsidR="00703AE7" w:rsidRPr="00465F79">
        <w:t xml:space="preserve"> el caso se relaciona con </w:t>
      </w:r>
      <w:r w:rsidR="001C03A2" w:rsidRPr="00465F79">
        <w:t xml:space="preserve">la </w:t>
      </w:r>
      <w:r w:rsidR="006A2057" w:rsidRPr="00465F79">
        <w:t xml:space="preserve">alegada </w:t>
      </w:r>
      <w:r w:rsidR="001C03A2" w:rsidRPr="00465F79">
        <w:t xml:space="preserve">responsabilidad internacional del Estado </w:t>
      </w:r>
      <w:bookmarkStart w:id="5" w:name="_Ref15466599"/>
      <w:r w:rsidR="00EC3525" w:rsidRPr="00465F79">
        <w:t xml:space="preserve">por la desaparición forzada de Patricia Emilie Cuéllar Sandoval, Mauricio Cuéllar Cuéllar y Julia Orbelina Pérez, </w:t>
      </w:r>
      <w:r w:rsidR="00124AFB" w:rsidRPr="00465F79">
        <w:t>así como</w:t>
      </w:r>
      <w:r w:rsidR="00EC3525" w:rsidRPr="00465F79">
        <w:t xml:space="preserve"> </w:t>
      </w:r>
      <w:r w:rsidR="00124AFB" w:rsidRPr="00465F79">
        <w:t>la presunta</w:t>
      </w:r>
      <w:r w:rsidR="00EC3525" w:rsidRPr="00465F79">
        <w:t xml:space="preserve"> falta de debida diligencia en la investigación e impunidad de los hechos</w:t>
      </w:r>
      <w:r w:rsidR="00124AFB" w:rsidRPr="00465F79">
        <w:t>. De acuerdo con lo señalado por la Comisión, los hechos del presente caso también habrían derivado en “sufrimiento y angustia” para los familiares de las presunta</w:t>
      </w:r>
      <w:r w:rsidR="00E81E5B" w:rsidRPr="00465F79">
        <w:t>s</w:t>
      </w:r>
      <w:r w:rsidR="00124AFB" w:rsidRPr="00465F79">
        <w:t xml:space="preserve"> víctimas</w:t>
      </w:r>
      <w:r w:rsidR="00124AFB" w:rsidRPr="00465F79">
        <w:rPr>
          <w:rStyle w:val="Refdenotaalpie"/>
        </w:rPr>
        <w:footnoteReference w:id="1"/>
      </w:r>
      <w:r w:rsidR="00124AFB" w:rsidRPr="00465F79">
        <w:t xml:space="preserve">. </w:t>
      </w:r>
    </w:p>
    <w:p w14:paraId="574189D9" w14:textId="00BA7EBE" w:rsidR="00CD69FC" w:rsidRPr="00465F79" w:rsidRDefault="00CD69FC" w:rsidP="00CD69FC">
      <w:pPr>
        <w:tabs>
          <w:tab w:val="left" w:pos="567"/>
        </w:tabs>
        <w:spacing w:line="240" w:lineRule="auto"/>
      </w:pPr>
    </w:p>
    <w:p w14:paraId="446B7ED4" w14:textId="6785D78D" w:rsidR="00CD69FC" w:rsidRPr="00465F79" w:rsidRDefault="00CD69FC">
      <w:pPr>
        <w:numPr>
          <w:ilvl w:val="0"/>
          <w:numId w:val="7"/>
        </w:numPr>
        <w:tabs>
          <w:tab w:val="left" w:pos="567"/>
          <w:tab w:val="num" w:pos="1569"/>
          <w:tab w:val="num" w:pos="12305"/>
        </w:tabs>
        <w:spacing w:line="240" w:lineRule="auto"/>
        <w:ind w:left="0" w:firstLine="0"/>
        <w:rPr>
          <w:lang w:val="es-ES"/>
        </w:rPr>
      </w:pPr>
      <w:r w:rsidRPr="00465F79">
        <w:rPr>
          <w:i/>
          <w:lang w:val="es-ES"/>
        </w:rPr>
        <w:t>Trámite ante la Comisión.</w:t>
      </w:r>
      <w:r w:rsidRPr="00465F79">
        <w:rPr>
          <w:lang w:val="es-ES"/>
        </w:rPr>
        <w:t xml:space="preserve"> – El </w:t>
      </w:r>
      <w:r w:rsidRPr="00465F79">
        <w:rPr>
          <w:iCs/>
          <w:lang w:val="es-ES"/>
        </w:rPr>
        <w:t>trámite</w:t>
      </w:r>
      <w:r w:rsidRPr="00465F79">
        <w:rPr>
          <w:lang w:val="es-ES"/>
        </w:rPr>
        <w:t xml:space="preserve"> </w:t>
      </w:r>
      <w:r w:rsidR="006908A9" w:rsidRPr="00465F79">
        <w:rPr>
          <w:lang w:val="es-ES"/>
        </w:rPr>
        <w:t xml:space="preserve">seguido </w:t>
      </w:r>
      <w:r w:rsidRPr="00465F79">
        <w:rPr>
          <w:lang w:val="es-ES"/>
        </w:rPr>
        <w:t>ante la Comisión fue el siguiente:</w:t>
      </w:r>
    </w:p>
    <w:p w14:paraId="38E50131" w14:textId="77777777" w:rsidR="00CD69FC" w:rsidRPr="00465F79" w:rsidRDefault="00CD69FC" w:rsidP="00CD69FC">
      <w:pPr>
        <w:tabs>
          <w:tab w:val="left" w:pos="567"/>
        </w:tabs>
        <w:spacing w:line="240" w:lineRule="auto"/>
        <w:rPr>
          <w:lang w:val="es-ES"/>
        </w:rPr>
      </w:pPr>
    </w:p>
    <w:bookmarkEnd w:id="5"/>
    <w:p w14:paraId="56F05A55" w14:textId="2616E8E6" w:rsidR="00E0705E" w:rsidRPr="00465F79" w:rsidRDefault="00E0705E">
      <w:pPr>
        <w:pStyle w:val="Prrafodelista"/>
        <w:widowControl/>
        <w:numPr>
          <w:ilvl w:val="0"/>
          <w:numId w:val="6"/>
        </w:numPr>
        <w:adjustRightInd/>
        <w:spacing w:line="240" w:lineRule="auto"/>
        <w:contextualSpacing w:val="0"/>
        <w:rPr>
          <w:lang w:val="es-ES"/>
        </w:rPr>
      </w:pPr>
      <w:r w:rsidRPr="00465F79">
        <w:rPr>
          <w:i/>
          <w:lang w:val="es-ES"/>
        </w:rPr>
        <w:t xml:space="preserve">Petición. </w:t>
      </w:r>
      <w:r w:rsidRPr="00465F79">
        <w:rPr>
          <w:lang w:val="es-ES"/>
        </w:rPr>
        <w:t xml:space="preserve">– </w:t>
      </w:r>
      <w:r w:rsidR="00937FD8" w:rsidRPr="00465F79">
        <w:rPr>
          <w:lang w:val="es-ES"/>
        </w:rPr>
        <w:t xml:space="preserve">El </w:t>
      </w:r>
      <w:r w:rsidR="00BE1DD6" w:rsidRPr="00465F79">
        <w:rPr>
          <w:lang w:val="es-ES"/>
        </w:rPr>
        <w:t>27</w:t>
      </w:r>
      <w:r w:rsidR="00937FD8" w:rsidRPr="00465F79">
        <w:rPr>
          <w:lang w:val="es-ES"/>
        </w:rPr>
        <w:t xml:space="preserve"> de </w:t>
      </w:r>
      <w:r w:rsidR="00BE1DD6" w:rsidRPr="00465F79">
        <w:rPr>
          <w:lang w:val="es-ES"/>
        </w:rPr>
        <w:t>octubre</w:t>
      </w:r>
      <w:r w:rsidR="00937FD8" w:rsidRPr="00465F79">
        <w:rPr>
          <w:lang w:val="es-ES"/>
        </w:rPr>
        <w:t xml:space="preserve"> de </w:t>
      </w:r>
      <w:r w:rsidR="0015272F" w:rsidRPr="00465F79">
        <w:rPr>
          <w:lang w:val="es-ES"/>
        </w:rPr>
        <w:t>200</w:t>
      </w:r>
      <w:r w:rsidR="00BE1DD6" w:rsidRPr="00465F79">
        <w:rPr>
          <w:lang w:val="es-ES"/>
        </w:rPr>
        <w:t>4</w:t>
      </w:r>
      <w:r w:rsidR="00937FD8" w:rsidRPr="00465F79">
        <w:rPr>
          <w:lang w:val="es-ES"/>
        </w:rPr>
        <w:t xml:space="preserve"> </w:t>
      </w:r>
      <w:r w:rsidR="00315143">
        <w:rPr>
          <w:lang w:val="es-ES"/>
        </w:rPr>
        <w:t xml:space="preserve">el señor </w:t>
      </w:r>
      <w:r w:rsidR="00BE1DD6" w:rsidRPr="00465F79">
        <w:rPr>
          <w:lang w:val="es-ES"/>
        </w:rPr>
        <w:t xml:space="preserve">José Alberto Burgos Viale, integrante del Instituto de Derechos Humanos de la Universidad </w:t>
      </w:r>
      <w:r w:rsidR="00270E7C">
        <w:rPr>
          <w:lang w:val="es-ES"/>
        </w:rPr>
        <w:t xml:space="preserve">Centroamericana </w:t>
      </w:r>
      <w:r w:rsidR="00315143">
        <w:rPr>
          <w:lang w:val="es-ES"/>
        </w:rPr>
        <w:t>“</w:t>
      </w:r>
      <w:r w:rsidR="00BE1DD6" w:rsidRPr="00465F79">
        <w:rPr>
          <w:lang w:val="es-ES"/>
        </w:rPr>
        <w:t>José Simeón Cañas</w:t>
      </w:r>
      <w:r w:rsidR="00315143">
        <w:rPr>
          <w:lang w:val="es-ES"/>
        </w:rPr>
        <w:t>”</w:t>
      </w:r>
      <w:r w:rsidR="00BE1DD6" w:rsidRPr="00465F79">
        <w:rPr>
          <w:lang w:val="es-ES"/>
        </w:rPr>
        <w:t xml:space="preserve"> (IDHUCA)</w:t>
      </w:r>
      <w:r w:rsidR="006C66E0" w:rsidRPr="00465F79">
        <w:rPr>
          <w:lang w:val="es-ES"/>
        </w:rPr>
        <w:t>,</w:t>
      </w:r>
      <w:r w:rsidRPr="00465F79">
        <w:rPr>
          <w:lang w:val="es-ES"/>
        </w:rPr>
        <w:t xml:space="preserve"> presentó la petición inicial ante la Comisión</w:t>
      </w:r>
      <w:r w:rsidR="00315143">
        <w:rPr>
          <w:rStyle w:val="Refdenotaalpie"/>
        </w:rPr>
        <w:footnoteReference w:id="2"/>
      </w:r>
      <w:r w:rsidR="00315143" w:rsidRPr="00465F79">
        <w:rPr>
          <w:lang w:val="es-ES"/>
        </w:rPr>
        <w:t>.</w:t>
      </w:r>
      <w:r w:rsidRPr="00465F79">
        <w:rPr>
          <w:b/>
          <w:lang w:val="es-ES"/>
        </w:rPr>
        <w:t xml:space="preserve"> </w:t>
      </w:r>
    </w:p>
    <w:p w14:paraId="48C4A15E" w14:textId="77777777" w:rsidR="00E0705E" w:rsidRPr="00465F79" w:rsidRDefault="00E0705E" w:rsidP="00E0705E">
      <w:pPr>
        <w:widowControl/>
        <w:tabs>
          <w:tab w:val="left" w:pos="567"/>
        </w:tabs>
        <w:adjustRightInd/>
        <w:spacing w:line="240" w:lineRule="auto"/>
        <w:rPr>
          <w:lang w:val="es-ES"/>
        </w:rPr>
      </w:pPr>
    </w:p>
    <w:p w14:paraId="3A6F5FF3" w14:textId="4DBB25C0" w:rsidR="00E0705E" w:rsidRPr="00465F79" w:rsidRDefault="00E0705E">
      <w:pPr>
        <w:pStyle w:val="Prrafodelista"/>
        <w:widowControl/>
        <w:numPr>
          <w:ilvl w:val="0"/>
          <w:numId w:val="6"/>
        </w:numPr>
        <w:adjustRightInd/>
        <w:spacing w:line="240" w:lineRule="auto"/>
        <w:contextualSpacing w:val="0"/>
        <w:rPr>
          <w:lang w:val="es-ES"/>
        </w:rPr>
      </w:pPr>
      <w:r w:rsidRPr="00465F79">
        <w:rPr>
          <w:i/>
          <w:lang w:val="es-ES"/>
        </w:rPr>
        <w:t xml:space="preserve">Informe de </w:t>
      </w:r>
      <w:r w:rsidR="006908A9" w:rsidRPr="00465F79">
        <w:rPr>
          <w:i/>
          <w:lang w:val="es-ES"/>
        </w:rPr>
        <w:t>A</w:t>
      </w:r>
      <w:r w:rsidRPr="00465F79">
        <w:rPr>
          <w:i/>
          <w:lang w:val="es-ES"/>
        </w:rPr>
        <w:t>dmisibilidad.</w:t>
      </w:r>
      <w:r w:rsidRPr="00465F79">
        <w:rPr>
          <w:lang w:val="es-ES"/>
        </w:rPr>
        <w:t xml:space="preserve"> – </w:t>
      </w:r>
      <w:r w:rsidR="00EE60B6" w:rsidRPr="00465F79">
        <w:rPr>
          <w:lang w:val="es-ES"/>
        </w:rPr>
        <w:t xml:space="preserve">El 20 de </w:t>
      </w:r>
      <w:r w:rsidR="00BE1DD6" w:rsidRPr="00465F79">
        <w:rPr>
          <w:lang w:val="es-ES"/>
        </w:rPr>
        <w:t>agosto</w:t>
      </w:r>
      <w:r w:rsidR="00EE60B6" w:rsidRPr="00465F79">
        <w:rPr>
          <w:lang w:val="es-ES"/>
        </w:rPr>
        <w:t xml:space="preserve"> de 201</w:t>
      </w:r>
      <w:r w:rsidR="00BE1DD6" w:rsidRPr="00465F79">
        <w:rPr>
          <w:lang w:val="es-ES"/>
        </w:rPr>
        <w:t>0</w:t>
      </w:r>
      <w:r w:rsidR="00EE60B6" w:rsidRPr="00465F79">
        <w:rPr>
          <w:lang w:val="es-ES"/>
        </w:rPr>
        <w:t xml:space="preserve"> la Comisión aprobó el Informe de Admisibilidad </w:t>
      </w:r>
      <w:r w:rsidR="00315143">
        <w:rPr>
          <w:lang w:val="es-ES"/>
        </w:rPr>
        <w:t>n</w:t>
      </w:r>
      <w:r w:rsidR="003C4FC2">
        <w:rPr>
          <w:lang w:val="es-ES"/>
        </w:rPr>
        <w:t>.°</w:t>
      </w:r>
      <w:r w:rsidR="00EE60B6" w:rsidRPr="00465F79">
        <w:rPr>
          <w:lang w:val="es-ES"/>
        </w:rPr>
        <w:t xml:space="preserve"> </w:t>
      </w:r>
      <w:r w:rsidR="00BE1DD6" w:rsidRPr="00465F79">
        <w:rPr>
          <w:lang w:val="es-ES"/>
        </w:rPr>
        <w:t>107</w:t>
      </w:r>
      <w:r w:rsidR="00EE60B6" w:rsidRPr="00465F79">
        <w:rPr>
          <w:lang w:val="es-ES"/>
        </w:rPr>
        <w:t>/</w:t>
      </w:r>
      <w:r w:rsidR="00BE1DD6" w:rsidRPr="00465F79">
        <w:rPr>
          <w:lang w:val="es-ES"/>
        </w:rPr>
        <w:t>2010</w:t>
      </w:r>
      <w:r w:rsidR="00EE60B6" w:rsidRPr="00465F79">
        <w:rPr>
          <w:lang w:val="es-ES"/>
        </w:rPr>
        <w:t>, en el que concluyó que la petición era admisible</w:t>
      </w:r>
      <w:r w:rsidR="00EE60B6" w:rsidRPr="00465F79">
        <w:rPr>
          <w:rStyle w:val="Refdenotaalpie"/>
          <w:rFonts w:eastAsia="Batang"/>
          <w:lang w:val="es-ES"/>
        </w:rPr>
        <w:footnoteReference w:id="3"/>
      </w:r>
      <w:r w:rsidR="00EE60B6" w:rsidRPr="00465F79">
        <w:rPr>
          <w:lang w:val="es-ES"/>
        </w:rPr>
        <w:t xml:space="preserve">. </w:t>
      </w:r>
    </w:p>
    <w:p w14:paraId="5DC0CE15" w14:textId="77777777" w:rsidR="00E0705E" w:rsidRPr="00465F79" w:rsidRDefault="00E0705E" w:rsidP="00E0705E">
      <w:pPr>
        <w:spacing w:line="240" w:lineRule="auto"/>
        <w:rPr>
          <w:highlight w:val="yellow"/>
          <w:lang w:val="es-ES"/>
        </w:rPr>
      </w:pPr>
    </w:p>
    <w:p w14:paraId="48AEEF8B" w14:textId="67EA6824" w:rsidR="00E0705E" w:rsidRPr="00465F79" w:rsidRDefault="00E0705E">
      <w:pPr>
        <w:pStyle w:val="Prrafodelista"/>
        <w:widowControl/>
        <w:numPr>
          <w:ilvl w:val="0"/>
          <w:numId w:val="6"/>
        </w:numPr>
        <w:adjustRightInd/>
        <w:spacing w:line="240" w:lineRule="auto"/>
        <w:contextualSpacing w:val="0"/>
        <w:rPr>
          <w:lang w:val="es-ES"/>
        </w:rPr>
      </w:pPr>
      <w:r w:rsidRPr="00465F79">
        <w:rPr>
          <w:i/>
          <w:lang w:val="es-ES"/>
        </w:rPr>
        <w:t>Informe de Fondo.</w:t>
      </w:r>
      <w:r w:rsidRPr="00465F79">
        <w:rPr>
          <w:lang w:val="es-ES"/>
        </w:rPr>
        <w:t xml:space="preserve"> – </w:t>
      </w:r>
      <w:r w:rsidR="00EE60B6" w:rsidRPr="00465F79">
        <w:rPr>
          <w:lang w:val="es-ES"/>
        </w:rPr>
        <w:t xml:space="preserve">El </w:t>
      </w:r>
      <w:r w:rsidR="00BE1DD6" w:rsidRPr="00465F79">
        <w:rPr>
          <w:lang w:val="es-ES"/>
        </w:rPr>
        <w:t>29</w:t>
      </w:r>
      <w:r w:rsidR="00EE60B6" w:rsidRPr="00465F79">
        <w:rPr>
          <w:lang w:val="es-ES"/>
        </w:rPr>
        <w:t xml:space="preserve"> de </w:t>
      </w:r>
      <w:r w:rsidR="00BE1DD6" w:rsidRPr="00465F79">
        <w:rPr>
          <w:lang w:val="es-ES"/>
        </w:rPr>
        <w:t>diciembre</w:t>
      </w:r>
      <w:r w:rsidR="00EE60B6" w:rsidRPr="00465F79">
        <w:rPr>
          <w:lang w:val="es-ES"/>
        </w:rPr>
        <w:t xml:space="preserve"> de 20</w:t>
      </w:r>
      <w:r w:rsidR="00BE1DD6" w:rsidRPr="00465F79">
        <w:rPr>
          <w:lang w:val="es-ES"/>
        </w:rPr>
        <w:t>20</w:t>
      </w:r>
      <w:r w:rsidR="00EE60B6" w:rsidRPr="00465F79">
        <w:rPr>
          <w:lang w:val="es-ES"/>
        </w:rPr>
        <w:t xml:space="preserve"> la Comisión aprobó el Informe de Fondo </w:t>
      </w:r>
      <w:r w:rsidR="00315143">
        <w:rPr>
          <w:lang w:val="es-ES"/>
        </w:rPr>
        <w:t>n</w:t>
      </w:r>
      <w:r w:rsidR="003C4FC2">
        <w:rPr>
          <w:lang w:val="es-ES"/>
        </w:rPr>
        <w:t>.°</w:t>
      </w:r>
      <w:r w:rsidR="00EE60B6" w:rsidRPr="00465F79">
        <w:rPr>
          <w:lang w:val="es-ES"/>
        </w:rPr>
        <w:t xml:space="preserve"> 3</w:t>
      </w:r>
      <w:r w:rsidR="00BE1DD6" w:rsidRPr="00465F79">
        <w:rPr>
          <w:lang w:val="es-ES"/>
        </w:rPr>
        <w:t>29</w:t>
      </w:r>
      <w:r w:rsidR="00EE60B6" w:rsidRPr="00465F79">
        <w:rPr>
          <w:lang w:val="es-ES"/>
        </w:rPr>
        <w:t xml:space="preserve">/20, de conformidad con el artículo 50 de la Convención (en adelante también “el Informe de Fondo” o “el Informe </w:t>
      </w:r>
      <w:r w:rsidR="003C4FC2">
        <w:rPr>
          <w:lang w:val="es-ES"/>
        </w:rPr>
        <w:t>N.°</w:t>
      </w:r>
      <w:r w:rsidR="00EE60B6" w:rsidRPr="00465F79">
        <w:rPr>
          <w:lang w:val="es-ES"/>
        </w:rPr>
        <w:t xml:space="preserve"> 3</w:t>
      </w:r>
      <w:r w:rsidR="00270E7C">
        <w:rPr>
          <w:lang w:val="es-ES"/>
        </w:rPr>
        <w:t>2</w:t>
      </w:r>
      <w:r w:rsidR="00BE1DD6" w:rsidRPr="00465F79">
        <w:rPr>
          <w:lang w:val="es-ES"/>
        </w:rPr>
        <w:t>9</w:t>
      </w:r>
      <w:r w:rsidR="00EE60B6" w:rsidRPr="00465F79">
        <w:rPr>
          <w:lang w:val="es-ES"/>
        </w:rPr>
        <w:t xml:space="preserve">/20”), en el cual llegó a una serie de conclusiones, y formuló varias recomendaciones al Estado. </w:t>
      </w:r>
    </w:p>
    <w:p w14:paraId="7A288142" w14:textId="77777777" w:rsidR="00E0705E" w:rsidRPr="00465F79" w:rsidRDefault="00E0705E" w:rsidP="00E0705E">
      <w:pPr>
        <w:pStyle w:val="Prrafodelista"/>
        <w:widowControl/>
        <w:adjustRightInd/>
        <w:spacing w:line="240" w:lineRule="auto"/>
        <w:rPr>
          <w:highlight w:val="yellow"/>
          <w:lang w:val="es-ES"/>
        </w:rPr>
      </w:pPr>
    </w:p>
    <w:p w14:paraId="57447035" w14:textId="0D36ED8E" w:rsidR="00C90A74" w:rsidRPr="00465F79" w:rsidRDefault="00E0705E" w:rsidP="00C90A74">
      <w:pPr>
        <w:widowControl/>
        <w:numPr>
          <w:ilvl w:val="0"/>
          <w:numId w:val="6"/>
        </w:numPr>
        <w:tabs>
          <w:tab w:val="left" w:pos="567"/>
        </w:tabs>
        <w:adjustRightInd/>
        <w:spacing w:line="240" w:lineRule="auto"/>
        <w:rPr>
          <w:lang w:val="es-ES"/>
        </w:rPr>
      </w:pPr>
      <w:r w:rsidRPr="00465F79">
        <w:rPr>
          <w:i/>
          <w:lang w:val="es-ES"/>
        </w:rPr>
        <w:t>Notificación al Estado.</w:t>
      </w:r>
      <w:r w:rsidRPr="00465F79">
        <w:rPr>
          <w:lang w:val="es-ES"/>
        </w:rPr>
        <w:t xml:space="preserve"> – </w:t>
      </w:r>
      <w:r w:rsidR="00EE60B6" w:rsidRPr="00465F79">
        <w:rPr>
          <w:lang w:val="es-ES"/>
        </w:rPr>
        <w:t xml:space="preserve">El Informe de Fondo fue notificado al Estado el </w:t>
      </w:r>
      <w:r w:rsidR="000D5C9C" w:rsidRPr="00465F79">
        <w:rPr>
          <w:lang w:val="es-ES"/>
        </w:rPr>
        <w:t>14</w:t>
      </w:r>
      <w:r w:rsidR="00EE60B6" w:rsidRPr="00465F79">
        <w:rPr>
          <w:lang w:val="es-ES"/>
        </w:rPr>
        <w:t xml:space="preserve"> de </w:t>
      </w:r>
      <w:r w:rsidR="000D5C9C" w:rsidRPr="00465F79">
        <w:rPr>
          <w:lang w:val="es-ES"/>
        </w:rPr>
        <w:t>enero</w:t>
      </w:r>
      <w:r w:rsidR="00EE60B6" w:rsidRPr="00465F79">
        <w:rPr>
          <w:lang w:val="es-ES"/>
        </w:rPr>
        <w:t xml:space="preserve"> de 202</w:t>
      </w:r>
      <w:r w:rsidR="000D5C9C" w:rsidRPr="00465F79">
        <w:rPr>
          <w:lang w:val="es-ES"/>
        </w:rPr>
        <w:t>1</w:t>
      </w:r>
      <w:r w:rsidR="00EE60B6" w:rsidRPr="00465F79">
        <w:rPr>
          <w:lang w:val="es-ES"/>
        </w:rPr>
        <w:t xml:space="preserve"> y se le otorgó un plazo de dos meses para informar sobre el cumplimiento de las recomendaciones. </w:t>
      </w:r>
      <w:r w:rsidR="000D5C9C" w:rsidRPr="00465F79">
        <w:rPr>
          <w:lang w:val="es-ES"/>
        </w:rPr>
        <w:t>Tras el otorgamiento de cuatro prórrogas, el Estado solicitó una quinta prórroga, la cual no fue concedida por la Comisión</w:t>
      </w:r>
      <w:r w:rsidR="00EE60B6" w:rsidRPr="00465F79">
        <w:rPr>
          <w:lang w:val="es-ES"/>
        </w:rPr>
        <w:t xml:space="preserve">. </w:t>
      </w:r>
    </w:p>
    <w:p w14:paraId="4755DACC" w14:textId="77777777" w:rsidR="00C90A74" w:rsidRPr="00465F79" w:rsidRDefault="00C90A74" w:rsidP="00C90A74">
      <w:pPr>
        <w:pStyle w:val="Prrafodelista"/>
        <w:rPr>
          <w:i/>
          <w:lang w:val="es-ES"/>
        </w:rPr>
      </w:pPr>
    </w:p>
    <w:p w14:paraId="3B3CFED5" w14:textId="7FE1A70E" w:rsidR="00BE4116" w:rsidRPr="00465F79" w:rsidRDefault="00E0705E" w:rsidP="00AD5E1A">
      <w:pPr>
        <w:numPr>
          <w:ilvl w:val="0"/>
          <w:numId w:val="7"/>
        </w:numPr>
        <w:tabs>
          <w:tab w:val="left" w:pos="567"/>
          <w:tab w:val="num" w:pos="1569"/>
          <w:tab w:val="num" w:pos="12305"/>
        </w:tabs>
        <w:spacing w:line="240" w:lineRule="auto"/>
        <w:ind w:left="0" w:firstLine="0"/>
        <w:rPr>
          <w:lang w:val="es-ES"/>
        </w:rPr>
      </w:pPr>
      <w:r w:rsidRPr="00465F79">
        <w:rPr>
          <w:i/>
          <w:lang w:val="es-ES"/>
        </w:rPr>
        <w:t>Sometimiento a la Corte.</w:t>
      </w:r>
      <w:r w:rsidRPr="00465F79">
        <w:rPr>
          <w:lang w:val="es-ES"/>
        </w:rPr>
        <w:t xml:space="preserve"> – </w:t>
      </w:r>
      <w:r w:rsidR="00EE60B6" w:rsidRPr="00465F79">
        <w:rPr>
          <w:lang w:val="es-ES"/>
        </w:rPr>
        <w:t xml:space="preserve">El </w:t>
      </w:r>
      <w:r w:rsidR="000D5C9C" w:rsidRPr="00465F79">
        <w:rPr>
          <w:lang w:val="es-ES"/>
        </w:rPr>
        <w:t>14</w:t>
      </w:r>
      <w:r w:rsidR="00EE60B6" w:rsidRPr="00465F79">
        <w:rPr>
          <w:lang w:val="es-ES"/>
        </w:rPr>
        <w:t xml:space="preserve"> de </w:t>
      </w:r>
      <w:r w:rsidR="000D5C9C" w:rsidRPr="00465F79">
        <w:rPr>
          <w:lang w:val="es-ES"/>
        </w:rPr>
        <w:t>mayo</w:t>
      </w:r>
      <w:r w:rsidR="00EE60B6" w:rsidRPr="00465F79">
        <w:rPr>
          <w:lang w:val="es-ES"/>
        </w:rPr>
        <w:t xml:space="preserve"> de 202</w:t>
      </w:r>
      <w:r w:rsidR="000D5C9C" w:rsidRPr="00465F79">
        <w:rPr>
          <w:lang w:val="es-ES"/>
        </w:rPr>
        <w:t>2</w:t>
      </w:r>
      <w:r w:rsidR="00EE60B6" w:rsidRPr="00465F79">
        <w:rPr>
          <w:lang w:val="es-ES"/>
        </w:rPr>
        <w:t xml:space="preserve"> la Comisión sometió a la jurisdicción de la Corte los hechos y violaciones de derechos humanos </w:t>
      </w:r>
      <w:r w:rsidR="00EE60B6" w:rsidRPr="00465F79">
        <w:rPr>
          <w:iCs/>
          <w:lang w:val="es-ES"/>
        </w:rPr>
        <w:t>descritos</w:t>
      </w:r>
      <w:r w:rsidR="00EE60B6" w:rsidRPr="00465F79">
        <w:rPr>
          <w:lang w:val="es-ES"/>
        </w:rPr>
        <w:t xml:space="preserve"> en el Informe de Fondo debido a “la necesidad</w:t>
      </w:r>
      <w:r w:rsidR="00546337" w:rsidRPr="00465F79">
        <w:rPr>
          <w:lang w:val="es-ES"/>
        </w:rPr>
        <w:t xml:space="preserve"> de obtención de justicia y reparación para las víctimas</w:t>
      </w:r>
      <w:r w:rsidR="00EE60B6" w:rsidRPr="00465F79">
        <w:rPr>
          <w:lang w:val="es-ES"/>
        </w:rPr>
        <w:t>”</w:t>
      </w:r>
      <w:r w:rsidR="00EE60B6" w:rsidRPr="00465F79">
        <w:rPr>
          <w:rStyle w:val="Refdenotaalpie"/>
          <w:rFonts w:eastAsia="Batang"/>
          <w:lang w:val="es-ES"/>
        </w:rPr>
        <w:footnoteReference w:id="4"/>
      </w:r>
      <w:r w:rsidR="00EE60B6" w:rsidRPr="00465F79">
        <w:rPr>
          <w:lang w:val="es-ES"/>
        </w:rPr>
        <w:t>.</w:t>
      </w:r>
      <w:r w:rsidR="002214E1">
        <w:rPr>
          <w:lang w:val="es-ES"/>
        </w:rPr>
        <w:t xml:space="preserve"> </w:t>
      </w:r>
      <w:r w:rsidR="00315143">
        <w:rPr>
          <w:lang w:val="es-ES"/>
        </w:rPr>
        <w:t>El Tribunal</w:t>
      </w:r>
      <w:r w:rsidR="00EA4478" w:rsidRPr="00465F79">
        <w:rPr>
          <w:lang w:val="es-ES"/>
        </w:rPr>
        <w:t xml:space="preserve"> nota con preocupación </w:t>
      </w:r>
      <w:r w:rsidR="00221D9E" w:rsidRPr="00465F79">
        <w:t xml:space="preserve">que, entre la presentación de la petición inicial ante la Comisión y el sometimiento del caso ante la Corte, han transcurrido más de </w:t>
      </w:r>
      <w:r w:rsidR="00546337" w:rsidRPr="00465F79">
        <w:t>diecisiete</w:t>
      </w:r>
      <w:r w:rsidR="00221D9E" w:rsidRPr="00465F79">
        <w:t xml:space="preserve"> años.</w:t>
      </w:r>
    </w:p>
    <w:p w14:paraId="040F3521" w14:textId="77777777" w:rsidR="007D499B" w:rsidRPr="00465F79" w:rsidRDefault="007D499B" w:rsidP="00221D9E">
      <w:pPr>
        <w:tabs>
          <w:tab w:val="left" w:pos="567"/>
          <w:tab w:val="num" w:pos="12305"/>
        </w:tabs>
        <w:spacing w:line="240" w:lineRule="auto"/>
        <w:rPr>
          <w:highlight w:val="yellow"/>
          <w:lang w:val="es-ES"/>
        </w:rPr>
      </w:pPr>
    </w:p>
    <w:p w14:paraId="36A4CEF2" w14:textId="7B219B4A" w:rsidR="00D34899" w:rsidRPr="00782AC5" w:rsidRDefault="00E0705E" w:rsidP="00782AC5">
      <w:pPr>
        <w:numPr>
          <w:ilvl w:val="0"/>
          <w:numId w:val="7"/>
        </w:numPr>
        <w:tabs>
          <w:tab w:val="left" w:pos="567"/>
          <w:tab w:val="num" w:pos="1569"/>
          <w:tab w:val="num" w:pos="12305"/>
        </w:tabs>
        <w:spacing w:line="240" w:lineRule="auto"/>
        <w:ind w:left="0" w:firstLine="0"/>
        <w:rPr>
          <w:lang w:val="es-ES"/>
        </w:rPr>
      </w:pPr>
      <w:r w:rsidRPr="00465F79">
        <w:rPr>
          <w:i/>
          <w:lang w:val="es-ES"/>
        </w:rPr>
        <w:t xml:space="preserve">Solicitudes de la Comisión Interamericana. </w:t>
      </w:r>
      <w:r w:rsidRPr="00465F79">
        <w:rPr>
          <w:lang w:val="es-ES"/>
        </w:rPr>
        <w:t xml:space="preserve">– </w:t>
      </w:r>
      <w:r w:rsidR="00EE60B6" w:rsidRPr="00465F79">
        <w:rPr>
          <w:lang w:val="es-ES"/>
        </w:rPr>
        <w:t xml:space="preserve">Con base en lo anterior, la Comisión solicitó a la Corte que declarara la responsabilidad internacional del Estado por la violación </w:t>
      </w:r>
      <w:r w:rsidR="00EE60B6" w:rsidRPr="00465F79">
        <w:t xml:space="preserve">de los derechos establecidos en los artículos </w:t>
      </w:r>
      <w:r w:rsidR="00546337" w:rsidRPr="00465F79">
        <w:t>3 (</w:t>
      </w:r>
      <w:r w:rsidR="008F065A" w:rsidRPr="00465F79">
        <w:t>personalidad jurídica</w:t>
      </w:r>
      <w:r w:rsidR="00546337" w:rsidRPr="00465F79">
        <w:t>), 4 (</w:t>
      </w:r>
      <w:r w:rsidR="008F065A" w:rsidRPr="00465F79">
        <w:t>vida</w:t>
      </w:r>
      <w:r w:rsidR="00546337" w:rsidRPr="00465F79">
        <w:t>), 5 (</w:t>
      </w:r>
      <w:r w:rsidR="008F065A" w:rsidRPr="00465F79">
        <w:t>integridad personal</w:t>
      </w:r>
      <w:r w:rsidR="00546337" w:rsidRPr="00465F79">
        <w:t>), 7 (</w:t>
      </w:r>
      <w:r w:rsidR="00295C14" w:rsidRPr="00465F79">
        <w:t>libertad personal</w:t>
      </w:r>
      <w:r w:rsidR="00546337" w:rsidRPr="00465F79">
        <w:t>), 8 (</w:t>
      </w:r>
      <w:r w:rsidR="008F065A" w:rsidRPr="00465F79">
        <w:t>garantías judiciales</w:t>
      </w:r>
      <w:r w:rsidR="00546337" w:rsidRPr="00465F79">
        <w:t xml:space="preserve">), y 25.1 </w:t>
      </w:r>
      <w:r w:rsidR="008F065A" w:rsidRPr="00465F79">
        <w:t xml:space="preserve">(protección judicial) </w:t>
      </w:r>
      <w:r w:rsidR="00546337" w:rsidRPr="00465F79">
        <w:t>de la Convención Americana</w:t>
      </w:r>
      <w:r w:rsidR="008F065A" w:rsidRPr="00465F79">
        <w:t xml:space="preserve">, en perjuicio de Patricia Emilie Cuéllar Sandoval, Mauricio Cuéllar Cuéllar y Julia Orbelina Pérez, todo ello en relación con el artículo 1.1 del mismo instrumento. </w:t>
      </w:r>
      <w:r w:rsidR="00EE60B6" w:rsidRPr="00465F79">
        <w:t xml:space="preserve">También solicitó que se declare al Estado responsable por violación del artículo </w:t>
      </w:r>
      <w:r w:rsidR="00295C14" w:rsidRPr="00465F79">
        <w:t>5</w:t>
      </w:r>
      <w:r w:rsidR="00EE60B6" w:rsidRPr="00465F79">
        <w:t xml:space="preserve"> de la Convención</w:t>
      </w:r>
      <w:r w:rsidR="00295C14" w:rsidRPr="00465F79">
        <w:t xml:space="preserve"> Americana en perjuicio de los familiares de las presuntas víctimas.</w:t>
      </w:r>
      <w:r w:rsidR="00EE60B6" w:rsidRPr="00465F79">
        <w:t xml:space="preserve"> </w:t>
      </w:r>
      <w:r w:rsidR="00315143">
        <w:t>Finalmente, l</w:t>
      </w:r>
      <w:r w:rsidR="00EE60B6" w:rsidRPr="00465F79">
        <w:rPr>
          <w:lang w:val="es-ES"/>
        </w:rPr>
        <w:t xml:space="preserve">a Comisión solicitó a la Corte que ordenara al Estado medidas de reparación, las cuales se detallan y analizan en el Capítulo </w:t>
      </w:r>
      <w:r w:rsidR="00F566ED">
        <w:rPr>
          <w:lang w:val="es-ES"/>
        </w:rPr>
        <w:t>VIII</w:t>
      </w:r>
      <w:r w:rsidR="00EE60B6" w:rsidRPr="00465F79">
        <w:rPr>
          <w:lang w:val="es-ES"/>
        </w:rPr>
        <w:t xml:space="preserve"> de la presente Sentencia.</w:t>
      </w:r>
    </w:p>
    <w:p w14:paraId="411574EE" w14:textId="14CBEF31" w:rsidR="003A3DD8" w:rsidRPr="00465F79" w:rsidRDefault="00E0705E" w:rsidP="00465F79">
      <w:pPr>
        <w:pStyle w:val="Ttulo1"/>
      </w:pPr>
      <w:bookmarkStart w:id="6" w:name="_Toc165022597"/>
      <w:r w:rsidRPr="00465F79">
        <w:t>II</w:t>
      </w:r>
      <w:r w:rsidRPr="00465F79">
        <w:br/>
        <w:t>PROCEDIMIENTO ANTE LA CORTE</w:t>
      </w:r>
      <w:bookmarkEnd w:id="6"/>
    </w:p>
    <w:p w14:paraId="61484108" w14:textId="11F0452F" w:rsidR="002078E3" w:rsidRPr="00465F79" w:rsidRDefault="00E0705E" w:rsidP="002078E3">
      <w:pPr>
        <w:numPr>
          <w:ilvl w:val="0"/>
          <w:numId w:val="7"/>
        </w:numPr>
        <w:tabs>
          <w:tab w:val="left" w:pos="567"/>
          <w:tab w:val="num" w:pos="1569"/>
          <w:tab w:val="num" w:pos="12305"/>
        </w:tabs>
        <w:spacing w:line="240" w:lineRule="auto"/>
        <w:ind w:left="0" w:firstLine="0"/>
        <w:rPr>
          <w:lang w:val="es-ES"/>
        </w:rPr>
      </w:pPr>
      <w:r w:rsidRPr="00465F79">
        <w:rPr>
          <w:i/>
          <w:lang w:val="es-ES"/>
        </w:rPr>
        <w:t>Notificación a</w:t>
      </w:r>
      <w:r w:rsidR="002078E3" w:rsidRPr="00465F79">
        <w:rPr>
          <w:i/>
          <w:lang w:val="es-ES"/>
        </w:rPr>
        <w:t>l representante</w:t>
      </w:r>
      <w:r w:rsidRPr="00465F79">
        <w:rPr>
          <w:i/>
          <w:lang w:val="es-ES"/>
        </w:rPr>
        <w:t xml:space="preserve"> y al Estado. </w:t>
      </w:r>
      <w:r w:rsidRPr="00465F79">
        <w:rPr>
          <w:lang w:val="es-ES"/>
        </w:rPr>
        <w:t xml:space="preserve">– </w:t>
      </w:r>
      <w:bookmarkStart w:id="7" w:name="_Hlk134524964"/>
      <w:bookmarkStart w:id="8" w:name="para7"/>
      <w:r w:rsidR="003A3DD8" w:rsidRPr="00465F79">
        <w:rPr>
          <w:lang w:val="es-ES"/>
        </w:rPr>
        <w:t>El sometimiento del caso por parte de la Comisión fue notificado por la Corte a</w:t>
      </w:r>
      <w:r w:rsidR="002078E3" w:rsidRPr="00465F79">
        <w:rPr>
          <w:lang w:val="es-ES"/>
        </w:rPr>
        <w:t>l representante</w:t>
      </w:r>
      <w:r w:rsidR="002078E3" w:rsidRPr="00465F79">
        <w:rPr>
          <w:rStyle w:val="Refdenotaalpie"/>
        </w:rPr>
        <w:footnoteReference w:id="5"/>
      </w:r>
      <w:r w:rsidR="003A3DD8" w:rsidRPr="00465F79">
        <w:rPr>
          <w:lang w:val="es-ES"/>
        </w:rPr>
        <w:t xml:space="preserve"> y al Estado el </w:t>
      </w:r>
      <w:r w:rsidR="002078E3" w:rsidRPr="00465F79">
        <w:rPr>
          <w:lang w:val="es-ES"/>
        </w:rPr>
        <w:t>1</w:t>
      </w:r>
      <w:r w:rsidR="003A3DD8" w:rsidRPr="00465F79">
        <w:rPr>
          <w:lang w:val="es-ES"/>
        </w:rPr>
        <w:t xml:space="preserve"> de </w:t>
      </w:r>
      <w:r w:rsidR="002078E3" w:rsidRPr="00465F79">
        <w:rPr>
          <w:lang w:val="es-ES"/>
        </w:rPr>
        <w:t>julio</w:t>
      </w:r>
      <w:r w:rsidR="003A3DD8" w:rsidRPr="00465F79">
        <w:rPr>
          <w:lang w:val="es-ES"/>
        </w:rPr>
        <w:t xml:space="preserve"> de 2022.</w:t>
      </w:r>
      <w:bookmarkEnd w:id="7"/>
      <w:r w:rsidR="00637F3B" w:rsidRPr="00465F79">
        <w:rPr>
          <w:lang w:val="es-ES"/>
        </w:rPr>
        <w:t xml:space="preserve"> </w:t>
      </w:r>
    </w:p>
    <w:p w14:paraId="455E0B44" w14:textId="77777777" w:rsidR="00EE60B6" w:rsidRPr="00465F79" w:rsidRDefault="00EE60B6" w:rsidP="00EE60B6">
      <w:pPr>
        <w:tabs>
          <w:tab w:val="left" w:pos="567"/>
          <w:tab w:val="num" w:pos="12305"/>
        </w:tabs>
        <w:spacing w:line="240" w:lineRule="auto"/>
        <w:rPr>
          <w:highlight w:val="yellow"/>
          <w:lang w:val="es-ES"/>
        </w:rPr>
      </w:pPr>
    </w:p>
    <w:p w14:paraId="3FCAFC07" w14:textId="499AD671" w:rsidR="003A3DD8" w:rsidRPr="00465F79" w:rsidRDefault="00E0705E" w:rsidP="003A3DD8">
      <w:pPr>
        <w:numPr>
          <w:ilvl w:val="0"/>
          <w:numId w:val="7"/>
        </w:numPr>
        <w:tabs>
          <w:tab w:val="left" w:pos="567"/>
          <w:tab w:val="num" w:pos="1569"/>
          <w:tab w:val="num" w:pos="12305"/>
        </w:tabs>
        <w:spacing w:line="240" w:lineRule="auto"/>
        <w:ind w:left="0" w:firstLine="0"/>
        <w:rPr>
          <w:lang w:val="es-ES"/>
        </w:rPr>
      </w:pPr>
      <w:r w:rsidRPr="00465F79">
        <w:rPr>
          <w:i/>
          <w:lang w:val="es-ES"/>
        </w:rPr>
        <w:t>Escrito de solicitudes, argumentos y pruebas.</w:t>
      </w:r>
      <w:r w:rsidRPr="00465F79">
        <w:rPr>
          <w:lang w:val="es-ES"/>
        </w:rPr>
        <w:t xml:space="preserve"> – </w:t>
      </w:r>
      <w:bookmarkStart w:id="9" w:name="_Hlk134525020"/>
      <w:bookmarkEnd w:id="8"/>
      <w:r w:rsidR="003A3DD8" w:rsidRPr="00465F79">
        <w:rPr>
          <w:lang w:val="es-ES"/>
        </w:rPr>
        <w:t xml:space="preserve">El </w:t>
      </w:r>
      <w:r w:rsidR="00D74E1B" w:rsidRPr="00465F79">
        <w:rPr>
          <w:lang w:val="es-ES"/>
        </w:rPr>
        <w:t>31</w:t>
      </w:r>
      <w:r w:rsidR="003A3DD8" w:rsidRPr="00465F79">
        <w:rPr>
          <w:lang w:val="es-ES"/>
        </w:rPr>
        <w:t xml:space="preserve"> de </w:t>
      </w:r>
      <w:r w:rsidR="00D74E1B" w:rsidRPr="00465F79">
        <w:rPr>
          <w:lang w:val="es-ES"/>
        </w:rPr>
        <w:t>agosto</w:t>
      </w:r>
      <w:r w:rsidR="003A3DD8" w:rsidRPr="00465F79">
        <w:rPr>
          <w:lang w:val="es-ES"/>
        </w:rPr>
        <w:t xml:space="preserve"> de 2022 </w:t>
      </w:r>
      <w:r w:rsidR="00E81E5B" w:rsidRPr="00465F79">
        <w:rPr>
          <w:lang w:val="es-ES"/>
        </w:rPr>
        <w:t>el</w:t>
      </w:r>
      <w:r w:rsidR="003A3DD8" w:rsidRPr="00465F79">
        <w:rPr>
          <w:lang w:val="es-ES"/>
        </w:rPr>
        <w:t xml:space="preserve"> representante de la</w:t>
      </w:r>
      <w:r w:rsidR="004862B9" w:rsidRPr="00465F79">
        <w:rPr>
          <w:lang w:val="es-ES"/>
        </w:rPr>
        <w:t>s</w:t>
      </w:r>
      <w:r w:rsidR="003A3DD8" w:rsidRPr="00465F79">
        <w:rPr>
          <w:lang w:val="es-ES"/>
        </w:rPr>
        <w:t xml:space="preserve"> presunta</w:t>
      </w:r>
      <w:r w:rsidR="004862B9" w:rsidRPr="00465F79">
        <w:rPr>
          <w:lang w:val="es-ES"/>
        </w:rPr>
        <w:t>s</w:t>
      </w:r>
      <w:r w:rsidR="003A3DD8" w:rsidRPr="00465F79">
        <w:rPr>
          <w:lang w:val="es-ES"/>
        </w:rPr>
        <w:t xml:space="preserve"> víctima</w:t>
      </w:r>
      <w:r w:rsidR="004862B9" w:rsidRPr="00465F79">
        <w:rPr>
          <w:lang w:val="es-ES"/>
        </w:rPr>
        <w:t>s presentó</w:t>
      </w:r>
      <w:r w:rsidR="003A3DD8" w:rsidRPr="00465F79">
        <w:rPr>
          <w:lang w:val="es-ES"/>
        </w:rPr>
        <w:t xml:space="preserve"> ante la Corte su escrito de solicitudes, argumentos y pruebas (en adelante “escrito de solicitudes y argumentos”). </w:t>
      </w:r>
      <w:r w:rsidR="004862B9" w:rsidRPr="00465F79">
        <w:rPr>
          <w:lang w:val="es-ES"/>
        </w:rPr>
        <w:t>El representante</w:t>
      </w:r>
      <w:r w:rsidR="003A3DD8" w:rsidRPr="00465F79">
        <w:rPr>
          <w:lang w:val="es-ES"/>
        </w:rPr>
        <w:t xml:space="preserve"> coincidi</w:t>
      </w:r>
      <w:r w:rsidR="004862B9" w:rsidRPr="00465F79">
        <w:rPr>
          <w:lang w:val="es-ES"/>
        </w:rPr>
        <w:t xml:space="preserve">ó </w:t>
      </w:r>
      <w:r w:rsidR="003A3DD8" w:rsidRPr="00465F79">
        <w:rPr>
          <w:lang w:val="es-ES"/>
        </w:rPr>
        <w:t xml:space="preserve">sustancialmente con los alegatos de la Comisión y </w:t>
      </w:r>
      <w:r w:rsidR="004862B9" w:rsidRPr="00465F79">
        <w:rPr>
          <w:lang w:val="es-ES"/>
        </w:rPr>
        <w:t>solicitó</w:t>
      </w:r>
      <w:r w:rsidR="003A3DD8" w:rsidRPr="00465F79">
        <w:rPr>
          <w:lang w:val="es-ES"/>
        </w:rPr>
        <w:t xml:space="preserve"> a la Corte que declarara la responsabilidad internacional del Estado por la violación de los mismos artículos indicados por la Comisión. </w:t>
      </w:r>
      <w:bookmarkEnd w:id="9"/>
    </w:p>
    <w:p w14:paraId="0D73A945" w14:textId="77777777" w:rsidR="005B282F" w:rsidRPr="00465F79" w:rsidRDefault="005B282F" w:rsidP="005B282F">
      <w:pPr>
        <w:tabs>
          <w:tab w:val="left" w:pos="567"/>
        </w:tabs>
        <w:spacing w:line="240" w:lineRule="auto"/>
        <w:rPr>
          <w:lang w:val="es-ES"/>
        </w:rPr>
      </w:pPr>
    </w:p>
    <w:p w14:paraId="11B01894" w14:textId="542199FF" w:rsidR="00EE60B6" w:rsidRPr="00465F79" w:rsidRDefault="00076226" w:rsidP="00EE60B6">
      <w:pPr>
        <w:numPr>
          <w:ilvl w:val="0"/>
          <w:numId w:val="7"/>
        </w:numPr>
        <w:tabs>
          <w:tab w:val="left" w:pos="567"/>
          <w:tab w:val="num" w:pos="1569"/>
          <w:tab w:val="num" w:pos="12305"/>
        </w:tabs>
        <w:spacing w:line="240" w:lineRule="auto"/>
        <w:ind w:left="0" w:firstLine="0"/>
        <w:rPr>
          <w:b/>
          <w:bCs/>
          <w:lang w:val="es-ES"/>
        </w:rPr>
      </w:pPr>
      <w:r w:rsidRPr="00465F79">
        <w:rPr>
          <w:i/>
          <w:lang w:val="es-ES"/>
        </w:rPr>
        <w:t>Escrito de contestación</w:t>
      </w:r>
      <w:r w:rsidR="002078E3" w:rsidRPr="00465F79">
        <w:rPr>
          <w:rStyle w:val="Refdenotaalpie"/>
          <w:iCs/>
        </w:rPr>
        <w:footnoteReference w:id="6"/>
      </w:r>
      <w:r w:rsidRPr="00465F79">
        <w:rPr>
          <w:i/>
          <w:lang w:val="es-ES"/>
        </w:rPr>
        <w:t>.</w:t>
      </w:r>
      <w:r w:rsidRPr="00465F79">
        <w:rPr>
          <w:lang w:val="es-ES"/>
        </w:rPr>
        <w:t xml:space="preserve"> </w:t>
      </w:r>
      <w:r w:rsidRPr="00465F79">
        <w:rPr>
          <w:i/>
          <w:lang w:val="es-ES"/>
        </w:rPr>
        <w:t xml:space="preserve">– </w:t>
      </w:r>
      <w:r w:rsidR="00EE60B6" w:rsidRPr="00465F79">
        <w:rPr>
          <w:iCs/>
          <w:lang w:val="es-ES"/>
        </w:rPr>
        <w:t xml:space="preserve">El </w:t>
      </w:r>
      <w:r w:rsidR="004862B9" w:rsidRPr="00465F79">
        <w:rPr>
          <w:iCs/>
          <w:lang w:val="es-ES"/>
        </w:rPr>
        <w:t>30</w:t>
      </w:r>
      <w:r w:rsidR="00EE60B6" w:rsidRPr="00465F79">
        <w:rPr>
          <w:iCs/>
          <w:lang w:val="es-ES"/>
        </w:rPr>
        <w:t xml:space="preserve"> de </w:t>
      </w:r>
      <w:r w:rsidR="002A4F41" w:rsidRPr="00465F79">
        <w:rPr>
          <w:iCs/>
          <w:lang w:val="es-ES"/>
        </w:rPr>
        <w:t>noviembre</w:t>
      </w:r>
      <w:r w:rsidR="00EE60B6" w:rsidRPr="00465F79">
        <w:rPr>
          <w:iCs/>
          <w:lang w:val="es-ES"/>
        </w:rPr>
        <w:t xml:space="preserve"> de 2022 el Estado presentó ante la Corte su escrito de contestación</w:t>
      </w:r>
      <w:r w:rsidR="00095841" w:rsidRPr="00465F79">
        <w:rPr>
          <w:iCs/>
          <w:lang w:val="es-ES"/>
        </w:rPr>
        <w:t xml:space="preserve"> al sometimiento del caso y al escrito de solicitudes y argumentos (en adelante “contestación” o “escrito de contestación”), en el cual reconoció </w:t>
      </w:r>
      <w:r w:rsidR="00663378" w:rsidRPr="00465F79">
        <w:rPr>
          <w:iCs/>
          <w:lang w:val="es-ES"/>
        </w:rPr>
        <w:t xml:space="preserve">de forma parcial </w:t>
      </w:r>
      <w:r w:rsidR="00095841" w:rsidRPr="00465F79">
        <w:rPr>
          <w:iCs/>
          <w:lang w:val="es-ES"/>
        </w:rPr>
        <w:t xml:space="preserve">su responsabilidad internacional por las violaciones a los derechos a los que se refiere el Informe de Fondo de la Comisión. </w:t>
      </w:r>
    </w:p>
    <w:p w14:paraId="594484B2" w14:textId="2BAB92E0" w:rsidR="00E0705E" w:rsidRPr="00465F79" w:rsidRDefault="00E0705E" w:rsidP="00EE60B6">
      <w:pPr>
        <w:tabs>
          <w:tab w:val="left" w:pos="567"/>
        </w:tabs>
        <w:spacing w:line="240" w:lineRule="auto"/>
        <w:rPr>
          <w:lang w:val="es-ES"/>
        </w:rPr>
      </w:pPr>
    </w:p>
    <w:p w14:paraId="6B4A2FFF" w14:textId="6C93ABDB" w:rsidR="00923EE5" w:rsidRPr="00465F79" w:rsidRDefault="00923EE5">
      <w:pPr>
        <w:numPr>
          <w:ilvl w:val="0"/>
          <w:numId w:val="7"/>
        </w:numPr>
        <w:tabs>
          <w:tab w:val="left" w:pos="567"/>
          <w:tab w:val="num" w:pos="1569"/>
          <w:tab w:val="num" w:pos="12305"/>
        </w:tabs>
        <w:spacing w:line="240" w:lineRule="auto"/>
        <w:ind w:left="0" w:firstLine="0"/>
        <w:rPr>
          <w:lang w:val="es-ES"/>
        </w:rPr>
      </w:pPr>
      <w:bookmarkStart w:id="10" w:name="_Hlk166680580"/>
      <w:r w:rsidRPr="00465F79">
        <w:rPr>
          <w:i/>
          <w:lang w:val="es-ES"/>
        </w:rPr>
        <w:lastRenderedPageBreak/>
        <w:t>Observaciones</w:t>
      </w:r>
      <w:r w:rsidRPr="00465F79">
        <w:rPr>
          <w:i/>
          <w:iCs/>
          <w:lang w:val="es-ES"/>
        </w:rPr>
        <w:t xml:space="preserve"> al</w:t>
      </w:r>
      <w:r w:rsidR="00095841" w:rsidRPr="00465F79">
        <w:rPr>
          <w:i/>
          <w:iCs/>
          <w:lang w:val="es-ES"/>
        </w:rPr>
        <w:t xml:space="preserve"> reconocimiento </w:t>
      </w:r>
      <w:r w:rsidR="009D735D" w:rsidRPr="00465F79">
        <w:rPr>
          <w:i/>
          <w:iCs/>
          <w:lang w:val="es-ES"/>
        </w:rPr>
        <w:t xml:space="preserve">parcial </w:t>
      </w:r>
      <w:r w:rsidR="00095841" w:rsidRPr="00465F79">
        <w:rPr>
          <w:i/>
          <w:iCs/>
          <w:lang w:val="es-ES"/>
        </w:rPr>
        <w:t>de responsabilidad internacional</w:t>
      </w:r>
      <w:r w:rsidRPr="00465F79">
        <w:rPr>
          <w:i/>
          <w:iCs/>
          <w:lang w:val="es-ES"/>
        </w:rPr>
        <w:t xml:space="preserve">. - </w:t>
      </w:r>
      <w:r w:rsidR="003A3DD8" w:rsidRPr="00465F79">
        <w:rPr>
          <w:lang w:val="es-ES"/>
        </w:rPr>
        <w:t xml:space="preserve">El </w:t>
      </w:r>
      <w:r w:rsidR="009D735D" w:rsidRPr="00465F79">
        <w:rPr>
          <w:lang w:val="es-ES"/>
        </w:rPr>
        <w:t>13 de febrero</w:t>
      </w:r>
      <w:r w:rsidR="003A3DD8" w:rsidRPr="00465F79">
        <w:rPr>
          <w:lang w:val="es-ES"/>
        </w:rPr>
        <w:t xml:space="preserve"> y </w:t>
      </w:r>
      <w:r w:rsidR="009D735D" w:rsidRPr="00465F79">
        <w:rPr>
          <w:lang w:val="es-ES"/>
        </w:rPr>
        <w:t>20</w:t>
      </w:r>
      <w:r w:rsidR="003A3DD8" w:rsidRPr="00465F79">
        <w:rPr>
          <w:lang w:val="es-ES"/>
        </w:rPr>
        <w:t xml:space="preserve"> de </w:t>
      </w:r>
      <w:r w:rsidR="009D735D" w:rsidRPr="00465F79">
        <w:rPr>
          <w:lang w:val="es-ES"/>
        </w:rPr>
        <w:t>marzo</w:t>
      </w:r>
      <w:r w:rsidR="003A3DD8" w:rsidRPr="00465F79">
        <w:rPr>
          <w:lang w:val="es-ES"/>
        </w:rPr>
        <w:t xml:space="preserve"> de 202</w:t>
      </w:r>
      <w:r w:rsidR="009D735D" w:rsidRPr="00465F79">
        <w:rPr>
          <w:lang w:val="es-ES"/>
        </w:rPr>
        <w:t>3</w:t>
      </w:r>
      <w:r w:rsidR="004862B9" w:rsidRPr="00465F79">
        <w:rPr>
          <w:rStyle w:val="Refdenotaalpie"/>
        </w:rPr>
        <w:footnoteReference w:id="7"/>
      </w:r>
      <w:r w:rsidR="003A3DD8" w:rsidRPr="00465F79">
        <w:rPr>
          <w:lang w:val="es-ES"/>
        </w:rPr>
        <w:t xml:space="preserve"> </w:t>
      </w:r>
      <w:r w:rsidR="009D735D" w:rsidRPr="00465F79">
        <w:rPr>
          <w:lang w:val="es-ES"/>
        </w:rPr>
        <w:t>la Comisión</w:t>
      </w:r>
      <w:r w:rsidR="003A3DD8" w:rsidRPr="00465F79">
        <w:rPr>
          <w:lang w:val="es-ES"/>
        </w:rPr>
        <w:t xml:space="preserve"> y </w:t>
      </w:r>
      <w:r w:rsidR="009D735D" w:rsidRPr="00465F79">
        <w:rPr>
          <w:lang w:val="es-ES"/>
        </w:rPr>
        <w:t>el representante</w:t>
      </w:r>
      <w:r w:rsidR="003A3DD8" w:rsidRPr="00465F79">
        <w:rPr>
          <w:lang w:val="es-ES"/>
        </w:rPr>
        <w:t xml:space="preserve"> presentaron</w:t>
      </w:r>
      <w:r w:rsidR="009E347A" w:rsidRPr="00465F79">
        <w:rPr>
          <w:lang w:val="es-ES"/>
        </w:rPr>
        <w:t>,</w:t>
      </w:r>
      <w:r w:rsidR="003A3DD8" w:rsidRPr="00465F79">
        <w:rPr>
          <w:lang w:val="es-ES"/>
        </w:rPr>
        <w:t xml:space="preserve"> </w:t>
      </w:r>
      <w:r w:rsidR="004862B9" w:rsidRPr="00465F79">
        <w:rPr>
          <w:lang w:val="es-ES"/>
        </w:rPr>
        <w:t>respectivamente</w:t>
      </w:r>
      <w:r w:rsidR="009E347A" w:rsidRPr="00465F79">
        <w:rPr>
          <w:lang w:val="es-ES"/>
        </w:rPr>
        <w:t>,</w:t>
      </w:r>
      <w:r w:rsidR="009D735D" w:rsidRPr="00465F79">
        <w:rPr>
          <w:lang w:val="es-ES"/>
        </w:rPr>
        <w:t xml:space="preserve"> </w:t>
      </w:r>
      <w:r w:rsidR="003A3DD8" w:rsidRPr="00465F79">
        <w:rPr>
          <w:lang w:val="es-ES"/>
        </w:rPr>
        <w:t xml:space="preserve">sus observaciones </w:t>
      </w:r>
      <w:r w:rsidR="00D34899">
        <w:rPr>
          <w:lang w:val="es-ES"/>
        </w:rPr>
        <w:t>al reconocimiento parcial de responsabilidad internacional</w:t>
      </w:r>
      <w:r w:rsidR="003A3DD8" w:rsidRPr="00465F79">
        <w:rPr>
          <w:lang w:val="es-ES"/>
        </w:rPr>
        <w:t xml:space="preserve">. </w:t>
      </w:r>
    </w:p>
    <w:bookmarkEnd w:id="10"/>
    <w:p w14:paraId="11CC480D" w14:textId="77777777" w:rsidR="00A12976" w:rsidRPr="00A12976" w:rsidRDefault="00A12976" w:rsidP="00A12976">
      <w:pPr>
        <w:tabs>
          <w:tab w:val="left" w:pos="567"/>
        </w:tabs>
        <w:spacing w:line="240" w:lineRule="auto"/>
        <w:rPr>
          <w:lang w:val="es-ES"/>
        </w:rPr>
      </w:pPr>
    </w:p>
    <w:p w14:paraId="5070A764" w14:textId="00A9EBEB" w:rsidR="003A3DD8" w:rsidRPr="00465F79" w:rsidRDefault="00765417" w:rsidP="003A3DD8">
      <w:pPr>
        <w:numPr>
          <w:ilvl w:val="0"/>
          <w:numId w:val="7"/>
        </w:numPr>
        <w:tabs>
          <w:tab w:val="left" w:pos="567"/>
          <w:tab w:val="num" w:pos="1569"/>
          <w:tab w:val="num" w:pos="12305"/>
        </w:tabs>
        <w:spacing w:line="240" w:lineRule="auto"/>
        <w:ind w:left="0" w:firstLine="0"/>
        <w:rPr>
          <w:lang w:val="es-ES"/>
        </w:rPr>
      </w:pPr>
      <w:r w:rsidRPr="00465F79">
        <w:rPr>
          <w:i/>
          <w:iCs/>
          <w:lang w:val="es-ES"/>
        </w:rPr>
        <w:t>Audiencia Púbica</w:t>
      </w:r>
      <w:r w:rsidR="00663378" w:rsidRPr="00465F79">
        <w:rPr>
          <w:i/>
          <w:iCs/>
          <w:lang w:val="es-ES"/>
        </w:rPr>
        <w:t xml:space="preserve">. – </w:t>
      </w:r>
      <w:r w:rsidR="00663378" w:rsidRPr="00465F79">
        <w:rPr>
          <w:lang w:val="es-ES"/>
        </w:rPr>
        <w:t>El 10 de octubre de 2023 el Presidente de la Corte emitió una Resolución mediante la cual convocó a las partes y a la Comisión a una audiencia pública</w:t>
      </w:r>
      <w:r w:rsidRPr="00465F79">
        <w:rPr>
          <w:lang w:val="es-ES"/>
        </w:rPr>
        <w:t xml:space="preserve"> sobre el</w:t>
      </w:r>
      <w:r w:rsidR="00D33788" w:rsidRPr="00465F79">
        <w:rPr>
          <w:lang w:val="es-ES"/>
        </w:rPr>
        <w:t xml:space="preserve"> </w:t>
      </w:r>
      <w:r w:rsidRPr="00465F79">
        <w:rPr>
          <w:lang w:val="es-ES"/>
        </w:rPr>
        <w:t>fondo y eventuales reparaciones y costas</w:t>
      </w:r>
      <w:r w:rsidRPr="00465F79">
        <w:rPr>
          <w:rStyle w:val="Refdenotaalpie"/>
        </w:rPr>
        <w:footnoteReference w:id="8"/>
      </w:r>
      <w:r w:rsidRPr="00465F79">
        <w:rPr>
          <w:lang w:val="es-ES"/>
        </w:rPr>
        <w:t>. La audiencia pública se llevó a cabo de forma presencial, en la sede de la Corte en Costa Rica, el 22 de noviembre de 202</w:t>
      </w:r>
      <w:r w:rsidR="009E347A" w:rsidRPr="00465F79">
        <w:rPr>
          <w:lang w:val="es-ES"/>
        </w:rPr>
        <w:t>3</w:t>
      </w:r>
      <w:r w:rsidRPr="00465F79">
        <w:rPr>
          <w:lang w:val="es-ES"/>
        </w:rPr>
        <w:t>, durante el 16</w:t>
      </w:r>
      <w:r w:rsidR="009E347A" w:rsidRPr="00465F79">
        <w:rPr>
          <w:lang w:val="es-ES"/>
        </w:rPr>
        <w:t>3</w:t>
      </w:r>
      <w:r w:rsidRPr="00465F79">
        <w:rPr>
          <w:vertAlign w:val="superscript"/>
          <w:lang w:val="es-ES"/>
        </w:rPr>
        <w:t>º</w:t>
      </w:r>
      <w:r w:rsidRPr="00465F79">
        <w:rPr>
          <w:lang w:val="es-ES"/>
        </w:rPr>
        <w:t xml:space="preserve"> Período Ordinario de Sesiones de la Corte</w:t>
      </w:r>
      <w:r w:rsidRPr="00465F79">
        <w:rPr>
          <w:rStyle w:val="Refdenotaalpie"/>
        </w:rPr>
        <w:footnoteReference w:id="9"/>
      </w:r>
      <w:r w:rsidRPr="00465F79">
        <w:t>.</w:t>
      </w:r>
    </w:p>
    <w:p w14:paraId="7C5583F2" w14:textId="77777777" w:rsidR="001D29F9" w:rsidRPr="00465F79" w:rsidRDefault="001D29F9" w:rsidP="001D29F9">
      <w:pPr>
        <w:tabs>
          <w:tab w:val="left" w:pos="567"/>
          <w:tab w:val="num" w:pos="12305"/>
        </w:tabs>
        <w:spacing w:line="240" w:lineRule="auto"/>
        <w:rPr>
          <w:lang w:val="es-ES"/>
        </w:rPr>
      </w:pPr>
    </w:p>
    <w:p w14:paraId="5CAEC810" w14:textId="399F4C83" w:rsidR="00D65FD5" w:rsidRPr="00465F79" w:rsidRDefault="00E0705E" w:rsidP="003A3DD8">
      <w:pPr>
        <w:numPr>
          <w:ilvl w:val="0"/>
          <w:numId w:val="7"/>
        </w:numPr>
        <w:tabs>
          <w:tab w:val="left" w:pos="567"/>
          <w:tab w:val="num" w:pos="1569"/>
          <w:tab w:val="num" w:pos="12305"/>
        </w:tabs>
        <w:spacing w:line="240" w:lineRule="auto"/>
        <w:ind w:left="0" w:firstLine="0"/>
        <w:rPr>
          <w:lang w:val="es-ES"/>
        </w:rPr>
      </w:pPr>
      <w:r w:rsidRPr="00465F79">
        <w:rPr>
          <w:i/>
          <w:lang w:val="es-ES"/>
        </w:rPr>
        <w:t xml:space="preserve">Alegatos y observaciones finales escritos. </w:t>
      </w:r>
      <w:r w:rsidRPr="00465F79">
        <w:rPr>
          <w:lang w:val="es-ES"/>
        </w:rPr>
        <w:t xml:space="preserve">– </w:t>
      </w:r>
      <w:r w:rsidR="003A3DD8" w:rsidRPr="00465F79">
        <w:rPr>
          <w:lang w:val="es-ES"/>
        </w:rPr>
        <w:t xml:space="preserve">El </w:t>
      </w:r>
      <w:r w:rsidR="009D735D" w:rsidRPr="00465F79">
        <w:rPr>
          <w:lang w:val="es-ES"/>
        </w:rPr>
        <w:t>8</w:t>
      </w:r>
      <w:r w:rsidR="003A3DD8" w:rsidRPr="00465F79">
        <w:rPr>
          <w:lang w:val="es-ES"/>
        </w:rPr>
        <w:t xml:space="preserve"> de </w:t>
      </w:r>
      <w:r w:rsidR="009D735D" w:rsidRPr="00465F79">
        <w:rPr>
          <w:lang w:val="es-ES"/>
        </w:rPr>
        <w:t>enero</w:t>
      </w:r>
      <w:r w:rsidR="003A3DD8" w:rsidRPr="00465F79">
        <w:rPr>
          <w:lang w:val="es-ES"/>
        </w:rPr>
        <w:t xml:space="preserve"> de 202</w:t>
      </w:r>
      <w:r w:rsidR="009D735D" w:rsidRPr="00465F79">
        <w:rPr>
          <w:lang w:val="es-ES"/>
        </w:rPr>
        <w:t>4</w:t>
      </w:r>
      <w:r w:rsidR="003A3DD8" w:rsidRPr="00465F79">
        <w:rPr>
          <w:lang w:val="es-ES"/>
        </w:rPr>
        <w:t xml:space="preserve"> </w:t>
      </w:r>
      <w:r w:rsidR="00D33788" w:rsidRPr="00465F79">
        <w:rPr>
          <w:lang w:val="es-ES"/>
        </w:rPr>
        <w:t>las partes</w:t>
      </w:r>
      <w:r w:rsidR="003A3DD8" w:rsidRPr="00465F79">
        <w:rPr>
          <w:lang w:val="es-ES"/>
        </w:rPr>
        <w:t xml:space="preserve"> remitieron sus alegatos finales escritos y la Comisión presentó sus observaciones finales escritas. </w:t>
      </w:r>
    </w:p>
    <w:p w14:paraId="2844D6CD" w14:textId="77777777" w:rsidR="00A12976" w:rsidRPr="00A12976" w:rsidRDefault="00A12976" w:rsidP="00A12976">
      <w:pPr>
        <w:tabs>
          <w:tab w:val="left" w:pos="567"/>
        </w:tabs>
        <w:spacing w:line="240" w:lineRule="auto"/>
        <w:rPr>
          <w:lang w:val="es-ES"/>
        </w:rPr>
      </w:pPr>
      <w:bookmarkStart w:id="11" w:name="_Hlk96955709"/>
    </w:p>
    <w:p w14:paraId="79C5F48C" w14:textId="45839317" w:rsidR="00E0705E" w:rsidRPr="00465F79" w:rsidRDefault="00E0705E">
      <w:pPr>
        <w:numPr>
          <w:ilvl w:val="0"/>
          <w:numId w:val="7"/>
        </w:numPr>
        <w:tabs>
          <w:tab w:val="left" w:pos="567"/>
          <w:tab w:val="num" w:pos="1569"/>
          <w:tab w:val="num" w:pos="12305"/>
        </w:tabs>
        <w:spacing w:line="240" w:lineRule="auto"/>
        <w:ind w:left="0" w:firstLine="0"/>
        <w:rPr>
          <w:lang w:val="es-ES"/>
        </w:rPr>
      </w:pPr>
      <w:r w:rsidRPr="00465F79">
        <w:rPr>
          <w:i/>
          <w:lang w:val="es-ES"/>
        </w:rPr>
        <w:t xml:space="preserve">Deliberación del presente caso. </w:t>
      </w:r>
      <w:r w:rsidRPr="00465F79">
        <w:rPr>
          <w:lang w:val="es-ES"/>
        </w:rPr>
        <w:t xml:space="preserve">– La Corte deliberó la presente Sentencia </w:t>
      </w:r>
      <w:r w:rsidR="003B5FC1">
        <w:rPr>
          <w:lang w:val="es-ES"/>
        </w:rPr>
        <w:t>el 18</w:t>
      </w:r>
      <w:r w:rsidR="00E93A8F" w:rsidRPr="00465F79">
        <w:rPr>
          <w:lang w:val="es-ES"/>
        </w:rPr>
        <w:t xml:space="preserve"> de </w:t>
      </w:r>
      <w:r w:rsidR="0000292E">
        <w:rPr>
          <w:lang w:val="es-ES"/>
        </w:rPr>
        <w:t>marzo</w:t>
      </w:r>
      <w:r w:rsidR="00E93A8F" w:rsidRPr="00465F79">
        <w:rPr>
          <w:lang w:val="es-ES"/>
        </w:rPr>
        <w:t xml:space="preserve"> </w:t>
      </w:r>
      <w:r w:rsidRPr="00465F79">
        <w:rPr>
          <w:lang w:val="es-ES"/>
        </w:rPr>
        <w:t xml:space="preserve">de </w:t>
      </w:r>
      <w:r w:rsidR="008114A4" w:rsidRPr="00465F79">
        <w:rPr>
          <w:lang w:val="es-ES"/>
        </w:rPr>
        <w:t>202</w:t>
      </w:r>
      <w:r w:rsidR="00D74E1B" w:rsidRPr="00465F79">
        <w:rPr>
          <w:lang w:val="es-ES"/>
        </w:rPr>
        <w:t>4</w:t>
      </w:r>
      <w:r w:rsidR="00D33788" w:rsidRPr="00465F79">
        <w:rPr>
          <w:lang w:val="es-ES"/>
        </w:rPr>
        <w:t xml:space="preserve">, </w:t>
      </w:r>
      <w:r w:rsidR="00D33788" w:rsidRPr="0000292E">
        <w:rPr>
          <w:lang w:val="es-ES"/>
        </w:rPr>
        <w:t>de forma virtual</w:t>
      </w:r>
      <w:r w:rsidR="00D33788" w:rsidRPr="00465F79">
        <w:rPr>
          <w:lang w:val="es-ES"/>
        </w:rPr>
        <w:t>,</w:t>
      </w:r>
      <w:r w:rsidRPr="00465F79">
        <w:rPr>
          <w:lang w:val="es-ES"/>
        </w:rPr>
        <w:t xml:space="preserve"> en el marco del </w:t>
      </w:r>
      <w:r w:rsidR="0000292E">
        <w:rPr>
          <w:lang w:val="es-ES"/>
        </w:rPr>
        <w:t>165</w:t>
      </w:r>
      <w:r w:rsidR="003A3DD8" w:rsidRPr="00465F79">
        <w:rPr>
          <w:vertAlign w:val="superscript"/>
          <w:lang w:val="es-ES"/>
        </w:rPr>
        <w:t>o</w:t>
      </w:r>
      <w:r w:rsidR="003A3DD8" w:rsidRPr="00465F79">
        <w:rPr>
          <w:lang w:val="es-ES"/>
        </w:rPr>
        <w:t xml:space="preserve"> </w:t>
      </w:r>
      <w:r w:rsidRPr="00465F79">
        <w:rPr>
          <w:lang w:val="es-ES"/>
        </w:rPr>
        <w:t>Período Ordinario de Sesiones.</w:t>
      </w:r>
    </w:p>
    <w:p w14:paraId="02EC79BF" w14:textId="77A6B25A" w:rsidR="00FC354F" w:rsidRPr="00465F79" w:rsidRDefault="00E0705E" w:rsidP="00465F79">
      <w:pPr>
        <w:pStyle w:val="Ttulo1"/>
      </w:pPr>
      <w:bookmarkStart w:id="12" w:name="_Toc165022598"/>
      <w:bookmarkEnd w:id="11"/>
      <w:r w:rsidRPr="00465F79">
        <w:t>III</w:t>
      </w:r>
      <w:r w:rsidRPr="00465F79">
        <w:br/>
      </w:r>
      <w:r w:rsidR="00765417" w:rsidRPr="00465F79">
        <w:t>COMPETENCIA</w:t>
      </w:r>
      <w:bookmarkEnd w:id="12"/>
    </w:p>
    <w:p w14:paraId="437F39B3" w14:textId="0A8D426D" w:rsidR="00326EC8" w:rsidRPr="00465F79" w:rsidRDefault="001503D1" w:rsidP="00326EC8">
      <w:pPr>
        <w:numPr>
          <w:ilvl w:val="0"/>
          <w:numId w:val="7"/>
        </w:numPr>
        <w:tabs>
          <w:tab w:val="left" w:pos="567"/>
          <w:tab w:val="num" w:pos="1569"/>
          <w:tab w:val="num" w:pos="12305"/>
        </w:tabs>
        <w:spacing w:line="240" w:lineRule="auto"/>
        <w:ind w:left="0" w:firstLine="0"/>
        <w:rPr>
          <w:lang w:val="es-ES"/>
        </w:rPr>
      </w:pPr>
      <w:r w:rsidRPr="00465F79">
        <w:rPr>
          <w:lang w:val="es-ES"/>
        </w:rPr>
        <w:t>La Corte Interamericana es competente, en los términos del artículo 62.3 de la Convención para conocer el presente caso, dado que El Salvador es Estado Parte de la Convención Americana desde el 23 de junio de 1978 y reconoció la competencia contenciosa de la Corte el 6 de junio de 1995.</w:t>
      </w:r>
    </w:p>
    <w:p w14:paraId="24CC8AB7" w14:textId="77777777" w:rsidR="001503D1" w:rsidRPr="00465F79" w:rsidRDefault="001503D1" w:rsidP="001503D1">
      <w:pPr>
        <w:tabs>
          <w:tab w:val="left" w:pos="567"/>
        </w:tabs>
        <w:spacing w:line="240" w:lineRule="auto"/>
        <w:rPr>
          <w:lang w:val="es-ES"/>
        </w:rPr>
      </w:pPr>
    </w:p>
    <w:p w14:paraId="16C8283B" w14:textId="0B8DB2B2" w:rsidR="001503D1" w:rsidRPr="004211BE" w:rsidRDefault="001503D1" w:rsidP="004211BE">
      <w:pPr>
        <w:numPr>
          <w:ilvl w:val="0"/>
          <w:numId w:val="7"/>
        </w:numPr>
        <w:tabs>
          <w:tab w:val="left" w:pos="567"/>
          <w:tab w:val="num" w:pos="1569"/>
          <w:tab w:val="num" w:pos="12305"/>
        </w:tabs>
        <w:spacing w:line="240" w:lineRule="auto"/>
        <w:ind w:left="0" w:firstLine="0"/>
        <w:rPr>
          <w:sz w:val="18"/>
          <w:szCs w:val="18"/>
          <w:lang w:val="es-ES"/>
        </w:rPr>
      </w:pPr>
      <w:r w:rsidRPr="004211BE">
        <w:rPr>
          <w:lang w:val="es-ES"/>
        </w:rPr>
        <w:t>Si bien l</w:t>
      </w:r>
      <w:r w:rsidR="00D33788" w:rsidRPr="004211BE">
        <w:rPr>
          <w:lang w:val="es-ES"/>
        </w:rPr>
        <w:t>os hechos del presente caso dieron inicio en el año 1982 (esto es, antes de la entrada en vigor de la competencia contenciosa de la Corte)</w:t>
      </w:r>
      <w:r w:rsidRPr="004211BE">
        <w:rPr>
          <w:lang w:val="es-ES"/>
        </w:rPr>
        <w:t>, en el presente caso el Estado de El Salvador</w:t>
      </w:r>
      <w:r w:rsidR="00D33788" w:rsidRPr="004211BE">
        <w:rPr>
          <w:lang w:val="es-ES"/>
        </w:rPr>
        <w:t xml:space="preserve"> realizó un reconocimiento parcial de responsabilidad internacional y señaló expresamente que aceptaba la competencia de la Corte “para conocer del caso específico</w:t>
      </w:r>
      <w:r w:rsidR="00F834D6">
        <w:rPr>
          <w:lang w:val="es-ES"/>
        </w:rPr>
        <w:t>”, renunciando así “a</w:t>
      </w:r>
      <w:r w:rsidR="00D33788" w:rsidRPr="004211BE">
        <w:rPr>
          <w:lang w:val="es-ES"/>
        </w:rPr>
        <w:t xml:space="preserve"> la posibilidad de oponer excepciones preliminares”. </w:t>
      </w:r>
      <w:r w:rsidRPr="004211BE">
        <w:rPr>
          <w:lang w:val="es-ES"/>
        </w:rPr>
        <w:t>Es decir, el Estado</w:t>
      </w:r>
      <w:r w:rsidR="001F6F8E" w:rsidRPr="004211BE">
        <w:rPr>
          <w:lang w:val="es-ES"/>
        </w:rPr>
        <w:t xml:space="preserve"> efectuó una clara manifestación de voluntad</w:t>
      </w:r>
      <w:r w:rsidRPr="004211BE">
        <w:rPr>
          <w:lang w:val="es-ES"/>
        </w:rPr>
        <w:t xml:space="preserve"> de reconocer los hechos ocurridos, así como </w:t>
      </w:r>
      <w:r w:rsidR="00566E64" w:rsidRPr="004211BE">
        <w:rPr>
          <w:lang w:val="es-ES"/>
        </w:rPr>
        <w:t>la mayoría de las</w:t>
      </w:r>
      <w:r w:rsidRPr="004211BE">
        <w:rPr>
          <w:lang w:val="es-ES"/>
        </w:rPr>
        <w:t xml:space="preserve"> violaciones que se configuren </w:t>
      </w:r>
      <w:r w:rsidRPr="004211BE">
        <w:rPr>
          <w:lang w:val="es-ES"/>
        </w:rPr>
        <w:lastRenderedPageBreak/>
        <w:t>en este caso y sus consecuencias jurídicas y otorgó expresamente competencia para que la Corte juzgue en su entera dimensión el presente caso. La Corte valora positivamente la declaración hecha por el Estado para este caso específico</w:t>
      </w:r>
      <w:r w:rsidR="00EB3B59" w:rsidRPr="004211BE">
        <w:rPr>
          <w:lang w:val="es-ES"/>
        </w:rPr>
        <w:t xml:space="preserve"> y considera, en virtud de ella, que</w:t>
      </w:r>
      <w:r w:rsidRPr="004211BE">
        <w:rPr>
          <w:lang w:val="es-ES"/>
        </w:rPr>
        <w:t xml:space="preserve"> tiene </w:t>
      </w:r>
      <w:r w:rsidR="00EB3B59" w:rsidRPr="004211BE">
        <w:rPr>
          <w:lang w:val="es-ES"/>
        </w:rPr>
        <w:t>plena competencia</w:t>
      </w:r>
      <w:r w:rsidRPr="004211BE">
        <w:rPr>
          <w:lang w:val="es-ES"/>
        </w:rPr>
        <w:t xml:space="preserve"> para conocer de todos los hechos contenidos en el </w:t>
      </w:r>
      <w:r w:rsidR="00AC18B1" w:rsidRPr="004211BE">
        <w:rPr>
          <w:lang w:val="es-ES"/>
        </w:rPr>
        <w:t>I</w:t>
      </w:r>
      <w:r w:rsidRPr="004211BE">
        <w:rPr>
          <w:lang w:val="es-ES"/>
        </w:rPr>
        <w:t xml:space="preserve">nforme de </w:t>
      </w:r>
      <w:r w:rsidR="00AC18B1" w:rsidRPr="004211BE">
        <w:rPr>
          <w:lang w:val="es-ES"/>
        </w:rPr>
        <w:t>F</w:t>
      </w:r>
      <w:r w:rsidRPr="004211BE">
        <w:rPr>
          <w:lang w:val="es-ES"/>
        </w:rPr>
        <w:t xml:space="preserve">ondo </w:t>
      </w:r>
      <w:r w:rsidR="00315143">
        <w:rPr>
          <w:lang w:val="es-ES"/>
        </w:rPr>
        <w:t>n</w:t>
      </w:r>
      <w:r w:rsidR="003C4FC2" w:rsidRPr="004211BE">
        <w:rPr>
          <w:lang w:val="es-ES"/>
        </w:rPr>
        <w:t>.°</w:t>
      </w:r>
      <w:r w:rsidRPr="004211BE">
        <w:rPr>
          <w:lang w:val="es-ES"/>
        </w:rPr>
        <w:t xml:space="preserve"> </w:t>
      </w:r>
      <w:r w:rsidR="00EB3B59" w:rsidRPr="004211BE">
        <w:rPr>
          <w:lang w:val="es-ES"/>
        </w:rPr>
        <w:t>329/20</w:t>
      </w:r>
      <w:r w:rsidR="00566E64" w:rsidRPr="004211BE">
        <w:rPr>
          <w:lang w:val="es-ES"/>
        </w:rPr>
        <w:t xml:space="preserve">, </w:t>
      </w:r>
      <w:r w:rsidRPr="004211BE">
        <w:rPr>
          <w:lang w:val="es-ES"/>
        </w:rPr>
        <w:t xml:space="preserve">por lo que pasará a decidir sobre el fondo y las eventuales reparaciones </w:t>
      </w:r>
      <w:r w:rsidR="00566E64" w:rsidRPr="004211BE">
        <w:rPr>
          <w:lang w:val="es-ES"/>
        </w:rPr>
        <w:t>de este</w:t>
      </w:r>
      <w:r w:rsidRPr="004211BE">
        <w:rPr>
          <w:lang w:val="es-ES"/>
        </w:rPr>
        <w:t xml:space="preserve"> caso.</w:t>
      </w:r>
      <w:r w:rsidR="00444E5F">
        <w:rPr>
          <w:lang w:val="es-ES"/>
        </w:rPr>
        <w:t xml:space="preserve"> </w:t>
      </w:r>
    </w:p>
    <w:p w14:paraId="010A06B9" w14:textId="2D712F3C" w:rsidR="004A48F8" w:rsidRPr="00465F79" w:rsidRDefault="001B0BA5" w:rsidP="00465F79">
      <w:pPr>
        <w:pStyle w:val="Ttulo1"/>
      </w:pPr>
      <w:bookmarkStart w:id="13" w:name="_Toc165022599"/>
      <w:r w:rsidRPr="00465F79">
        <w:t>I</w:t>
      </w:r>
      <w:r w:rsidR="00BB3578" w:rsidRPr="00465F79">
        <w:t>V</w:t>
      </w:r>
      <w:r w:rsidR="00BB3578" w:rsidRPr="00465F79">
        <w:br/>
      </w:r>
      <w:r w:rsidR="00765417" w:rsidRPr="00465F79">
        <w:t>RECONOCIMIENTO DE RESPONSABILIDAD</w:t>
      </w:r>
      <w:bookmarkEnd w:id="13"/>
    </w:p>
    <w:p w14:paraId="78B0A8EA" w14:textId="1DEBD515" w:rsidR="004A48F8" w:rsidRPr="00465F79" w:rsidRDefault="004A48F8">
      <w:pPr>
        <w:pStyle w:val="Ttulo2"/>
        <w:numPr>
          <w:ilvl w:val="0"/>
          <w:numId w:val="8"/>
        </w:numPr>
      </w:pPr>
      <w:bookmarkStart w:id="14" w:name="_Toc146116385"/>
      <w:bookmarkStart w:id="15" w:name="_Toc165022600"/>
      <w:r w:rsidRPr="00465F79">
        <w:t>Reconocimiento de responsabilidad del Estado y observaciones de la Comisión y de</w:t>
      </w:r>
      <w:r w:rsidR="00322934" w:rsidRPr="00465F79">
        <w:t>l</w:t>
      </w:r>
      <w:r w:rsidRPr="00465F79">
        <w:t xml:space="preserve"> representante</w:t>
      </w:r>
      <w:bookmarkEnd w:id="14"/>
      <w:bookmarkEnd w:id="15"/>
    </w:p>
    <w:p w14:paraId="6328DD64" w14:textId="560D0318" w:rsidR="00FA7933" w:rsidRPr="00465F79" w:rsidRDefault="00566E64" w:rsidP="00690013">
      <w:pPr>
        <w:numPr>
          <w:ilvl w:val="0"/>
          <w:numId w:val="7"/>
        </w:numPr>
        <w:tabs>
          <w:tab w:val="left" w:pos="567"/>
          <w:tab w:val="num" w:pos="1569"/>
          <w:tab w:val="num" w:pos="12305"/>
        </w:tabs>
        <w:spacing w:line="240" w:lineRule="auto"/>
        <w:ind w:left="0" w:firstLine="0"/>
      </w:pPr>
      <w:bookmarkStart w:id="16" w:name="_Toc375517114"/>
      <w:bookmarkStart w:id="17" w:name="_Toc459158102"/>
      <w:bookmarkStart w:id="18" w:name="_Toc470180046"/>
      <w:bookmarkStart w:id="19" w:name="_Toc514172609"/>
      <w:r w:rsidRPr="00465F79">
        <w:t>En su escrito de contestación e</w:t>
      </w:r>
      <w:r w:rsidR="004A48F8" w:rsidRPr="00465F79">
        <w:t xml:space="preserve">l </w:t>
      </w:r>
      <w:r w:rsidR="004A48F8" w:rsidRPr="00465F79">
        <w:rPr>
          <w:b/>
          <w:bCs/>
          <w:i/>
          <w:iCs/>
        </w:rPr>
        <w:t xml:space="preserve">Estado </w:t>
      </w:r>
      <w:r w:rsidRPr="00465F79">
        <w:t>reconoció y aceptó que</w:t>
      </w:r>
      <w:r w:rsidR="00F834D6">
        <w:t>,</w:t>
      </w:r>
      <w:r w:rsidR="004E0487" w:rsidRPr="00465F79">
        <w:t xml:space="preserve"> </w:t>
      </w:r>
      <w:r w:rsidR="000E2A4B" w:rsidRPr="00465F79">
        <w:t>“dentro del patrón de desapariciones forzadas que fue perpet</w:t>
      </w:r>
      <w:r w:rsidR="00315143">
        <w:t>r</w:t>
      </w:r>
      <w:r w:rsidR="000E2A4B" w:rsidRPr="00465F79">
        <w:t>ado durante el conflicto armado interno salvadoreño</w:t>
      </w:r>
      <w:r w:rsidRPr="00465F79">
        <w:t>, se produjo la desaparición de Patricia Emilie Cu</w:t>
      </w:r>
      <w:r w:rsidR="00315143">
        <w:t>é</w:t>
      </w:r>
      <w:r w:rsidRPr="00465F79">
        <w:t>llar Sandoval, Mauricio Cuellar y Julia Orbelina Pérez</w:t>
      </w:r>
      <w:r w:rsidR="003760F6" w:rsidRPr="00465F79">
        <w:t>”</w:t>
      </w:r>
      <w:r w:rsidR="000E2A4B" w:rsidRPr="00465F79">
        <w:t>.</w:t>
      </w:r>
      <w:r w:rsidR="003760F6" w:rsidRPr="00465F79">
        <w:rPr>
          <w:b/>
          <w:bCs/>
        </w:rPr>
        <w:t xml:space="preserve"> </w:t>
      </w:r>
      <w:r w:rsidR="003760F6" w:rsidRPr="00465F79">
        <w:t xml:space="preserve">En concreto, reconoció su responsabilidad internacional por la violación de los derechos a la personalidad </w:t>
      </w:r>
      <w:r w:rsidR="003760F6" w:rsidRPr="00465F79">
        <w:rPr>
          <w:lang w:val="es-ES"/>
        </w:rPr>
        <w:t>jurídica</w:t>
      </w:r>
      <w:r w:rsidR="003760F6" w:rsidRPr="00465F79">
        <w:t>, vida, integridad personal, libertad personal</w:t>
      </w:r>
      <w:r w:rsidR="00315143">
        <w:t xml:space="preserve">, </w:t>
      </w:r>
      <w:r w:rsidR="003760F6" w:rsidRPr="00465F79">
        <w:t>garantías judiciales</w:t>
      </w:r>
      <w:r w:rsidR="00690013" w:rsidRPr="00465F79">
        <w:t xml:space="preserve"> </w:t>
      </w:r>
      <w:r w:rsidR="003760F6" w:rsidRPr="00465F79">
        <w:t>y protección judicial</w:t>
      </w:r>
      <w:r w:rsidR="00690013" w:rsidRPr="00465F79">
        <w:t xml:space="preserve"> </w:t>
      </w:r>
      <w:r w:rsidR="00690013" w:rsidRPr="00465F79">
        <w:rPr>
          <w:lang w:val="es-ES"/>
        </w:rPr>
        <w:t>(establecidos en los artículos 3, 4, 5, 7, 8 y 25)</w:t>
      </w:r>
      <w:r w:rsidR="003760F6" w:rsidRPr="00465F79">
        <w:t>, en relación con la obligación de respetar derechos</w:t>
      </w:r>
      <w:r w:rsidR="00690013" w:rsidRPr="00465F79">
        <w:t xml:space="preserve"> (artículo 1.1 de la Convención Americana)</w:t>
      </w:r>
      <w:r w:rsidR="003760F6" w:rsidRPr="00465F79">
        <w:t xml:space="preserve">, en perjuicio de </w:t>
      </w:r>
      <w:r w:rsidR="00452860" w:rsidRPr="00465F79">
        <w:t>Patricia Emilie Cuéllar Sandoval, Mauricio Cuéllar Cuéllar y Julia Orbelina Pérez</w:t>
      </w:r>
      <w:r w:rsidR="003760F6" w:rsidRPr="00465F79">
        <w:t>.</w:t>
      </w:r>
      <w:r w:rsidR="007A633C" w:rsidRPr="00465F79">
        <w:t xml:space="preserve"> </w:t>
      </w:r>
    </w:p>
    <w:p w14:paraId="373DEF57" w14:textId="77777777" w:rsidR="00FA7933" w:rsidRPr="00465F79" w:rsidRDefault="00FA7933" w:rsidP="00FA7933">
      <w:pPr>
        <w:tabs>
          <w:tab w:val="left" w:pos="567"/>
        </w:tabs>
        <w:spacing w:line="240" w:lineRule="auto"/>
      </w:pPr>
    </w:p>
    <w:p w14:paraId="0C961BC7" w14:textId="1D541F1B" w:rsidR="00FA7933" w:rsidRPr="00465F79" w:rsidRDefault="007A633C" w:rsidP="00690013">
      <w:pPr>
        <w:numPr>
          <w:ilvl w:val="0"/>
          <w:numId w:val="7"/>
        </w:numPr>
        <w:tabs>
          <w:tab w:val="left" w:pos="567"/>
          <w:tab w:val="num" w:pos="1569"/>
          <w:tab w:val="num" w:pos="12305"/>
        </w:tabs>
        <w:spacing w:line="240" w:lineRule="auto"/>
        <w:ind w:left="0" w:firstLine="0"/>
      </w:pPr>
      <w:r w:rsidRPr="00465F79">
        <w:t>Asimismo, el Estado reconoció que existió “por años” una “inactividad en los procesos de investigación sobre los hechos del caso, al haber sido archivados por decisión de las autoridades competentes, sin que se registraran avances efectivos en materia de protección judicial y búsqueda del paradero de las personas afectadas en el caso”.</w:t>
      </w:r>
      <w:r w:rsidR="00444E5F">
        <w:t xml:space="preserve"> </w:t>
      </w:r>
    </w:p>
    <w:p w14:paraId="56DEB69D" w14:textId="77777777" w:rsidR="00A12976" w:rsidRDefault="00A12976" w:rsidP="00A12976">
      <w:pPr>
        <w:tabs>
          <w:tab w:val="left" w:pos="567"/>
        </w:tabs>
        <w:spacing w:line="240" w:lineRule="auto"/>
      </w:pPr>
    </w:p>
    <w:p w14:paraId="2EE90B26" w14:textId="76E7206C" w:rsidR="00EF33E4" w:rsidRPr="00465F79" w:rsidRDefault="007A633C" w:rsidP="00690013">
      <w:pPr>
        <w:numPr>
          <w:ilvl w:val="0"/>
          <w:numId w:val="7"/>
        </w:numPr>
        <w:tabs>
          <w:tab w:val="left" w:pos="567"/>
          <w:tab w:val="num" w:pos="1569"/>
          <w:tab w:val="num" w:pos="12305"/>
        </w:tabs>
        <w:spacing w:line="240" w:lineRule="auto"/>
        <w:ind w:left="0" w:firstLine="0"/>
      </w:pPr>
      <w:r w:rsidRPr="00465F79">
        <w:t>Además</w:t>
      </w:r>
      <w:r w:rsidR="00690013" w:rsidRPr="00465F79">
        <w:t>,</w:t>
      </w:r>
      <w:r w:rsidR="00452860" w:rsidRPr="00465F79">
        <w:t xml:space="preserve"> señaló que los familiares </w:t>
      </w:r>
      <w:r w:rsidR="00315143">
        <w:t xml:space="preserve">de </w:t>
      </w:r>
      <w:r w:rsidR="00315143" w:rsidRPr="00465F79">
        <w:t xml:space="preserve">Patricia Emilie Cuéllar Sandoval, Mauricio Cuéllar Cuéllar y Julia Orbelina Pérez </w:t>
      </w:r>
      <w:r w:rsidR="00452860" w:rsidRPr="00465F79">
        <w:t>“podrán ser reconocidas como víctimas indirectas” siempre que “comprueben o acrediten un vínculo familiar directo […] con las víctimas</w:t>
      </w:r>
      <w:r w:rsidR="00CD2953" w:rsidRPr="00465F79">
        <w:t>”</w:t>
      </w:r>
      <w:r w:rsidR="00690013" w:rsidRPr="00465F79">
        <w:t xml:space="preserve"> y solicitó a la Corte que verificara la acreditación del vínculo familiar directo o estrecho de las personas indicadas como presuntas víctimas por parte de la Comisión y del </w:t>
      </w:r>
      <w:r w:rsidR="00185909" w:rsidRPr="00465F79">
        <w:t>representante</w:t>
      </w:r>
      <w:r w:rsidR="00376F9C" w:rsidRPr="00465F79">
        <w:t>.</w:t>
      </w:r>
      <w:r w:rsidR="00452860" w:rsidRPr="00465F79">
        <w:t xml:space="preserve"> </w:t>
      </w:r>
      <w:r w:rsidR="00FA7933" w:rsidRPr="00465F79">
        <w:t>A este respecto</w:t>
      </w:r>
      <w:r w:rsidR="00376F9C" w:rsidRPr="00465F79">
        <w:t>, en el marco de la Audiencia Pública celebrada en el presente caso, el Estado reconoció su responsabilidad internacional por la violación del derecho a la integridad personal en perjuicio de los familiares</w:t>
      </w:r>
      <w:r w:rsidR="00185909" w:rsidRPr="00465F79">
        <w:rPr>
          <w:rStyle w:val="Refdenotaalpie"/>
        </w:rPr>
        <w:footnoteReference w:id="10"/>
      </w:r>
      <w:r w:rsidR="00376F9C" w:rsidRPr="00465F79">
        <w:t xml:space="preserve"> de las presuntas víctimas</w:t>
      </w:r>
      <w:r w:rsidR="00185909" w:rsidRPr="00465F79">
        <w:rPr>
          <w:rStyle w:val="Refdenotaalpie"/>
        </w:rPr>
        <w:footnoteReference w:id="11"/>
      </w:r>
      <w:r w:rsidR="00376F9C" w:rsidRPr="00465F79">
        <w:t>.</w:t>
      </w:r>
      <w:r w:rsidR="00A27D22" w:rsidRPr="00465F79">
        <w:t xml:space="preserve"> Lo anterior fue reiterado en sus alegatos finales escritos. </w:t>
      </w:r>
    </w:p>
    <w:p w14:paraId="5A16C842" w14:textId="77777777" w:rsidR="00452860" w:rsidRPr="00465F79" w:rsidRDefault="00452860" w:rsidP="00452860">
      <w:pPr>
        <w:tabs>
          <w:tab w:val="left" w:pos="567"/>
        </w:tabs>
        <w:spacing w:line="240" w:lineRule="auto"/>
      </w:pPr>
    </w:p>
    <w:p w14:paraId="3118269E" w14:textId="182CA395" w:rsidR="00F65903" w:rsidRPr="00465F79" w:rsidRDefault="00452860" w:rsidP="007A633C">
      <w:pPr>
        <w:numPr>
          <w:ilvl w:val="0"/>
          <w:numId w:val="7"/>
        </w:numPr>
        <w:tabs>
          <w:tab w:val="left" w:pos="567"/>
          <w:tab w:val="num" w:pos="1569"/>
          <w:tab w:val="num" w:pos="12305"/>
        </w:tabs>
        <w:spacing w:line="240" w:lineRule="auto"/>
        <w:ind w:left="0" w:firstLine="0"/>
        <w:rPr>
          <w:lang w:val="es-ES"/>
        </w:rPr>
      </w:pPr>
      <w:r w:rsidRPr="00465F79">
        <w:t>Respecto de las medidas de reparación,</w:t>
      </w:r>
      <w:r w:rsidR="002E2424" w:rsidRPr="00465F79">
        <w:t xml:space="preserve"> el Estado reconoció “su obligación de investigar el destino o paradero de</w:t>
      </w:r>
      <w:r w:rsidR="004E0487" w:rsidRPr="00465F79">
        <w:t xml:space="preserve"> </w:t>
      </w:r>
      <w:r w:rsidR="002E2424" w:rsidRPr="00465F79">
        <w:t xml:space="preserve">Patricia Emilie Cuellar Sandoval, Mauricio Cuellar y </w:t>
      </w:r>
      <w:r w:rsidR="002E2424" w:rsidRPr="00465F79">
        <w:lastRenderedPageBreak/>
        <w:t>Julia Orbelina Pérez</w:t>
      </w:r>
      <w:r w:rsidR="007A633C" w:rsidRPr="00465F79">
        <w:t xml:space="preserve">”, así como la obligación de “procesar mediante juicio justo y, en su caso, sancionar, a los responsables de los hechos una vez fuesen </w:t>
      </w:r>
      <w:r w:rsidR="00A27D22" w:rsidRPr="00465F79">
        <w:t>individualizados</w:t>
      </w:r>
      <w:r w:rsidR="007A633C" w:rsidRPr="00465F79">
        <w:t xml:space="preserve"> y se determinara su responsabilidad penal o administrativa”</w:t>
      </w:r>
      <w:r w:rsidR="00A27D22" w:rsidRPr="00465F79">
        <w:t>.</w:t>
      </w:r>
      <w:r w:rsidR="007A633C" w:rsidRPr="00465F79">
        <w:t xml:space="preserve"> Asimismo, realizó una serie de observaciones respecto de las restantes medidas de reparación solicitadas, las cuales serán objeto de análisis </w:t>
      </w:r>
      <w:r w:rsidR="007A633C" w:rsidRPr="00465F79">
        <w:rPr>
          <w:lang w:val="es-ES"/>
        </w:rPr>
        <w:t xml:space="preserve">en el Capítulo </w:t>
      </w:r>
      <w:r w:rsidR="00F566ED">
        <w:rPr>
          <w:lang w:val="es-ES"/>
        </w:rPr>
        <w:t>VIII</w:t>
      </w:r>
      <w:r w:rsidR="007A633C" w:rsidRPr="00465F79">
        <w:rPr>
          <w:lang w:val="es-ES"/>
        </w:rPr>
        <w:t xml:space="preserve"> de la presente Sentencia.</w:t>
      </w:r>
    </w:p>
    <w:p w14:paraId="72A19B2A" w14:textId="77777777" w:rsidR="00F65903" w:rsidRPr="00465F79" w:rsidRDefault="00F65903" w:rsidP="00F65903">
      <w:pPr>
        <w:tabs>
          <w:tab w:val="left" w:pos="567"/>
        </w:tabs>
        <w:spacing w:line="240" w:lineRule="auto"/>
      </w:pPr>
    </w:p>
    <w:p w14:paraId="0D247E0E" w14:textId="6B6DE0AB" w:rsidR="00F65903" w:rsidRPr="00465F79" w:rsidRDefault="00F65903" w:rsidP="00AB05B8">
      <w:pPr>
        <w:numPr>
          <w:ilvl w:val="0"/>
          <w:numId w:val="7"/>
        </w:numPr>
        <w:tabs>
          <w:tab w:val="left" w:pos="567"/>
          <w:tab w:val="num" w:pos="1569"/>
          <w:tab w:val="num" w:pos="12305"/>
        </w:tabs>
        <w:spacing w:line="240" w:lineRule="auto"/>
        <w:ind w:left="0" w:firstLine="0"/>
      </w:pPr>
      <w:r w:rsidRPr="00465F79">
        <w:rPr>
          <w:rFonts w:eastAsia="Cambria" w:cs="Cambria"/>
        </w:rPr>
        <w:t>L</w:t>
      </w:r>
      <w:r w:rsidRPr="00465F79">
        <w:rPr>
          <w:rFonts w:eastAsia="Cambria" w:cs="Cambria"/>
          <w:lang w:val="es-ES"/>
        </w:rPr>
        <w:t xml:space="preserve">a </w:t>
      </w:r>
      <w:r w:rsidRPr="00465F79">
        <w:rPr>
          <w:rFonts w:eastAsia="Cambria" w:cs="Cambria"/>
          <w:b/>
          <w:bCs/>
          <w:i/>
          <w:iCs/>
          <w:lang w:val="es-ES"/>
        </w:rPr>
        <w:t>Comisión</w:t>
      </w:r>
      <w:r w:rsidR="00021374" w:rsidRPr="00465F79">
        <w:rPr>
          <w:rFonts w:eastAsia="Cambria" w:cs="Cambria"/>
          <w:lang w:val="es-ES"/>
        </w:rPr>
        <w:t xml:space="preserve"> </w:t>
      </w:r>
      <w:r w:rsidR="00ED05E5" w:rsidRPr="00465F79">
        <w:rPr>
          <w:rFonts w:eastAsia="Cambria" w:cs="Cambria"/>
          <w:lang w:val="es-ES"/>
        </w:rPr>
        <w:t>valoró</w:t>
      </w:r>
      <w:r w:rsidRPr="00465F79">
        <w:rPr>
          <w:rFonts w:eastAsia="Cambria" w:cs="Cambria"/>
          <w:lang w:val="es-ES"/>
        </w:rPr>
        <w:t xml:space="preserve"> positivamente </w:t>
      </w:r>
      <w:r w:rsidR="00ED05E5" w:rsidRPr="00465F79">
        <w:rPr>
          <w:rFonts w:eastAsia="Cambria" w:cs="Cambria"/>
          <w:lang w:val="es-ES"/>
        </w:rPr>
        <w:t>el contenido de</w:t>
      </w:r>
      <w:r w:rsidR="00021374" w:rsidRPr="00465F79">
        <w:rPr>
          <w:rFonts w:eastAsia="Cambria" w:cs="Cambria"/>
          <w:lang w:val="es-ES"/>
        </w:rPr>
        <w:t xml:space="preserve">l </w:t>
      </w:r>
      <w:r w:rsidR="00ED05E5" w:rsidRPr="00465F79">
        <w:rPr>
          <w:rFonts w:eastAsia="Cambria" w:cs="Cambria"/>
          <w:lang w:val="es-ES"/>
        </w:rPr>
        <w:t>reconocimiento</w:t>
      </w:r>
      <w:r w:rsidR="00021374" w:rsidRPr="00465F79">
        <w:rPr>
          <w:rFonts w:eastAsia="Cambria" w:cs="Cambria"/>
          <w:lang w:val="es-ES"/>
        </w:rPr>
        <w:t xml:space="preserve"> de responsabilidad estatal</w:t>
      </w:r>
      <w:r w:rsidR="00ED05E5" w:rsidRPr="00465F79">
        <w:rPr>
          <w:rFonts w:eastAsia="Cambria" w:cs="Cambria"/>
          <w:lang w:val="es-ES"/>
        </w:rPr>
        <w:t xml:space="preserve"> </w:t>
      </w:r>
      <w:r w:rsidRPr="00465F79">
        <w:rPr>
          <w:rFonts w:eastAsia="Cambria" w:cs="Cambria"/>
          <w:lang w:val="es-ES"/>
        </w:rPr>
        <w:t xml:space="preserve">y solicitó que se le otorgara “plenos efectos jurídicos”. Sin embargo, observó </w:t>
      </w:r>
      <w:r w:rsidR="00AB05B8" w:rsidRPr="00465F79">
        <w:rPr>
          <w:rFonts w:eastAsia="Cambria" w:cs="Cambria"/>
          <w:lang w:val="es-ES"/>
        </w:rPr>
        <w:t xml:space="preserve">que los “esfuerzos investigativos y de búsqueda” para dar con el destino o paradero de las personas desaparecidas expuestos por el Estado “se encuentran en etapas muy tempranas”, por lo que “no es posible determinar aún la seriedad y efectividad” de los procesos de investigación implementados. </w:t>
      </w:r>
      <w:r w:rsidRPr="00465F79">
        <w:rPr>
          <w:rFonts w:eastAsia="Cambria" w:cs="Cambria"/>
          <w:lang w:val="es-ES"/>
        </w:rPr>
        <w:t xml:space="preserve">Además señaló que persisten diferentes posiciones entre la representación de las presuntas víctimas y del Estado respecto del “alcance y grado de cumplimiento de las medidas de reparación”. </w:t>
      </w:r>
    </w:p>
    <w:p w14:paraId="5D89B3C1" w14:textId="77777777" w:rsidR="00F65903" w:rsidRPr="00465F79" w:rsidRDefault="00F65903" w:rsidP="00F65903">
      <w:pPr>
        <w:tabs>
          <w:tab w:val="left" w:pos="567"/>
          <w:tab w:val="num" w:pos="12305"/>
        </w:tabs>
        <w:spacing w:line="240" w:lineRule="auto"/>
      </w:pPr>
    </w:p>
    <w:p w14:paraId="45F9FC34" w14:textId="4D8F356B" w:rsidR="00D25059" w:rsidRPr="00465F79" w:rsidRDefault="00F65903" w:rsidP="00D25059">
      <w:pPr>
        <w:numPr>
          <w:ilvl w:val="0"/>
          <w:numId w:val="7"/>
        </w:numPr>
        <w:tabs>
          <w:tab w:val="left" w:pos="567"/>
          <w:tab w:val="num" w:pos="1569"/>
          <w:tab w:val="num" w:pos="12305"/>
        </w:tabs>
        <w:spacing w:line="240" w:lineRule="auto"/>
        <w:ind w:left="0" w:firstLine="0"/>
      </w:pPr>
      <w:r w:rsidRPr="00465F79">
        <w:t xml:space="preserve">El </w:t>
      </w:r>
      <w:r w:rsidRPr="00465F79">
        <w:rPr>
          <w:b/>
          <w:bCs/>
          <w:i/>
          <w:iCs/>
        </w:rPr>
        <w:t xml:space="preserve">representante </w:t>
      </w:r>
      <w:r w:rsidRPr="00465F79">
        <w:t>señaló</w:t>
      </w:r>
      <w:r w:rsidR="00F834D6">
        <w:t xml:space="preserve"> </w:t>
      </w:r>
      <w:r w:rsidRPr="00465F79">
        <w:rPr>
          <w:rFonts w:eastAsia="Cambria" w:cs="Cambria"/>
          <w:lang w:val="es-ES"/>
        </w:rPr>
        <w:t xml:space="preserve">que “compart[ía] y </w:t>
      </w:r>
      <w:r w:rsidR="005A00F8" w:rsidRPr="00465F79">
        <w:rPr>
          <w:rFonts w:eastAsia="Cambria" w:cs="Cambria"/>
          <w:lang w:val="es-ES"/>
        </w:rPr>
        <w:t>[</w:t>
      </w:r>
      <w:r w:rsidRPr="00465F79">
        <w:rPr>
          <w:rFonts w:eastAsia="Cambria" w:cs="Cambria"/>
          <w:lang w:val="es-ES"/>
        </w:rPr>
        <w:t>se</w:t>
      </w:r>
      <w:r w:rsidR="005A00F8" w:rsidRPr="00465F79">
        <w:rPr>
          <w:rFonts w:eastAsia="Cambria" w:cs="Cambria"/>
          <w:lang w:val="es-ES"/>
        </w:rPr>
        <w:t>]</w:t>
      </w:r>
      <w:r w:rsidRPr="00465F79">
        <w:rPr>
          <w:rFonts w:eastAsia="Cambria" w:cs="Cambria"/>
          <w:lang w:val="es-ES"/>
        </w:rPr>
        <w:t xml:space="preserve"> adhe[ría] a las observaciones hechas por la Comisión Interamericana de Derechos Humanos”. En cuan</w:t>
      </w:r>
      <w:r w:rsidR="005A00F8" w:rsidRPr="00465F79">
        <w:rPr>
          <w:rFonts w:eastAsia="Cambria" w:cs="Cambria"/>
          <w:lang w:val="es-ES"/>
        </w:rPr>
        <w:t>t</w:t>
      </w:r>
      <w:r w:rsidRPr="00465F79">
        <w:rPr>
          <w:rFonts w:eastAsia="Cambria" w:cs="Cambria"/>
          <w:lang w:val="es-ES"/>
        </w:rPr>
        <w:t xml:space="preserve">o a las medidas de </w:t>
      </w:r>
      <w:r w:rsidR="005A00F8" w:rsidRPr="00465F79">
        <w:rPr>
          <w:rFonts w:eastAsia="Cambria" w:cs="Cambria"/>
          <w:lang w:val="es-ES"/>
        </w:rPr>
        <w:t xml:space="preserve">reparación, realizó </w:t>
      </w:r>
      <w:r w:rsidR="005A00F8" w:rsidRPr="00465F79">
        <w:t xml:space="preserve">una serie de observaciones respecto de </w:t>
      </w:r>
      <w:r w:rsidR="00D46B5F" w:rsidRPr="00465F79">
        <w:t>los alegatos realizados por el Estado en relación con las</w:t>
      </w:r>
      <w:r w:rsidR="005A00F8" w:rsidRPr="00465F79">
        <w:t xml:space="preserve"> restantes medidas solicitadas, las cuales serán objeto de análisis </w:t>
      </w:r>
      <w:r w:rsidR="005A00F8" w:rsidRPr="00465F79">
        <w:rPr>
          <w:lang w:val="es-ES"/>
        </w:rPr>
        <w:t xml:space="preserve">en el Capítulo </w:t>
      </w:r>
      <w:r w:rsidR="00F566ED">
        <w:rPr>
          <w:lang w:val="es-ES"/>
        </w:rPr>
        <w:t>VIII</w:t>
      </w:r>
      <w:r w:rsidR="005A00F8" w:rsidRPr="00465F79">
        <w:rPr>
          <w:lang w:val="es-ES"/>
        </w:rPr>
        <w:t xml:space="preserve"> de la presente Sentencia.</w:t>
      </w:r>
      <w:r w:rsidR="005A00F8" w:rsidRPr="00465F79">
        <w:rPr>
          <w:b/>
          <w:bCs/>
        </w:rPr>
        <w:t xml:space="preserve"> </w:t>
      </w:r>
    </w:p>
    <w:p w14:paraId="7654E6D4" w14:textId="1318DC9C" w:rsidR="00A0621D" w:rsidRPr="00465F79" w:rsidRDefault="00D25059">
      <w:pPr>
        <w:pStyle w:val="Ttulo2"/>
        <w:numPr>
          <w:ilvl w:val="0"/>
          <w:numId w:val="8"/>
        </w:numPr>
        <w:rPr>
          <w:lang w:eastAsia="es-MX"/>
        </w:rPr>
      </w:pPr>
      <w:bookmarkStart w:id="20" w:name="_Toc146116386"/>
      <w:bookmarkStart w:id="21" w:name="_Toc165022601"/>
      <w:r w:rsidRPr="00465F79">
        <w:rPr>
          <w:lang w:eastAsia="es-MX"/>
        </w:rPr>
        <w:t>Consideraciones de la Corte</w:t>
      </w:r>
      <w:bookmarkEnd w:id="20"/>
      <w:bookmarkEnd w:id="21"/>
    </w:p>
    <w:p w14:paraId="5B640837" w14:textId="7BDF616D" w:rsidR="0088459F" w:rsidRPr="00465F79" w:rsidRDefault="00D25059" w:rsidP="00D33788">
      <w:pPr>
        <w:pStyle w:val="Ttulo3"/>
        <w:widowControl/>
        <w:tabs>
          <w:tab w:val="clear" w:pos="1276"/>
          <w:tab w:val="left" w:pos="567"/>
        </w:tabs>
        <w:adjustRightInd/>
        <w:spacing w:before="240" w:after="240"/>
        <w:ind w:left="1418"/>
        <w:contextualSpacing w:val="0"/>
        <w:rPr>
          <w:b w:val="0"/>
          <w:bCs/>
          <w:lang w:eastAsia="es-MX"/>
        </w:rPr>
      </w:pPr>
      <w:bookmarkStart w:id="22" w:name="_Toc146116387"/>
      <w:bookmarkStart w:id="23" w:name="_Toc165022602"/>
      <w:r w:rsidRPr="00465F79">
        <w:rPr>
          <w:b w:val="0"/>
          <w:bCs/>
          <w:lang w:eastAsia="es-MX"/>
        </w:rPr>
        <w:t>B.1. En cuanto a los hechos</w:t>
      </w:r>
      <w:bookmarkEnd w:id="22"/>
      <w:bookmarkEnd w:id="23"/>
    </w:p>
    <w:p w14:paraId="0830D9F2" w14:textId="2E37B6B7" w:rsidR="00D25059" w:rsidRPr="00465F79" w:rsidRDefault="00D25059" w:rsidP="0088459F">
      <w:pPr>
        <w:numPr>
          <w:ilvl w:val="0"/>
          <w:numId w:val="7"/>
        </w:numPr>
        <w:tabs>
          <w:tab w:val="left" w:pos="567"/>
          <w:tab w:val="num" w:pos="1569"/>
          <w:tab w:val="num" w:pos="12305"/>
        </w:tabs>
        <w:spacing w:line="240" w:lineRule="auto"/>
        <w:ind w:left="0" w:firstLine="0"/>
      </w:pPr>
      <w:r w:rsidRPr="00465F79">
        <w:t xml:space="preserve">En </w:t>
      </w:r>
      <w:r w:rsidR="005A00F8" w:rsidRPr="00465F79">
        <w:t>el presente</w:t>
      </w:r>
      <w:r w:rsidRPr="00465F79">
        <w:t xml:space="preserve"> caso </w:t>
      </w:r>
      <w:r w:rsidR="0088459F" w:rsidRPr="00465F79">
        <w:t>El Salvador</w:t>
      </w:r>
      <w:r w:rsidRPr="00465F79">
        <w:t xml:space="preserve"> reconoció expresamente los hechos presentados en el Informe de Fondo que sirven de fundamento a las violaciones alegadas tanto por la Comisión como por </w:t>
      </w:r>
      <w:r w:rsidR="005A00F8" w:rsidRPr="00465F79">
        <w:t>el representante</w:t>
      </w:r>
      <w:r w:rsidRPr="00465F79">
        <w:t xml:space="preserve">. En consecuencia, la Corte considera que no persiste controversia alguna </w:t>
      </w:r>
      <w:r w:rsidR="005A00F8" w:rsidRPr="00465F79">
        <w:t>en lo que respecta a los hechos del presente caso</w:t>
      </w:r>
      <w:r w:rsidRPr="00465F79">
        <w:t>.</w:t>
      </w:r>
    </w:p>
    <w:p w14:paraId="6B90D674" w14:textId="58A956D8" w:rsidR="005F7D9A" w:rsidRPr="00465F79" w:rsidRDefault="00D25059" w:rsidP="005A00F8">
      <w:pPr>
        <w:pStyle w:val="Ttulo3"/>
        <w:widowControl/>
        <w:tabs>
          <w:tab w:val="clear" w:pos="1276"/>
          <w:tab w:val="left" w:pos="567"/>
        </w:tabs>
        <w:adjustRightInd/>
        <w:spacing w:before="240" w:after="240"/>
        <w:ind w:left="1418"/>
        <w:contextualSpacing w:val="0"/>
        <w:rPr>
          <w:b w:val="0"/>
          <w:bCs/>
          <w:lang w:eastAsia="es-MX"/>
        </w:rPr>
      </w:pPr>
      <w:bookmarkStart w:id="24" w:name="_Toc146116388"/>
      <w:bookmarkStart w:id="25" w:name="_Toc165022603"/>
      <w:r w:rsidRPr="00465F79">
        <w:rPr>
          <w:b w:val="0"/>
          <w:bCs/>
          <w:lang w:eastAsia="es-MX"/>
        </w:rPr>
        <w:t>B.2. En cuanto a las pretensiones de derecho</w:t>
      </w:r>
      <w:bookmarkEnd w:id="24"/>
      <w:bookmarkEnd w:id="25"/>
    </w:p>
    <w:p w14:paraId="784DD0AD" w14:textId="6044C14A" w:rsidR="006C139D" w:rsidRPr="00465F79" w:rsidRDefault="005A00F8" w:rsidP="002833C0">
      <w:pPr>
        <w:numPr>
          <w:ilvl w:val="0"/>
          <w:numId w:val="7"/>
        </w:numPr>
        <w:tabs>
          <w:tab w:val="left" w:pos="567"/>
          <w:tab w:val="num" w:pos="1569"/>
          <w:tab w:val="num" w:pos="12305"/>
        </w:tabs>
        <w:spacing w:line="240" w:lineRule="auto"/>
        <w:ind w:left="0" w:firstLine="0"/>
      </w:pPr>
      <w:r w:rsidRPr="00465F79">
        <w:t xml:space="preserve">La Corte advierte que el reconocimiento de responsabilidad estatal abarca de forma expresa todas las violaciones de la Convención Americana que fueron alegadas por la Comisión y el representante. </w:t>
      </w:r>
      <w:r w:rsidR="006C139D" w:rsidRPr="00465F79">
        <w:t xml:space="preserve">En vista de lo anterior, </w:t>
      </w:r>
      <w:r w:rsidR="003C0819" w:rsidRPr="00465F79">
        <w:t>la</w:t>
      </w:r>
      <w:r w:rsidR="006C139D" w:rsidRPr="00465F79">
        <w:t xml:space="preserve"> </w:t>
      </w:r>
      <w:r w:rsidR="003C0819" w:rsidRPr="00465F79">
        <w:t>Corte</w:t>
      </w:r>
      <w:r w:rsidR="006C139D" w:rsidRPr="00465F79">
        <w:t xml:space="preserve"> entiende que </w:t>
      </w:r>
      <w:r w:rsidR="003C0819" w:rsidRPr="00465F79">
        <w:t>ha cesado</w:t>
      </w:r>
      <w:r w:rsidR="006C139D" w:rsidRPr="00465F79">
        <w:t xml:space="preserve"> la controversia </w:t>
      </w:r>
      <w:r w:rsidR="004600A2" w:rsidRPr="00465F79">
        <w:t>respecto de la totalidad de las violaciones alegadas.</w:t>
      </w:r>
      <w:r w:rsidR="006C139D" w:rsidRPr="00465F79">
        <w:t xml:space="preserve"> </w:t>
      </w:r>
    </w:p>
    <w:p w14:paraId="04775325" w14:textId="77777777" w:rsidR="005F7D9A" w:rsidRPr="00465F79" w:rsidRDefault="005F7D9A" w:rsidP="00D46B5F">
      <w:pPr>
        <w:pStyle w:val="Ttulo3"/>
        <w:widowControl/>
        <w:tabs>
          <w:tab w:val="clear" w:pos="1276"/>
          <w:tab w:val="left" w:pos="567"/>
        </w:tabs>
        <w:adjustRightInd/>
        <w:spacing w:before="240" w:after="240"/>
        <w:ind w:left="1418"/>
        <w:contextualSpacing w:val="0"/>
        <w:rPr>
          <w:b w:val="0"/>
          <w:bCs/>
          <w:lang w:eastAsia="es-MX"/>
        </w:rPr>
      </w:pPr>
      <w:bookmarkStart w:id="26" w:name="_Toc146116389"/>
      <w:bookmarkStart w:id="27" w:name="_Toc165022604"/>
      <w:r w:rsidRPr="00465F79">
        <w:rPr>
          <w:b w:val="0"/>
          <w:bCs/>
          <w:lang w:eastAsia="es-MX"/>
        </w:rPr>
        <w:t>B.3. En cuanto a las eventuales medidas de reparación</w:t>
      </w:r>
      <w:bookmarkEnd w:id="26"/>
      <w:bookmarkEnd w:id="27"/>
    </w:p>
    <w:p w14:paraId="6117E73E" w14:textId="5F377CA1" w:rsidR="0097155A" w:rsidRPr="00465F79" w:rsidRDefault="00D46B5F" w:rsidP="00D46B5F">
      <w:pPr>
        <w:numPr>
          <w:ilvl w:val="0"/>
          <w:numId w:val="7"/>
        </w:numPr>
        <w:tabs>
          <w:tab w:val="left" w:pos="567"/>
          <w:tab w:val="num" w:pos="1569"/>
          <w:tab w:val="num" w:pos="12305"/>
        </w:tabs>
        <w:spacing w:line="240" w:lineRule="auto"/>
        <w:ind w:left="0" w:firstLine="0"/>
        <w:rPr>
          <w:b/>
          <w:bCs/>
        </w:rPr>
      </w:pPr>
      <w:r w:rsidRPr="00465F79">
        <w:t>El Tribunal advierte que e</w:t>
      </w:r>
      <w:r w:rsidR="0097155A" w:rsidRPr="00465F79">
        <w:t>l Estado realizó una serie de observaciones respecto de la obligación de investigar, juzgar y sancionar a las personas responsables</w:t>
      </w:r>
      <w:r w:rsidRPr="00465F79">
        <w:t xml:space="preserve">. En lo que respecta a las medidas de satisfacción, el Estado nuevamente realizó una serie de observaciones y, además, se opuso expresamente a la “denominación de un espacio </w:t>
      </w:r>
      <w:r w:rsidR="001D23E3" w:rsidRPr="00465F79">
        <w:t>p</w:t>
      </w:r>
      <w:r w:rsidRPr="00465F79">
        <w:t>úblico en la capital del país” con los nombres de Patricia Emilie Cu</w:t>
      </w:r>
      <w:r w:rsidR="00270E7C">
        <w:t>é</w:t>
      </w:r>
      <w:r w:rsidRPr="00465F79">
        <w:t>llar Sandoval, Mauricio Cu</w:t>
      </w:r>
      <w:r w:rsidR="00F94768">
        <w:t>é</w:t>
      </w:r>
      <w:r w:rsidRPr="00465F79">
        <w:t>llar</w:t>
      </w:r>
      <w:r w:rsidR="00F94768">
        <w:t xml:space="preserve"> </w:t>
      </w:r>
      <w:r w:rsidR="00F94768" w:rsidRPr="00465F79">
        <w:t>Cu</w:t>
      </w:r>
      <w:r w:rsidR="00F94768">
        <w:t>é</w:t>
      </w:r>
      <w:r w:rsidR="00F94768" w:rsidRPr="00465F79">
        <w:t>llar</w:t>
      </w:r>
      <w:r w:rsidRPr="00465F79">
        <w:t xml:space="preserve"> y Julia Orbelina Pérez, aduciendo que ya existía en El Salvador “un monumento a las víctimas civiles del conflicto, en el cual se encontrarían los nombres de estas tres víctimas, el cual, si bien fue construido como una iniciativa gestada desde las organizaciones de sociedad civil, “su revitalización, mejoramiento y conservación” había sido asumida por el Estado.</w:t>
      </w:r>
      <w:r w:rsidR="0097155A" w:rsidRPr="00465F79">
        <w:t xml:space="preserve"> </w:t>
      </w:r>
      <w:r w:rsidRPr="00465F79">
        <w:t>Asimismo, el Estado se opuso a varias de las garantías de no repetición solicitadas por la Comisión y el representante</w:t>
      </w:r>
      <w:r w:rsidR="0097155A" w:rsidRPr="00465F79">
        <w:t xml:space="preserve">. </w:t>
      </w:r>
      <w:r w:rsidR="008763E6">
        <w:t xml:space="preserve">Tanto la Comisión con el </w:t>
      </w:r>
      <w:r w:rsidR="008763E6">
        <w:lastRenderedPageBreak/>
        <w:t xml:space="preserve">representante remitieron sus oportunas observaciones a lo alegado por el Estado. </w:t>
      </w:r>
      <w:r w:rsidR="0097155A" w:rsidRPr="00465F79">
        <w:t xml:space="preserve">Por tanto, </w:t>
      </w:r>
      <w:r w:rsidR="005F7D9A" w:rsidRPr="00465F79">
        <w:t>le corresponde a la Corte decidir las medidas específicas que deben ser adoptadas y su alcance</w:t>
      </w:r>
      <w:r w:rsidR="0097155A" w:rsidRPr="00465F79">
        <w:t xml:space="preserve">, lo cual se realizará en el capítulo de reparaciones de este Fallo. </w:t>
      </w:r>
    </w:p>
    <w:p w14:paraId="2D0A1966" w14:textId="77777777" w:rsidR="005F7D9A" w:rsidRPr="00465F79" w:rsidRDefault="005F7D9A" w:rsidP="00D46B5F">
      <w:pPr>
        <w:pStyle w:val="Ttulo3"/>
        <w:widowControl/>
        <w:tabs>
          <w:tab w:val="clear" w:pos="1276"/>
          <w:tab w:val="left" w:pos="567"/>
        </w:tabs>
        <w:adjustRightInd/>
        <w:spacing w:before="240" w:after="240"/>
        <w:ind w:left="1418"/>
        <w:contextualSpacing w:val="0"/>
        <w:rPr>
          <w:b w:val="0"/>
          <w:bCs/>
          <w:lang w:eastAsia="es-MX"/>
        </w:rPr>
      </w:pPr>
      <w:bookmarkStart w:id="28" w:name="_Toc146116390"/>
      <w:bookmarkStart w:id="29" w:name="_Toc165022605"/>
      <w:r w:rsidRPr="00465F79">
        <w:rPr>
          <w:b w:val="0"/>
          <w:bCs/>
          <w:lang w:eastAsia="es-MX"/>
        </w:rPr>
        <w:t>B.4. Valoración del alcance del reconocimiento de responsabilidad</w:t>
      </w:r>
      <w:bookmarkEnd w:id="28"/>
      <w:bookmarkEnd w:id="29"/>
    </w:p>
    <w:p w14:paraId="22A64A17" w14:textId="77777777" w:rsidR="00114FEF" w:rsidRPr="00465F79" w:rsidRDefault="005F7D9A" w:rsidP="005F7D9A">
      <w:pPr>
        <w:numPr>
          <w:ilvl w:val="0"/>
          <w:numId w:val="7"/>
        </w:numPr>
        <w:tabs>
          <w:tab w:val="left" w:pos="567"/>
          <w:tab w:val="num" w:pos="1569"/>
          <w:tab w:val="num" w:pos="12305"/>
        </w:tabs>
        <w:spacing w:line="240" w:lineRule="auto"/>
        <w:ind w:left="0" w:firstLine="0"/>
      </w:pPr>
      <w:r w:rsidRPr="00465F79">
        <w:t xml:space="preserve">La Corte valora el reconocimiento de responsabilidad hecho por el Estado, el cual constituye una contribución positiva al desarrollo de este proceso, a la vigencia de los principios que inspiran la Convención y a la satisfacción de las necesidades de reparación de las víctimas </w:t>
      </w:r>
      <w:r w:rsidR="00114FEF" w:rsidRPr="00465F79">
        <w:t>del presente caso</w:t>
      </w:r>
      <w:r w:rsidRPr="00465F79">
        <w:t xml:space="preserve">. </w:t>
      </w:r>
    </w:p>
    <w:p w14:paraId="54A616D6" w14:textId="77777777" w:rsidR="00114FEF" w:rsidRPr="00465F79" w:rsidRDefault="00114FEF" w:rsidP="00114FEF">
      <w:pPr>
        <w:tabs>
          <w:tab w:val="left" w:pos="567"/>
        </w:tabs>
        <w:spacing w:line="240" w:lineRule="auto"/>
      </w:pPr>
    </w:p>
    <w:p w14:paraId="6A7EFCBD" w14:textId="6E3FC1A8" w:rsidR="00114FEF" w:rsidRPr="00465F79" w:rsidRDefault="005F7D9A" w:rsidP="00611B13">
      <w:pPr>
        <w:numPr>
          <w:ilvl w:val="0"/>
          <w:numId w:val="7"/>
        </w:numPr>
        <w:tabs>
          <w:tab w:val="left" w:pos="567"/>
          <w:tab w:val="num" w:pos="1569"/>
          <w:tab w:val="num" w:pos="12305"/>
        </w:tabs>
        <w:spacing w:line="240" w:lineRule="auto"/>
        <w:ind w:left="0" w:firstLine="0"/>
      </w:pPr>
      <w:r w:rsidRPr="00465F79">
        <w:t>El reconocimiento de responsabilidad internacional produce plenos efectos jurídicos de acuerdo con los artículos 62 y 64 del Reglamento y tiene un alto valor simbólico en relación con la no repetición de hechos similares.</w:t>
      </w:r>
      <w:r w:rsidR="00114FEF" w:rsidRPr="00465F79">
        <w:t xml:space="preserve"> </w:t>
      </w:r>
      <w:r w:rsidRPr="00465F79">
        <w:t xml:space="preserve">Ahora bien, de conformidad con los </w:t>
      </w:r>
      <w:r w:rsidR="00114FEF" w:rsidRPr="00465F79">
        <w:t xml:space="preserve">citados </w:t>
      </w:r>
      <w:r w:rsidRPr="00465F79">
        <w:t>artículos, en ejercicio de sus poderes de tutela judicial internacional de derechos humanos y por tratarse de una cuestión de orden público internacional que trasciende la voluntad de las partes, corresponde a este Tribunal velar porque los actos de allanamiento sean aceptables para los fines que busca cumplir el Sistema Interamerica</w:t>
      </w:r>
      <w:r w:rsidR="003C4FC2">
        <w:t>n</w:t>
      </w:r>
      <w:r w:rsidR="000B7B3C">
        <w:t xml:space="preserve">o. </w:t>
      </w:r>
      <w:r w:rsidRPr="00465F79">
        <w:t>En esta tarea, la Corte no se limita a constatar o tomar nota del reconocimiento efectuado por el Estado, o a verificar las condiciones formales de los mencionados actos, sino que los debe confrontar con la naturaleza y gravedad de las violaciones alegadas, las exigencias e interés de la justicia, las circunstancias particulares del caso concreto y la posición de las partes, de manera que pueda precisar</w:t>
      </w:r>
      <w:r w:rsidR="00573476" w:rsidRPr="00465F79">
        <w:t>,</w:t>
      </w:r>
      <w:r w:rsidRPr="00465F79">
        <w:t xml:space="preserve"> en cuanto sea posible y en el ejercicio de su competencia, la verdad de lo acontecido</w:t>
      </w:r>
      <w:r w:rsidRPr="00465F79">
        <w:rPr>
          <w:rStyle w:val="Refdenotaalpie"/>
        </w:rPr>
        <w:footnoteReference w:id="12"/>
      </w:r>
      <w:r w:rsidRPr="00465F79">
        <w:t xml:space="preserve">. </w:t>
      </w:r>
    </w:p>
    <w:p w14:paraId="12D5AB1E" w14:textId="77777777" w:rsidR="00A12976" w:rsidRDefault="00A12976" w:rsidP="00A12976">
      <w:pPr>
        <w:tabs>
          <w:tab w:val="left" w:pos="567"/>
        </w:tabs>
        <w:spacing w:line="240" w:lineRule="auto"/>
      </w:pPr>
    </w:p>
    <w:p w14:paraId="5A8C8208" w14:textId="68AE7E8E" w:rsidR="00CA584F" w:rsidRPr="00465F79" w:rsidRDefault="00CA584F" w:rsidP="00CA584F">
      <w:pPr>
        <w:numPr>
          <w:ilvl w:val="0"/>
          <w:numId w:val="7"/>
        </w:numPr>
        <w:tabs>
          <w:tab w:val="left" w:pos="567"/>
          <w:tab w:val="num" w:pos="1569"/>
          <w:tab w:val="num" w:pos="12305"/>
        </w:tabs>
        <w:spacing w:line="240" w:lineRule="auto"/>
        <w:ind w:left="0" w:firstLine="0"/>
      </w:pPr>
      <w:r w:rsidRPr="00465F79">
        <w:t>Este Tribunal encuentra que ha cesado la controversia respecto de los hechos y de las alegaciones de derecho</w:t>
      </w:r>
      <w:r w:rsidR="00217E8D" w:rsidRPr="00465F79">
        <w:t xml:space="preserve"> realizadas por la Comisión y el </w:t>
      </w:r>
      <w:r w:rsidR="005F25BF" w:rsidRPr="00465F79">
        <w:t>representante</w:t>
      </w:r>
      <w:r w:rsidRPr="00465F79">
        <w:t>. No obstante, la Corte estima necesario dictar una Sentencia en la cual se determinen los hechos ocurridos, de acuerdo con el reconocimiento de responsabilidad internacional hecho por el Estado y teniendo en cuenta la prueba recabada. Asimismo, la Corte analizará los alcances de la responsabilidad estatal por la totalidad de las violaciones alegadas por la Comisión y el representante. Ello contribuye a la reparación de las víctimas, a evitar que se repitan hechos similares y a satisfacer, en suma, los fines de la jurisdicción interamericana</w:t>
      </w:r>
      <w:r w:rsidRPr="00465F79">
        <w:rPr>
          <w:rStyle w:val="Refdenotaalpie"/>
        </w:rPr>
        <w:footnoteReference w:id="13"/>
      </w:r>
      <w:r w:rsidRPr="00465F79">
        <w:t xml:space="preserve">. </w:t>
      </w:r>
    </w:p>
    <w:p w14:paraId="7932D765" w14:textId="77777777" w:rsidR="00CA584F" w:rsidRPr="00465F79" w:rsidRDefault="00CA584F" w:rsidP="00CA584F">
      <w:pPr>
        <w:tabs>
          <w:tab w:val="left" w:pos="567"/>
        </w:tabs>
        <w:spacing w:line="240" w:lineRule="auto"/>
      </w:pPr>
    </w:p>
    <w:p w14:paraId="24A6F39F" w14:textId="5E148A45" w:rsidR="00614D58" w:rsidRDefault="00CA584F" w:rsidP="00CA584F">
      <w:pPr>
        <w:numPr>
          <w:ilvl w:val="0"/>
          <w:numId w:val="7"/>
        </w:numPr>
        <w:tabs>
          <w:tab w:val="left" w:pos="567"/>
          <w:tab w:val="num" w:pos="1569"/>
          <w:tab w:val="num" w:pos="12305"/>
        </w:tabs>
        <w:spacing w:line="240" w:lineRule="auto"/>
        <w:ind w:left="0" w:firstLine="0"/>
      </w:pPr>
      <w:r w:rsidRPr="00465F79">
        <w:t xml:space="preserve">Por último, la Corte considera necesario pronunciarse sobre las reparaciones que correspondan, con base en las manifestaciones efectuadas por las partes y la Comisión Interamericana. </w:t>
      </w:r>
    </w:p>
    <w:p w14:paraId="5584AE03" w14:textId="6322BF4A" w:rsidR="00CA584F" w:rsidRPr="00465F79" w:rsidRDefault="00614D58" w:rsidP="00614D58">
      <w:pPr>
        <w:widowControl/>
        <w:adjustRightInd/>
        <w:spacing w:after="200" w:line="276" w:lineRule="auto"/>
        <w:jc w:val="left"/>
      </w:pPr>
      <w:r>
        <w:br w:type="page"/>
      </w:r>
    </w:p>
    <w:p w14:paraId="078393A9" w14:textId="5423E6B7" w:rsidR="000F5FBB" w:rsidRPr="00465F79" w:rsidRDefault="001B0BA5" w:rsidP="00465F79">
      <w:pPr>
        <w:pStyle w:val="Ttulo1"/>
      </w:pPr>
      <w:bookmarkStart w:id="30" w:name="_Toc165022606"/>
      <w:r w:rsidRPr="00465F79">
        <w:lastRenderedPageBreak/>
        <w:t>V</w:t>
      </w:r>
      <w:r w:rsidRPr="00465F79">
        <w:br/>
        <w:t>PRUEBA</w:t>
      </w:r>
      <w:bookmarkEnd w:id="16"/>
      <w:bookmarkEnd w:id="17"/>
      <w:bookmarkEnd w:id="18"/>
      <w:bookmarkEnd w:id="19"/>
      <w:bookmarkEnd w:id="30"/>
    </w:p>
    <w:p w14:paraId="0474B449" w14:textId="2B1019E9" w:rsidR="00BD47E1" w:rsidRPr="00465F79" w:rsidRDefault="001B0BA5" w:rsidP="00A12976">
      <w:pPr>
        <w:pStyle w:val="Ttulo2"/>
      </w:pPr>
      <w:bookmarkStart w:id="31" w:name="_Toc375517116"/>
      <w:bookmarkStart w:id="32" w:name="_Toc459158104"/>
      <w:bookmarkStart w:id="33" w:name="_Toc470180048"/>
      <w:bookmarkStart w:id="34" w:name="_Toc514172611"/>
      <w:bookmarkStart w:id="35" w:name="_Toc165022607"/>
      <w:r w:rsidRPr="00465F79">
        <w:t>Admisibilidad de la prueba</w:t>
      </w:r>
      <w:bookmarkEnd w:id="31"/>
      <w:bookmarkEnd w:id="32"/>
      <w:bookmarkEnd w:id="33"/>
      <w:bookmarkEnd w:id="34"/>
      <w:r w:rsidRPr="00465F79">
        <w:t xml:space="preserve"> documental</w:t>
      </w:r>
      <w:bookmarkEnd w:id="35"/>
    </w:p>
    <w:p w14:paraId="74D952FF" w14:textId="78CB34D4" w:rsidR="008744D7" w:rsidRPr="00465F79" w:rsidRDefault="008744D7" w:rsidP="008744D7">
      <w:pPr>
        <w:numPr>
          <w:ilvl w:val="0"/>
          <w:numId w:val="7"/>
        </w:numPr>
        <w:tabs>
          <w:tab w:val="left" w:pos="567"/>
          <w:tab w:val="num" w:pos="1569"/>
          <w:tab w:val="num" w:pos="12305"/>
        </w:tabs>
        <w:spacing w:line="240" w:lineRule="auto"/>
        <w:ind w:left="0" w:firstLine="0"/>
      </w:pPr>
      <w:r w:rsidRPr="00465F79">
        <w:t xml:space="preserve">El Tribunal </w:t>
      </w:r>
      <w:r w:rsidRPr="00465F79">
        <w:rPr>
          <w:iCs/>
          <w:lang w:val="es-ES"/>
        </w:rPr>
        <w:t>recibió</w:t>
      </w:r>
      <w:r w:rsidRPr="00465F79">
        <w:rPr>
          <w:rFonts w:eastAsia="Calibri"/>
          <w:lang w:val="es-ES"/>
        </w:rPr>
        <w:t xml:space="preserve"> diversos documentos presentados como prueba por la Comisión y por </w:t>
      </w:r>
      <w:r w:rsidR="004A4365" w:rsidRPr="00465F79">
        <w:rPr>
          <w:rFonts w:eastAsia="Calibri"/>
          <w:lang w:val="es-ES"/>
        </w:rPr>
        <w:t>las partes</w:t>
      </w:r>
      <w:r w:rsidRPr="00465F79">
        <w:rPr>
          <w:rFonts w:eastAsia="Calibri"/>
          <w:lang w:val="es-ES"/>
        </w:rPr>
        <w:t xml:space="preserve">, los cuales, como en otros casos, se admiten en el entendido de que fueron presentados en la </w:t>
      </w:r>
      <w:r w:rsidRPr="00465F79">
        <w:rPr>
          <w:lang w:val="es-MX"/>
        </w:rPr>
        <w:t>debida</w:t>
      </w:r>
      <w:r w:rsidRPr="00465F79">
        <w:rPr>
          <w:rFonts w:eastAsia="Calibri"/>
          <w:lang w:val="es-ES"/>
        </w:rPr>
        <w:t xml:space="preserve"> oportunidad procesal (artículo 57 del Reglamento)</w:t>
      </w:r>
      <w:r w:rsidRPr="00465F79">
        <w:rPr>
          <w:vertAlign w:val="superscript"/>
        </w:rPr>
        <w:footnoteReference w:id="14"/>
      </w:r>
      <w:r w:rsidRPr="00465F79">
        <w:rPr>
          <w:rFonts w:eastAsia="Calibri"/>
          <w:lang w:val="es-ES"/>
        </w:rPr>
        <w:t>.</w:t>
      </w:r>
    </w:p>
    <w:p w14:paraId="6ECD8885" w14:textId="77777777" w:rsidR="006908A9" w:rsidRPr="00465F79" w:rsidRDefault="006908A9" w:rsidP="006908A9">
      <w:pPr>
        <w:tabs>
          <w:tab w:val="left" w:pos="567"/>
        </w:tabs>
        <w:spacing w:line="240" w:lineRule="auto"/>
      </w:pPr>
    </w:p>
    <w:p w14:paraId="1064B846" w14:textId="0F41C66E" w:rsidR="004A4365" w:rsidRPr="00465F79" w:rsidRDefault="004A4365" w:rsidP="004A4365">
      <w:pPr>
        <w:numPr>
          <w:ilvl w:val="0"/>
          <w:numId w:val="7"/>
        </w:numPr>
        <w:tabs>
          <w:tab w:val="left" w:pos="567"/>
          <w:tab w:val="num" w:pos="1569"/>
          <w:tab w:val="num" w:pos="12305"/>
        </w:tabs>
        <w:spacing w:line="240" w:lineRule="auto"/>
        <w:ind w:left="0" w:firstLine="0"/>
        <w:rPr>
          <w:lang w:val="es-ES"/>
        </w:rPr>
      </w:pPr>
      <w:r w:rsidRPr="00465F79">
        <w:t>La Corte también recibió documentos adjuntos a los alegatos finales escritos del representante de las presunta</w:t>
      </w:r>
      <w:r w:rsidR="00485948" w:rsidRPr="00465F79">
        <w:t>s</w:t>
      </w:r>
      <w:r w:rsidRPr="00465F79">
        <w:t xml:space="preserve"> víctimas</w:t>
      </w:r>
      <w:r w:rsidRPr="00465F79">
        <w:rPr>
          <w:rStyle w:val="Refdenotaalpie"/>
        </w:rPr>
        <w:footnoteReference w:id="15"/>
      </w:r>
      <w:r w:rsidRPr="00465F79">
        <w:t xml:space="preserve"> y del Estado</w:t>
      </w:r>
      <w:r w:rsidRPr="00465F79">
        <w:rPr>
          <w:rStyle w:val="Refdenotaalpie"/>
        </w:rPr>
        <w:footnoteReference w:id="16"/>
      </w:r>
      <w:r w:rsidRPr="00465F79">
        <w:t xml:space="preserve">. </w:t>
      </w:r>
      <w:r w:rsidRPr="00465F79">
        <w:rPr>
          <w:lang w:val="es-ES"/>
        </w:rPr>
        <w:t xml:space="preserve">Mediante nota de la Secretaría de 12 de enero de 2024 se otorgó plazo a las partes y a la Comisión para que hicieran observaciones a los anexos presentados. </w:t>
      </w:r>
      <w:r w:rsidR="00485948" w:rsidRPr="00465F79">
        <w:rPr>
          <w:lang w:val="es-ES"/>
        </w:rPr>
        <w:t>Los días 25, 26 de enero y 16 de febrero</w:t>
      </w:r>
      <w:r w:rsidR="00F174BC">
        <w:rPr>
          <w:lang w:val="es-ES"/>
        </w:rPr>
        <w:t xml:space="preserve"> de 2024</w:t>
      </w:r>
      <w:r w:rsidR="00485948" w:rsidRPr="00465F79">
        <w:rPr>
          <w:lang w:val="es-ES"/>
        </w:rPr>
        <w:t xml:space="preserve">, el Estado, la Comisión y el representante presentaron sus respectivas observaciones. </w:t>
      </w:r>
    </w:p>
    <w:p w14:paraId="2ED64408" w14:textId="77777777" w:rsidR="00A12976" w:rsidRPr="00A12976" w:rsidRDefault="00A12976" w:rsidP="00A12976">
      <w:pPr>
        <w:tabs>
          <w:tab w:val="left" w:pos="567"/>
        </w:tabs>
        <w:spacing w:line="240" w:lineRule="auto"/>
      </w:pPr>
    </w:p>
    <w:p w14:paraId="721D163B" w14:textId="3C1C6A46" w:rsidR="006E2B71" w:rsidRPr="00465F79" w:rsidRDefault="00485948" w:rsidP="00BD769D">
      <w:pPr>
        <w:numPr>
          <w:ilvl w:val="0"/>
          <w:numId w:val="7"/>
        </w:numPr>
        <w:tabs>
          <w:tab w:val="left" w:pos="567"/>
          <w:tab w:val="num" w:pos="1569"/>
          <w:tab w:val="num" w:pos="12305"/>
        </w:tabs>
        <w:spacing w:line="240" w:lineRule="auto"/>
        <w:ind w:left="0" w:firstLine="0"/>
      </w:pPr>
      <w:r w:rsidRPr="00465F79">
        <w:rPr>
          <w:lang w:val="es-ES"/>
        </w:rPr>
        <w:lastRenderedPageBreak/>
        <w:t>Por un lado, en relación con los anexos presentados por el representante</w:t>
      </w:r>
      <w:r w:rsidR="00F174BC">
        <w:rPr>
          <w:lang w:val="es-ES"/>
        </w:rPr>
        <w:t xml:space="preserve"> (</w:t>
      </w:r>
      <w:r w:rsidR="00F174BC" w:rsidRPr="00F174BC">
        <w:rPr>
          <w:i/>
          <w:iCs/>
          <w:lang w:val="es-ES"/>
        </w:rPr>
        <w:t>supra</w:t>
      </w:r>
      <w:r w:rsidR="00F174BC">
        <w:rPr>
          <w:lang w:val="es-ES"/>
        </w:rPr>
        <w:t xml:space="preserve"> párr. </w:t>
      </w:r>
      <w:r w:rsidR="00270E7C">
        <w:rPr>
          <w:lang w:val="es-ES"/>
        </w:rPr>
        <w:t>28</w:t>
      </w:r>
      <w:r w:rsidR="00F174BC">
        <w:rPr>
          <w:lang w:val="es-ES"/>
        </w:rPr>
        <w:t>)</w:t>
      </w:r>
      <w:r w:rsidRPr="00465F79">
        <w:rPr>
          <w:lang w:val="es-ES"/>
        </w:rPr>
        <w:t>, la Comi</w:t>
      </w:r>
      <w:r w:rsidR="00592250" w:rsidRPr="00465F79">
        <w:rPr>
          <w:lang w:val="es-ES"/>
        </w:rPr>
        <w:t xml:space="preserve">sión indicó </w:t>
      </w:r>
      <w:r w:rsidR="00CC4758" w:rsidRPr="00465F79">
        <w:t>que el</w:t>
      </w:r>
      <w:r w:rsidR="00592250" w:rsidRPr="00465F79">
        <w:rPr>
          <w:lang w:val="es-ES"/>
        </w:rPr>
        <w:t xml:space="preserve"> testimonio complementario de Ana Gabriela Álvarez </w:t>
      </w:r>
      <w:r w:rsidR="009D708D">
        <w:rPr>
          <w:lang w:val="es-ES"/>
        </w:rPr>
        <w:t xml:space="preserve">Cuéllar </w:t>
      </w:r>
      <w:r w:rsidR="00E36AE4" w:rsidRPr="00465F79">
        <w:rPr>
          <w:lang w:val="es-ES"/>
        </w:rPr>
        <w:t>de 8 de enero de 202</w:t>
      </w:r>
      <w:r w:rsidR="00805799">
        <w:rPr>
          <w:lang w:val="es-ES"/>
        </w:rPr>
        <w:t>4</w:t>
      </w:r>
      <w:r w:rsidR="00E36AE4" w:rsidRPr="00465F79">
        <w:rPr>
          <w:lang w:val="es-ES"/>
        </w:rPr>
        <w:t xml:space="preserve"> </w:t>
      </w:r>
      <w:r w:rsidR="00592250" w:rsidRPr="00465F79">
        <w:rPr>
          <w:lang w:val="es-ES"/>
        </w:rPr>
        <w:t xml:space="preserve">sobre su experiencia a raíz de la desaparición de su madre </w:t>
      </w:r>
      <w:r w:rsidR="00CC4758" w:rsidRPr="00465F79">
        <w:rPr>
          <w:lang w:val="es-ES"/>
        </w:rPr>
        <w:t>“</w:t>
      </w:r>
      <w:r w:rsidR="00592250" w:rsidRPr="00465F79">
        <w:rPr>
          <w:lang w:val="es-ES"/>
        </w:rPr>
        <w:t>aporta</w:t>
      </w:r>
      <w:r w:rsidR="00CC4758" w:rsidRPr="00465F79">
        <w:rPr>
          <w:lang w:val="es-ES"/>
        </w:rPr>
        <w:t>[ba]</w:t>
      </w:r>
      <w:r w:rsidR="00592250" w:rsidRPr="00465F79">
        <w:rPr>
          <w:lang w:val="es-ES"/>
        </w:rPr>
        <w:t xml:space="preserve"> elementos importantes</w:t>
      </w:r>
      <w:r w:rsidR="00CC4758" w:rsidRPr="00465F79">
        <w:rPr>
          <w:lang w:val="es-ES"/>
        </w:rPr>
        <w:t>” a ser considerados por la Corte a la hora de dictar las reparaciones que correspondan, y, en particular,</w:t>
      </w:r>
      <w:r w:rsidR="004E0487" w:rsidRPr="00465F79">
        <w:rPr>
          <w:lang w:val="es-ES"/>
        </w:rPr>
        <w:t xml:space="preserve"> </w:t>
      </w:r>
      <w:r w:rsidR="00592250" w:rsidRPr="00465F79">
        <w:rPr>
          <w:lang w:val="es-ES"/>
        </w:rPr>
        <w:t>respecto de la atención en salud de los hijos de las mujeres</w:t>
      </w:r>
      <w:r w:rsidR="00CC4758" w:rsidRPr="00465F79">
        <w:rPr>
          <w:lang w:val="es-ES"/>
        </w:rPr>
        <w:t xml:space="preserve"> </w:t>
      </w:r>
      <w:r w:rsidR="00592250" w:rsidRPr="00465F79">
        <w:rPr>
          <w:lang w:val="es-ES"/>
        </w:rPr>
        <w:t>desaparecidas.</w:t>
      </w:r>
      <w:r w:rsidR="00CC4758" w:rsidRPr="00465F79">
        <w:rPr>
          <w:lang w:val="es-ES"/>
        </w:rPr>
        <w:t xml:space="preserve"> El Estado</w:t>
      </w:r>
      <w:r w:rsidR="00F174BC">
        <w:rPr>
          <w:lang w:val="es-ES"/>
        </w:rPr>
        <w:t>, por su parte,</w:t>
      </w:r>
      <w:r w:rsidR="00CC4758" w:rsidRPr="00465F79">
        <w:rPr>
          <w:lang w:val="es-ES"/>
        </w:rPr>
        <w:t xml:space="preserve"> </w:t>
      </w:r>
      <w:r w:rsidR="008B2FEA" w:rsidRPr="00465F79">
        <w:rPr>
          <w:lang w:val="es-ES"/>
        </w:rPr>
        <w:t xml:space="preserve">hizo referencia al artículo 57.2 del Reglamento y alegó que el representante no adujo ninguna justificación de fuerza mayor o impedimento grave </w:t>
      </w:r>
      <w:r w:rsidR="00045060">
        <w:rPr>
          <w:lang w:val="es-ES"/>
        </w:rPr>
        <w:t xml:space="preserve">para </w:t>
      </w:r>
      <w:r w:rsidR="008B2FEA" w:rsidRPr="00465F79">
        <w:rPr>
          <w:lang w:val="es-ES"/>
        </w:rPr>
        <w:t>la presentación de la prueba, la cual no correspondería a información sobre hechos ocurridos con posterioridad al escrito de solicitudes, argumentos y pruebas.</w:t>
      </w:r>
      <w:r w:rsidR="004E0487" w:rsidRPr="00465F79">
        <w:rPr>
          <w:lang w:val="es-ES"/>
        </w:rPr>
        <w:t xml:space="preserve"> </w:t>
      </w:r>
      <w:r w:rsidR="006E2B71" w:rsidRPr="00465F79">
        <w:rPr>
          <w:lang w:val="es-ES"/>
        </w:rPr>
        <w:t>La Corte advierte que</w:t>
      </w:r>
      <w:r w:rsidR="00BE519F" w:rsidRPr="00465F79">
        <w:rPr>
          <w:lang w:val="es-ES"/>
        </w:rPr>
        <w:t xml:space="preserve"> </w:t>
      </w:r>
      <w:r w:rsidR="008B2FEA" w:rsidRPr="00465F79">
        <w:rPr>
          <w:lang w:val="es-ES"/>
        </w:rPr>
        <w:t>los Anexos 1 a 20</w:t>
      </w:r>
      <w:r w:rsidR="008B2FEA" w:rsidRPr="00465F79">
        <w:t>, así como la de</w:t>
      </w:r>
      <w:r w:rsidR="008B2FEA" w:rsidRPr="00465F79">
        <w:rPr>
          <w:lang w:val="es-ES"/>
        </w:rPr>
        <w:t>claración notarial (</w:t>
      </w:r>
      <w:r w:rsidR="008B2FEA" w:rsidRPr="00465F79">
        <w:rPr>
          <w:i/>
          <w:iCs/>
          <w:lang w:val="es-ES"/>
        </w:rPr>
        <w:t>affidávit</w:t>
      </w:r>
      <w:r w:rsidR="008B2FEA" w:rsidRPr="00465F79">
        <w:rPr>
          <w:lang w:val="es-ES"/>
        </w:rPr>
        <w:t xml:space="preserve">) de Javier Ernesto Álvarez </w:t>
      </w:r>
      <w:r w:rsidR="004E0487" w:rsidRPr="00465F79">
        <w:rPr>
          <w:lang w:val="es-ES"/>
        </w:rPr>
        <w:t xml:space="preserve">Cuéllar </w:t>
      </w:r>
      <w:r w:rsidR="008B2FEA" w:rsidRPr="00465F79">
        <w:rPr>
          <w:lang w:val="es-ES"/>
        </w:rPr>
        <w:t xml:space="preserve">de 31 de octubre de 2023 </w:t>
      </w:r>
      <w:r w:rsidR="00206A18" w:rsidRPr="00465F79">
        <w:rPr>
          <w:lang w:val="es-ES"/>
        </w:rPr>
        <w:t>ya fueron remitidos junto con el escrito de solicitudes argumentos y pruebas</w:t>
      </w:r>
      <w:r w:rsidR="00F174BC">
        <w:rPr>
          <w:lang w:val="es-ES"/>
        </w:rPr>
        <w:t xml:space="preserve"> y, por tanto, son admisibles en tanto fueron presentados en el momento procesal oportuno</w:t>
      </w:r>
      <w:r w:rsidR="00BE519F" w:rsidRPr="00465F79">
        <w:rPr>
          <w:lang w:val="es-ES"/>
        </w:rPr>
        <w:t>.</w:t>
      </w:r>
      <w:r w:rsidR="00206A18" w:rsidRPr="00465F79">
        <w:rPr>
          <w:lang w:val="es-ES"/>
        </w:rPr>
        <w:t xml:space="preserve"> Con respecto</w:t>
      </w:r>
      <w:r w:rsidR="008B2FEA" w:rsidRPr="00465F79">
        <w:rPr>
          <w:lang w:val="es-ES"/>
        </w:rPr>
        <w:t xml:space="preserve"> a </w:t>
      </w:r>
      <w:r w:rsidR="00E36AE4" w:rsidRPr="00465F79">
        <w:rPr>
          <w:lang w:val="es-ES"/>
        </w:rPr>
        <w:t>las declaraciones complementarias</w:t>
      </w:r>
      <w:r w:rsidR="008B2FEA" w:rsidRPr="00465F79">
        <w:rPr>
          <w:lang w:val="es-ES"/>
        </w:rPr>
        <w:t xml:space="preserve"> de Francisco Alfredo Álvarez Solís de 17 de noviembre de 2023 y de Ana Gabriela Álvarez</w:t>
      </w:r>
      <w:r w:rsidR="00791651">
        <w:rPr>
          <w:lang w:val="es-ES"/>
        </w:rPr>
        <w:t xml:space="preserve"> Cuéllar</w:t>
      </w:r>
      <w:r w:rsidR="008B2FEA" w:rsidRPr="00465F79">
        <w:rPr>
          <w:lang w:val="es-ES"/>
        </w:rPr>
        <w:t xml:space="preserve"> de 8 de enero de 2024</w:t>
      </w:r>
      <w:r w:rsidR="00F174BC">
        <w:rPr>
          <w:lang w:val="es-ES"/>
        </w:rPr>
        <w:t>,</w:t>
      </w:r>
      <w:r w:rsidR="008B2FEA" w:rsidRPr="00465F79">
        <w:rPr>
          <w:lang w:val="es-ES"/>
        </w:rPr>
        <w:t xml:space="preserve"> la Corte nota</w:t>
      </w:r>
      <w:r w:rsidR="002C0724" w:rsidRPr="00465F79">
        <w:rPr>
          <w:lang w:val="es-ES"/>
        </w:rPr>
        <w:t xml:space="preserve"> que, si bien son declaraciones de fecha posterior al escrito de solicitudes, argumentos y pruebas, hacen referencia a hechos </w:t>
      </w:r>
      <w:r w:rsidR="00F174BC">
        <w:rPr>
          <w:lang w:val="es-ES"/>
        </w:rPr>
        <w:t>ocurridos con anterioridad</w:t>
      </w:r>
      <w:r w:rsidR="002C0724" w:rsidRPr="00465F79">
        <w:rPr>
          <w:lang w:val="es-ES"/>
        </w:rPr>
        <w:t xml:space="preserve"> a la presentación de dicho escrito. Toda vez que</w:t>
      </w:r>
      <w:r w:rsidR="004E0487" w:rsidRPr="00465F79">
        <w:rPr>
          <w:lang w:val="es-ES"/>
        </w:rPr>
        <w:t xml:space="preserve"> </w:t>
      </w:r>
      <w:r w:rsidR="006E2B71" w:rsidRPr="00465F79">
        <w:t>el representante no ha justificado la razón por la cual, en los términos del referido artículo 57.2 del Reglamento de la Corte</w:t>
      </w:r>
      <w:r w:rsidR="00E36AE4" w:rsidRPr="00465F79">
        <w:t>,</w:t>
      </w:r>
      <w:r w:rsidR="006E2B71" w:rsidRPr="00465F79">
        <w:t xml:space="preserve"> deberían ser excepcionalmente admitido</w:t>
      </w:r>
      <w:r w:rsidR="00E36AE4" w:rsidRPr="00465F79">
        <w:t>s</w:t>
      </w:r>
      <w:r w:rsidR="002C0724" w:rsidRPr="00465F79">
        <w:t xml:space="preserve">, </w:t>
      </w:r>
      <w:r w:rsidR="006E2B71" w:rsidRPr="00465F79">
        <w:t>dichos documentos resultan inadmisibles por extemporáneo</w:t>
      </w:r>
      <w:r w:rsidR="002C0724" w:rsidRPr="00465F79">
        <w:t>s</w:t>
      </w:r>
      <w:r w:rsidR="006E2B71" w:rsidRPr="00465F79">
        <w:t>.</w:t>
      </w:r>
      <w:r w:rsidR="008B2FEA" w:rsidRPr="00465F79">
        <w:rPr>
          <w:lang w:val="es-ES"/>
        </w:rPr>
        <w:t xml:space="preserve"> </w:t>
      </w:r>
      <w:r w:rsidR="002C0724" w:rsidRPr="00465F79">
        <w:rPr>
          <w:lang w:val="es-ES"/>
        </w:rPr>
        <w:t>En lo que respecta al (i) detalle de gastos de Ana</w:t>
      </w:r>
      <w:r w:rsidR="00157564">
        <w:rPr>
          <w:lang w:val="es-ES"/>
        </w:rPr>
        <w:t xml:space="preserve"> </w:t>
      </w:r>
      <w:r w:rsidR="00F01B69">
        <w:rPr>
          <w:lang w:val="es-ES"/>
        </w:rPr>
        <w:t>Gladis</w:t>
      </w:r>
      <w:r w:rsidR="002C0724" w:rsidRPr="00465F79">
        <w:rPr>
          <w:lang w:val="es-ES"/>
        </w:rPr>
        <w:t xml:space="preserve"> Pérez de Castro, Samuel Enrique Castro Pérez, José Benjamín Cuéllar Martínez </w:t>
      </w:r>
      <w:r w:rsidR="00270E7C" w:rsidRPr="00045060">
        <w:rPr>
          <w:lang w:val="es-ES"/>
        </w:rPr>
        <w:t>y Francisco Alfredo Álvarez Solis</w:t>
      </w:r>
      <w:r w:rsidR="00270E7C">
        <w:rPr>
          <w:lang w:val="es-ES"/>
        </w:rPr>
        <w:t xml:space="preserve"> </w:t>
      </w:r>
      <w:r w:rsidR="002C0724" w:rsidRPr="00465F79">
        <w:rPr>
          <w:lang w:val="es-ES"/>
        </w:rPr>
        <w:t>para acudir a la audiencia pública relativa al presente caso, así como (ii</w:t>
      </w:r>
      <w:r w:rsidR="002C0724" w:rsidRPr="009D708D">
        <w:rPr>
          <w:lang w:val="es-ES"/>
        </w:rPr>
        <w:t>) el d</w:t>
      </w:r>
      <w:r w:rsidR="008B2FEA" w:rsidRPr="009D708D">
        <w:rPr>
          <w:lang w:val="es-ES"/>
        </w:rPr>
        <w:t xml:space="preserve">etalle de gastos de </w:t>
      </w:r>
      <w:r w:rsidR="00593241" w:rsidRPr="009D708D">
        <w:rPr>
          <w:lang w:val="es-ES"/>
        </w:rPr>
        <w:t>Ana Gabriela Álvarez Cuéllar y Javier Ernesto Álvarez Cuéllar</w:t>
      </w:r>
      <w:r w:rsidR="008B2FEA" w:rsidRPr="009D708D">
        <w:rPr>
          <w:lang w:val="es-ES"/>
        </w:rPr>
        <w:t xml:space="preserve"> incurridos para realizar los testimonios apostillados, </w:t>
      </w:r>
      <w:r w:rsidR="002C0724" w:rsidRPr="009D708D">
        <w:rPr>
          <w:lang w:val="es-ES"/>
        </w:rPr>
        <w:t>la Corte considera que dichos documentos</w:t>
      </w:r>
      <w:r w:rsidR="002C0724" w:rsidRPr="00465F79">
        <w:rPr>
          <w:lang w:val="es-ES"/>
        </w:rPr>
        <w:t xml:space="preserve"> </w:t>
      </w:r>
      <w:r w:rsidR="002C0724" w:rsidRPr="00465F79">
        <w:t xml:space="preserve">constituyen prueba de hechos supervinientes relacionada con el presente caso, todo ello independientemente del valor probatorio que les otorgue este Tribunal. Es por ello que, de conformidad con lo preceptuado en el artículo 57.2 del Reglamento, son admitidos. </w:t>
      </w:r>
    </w:p>
    <w:p w14:paraId="5E2A80A3" w14:textId="77777777" w:rsidR="00E36AE4" w:rsidRPr="00465F79" w:rsidRDefault="00E36AE4" w:rsidP="00E36AE4">
      <w:pPr>
        <w:tabs>
          <w:tab w:val="left" w:pos="567"/>
        </w:tabs>
        <w:spacing w:line="240" w:lineRule="auto"/>
        <w:rPr>
          <w:lang w:val="es-ES"/>
        </w:rPr>
      </w:pPr>
    </w:p>
    <w:p w14:paraId="3678A6A6" w14:textId="07297BE8" w:rsidR="00485948" w:rsidRPr="00465F79" w:rsidRDefault="00485948" w:rsidP="006F0216">
      <w:pPr>
        <w:numPr>
          <w:ilvl w:val="0"/>
          <w:numId w:val="7"/>
        </w:numPr>
        <w:tabs>
          <w:tab w:val="left" w:pos="567"/>
          <w:tab w:val="num" w:pos="1569"/>
          <w:tab w:val="num" w:pos="12305"/>
        </w:tabs>
        <w:spacing w:line="240" w:lineRule="auto"/>
        <w:ind w:left="0" w:firstLine="0"/>
        <w:rPr>
          <w:lang w:val="es-ES"/>
        </w:rPr>
      </w:pPr>
      <w:r w:rsidRPr="00465F79">
        <w:rPr>
          <w:lang w:val="es-ES"/>
        </w:rPr>
        <w:t>Por otro lado, en relación con los anexos presentados por el Estado</w:t>
      </w:r>
      <w:r w:rsidR="00F174BC">
        <w:rPr>
          <w:lang w:val="es-ES"/>
        </w:rPr>
        <w:t xml:space="preserve"> (</w:t>
      </w:r>
      <w:r w:rsidR="00F174BC" w:rsidRPr="00F174BC">
        <w:rPr>
          <w:i/>
          <w:iCs/>
          <w:lang w:val="es-ES"/>
        </w:rPr>
        <w:t>supra</w:t>
      </w:r>
      <w:r w:rsidR="00F174BC">
        <w:rPr>
          <w:lang w:val="es-ES"/>
        </w:rPr>
        <w:t xml:space="preserve"> párr. </w:t>
      </w:r>
      <w:r w:rsidR="00270E7C">
        <w:rPr>
          <w:lang w:val="es-ES"/>
        </w:rPr>
        <w:t>28</w:t>
      </w:r>
      <w:r w:rsidR="00F174BC">
        <w:rPr>
          <w:lang w:val="es-ES"/>
        </w:rPr>
        <w:t>)</w:t>
      </w:r>
      <w:r w:rsidRPr="00465F79">
        <w:rPr>
          <w:lang w:val="es-ES"/>
        </w:rPr>
        <w:t>, la Comisión señaló que</w:t>
      </w:r>
      <w:r w:rsidR="00304461">
        <w:rPr>
          <w:lang w:val="es-ES"/>
        </w:rPr>
        <w:t xml:space="preserve"> dicha documentación “pod[ía] ser tenida en cuenta por la [Corte] al momento de dictar las reparaciones” relacionadas con las garantías de no repetición. Advirtió, además, que el representante había cuestionado el “carácter reparador” del Monumento a la Memoria y a la Verdad, cuestión que debía ser valorada por la Corte. </w:t>
      </w:r>
      <w:r w:rsidRPr="00465F79">
        <w:rPr>
          <w:lang w:val="es-ES"/>
        </w:rPr>
        <w:t xml:space="preserve">Asimismo, el representante </w:t>
      </w:r>
      <w:r w:rsidR="00304461">
        <w:rPr>
          <w:lang w:val="es-ES"/>
        </w:rPr>
        <w:t xml:space="preserve">realizó valoraciones sobre el contenido de los documentos, si bien no se opuso a su admisibilidad. </w:t>
      </w:r>
      <w:r w:rsidRPr="00465F79">
        <w:rPr>
          <w:lang w:val="es-ES"/>
        </w:rPr>
        <w:t xml:space="preserve">La Corte </w:t>
      </w:r>
      <w:r w:rsidR="00F174BC">
        <w:rPr>
          <w:lang w:val="es-ES"/>
        </w:rPr>
        <w:t>observa</w:t>
      </w:r>
      <w:r w:rsidRPr="00465F79">
        <w:rPr>
          <w:lang w:val="es-ES"/>
        </w:rPr>
        <w:t xml:space="preserve"> que los anexos remitidos por el Estado consisten en (i) cuadros sobre capacitaciones impartidas a la Fiscalía y otros funcionarios en los años 2019 a 2023 y (ii) </w:t>
      </w:r>
      <w:r w:rsidR="00045060">
        <w:rPr>
          <w:lang w:val="es-ES"/>
        </w:rPr>
        <w:t>fotografías</w:t>
      </w:r>
      <w:r w:rsidRPr="00465F79">
        <w:rPr>
          <w:lang w:val="es-ES"/>
        </w:rPr>
        <w:t xml:space="preserve"> del </w:t>
      </w:r>
      <w:r w:rsidR="00CC4758" w:rsidRPr="00465F79">
        <w:rPr>
          <w:lang w:val="es-ES"/>
        </w:rPr>
        <w:t>M</w:t>
      </w:r>
      <w:r w:rsidRPr="00465F79">
        <w:rPr>
          <w:lang w:val="es-ES"/>
        </w:rPr>
        <w:t>onumento a la Memoria y la Verdad. E</w:t>
      </w:r>
      <w:r w:rsidRPr="00465F79">
        <w:t xml:space="preserve">l Tribunal constata </w:t>
      </w:r>
      <w:r w:rsidR="00E36AE4" w:rsidRPr="00465F79">
        <w:t xml:space="preserve">que </w:t>
      </w:r>
      <w:r w:rsidRPr="00465F79">
        <w:t xml:space="preserve">dichos documentos </w:t>
      </w:r>
      <w:r w:rsidR="00F174BC" w:rsidRPr="00465F79">
        <w:t xml:space="preserve">versan sobre </w:t>
      </w:r>
      <w:r w:rsidR="00F174BC">
        <w:t xml:space="preserve">hechos </w:t>
      </w:r>
      <w:r w:rsidR="00F174BC" w:rsidRPr="00465F79">
        <w:t xml:space="preserve">anteriores al escrito de contestación </w:t>
      </w:r>
      <w:r w:rsidR="00F174BC">
        <w:t>(</w:t>
      </w:r>
      <w:r w:rsidR="00F174BC" w:rsidRPr="00465F79">
        <w:t>las capacitaciones</w:t>
      </w:r>
      <w:r w:rsidR="00F174BC">
        <w:t xml:space="preserve">) o, si bien </w:t>
      </w:r>
      <w:r w:rsidRPr="00465F79">
        <w:t>no constan de fecha</w:t>
      </w:r>
      <w:r w:rsidR="00F174BC">
        <w:t>,</w:t>
      </w:r>
      <w:r w:rsidRPr="00465F79">
        <w:t xml:space="preserve"> </w:t>
      </w:r>
      <w:r w:rsidR="00C2097B">
        <w:t>constituyen fotos</w:t>
      </w:r>
      <w:r w:rsidR="00F174BC">
        <w:t xml:space="preserve"> de una situación que ya existía en un momento anterior al escrito de contestación </w:t>
      </w:r>
      <w:r w:rsidR="00E36AE4" w:rsidRPr="00465F79">
        <w:t>(</w:t>
      </w:r>
      <w:r w:rsidR="00045060">
        <w:t xml:space="preserve">como lo es el </w:t>
      </w:r>
      <w:r w:rsidR="00805799">
        <w:t>Monumento a la Memoria y la Verdad</w:t>
      </w:r>
      <w:r w:rsidR="00E36AE4" w:rsidRPr="00465F79">
        <w:t>)</w:t>
      </w:r>
      <w:r w:rsidRPr="00465F79">
        <w:t>. El Estado no ha justificado la razón por la cual, en los términos del referido artículo 57.2 del Reglamento de la Corte, estos documentos deberían ser excepcionalmente admitido</w:t>
      </w:r>
      <w:r w:rsidR="00C2097B">
        <w:t>s</w:t>
      </w:r>
      <w:r w:rsidRPr="00465F79">
        <w:t>. En consecuencia, dichos documentos resultan inadmisibles por extemporáneos.</w:t>
      </w:r>
    </w:p>
    <w:p w14:paraId="717CF16F" w14:textId="35E6BD75" w:rsidR="00EF1DD0" w:rsidRPr="00465F79" w:rsidRDefault="001B0BA5" w:rsidP="00A12976">
      <w:pPr>
        <w:pStyle w:val="Ttulo2"/>
      </w:pPr>
      <w:bookmarkStart w:id="36" w:name="_Toc165022608"/>
      <w:r w:rsidRPr="00465F79">
        <w:t>Admisibilidad de la prueba testimonial</w:t>
      </w:r>
      <w:bookmarkEnd w:id="36"/>
      <w:r w:rsidRPr="00465F79">
        <w:t xml:space="preserve"> </w:t>
      </w:r>
    </w:p>
    <w:p w14:paraId="7C577BB1" w14:textId="7AD732FC" w:rsidR="003C16E9" w:rsidRPr="00465F79" w:rsidRDefault="003C16E9" w:rsidP="003C16E9">
      <w:pPr>
        <w:numPr>
          <w:ilvl w:val="0"/>
          <w:numId w:val="7"/>
        </w:numPr>
        <w:tabs>
          <w:tab w:val="left" w:pos="567"/>
          <w:tab w:val="num" w:pos="1569"/>
          <w:tab w:val="num" w:pos="12305"/>
        </w:tabs>
        <w:spacing w:line="240" w:lineRule="auto"/>
        <w:ind w:left="0" w:firstLine="0"/>
        <w:rPr>
          <w:lang w:val="es-ES"/>
        </w:rPr>
      </w:pPr>
      <w:r w:rsidRPr="00465F79">
        <w:rPr>
          <w:lang w:val="es-ES"/>
        </w:rPr>
        <w:t xml:space="preserve">La Corte estima pertinente admitir las </w:t>
      </w:r>
      <w:r w:rsidRPr="00465F79">
        <w:rPr>
          <w:rFonts w:cs="Verdana"/>
          <w:lang w:val="es-ES" w:eastAsia="es-MX"/>
        </w:rPr>
        <w:t xml:space="preserve">declaraciones </w:t>
      </w:r>
      <w:r w:rsidRPr="00465F79">
        <w:rPr>
          <w:lang w:val="es-MX"/>
        </w:rPr>
        <w:t>rendidas</w:t>
      </w:r>
      <w:r w:rsidRPr="00465F79">
        <w:rPr>
          <w:lang w:val="es-ES"/>
        </w:rPr>
        <w:t xml:space="preserve"> </w:t>
      </w:r>
      <w:r w:rsidR="006C53E5" w:rsidRPr="00465F79">
        <w:rPr>
          <w:lang w:val="es-ES"/>
        </w:rPr>
        <w:t xml:space="preserve">en audiencia </w:t>
      </w:r>
      <w:r w:rsidR="006C53E5" w:rsidRPr="00465F79">
        <w:rPr>
          <w:lang w:val="es-ES"/>
        </w:rPr>
        <w:lastRenderedPageBreak/>
        <w:t>pública</w:t>
      </w:r>
      <w:r w:rsidR="006C53E5" w:rsidRPr="00465F79">
        <w:rPr>
          <w:vertAlign w:val="superscript"/>
        </w:rPr>
        <w:footnoteReference w:id="17"/>
      </w:r>
      <w:r w:rsidR="006C53E5" w:rsidRPr="00465F79">
        <w:rPr>
          <w:lang w:val="es-ES"/>
        </w:rPr>
        <w:t xml:space="preserve"> y </w:t>
      </w:r>
      <w:r w:rsidRPr="00465F79">
        <w:rPr>
          <w:lang w:val="es-ES"/>
        </w:rPr>
        <w:t>ante fedatario público</w:t>
      </w:r>
      <w:r w:rsidRPr="00465F79">
        <w:rPr>
          <w:rStyle w:val="Refdenotaalpie"/>
          <w:rFonts w:eastAsia="Batang"/>
          <w:lang w:val="es-ES"/>
        </w:rPr>
        <w:footnoteReference w:id="18"/>
      </w:r>
      <w:r w:rsidR="006C53E5" w:rsidRPr="00465F79">
        <w:rPr>
          <w:lang w:val="es-ES"/>
        </w:rPr>
        <w:t xml:space="preserve"> </w:t>
      </w:r>
      <w:r w:rsidRPr="00465F79">
        <w:rPr>
          <w:lang w:val="es-ES"/>
        </w:rPr>
        <w:t>en cuanto se ajustan al objeto definido por la Presidencia en la Resolución que ordenó recibirlos.</w:t>
      </w:r>
    </w:p>
    <w:p w14:paraId="6CFE1DE8" w14:textId="1B77380C" w:rsidR="00B06E6D" w:rsidRPr="00465F79" w:rsidRDefault="00E0705E" w:rsidP="00465F79">
      <w:pPr>
        <w:pStyle w:val="Ttulo1"/>
      </w:pPr>
      <w:bookmarkStart w:id="37" w:name="_Toc165022609"/>
      <w:bookmarkStart w:id="38" w:name="_Hlk158727586"/>
      <w:r w:rsidRPr="00465F79">
        <w:t>V</w:t>
      </w:r>
      <w:r w:rsidR="00BB3578" w:rsidRPr="00465F79">
        <w:t>I</w:t>
      </w:r>
      <w:r w:rsidRPr="00465F79">
        <w:br/>
        <w:t>HECHOS</w:t>
      </w:r>
      <w:bookmarkEnd w:id="0"/>
      <w:bookmarkEnd w:id="1"/>
      <w:bookmarkEnd w:id="2"/>
      <w:bookmarkEnd w:id="3"/>
      <w:bookmarkEnd w:id="37"/>
      <w:r w:rsidRPr="00465F79">
        <w:t xml:space="preserve"> </w:t>
      </w:r>
    </w:p>
    <w:p w14:paraId="2BE8ABA0" w14:textId="2832E39C" w:rsidR="003C16E9" w:rsidRPr="00465F79" w:rsidRDefault="006C53E5" w:rsidP="00C91ADE">
      <w:pPr>
        <w:numPr>
          <w:ilvl w:val="0"/>
          <w:numId w:val="7"/>
        </w:numPr>
        <w:tabs>
          <w:tab w:val="left" w:pos="567"/>
          <w:tab w:val="num" w:pos="1569"/>
          <w:tab w:val="num" w:pos="12305"/>
        </w:tabs>
        <w:spacing w:line="240" w:lineRule="auto"/>
        <w:ind w:left="0" w:firstLine="0"/>
        <w:rPr>
          <w:lang w:val="es-ES"/>
        </w:rPr>
      </w:pPr>
      <w:r w:rsidRPr="00465F79">
        <w:rPr>
          <w:lang w:val="es-ES"/>
        </w:rPr>
        <w:t xml:space="preserve">En este capítulo, la Corte establecerá los hechos del caso con base en el reconocimiento </w:t>
      </w:r>
      <w:r w:rsidR="00581F29" w:rsidRPr="00465F79">
        <w:rPr>
          <w:lang w:val="es-ES"/>
        </w:rPr>
        <w:t>de</w:t>
      </w:r>
      <w:r w:rsidRPr="00465F79">
        <w:rPr>
          <w:lang w:val="es-ES"/>
        </w:rPr>
        <w:t xml:space="preserve"> responsabilidad del Estado, el marco fáctico sometido a su conocimiento por la Comisión Interamericana, la prueba que obra en el expediente y los alegatos de las partes</w:t>
      </w:r>
      <w:r w:rsidR="00581F29" w:rsidRPr="00465F79">
        <w:rPr>
          <w:rStyle w:val="Refdenotaalpie"/>
        </w:rPr>
        <w:footnoteReference w:id="19"/>
      </w:r>
      <w:r w:rsidRPr="00465F79">
        <w:rPr>
          <w:lang w:val="es-ES"/>
        </w:rPr>
        <w:t xml:space="preserve">, en relación con los siguientes aspectos: </w:t>
      </w:r>
      <w:r w:rsidR="003C16E9" w:rsidRPr="00465F79">
        <w:rPr>
          <w:lang w:val="es-ES"/>
        </w:rPr>
        <w:t>(</w:t>
      </w:r>
      <w:r w:rsidR="00F025A3" w:rsidRPr="00465F79">
        <w:rPr>
          <w:lang w:val="es-ES"/>
        </w:rPr>
        <w:t>a</w:t>
      </w:r>
      <w:r w:rsidR="003C16E9" w:rsidRPr="00465F79">
        <w:rPr>
          <w:lang w:val="es-ES"/>
        </w:rPr>
        <w:t xml:space="preserve">) </w:t>
      </w:r>
      <w:r w:rsidR="00EF555C" w:rsidRPr="00465F79">
        <w:rPr>
          <w:lang w:val="es-ES"/>
        </w:rPr>
        <w:t>del</w:t>
      </w:r>
      <w:r w:rsidR="004E0487" w:rsidRPr="00465F79">
        <w:rPr>
          <w:lang w:val="es-ES"/>
        </w:rPr>
        <w:t xml:space="preserve"> </w:t>
      </w:r>
      <w:r w:rsidR="00EF555C" w:rsidRPr="00465F79">
        <w:rPr>
          <w:lang w:val="es-ES"/>
        </w:rPr>
        <w:t>contexto de desapariciones forzadas en el conflicto armado en El Salvador;</w:t>
      </w:r>
      <w:r w:rsidR="003C16E9" w:rsidRPr="00465F79">
        <w:rPr>
          <w:lang w:val="es-ES"/>
        </w:rPr>
        <w:t xml:space="preserve"> (</w:t>
      </w:r>
      <w:r w:rsidR="00F025A3" w:rsidRPr="00465F79">
        <w:rPr>
          <w:lang w:val="es-ES"/>
        </w:rPr>
        <w:t>b</w:t>
      </w:r>
      <w:r w:rsidR="00EF555C" w:rsidRPr="00465F79">
        <w:rPr>
          <w:lang w:val="es-ES"/>
        </w:rPr>
        <w:t>) sobre Patricia Emilie Cuéllar Sandoval y su trabajo en la oficina del Socorro Jurídico Cristiano;</w:t>
      </w:r>
      <w:r w:rsidR="004E0487" w:rsidRPr="00465F79">
        <w:rPr>
          <w:lang w:val="es-ES"/>
        </w:rPr>
        <w:t xml:space="preserve"> </w:t>
      </w:r>
      <w:r w:rsidR="003C16E9" w:rsidRPr="00465F79">
        <w:rPr>
          <w:lang w:val="es-ES"/>
        </w:rPr>
        <w:t>(</w:t>
      </w:r>
      <w:r w:rsidR="00F025A3" w:rsidRPr="00465F79">
        <w:rPr>
          <w:lang w:val="es-ES"/>
        </w:rPr>
        <w:t>c</w:t>
      </w:r>
      <w:r w:rsidR="003C16E9" w:rsidRPr="00465F79">
        <w:rPr>
          <w:lang w:val="es-ES"/>
        </w:rPr>
        <w:t xml:space="preserve">) </w:t>
      </w:r>
      <w:r w:rsidR="00EF555C" w:rsidRPr="00465F79">
        <w:rPr>
          <w:lang w:val="es-ES"/>
        </w:rPr>
        <w:t>sobre la desaparición de Patricia Emilie Cuéllar Sandoval, Mauricio Cuéllar</w:t>
      </w:r>
      <w:r w:rsidR="004E0487" w:rsidRPr="00465F79">
        <w:rPr>
          <w:lang w:val="es-ES"/>
        </w:rPr>
        <w:t xml:space="preserve"> </w:t>
      </w:r>
      <w:r w:rsidR="00EF555C" w:rsidRPr="00465F79">
        <w:rPr>
          <w:lang w:val="es-ES"/>
        </w:rPr>
        <w:t>Cuéllar y Julia Orbelina Pérez, y</w:t>
      </w:r>
      <w:r w:rsidR="003C16E9" w:rsidRPr="00465F79">
        <w:rPr>
          <w:lang w:val="es-ES"/>
        </w:rPr>
        <w:t xml:space="preserve"> (</w:t>
      </w:r>
      <w:r w:rsidR="00F025A3" w:rsidRPr="00465F79">
        <w:rPr>
          <w:lang w:val="es-ES"/>
        </w:rPr>
        <w:t>d</w:t>
      </w:r>
      <w:r w:rsidR="003C16E9" w:rsidRPr="00465F79">
        <w:rPr>
          <w:lang w:val="es-ES"/>
        </w:rPr>
        <w:t xml:space="preserve">) </w:t>
      </w:r>
      <w:r w:rsidR="00EF555C" w:rsidRPr="00465F79">
        <w:rPr>
          <w:lang w:val="es-ES"/>
        </w:rPr>
        <w:t>las acciones de investigación.</w:t>
      </w:r>
    </w:p>
    <w:p w14:paraId="4FD63A4E" w14:textId="1F9A286B" w:rsidR="00180AB7" w:rsidRPr="00465F79" w:rsidRDefault="00EF555C">
      <w:pPr>
        <w:pStyle w:val="Ttulo2"/>
        <w:numPr>
          <w:ilvl w:val="0"/>
          <w:numId w:val="15"/>
        </w:numPr>
      </w:pPr>
      <w:bookmarkStart w:id="39" w:name="_Toc165022610"/>
      <w:r w:rsidRPr="00465F79">
        <w:t>Del contexto de desapariciones forzadas en el conflicto armado en El Salvador</w:t>
      </w:r>
      <w:bookmarkEnd w:id="39"/>
    </w:p>
    <w:p w14:paraId="5C04BF89" w14:textId="53A5EB36" w:rsidR="00A0621D" w:rsidRPr="00465F79" w:rsidRDefault="00A0621D" w:rsidP="00173EA2">
      <w:pPr>
        <w:numPr>
          <w:ilvl w:val="0"/>
          <w:numId w:val="7"/>
        </w:numPr>
        <w:tabs>
          <w:tab w:val="left" w:pos="567"/>
          <w:tab w:val="num" w:pos="1569"/>
          <w:tab w:val="num" w:pos="12305"/>
        </w:tabs>
        <w:spacing w:line="240" w:lineRule="auto"/>
        <w:ind w:left="0" w:firstLine="0"/>
        <w:rPr>
          <w:rFonts w:eastAsia="Cambria" w:cs="Cambria"/>
          <w:b/>
          <w:bCs/>
          <w:lang w:val="es-ES"/>
        </w:rPr>
      </w:pPr>
      <w:r w:rsidRPr="00465F79">
        <w:rPr>
          <w:lang w:val="es-ES"/>
        </w:rPr>
        <w:t>Desde</w:t>
      </w:r>
      <w:r w:rsidRPr="00465F79">
        <w:rPr>
          <w:rFonts w:eastAsia="Cambria" w:cs="Cambria"/>
          <w:lang w:val="es-ES"/>
        </w:rPr>
        <w:t xml:space="preserve"> 1980 hasta 1991 El Salvador se vio sumido en un conflicto armado interno durante el cual se configuró el fenómeno de las desapariciones forzadas</w:t>
      </w:r>
      <w:r w:rsidR="007C5DB0" w:rsidRPr="00465F79">
        <w:rPr>
          <w:rFonts w:eastAsia="Cambria" w:cs="Cambria"/>
          <w:lang w:val="es-ES"/>
        </w:rPr>
        <w:t xml:space="preserve"> de personas</w:t>
      </w:r>
      <w:r w:rsidR="000A6245" w:rsidRPr="00465F79">
        <w:rPr>
          <w:rStyle w:val="Refdenotaalpie"/>
          <w:rFonts w:eastAsia="Cambria" w:cs="Cambria"/>
        </w:rPr>
        <w:footnoteReference w:id="20"/>
      </w:r>
      <w:r w:rsidR="00173EA2" w:rsidRPr="00465F79">
        <w:rPr>
          <w:rFonts w:eastAsia="Cambria" w:cs="Cambria"/>
        </w:rPr>
        <w:t xml:space="preserve">. </w:t>
      </w:r>
      <w:r w:rsidR="007C5DB0" w:rsidRPr="00465F79">
        <w:rPr>
          <w:rFonts w:eastAsia="Cambria" w:cs="Cambria"/>
        </w:rPr>
        <w:t>En efecto, a</w:t>
      </w:r>
      <w:r w:rsidRPr="00465F79">
        <w:rPr>
          <w:rFonts w:eastAsia="Cambria" w:cs="Cambria"/>
          <w:lang w:val="es-ES"/>
        </w:rPr>
        <w:t xml:space="preserve"> partir del año 1980 se produjo en El Salvador el comienzo de “varios ataques sin discriminación contra la población civil no combatiente y ejecuciones sumarias colectivas que afecta[ba]n particularmente a la población rural”</w:t>
      </w:r>
      <w:r w:rsidR="000A6245" w:rsidRPr="00465F79">
        <w:rPr>
          <w:rStyle w:val="Refdenotaalpie"/>
          <w:rFonts w:eastAsia="Cambria" w:cs="Cambria"/>
        </w:rPr>
        <w:footnoteReference w:id="21"/>
      </w:r>
      <w:r w:rsidRPr="00465F79">
        <w:rPr>
          <w:rFonts w:eastAsia="Cambria" w:cs="Cambria"/>
          <w:lang w:val="es-ES"/>
        </w:rPr>
        <w:t>. Asimismo, tuvo lugar “[l]a aparición del terrorismo organizado, a través de los denominados escuadrones de la muerte”</w:t>
      </w:r>
      <w:r w:rsidR="007C5DB0" w:rsidRPr="00465F79">
        <w:rPr>
          <w:rFonts w:eastAsia="Cambria" w:cs="Cambria"/>
          <w:lang w:val="es-ES"/>
        </w:rPr>
        <w:t>,</w:t>
      </w:r>
      <w:r w:rsidRPr="00465F79">
        <w:rPr>
          <w:rFonts w:eastAsia="Cambria" w:cs="Cambria"/>
          <w:lang w:val="es-ES"/>
        </w:rPr>
        <w:t xml:space="preserve"> los cuales estaban integrados por personas usualmente vestidas de civiles, fuertemente armadas, que actuaban “clandestinamente” y “ocultaban su afiliación e identidad”</w:t>
      </w:r>
      <w:r w:rsidR="000A6245" w:rsidRPr="00465F79">
        <w:rPr>
          <w:rStyle w:val="Refdenotaalpie"/>
          <w:rFonts w:eastAsia="Cambria" w:cs="Cambria"/>
        </w:rPr>
        <w:footnoteReference w:id="22"/>
      </w:r>
      <w:r w:rsidRPr="00465F79">
        <w:rPr>
          <w:rFonts w:eastAsia="Cambria" w:cs="Cambria"/>
          <w:lang w:val="es-ES"/>
        </w:rPr>
        <w:t>.</w:t>
      </w:r>
      <w:r w:rsidRPr="00465F79">
        <w:rPr>
          <w:rFonts w:eastAsia="Cambria" w:cs="Cambria"/>
          <w:b/>
          <w:bCs/>
          <w:lang w:val="es-ES"/>
        </w:rPr>
        <w:t xml:space="preserve"> </w:t>
      </w:r>
    </w:p>
    <w:p w14:paraId="3D34C462" w14:textId="77777777" w:rsidR="00A0621D" w:rsidRPr="00465F79" w:rsidRDefault="00A0621D" w:rsidP="00A0621D">
      <w:pPr>
        <w:spacing w:line="240" w:lineRule="auto"/>
        <w:contextualSpacing/>
        <w:rPr>
          <w:rFonts w:eastAsia="Cambria" w:cs="Cambria"/>
          <w:lang w:val="es-ES"/>
        </w:rPr>
      </w:pPr>
    </w:p>
    <w:p w14:paraId="147E020B" w14:textId="7D8E5976" w:rsidR="00A0621D" w:rsidRPr="00465F79" w:rsidRDefault="00A0621D" w:rsidP="003E2E38">
      <w:pPr>
        <w:numPr>
          <w:ilvl w:val="0"/>
          <w:numId w:val="7"/>
        </w:numPr>
        <w:tabs>
          <w:tab w:val="left" w:pos="567"/>
          <w:tab w:val="num" w:pos="1569"/>
          <w:tab w:val="left" w:pos="1932"/>
          <w:tab w:val="num" w:pos="12305"/>
        </w:tabs>
        <w:spacing w:line="240" w:lineRule="auto"/>
        <w:ind w:left="0" w:firstLine="0"/>
        <w:rPr>
          <w:rFonts w:eastAsia="Cambria" w:cs="Cambria"/>
          <w:b/>
          <w:bCs/>
          <w:lang w:val="es-ES"/>
        </w:rPr>
      </w:pPr>
      <w:r w:rsidRPr="00465F79">
        <w:rPr>
          <w:lang w:val="es-ES"/>
        </w:rPr>
        <w:t>Entre</w:t>
      </w:r>
      <w:r w:rsidRPr="00465F79">
        <w:rPr>
          <w:rFonts w:eastAsia="Cambria" w:cs="Cambria"/>
          <w:lang w:val="es-ES"/>
        </w:rPr>
        <w:t xml:space="preserve"> 1989 y 1992 se firmaron diversos acuerdos entre el Estado salvadoreño y el Frente Farabundo Martí para la Liberación Nacional (</w:t>
      </w:r>
      <w:r w:rsidR="003314CA" w:rsidRPr="00465F79">
        <w:rPr>
          <w:rFonts w:eastAsia="Cambria" w:cs="Cambria"/>
          <w:lang w:val="es-ES"/>
        </w:rPr>
        <w:t>FMLN)</w:t>
      </w:r>
      <w:r w:rsidRPr="00465F79">
        <w:rPr>
          <w:rFonts w:eastAsia="Cambria" w:cs="Cambria"/>
          <w:lang w:val="es-ES"/>
        </w:rPr>
        <w:t xml:space="preserve"> con miras a poner fin al conflicto armado inter</w:t>
      </w:r>
      <w:r w:rsidR="003C4FC2">
        <w:rPr>
          <w:rFonts w:eastAsia="Cambria" w:cs="Cambria"/>
          <w:lang w:val="es-ES"/>
        </w:rPr>
        <w:t>n</w:t>
      </w:r>
      <w:r w:rsidR="000B7B3C">
        <w:rPr>
          <w:rFonts w:eastAsia="Cambria" w:cs="Cambria"/>
          <w:lang w:val="es-ES"/>
        </w:rPr>
        <w:t>o.</w:t>
      </w:r>
      <w:r w:rsidRPr="00465F79">
        <w:rPr>
          <w:rFonts w:eastAsia="Cambria" w:cs="Cambria"/>
          <w:lang w:val="es-ES"/>
        </w:rPr>
        <w:t xml:space="preserve"> El 16 de enero de 1992</w:t>
      </w:r>
      <w:r w:rsidR="003314CA" w:rsidRPr="00465F79">
        <w:rPr>
          <w:rFonts w:eastAsia="Cambria" w:cs="Cambria"/>
          <w:lang w:val="es-ES"/>
        </w:rPr>
        <w:t>, tras doce años de conflicto armado,</w:t>
      </w:r>
      <w:r w:rsidRPr="00465F79">
        <w:rPr>
          <w:rFonts w:eastAsia="Cambria" w:cs="Cambria"/>
          <w:lang w:val="es-ES"/>
        </w:rPr>
        <w:t xml:space="preserve"> se firmó el Acuerdo de Paz que puso fin a las hostilidades en Chapultepec, México, bajo </w:t>
      </w:r>
      <w:r w:rsidR="003314CA" w:rsidRPr="00465F79">
        <w:rPr>
          <w:rFonts w:eastAsia="Cambria" w:cs="Cambria"/>
          <w:lang w:val="es-ES"/>
        </w:rPr>
        <w:t>los buenos oficios</w:t>
      </w:r>
      <w:r w:rsidRPr="00465F79">
        <w:rPr>
          <w:rFonts w:eastAsia="Cambria" w:cs="Cambria"/>
          <w:lang w:val="es-ES"/>
        </w:rPr>
        <w:t xml:space="preserve"> del Secretario General de las Naciones Unidas</w:t>
      </w:r>
      <w:r w:rsidR="003314CA" w:rsidRPr="00465F79">
        <w:rPr>
          <w:rStyle w:val="Refdenotaalpie"/>
          <w:rFonts w:eastAsia="Cambria" w:cs="Cambria"/>
        </w:rPr>
        <w:footnoteReference w:id="23"/>
      </w:r>
      <w:r w:rsidRPr="00465F79">
        <w:rPr>
          <w:rFonts w:eastAsia="Cambria" w:cs="Cambria"/>
          <w:lang w:val="es-ES"/>
        </w:rPr>
        <w:t>.</w:t>
      </w:r>
      <w:r w:rsidR="002E3162" w:rsidRPr="00465F79">
        <w:rPr>
          <w:rFonts w:eastAsia="Cambria" w:cs="Cambria"/>
          <w:b/>
          <w:bCs/>
          <w:lang w:val="es-ES"/>
        </w:rPr>
        <w:t xml:space="preserve"> </w:t>
      </w:r>
      <w:r w:rsidR="00147E6A" w:rsidRPr="00465F79">
        <w:rPr>
          <w:rFonts w:eastAsia="Cambria" w:cs="Cambria"/>
          <w:lang w:val="es-ES"/>
        </w:rPr>
        <w:t>En el marco de estos acuerdos, e</w:t>
      </w:r>
      <w:r w:rsidR="002E3162" w:rsidRPr="00465F79">
        <w:rPr>
          <w:rFonts w:eastAsia="Cambria" w:cs="Cambria"/>
          <w:lang w:val="es-ES"/>
        </w:rPr>
        <w:t>l</w:t>
      </w:r>
      <w:r w:rsidRPr="00465F79">
        <w:rPr>
          <w:rFonts w:eastAsia="Cambria" w:cs="Cambria"/>
          <w:lang w:val="es-ES"/>
        </w:rPr>
        <w:t xml:space="preserve"> 27 de abril de 1991</w:t>
      </w:r>
      <w:r w:rsidR="002E3162" w:rsidRPr="00465F79">
        <w:rPr>
          <w:rFonts w:eastAsia="Cambria" w:cs="Cambria"/>
          <w:lang w:val="es-ES"/>
        </w:rPr>
        <w:t xml:space="preserve">, </w:t>
      </w:r>
      <w:r w:rsidRPr="00465F79">
        <w:rPr>
          <w:rFonts w:eastAsia="Cambria" w:cs="Cambria"/>
          <w:lang w:val="es-ES"/>
        </w:rPr>
        <w:t xml:space="preserve">se pactó la creación de la Comisión de la Verdad con el mandato de </w:t>
      </w:r>
      <w:r w:rsidRPr="00465F79">
        <w:rPr>
          <w:lang w:val="es-ES"/>
        </w:rPr>
        <w:t>investigar</w:t>
      </w:r>
      <w:r w:rsidRPr="00465F79">
        <w:rPr>
          <w:rFonts w:eastAsia="Cambria" w:cs="Cambria"/>
          <w:lang w:val="es-ES"/>
        </w:rPr>
        <w:t xml:space="preserve"> graves hechos de violencia ocurridos desde 1980, así como elaborar recomendaciones de índole legal, administrativa o política que pueden guardar </w:t>
      </w:r>
      <w:r w:rsidRPr="00465F79">
        <w:rPr>
          <w:rFonts w:eastAsia="Cambria" w:cs="Cambria"/>
          <w:lang w:val="es-ES"/>
        </w:rPr>
        <w:lastRenderedPageBreak/>
        <w:t>relación con casos concretos, o ser de carácter más general</w:t>
      </w:r>
      <w:r w:rsidR="00147E6A" w:rsidRPr="00465F79">
        <w:rPr>
          <w:rStyle w:val="Refdenotaalpie"/>
          <w:rFonts w:eastAsia="Cambria" w:cs="Cambria"/>
        </w:rPr>
        <w:footnoteReference w:id="24"/>
      </w:r>
      <w:r w:rsidRPr="00465F79">
        <w:rPr>
          <w:rFonts w:eastAsia="Cambria" w:cs="Cambria"/>
          <w:lang w:val="es-ES"/>
        </w:rPr>
        <w:t>.</w:t>
      </w:r>
    </w:p>
    <w:p w14:paraId="41210FF3" w14:textId="77777777" w:rsidR="00A0621D" w:rsidRPr="00465F79" w:rsidRDefault="00A0621D" w:rsidP="00A0621D">
      <w:pPr>
        <w:spacing w:line="240" w:lineRule="auto"/>
        <w:contextualSpacing/>
        <w:rPr>
          <w:rFonts w:eastAsia="Cambria" w:cs="Cambria"/>
          <w:lang w:val="es-ES"/>
        </w:rPr>
      </w:pPr>
    </w:p>
    <w:p w14:paraId="7EA405C6" w14:textId="0600D47B" w:rsidR="00D56CB0" w:rsidRPr="00465F79" w:rsidRDefault="00A0621D" w:rsidP="00D56CB0">
      <w:pPr>
        <w:numPr>
          <w:ilvl w:val="0"/>
          <w:numId w:val="7"/>
        </w:numPr>
        <w:tabs>
          <w:tab w:val="left" w:pos="567"/>
          <w:tab w:val="num" w:pos="1569"/>
          <w:tab w:val="num" w:pos="12305"/>
        </w:tabs>
        <w:spacing w:line="240" w:lineRule="auto"/>
        <w:ind w:left="0" w:firstLine="0"/>
        <w:rPr>
          <w:rFonts w:eastAsia="Cambria" w:cs="Cambria"/>
          <w:lang w:val="es-ES"/>
        </w:rPr>
      </w:pPr>
      <w:r w:rsidRPr="00465F79">
        <w:rPr>
          <w:rFonts w:eastAsia="Cambria" w:cs="Cambria"/>
          <w:lang w:val="es-ES"/>
        </w:rPr>
        <w:t xml:space="preserve">El </w:t>
      </w:r>
      <w:r w:rsidRPr="00465F79">
        <w:rPr>
          <w:lang w:val="es-ES"/>
        </w:rPr>
        <w:t>15</w:t>
      </w:r>
      <w:r w:rsidRPr="00465F79">
        <w:rPr>
          <w:rFonts w:eastAsia="Cambria" w:cs="Cambria"/>
          <w:lang w:val="es-ES"/>
        </w:rPr>
        <w:t xml:space="preserve"> de marzo de 1993 la Comisión de la Verdad emitió </w:t>
      </w:r>
      <w:r w:rsidR="00007D78" w:rsidRPr="00465F79">
        <w:rPr>
          <w:rFonts w:eastAsia="Cambria" w:cs="Cambria"/>
          <w:lang w:val="es-ES"/>
        </w:rPr>
        <w:t>su</w:t>
      </w:r>
      <w:r w:rsidRPr="00465F79">
        <w:rPr>
          <w:rFonts w:eastAsia="Cambria" w:cs="Cambria"/>
          <w:lang w:val="es-ES"/>
        </w:rPr>
        <w:t xml:space="preserve"> Informe mediante el cual describió los patrones de violencia durante el conflicto armado, tanto de agentes estatales como de integrantes del FMLN. </w:t>
      </w:r>
      <w:r w:rsidR="00147E6A" w:rsidRPr="00465F79">
        <w:rPr>
          <w:rFonts w:eastAsia="Cambria" w:cs="Cambria"/>
          <w:lang w:val="es-ES"/>
        </w:rPr>
        <w:t>De las denuncias recibidas por la Comisión de la Verdad</w:t>
      </w:r>
      <w:r w:rsidR="00147E6A" w:rsidRPr="00465F79">
        <w:rPr>
          <w:rStyle w:val="Refdenotaalpie"/>
          <w:rFonts w:eastAsia="Cambria" w:cs="Cambria"/>
        </w:rPr>
        <w:footnoteReference w:id="25"/>
      </w:r>
      <w:r w:rsidR="00147E6A" w:rsidRPr="00465F79">
        <w:rPr>
          <w:rFonts w:eastAsia="Cambria" w:cs="Cambria"/>
          <w:lang w:val="es-ES"/>
        </w:rPr>
        <w:t xml:space="preserve"> “[m]ás de un 60% del total correspond</w:t>
      </w:r>
      <w:r w:rsidR="00E75BCA" w:rsidRPr="00465F79">
        <w:rPr>
          <w:rFonts w:eastAsia="Cambria" w:cs="Cambria"/>
          <w:lang w:val="es-ES"/>
        </w:rPr>
        <w:t>en</w:t>
      </w:r>
      <w:r w:rsidR="00147E6A" w:rsidRPr="00465F79">
        <w:rPr>
          <w:rFonts w:eastAsia="Cambria" w:cs="Cambria"/>
          <w:lang w:val="es-ES"/>
        </w:rPr>
        <w:t xml:space="preserve"> a ejecuciones extrajudiciales; más del 25% a desapariciones forzadas; y más del 20% incluyen denuncias de tortura”. En lo que respecta </w:t>
      </w:r>
      <w:r w:rsidR="00C30128" w:rsidRPr="00465F79">
        <w:rPr>
          <w:rFonts w:eastAsia="Cambria" w:cs="Cambria"/>
          <w:lang w:val="es-ES"/>
        </w:rPr>
        <w:t>a los perpetradores, las denuncias atribuyeron “casi 85% de los casos a los agentes del Estado, a grupos paramilitares aliados de éstos y los escuadrones de la muerte”</w:t>
      </w:r>
      <w:r w:rsidR="00C30128" w:rsidRPr="00465F79">
        <w:rPr>
          <w:rStyle w:val="Refdenotaalpie"/>
          <w:rFonts w:eastAsia="Cambria" w:cs="Cambria"/>
        </w:rPr>
        <w:footnoteReference w:id="26"/>
      </w:r>
      <w:r w:rsidR="00C30128" w:rsidRPr="00465F79">
        <w:rPr>
          <w:rFonts w:eastAsia="Cambria" w:cs="Cambria"/>
          <w:lang w:val="es-ES"/>
        </w:rPr>
        <w:t xml:space="preserve">. </w:t>
      </w:r>
    </w:p>
    <w:p w14:paraId="7D304E7B" w14:textId="77777777" w:rsidR="00D56CB0" w:rsidRPr="00465F79" w:rsidRDefault="00D56CB0" w:rsidP="00D56CB0">
      <w:pPr>
        <w:tabs>
          <w:tab w:val="left" w:pos="567"/>
          <w:tab w:val="num" w:pos="12305"/>
        </w:tabs>
        <w:spacing w:line="240" w:lineRule="auto"/>
        <w:rPr>
          <w:rFonts w:eastAsia="Cambria" w:cs="Cambria"/>
          <w:lang w:val="es-ES"/>
        </w:rPr>
      </w:pPr>
    </w:p>
    <w:p w14:paraId="69839BBA" w14:textId="77777777" w:rsidR="00AD2168" w:rsidRPr="00465F79" w:rsidRDefault="00A33FEB" w:rsidP="005505AE">
      <w:pPr>
        <w:numPr>
          <w:ilvl w:val="0"/>
          <w:numId w:val="7"/>
        </w:numPr>
        <w:tabs>
          <w:tab w:val="left" w:pos="567"/>
          <w:tab w:val="num" w:pos="1569"/>
          <w:tab w:val="num" w:pos="12305"/>
        </w:tabs>
        <w:spacing w:line="240" w:lineRule="auto"/>
        <w:ind w:left="0" w:firstLine="0"/>
        <w:rPr>
          <w:rFonts w:eastAsia="Cambria" w:cs="Cambria"/>
          <w:lang w:val="es-ES"/>
        </w:rPr>
      </w:pPr>
      <w:r w:rsidRPr="00465F79">
        <w:rPr>
          <w:rFonts w:eastAsia="Cambria" w:cs="Cambria"/>
          <w:lang w:val="es-ES"/>
        </w:rPr>
        <w:t xml:space="preserve">La Comisión de la Verdad dividió la etapa examinada (1980-1991) en cuatro periodos: desde 1980 a 1983; 1983 a 1987; 1987 a 1989 y 1989 a 1991. </w:t>
      </w:r>
      <w:r w:rsidR="00E75BCA" w:rsidRPr="00465F79">
        <w:rPr>
          <w:rFonts w:eastAsia="Cambria" w:cs="Cambria"/>
          <w:lang w:val="es-ES"/>
        </w:rPr>
        <w:t>El</w:t>
      </w:r>
      <w:r w:rsidRPr="00465F79">
        <w:rPr>
          <w:rFonts w:eastAsia="Cambria" w:cs="Cambria"/>
          <w:lang w:val="es-ES"/>
        </w:rPr>
        <w:t xml:space="preserve"> periodo desde 1980 a 1983, dentro del cual se enmarcan los hechos de este caso, se denominó “la institucionalización de la violencia”.</w:t>
      </w:r>
      <w:r w:rsidR="005505AE" w:rsidRPr="00465F79">
        <w:rPr>
          <w:rFonts w:eastAsia="Cambria" w:cs="Cambria"/>
          <w:lang w:val="es-ES"/>
        </w:rPr>
        <w:t xml:space="preserve"> </w:t>
      </w:r>
      <w:r w:rsidRPr="00465F79">
        <w:rPr>
          <w:rFonts w:eastAsia="Cambria" w:cs="Cambria"/>
          <w:lang w:val="es-ES"/>
        </w:rPr>
        <w:t xml:space="preserve">Esta etapa se caracterizó por “[l]a instauración de la violencia de manera sistemática, el terror y la desconfianza en la población civil”, así como por “[l]a desarticulación de cualquier movimiento opositor o disidente por medio de detenciones arbitrarias, asesinatos, desaparici[ones] </w:t>
      </w:r>
      <w:r w:rsidR="00282FE6" w:rsidRPr="00465F79">
        <w:rPr>
          <w:rFonts w:eastAsia="Cambria" w:cs="Cambria"/>
          <w:lang w:val="es-ES"/>
        </w:rPr>
        <w:t>selectiva</w:t>
      </w:r>
      <w:r w:rsidRPr="00465F79">
        <w:rPr>
          <w:rFonts w:eastAsia="Cambria" w:cs="Cambria"/>
          <w:lang w:val="es-ES"/>
        </w:rPr>
        <w:t>[s] e indiscriminad[as</w:t>
      </w:r>
      <w:r w:rsidR="00D56CB0" w:rsidRPr="00465F79">
        <w:rPr>
          <w:rFonts w:eastAsia="Cambria" w:cs="Cambria"/>
          <w:lang w:val="es-ES"/>
        </w:rPr>
        <w:t>]</w:t>
      </w:r>
      <w:r w:rsidRPr="00465F79">
        <w:rPr>
          <w:rFonts w:eastAsia="Cambria" w:cs="Cambria"/>
          <w:lang w:val="es-ES"/>
        </w:rPr>
        <w:t>”</w:t>
      </w:r>
      <w:r w:rsidR="00D56CB0" w:rsidRPr="00465F79">
        <w:rPr>
          <w:rStyle w:val="Refdenotaalpie"/>
          <w:rFonts w:eastAsia="Cambria" w:cs="Cambria"/>
        </w:rPr>
        <w:footnoteReference w:id="27"/>
      </w:r>
      <w:r w:rsidR="00D56CB0" w:rsidRPr="00465F79">
        <w:rPr>
          <w:rFonts w:eastAsia="Cambria" w:cs="Cambria"/>
          <w:lang w:val="es-ES"/>
        </w:rPr>
        <w:t xml:space="preserve">. </w:t>
      </w:r>
    </w:p>
    <w:p w14:paraId="093D2EA7" w14:textId="77777777" w:rsidR="00AD2168" w:rsidRPr="00465F79" w:rsidRDefault="00AD2168" w:rsidP="00AD2168">
      <w:pPr>
        <w:tabs>
          <w:tab w:val="left" w:pos="567"/>
        </w:tabs>
        <w:spacing w:line="240" w:lineRule="auto"/>
        <w:rPr>
          <w:rFonts w:eastAsia="Cambria" w:cs="Cambria"/>
          <w:lang w:val="es-ES"/>
        </w:rPr>
      </w:pPr>
    </w:p>
    <w:p w14:paraId="52D46612" w14:textId="524FC64A" w:rsidR="00AD2168" w:rsidRPr="00465F79" w:rsidRDefault="00217E8D" w:rsidP="00AD2168">
      <w:pPr>
        <w:numPr>
          <w:ilvl w:val="0"/>
          <w:numId w:val="7"/>
        </w:numPr>
        <w:tabs>
          <w:tab w:val="left" w:pos="567"/>
          <w:tab w:val="num" w:pos="1569"/>
          <w:tab w:val="num" w:pos="12305"/>
        </w:tabs>
        <w:spacing w:line="240" w:lineRule="auto"/>
        <w:ind w:left="0" w:firstLine="0"/>
        <w:rPr>
          <w:rFonts w:eastAsia="Cambria" w:cs="Cambria"/>
          <w:lang w:val="es-ES"/>
        </w:rPr>
      </w:pPr>
      <w:r w:rsidRPr="00465F79">
        <w:rPr>
          <w:rFonts w:eastAsia="Cambria" w:cs="Cambria"/>
          <w:lang w:val="es-ES"/>
        </w:rPr>
        <w:t>El Tribunal destaca que, e</w:t>
      </w:r>
      <w:r w:rsidR="00263B3A" w:rsidRPr="00465F79">
        <w:rPr>
          <w:rFonts w:eastAsia="Cambria" w:cs="Cambria"/>
          <w:lang w:val="es-ES"/>
        </w:rPr>
        <w:t xml:space="preserve">n </w:t>
      </w:r>
      <w:r w:rsidR="00AD2168" w:rsidRPr="00465F79">
        <w:rPr>
          <w:rFonts w:eastAsia="Cambria" w:cs="Cambria"/>
          <w:lang w:val="es-ES"/>
        </w:rPr>
        <w:t>el marco del conflicto armado</w:t>
      </w:r>
      <w:r w:rsidRPr="00465F79">
        <w:rPr>
          <w:rFonts w:eastAsia="Cambria" w:cs="Cambria"/>
          <w:lang w:val="es-ES"/>
        </w:rPr>
        <w:t>,</w:t>
      </w:r>
      <w:r w:rsidR="00263B3A" w:rsidRPr="00465F79">
        <w:rPr>
          <w:rFonts w:eastAsia="Cambria" w:cs="Cambria"/>
          <w:lang w:val="es-ES"/>
        </w:rPr>
        <w:t xml:space="preserve"> la</w:t>
      </w:r>
      <w:r w:rsidR="00D56CB0" w:rsidRPr="00465F79">
        <w:rPr>
          <w:rFonts w:eastAsia="Cambria" w:cs="Cambria"/>
          <w:lang w:val="es-ES"/>
        </w:rPr>
        <w:t xml:space="preserve"> represión se dirigió</w:t>
      </w:r>
      <w:r w:rsidR="00F174BC">
        <w:rPr>
          <w:rFonts w:eastAsia="Cambria" w:cs="Cambria"/>
          <w:lang w:val="es-ES"/>
        </w:rPr>
        <w:t>, entre otros,</w:t>
      </w:r>
      <w:r w:rsidR="00D56CB0" w:rsidRPr="00465F79">
        <w:rPr>
          <w:rFonts w:eastAsia="Cambria" w:cs="Cambria"/>
          <w:lang w:val="es-ES"/>
        </w:rPr>
        <w:t xml:space="preserve"> contra “organizaciones políticas, gremios y sectores organizados de la sociedad salvadoreña”, produciéndose ataques contra</w:t>
      </w:r>
      <w:r w:rsidR="00B86D46" w:rsidRPr="00465F79">
        <w:rPr>
          <w:rFonts w:eastAsia="Cambria" w:cs="Cambria"/>
          <w:lang w:val="es-ES"/>
        </w:rPr>
        <w:t xml:space="preserve"> personas relacionadas con</w:t>
      </w:r>
      <w:r w:rsidR="00D56CB0" w:rsidRPr="00465F79">
        <w:rPr>
          <w:rFonts w:eastAsia="Cambria" w:cs="Cambria"/>
          <w:lang w:val="es-ES"/>
        </w:rPr>
        <w:t xml:space="preserve"> </w:t>
      </w:r>
      <w:r w:rsidR="00B86D46" w:rsidRPr="00465F79">
        <w:rPr>
          <w:rFonts w:eastAsia="Cambria" w:cs="Cambria"/>
          <w:lang w:val="es-ES"/>
        </w:rPr>
        <w:t>“</w:t>
      </w:r>
      <w:r w:rsidR="00D56CB0" w:rsidRPr="00465F79">
        <w:rPr>
          <w:rFonts w:eastAsia="Cambria" w:cs="Cambria"/>
          <w:lang w:val="es-ES"/>
        </w:rPr>
        <w:t>entidades de derechos humanos”</w:t>
      </w:r>
      <w:r w:rsidR="00D56CB0" w:rsidRPr="00465F79">
        <w:rPr>
          <w:rStyle w:val="Refdenotaalpie"/>
          <w:rFonts w:eastAsia="Cambria" w:cs="Cambria"/>
        </w:rPr>
        <w:footnoteReference w:id="28"/>
      </w:r>
      <w:r w:rsidR="00F04461" w:rsidRPr="00465F79">
        <w:rPr>
          <w:rFonts w:eastAsia="Cambria" w:cs="Cambria"/>
          <w:lang w:val="es-ES"/>
        </w:rPr>
        <w:t>, como la</w:t>
      </w:r>
      <w:r w:rsidR="00533E2D" w:rsidRPr="00465F79">
        <w:rPr>
          <w:rFonts w:eastAsia="Cambria" w:cs="Cambria"/>
          <w:lang w:val="es-ES"/>
        </w:rPr>
        <w:t xml:space="preserve"> institución jesuita</w:t>
      </w:r>
      <w:r w:rsidR="00F04461" w:rsidRPr="00465F79">
        <w:rPr>
          <w:rFonts w:eastAsia="Cambria" w:cs="Cambria"/>
          <w:lang w:val="es-ES"/>
        </w:rPr>
        <w:t xml:space="preserve"> </w:t>
      </w:r>
      <w:r w:rsidR="00533E2D" w:rsidRPr="00465F79">
        <w:rPr>
          <w:rFonts w:eastAsia="Cambria" w:cs="Cambria"/>
          <w:lang w:val="es-ES"/>
        </w:rPr>
        <w:t>O</w:t>
      </w:r>
      <w:r w:rsidR="00F04461" w:rsidRPr="00465F79">
        <w:rPr>
          <w:rFonts w:eastAsia="Cambria" w:cs="Cambria"/>
          <w:lang w:val="es-ES"/>
        </w:rPr>
        <w:t>ficina para el Socorro Jurídico del Arzobispado de El Salvador</w:t>
      </w:r>
      <w:r w:rsidR="00720F91" w:rsidRPr="00465F79">
        <w:rPr>
          <w:rStyle w:val="Refdenotaalpie"/>
          <w:rFonts w:eastAsia="Cambria" w:cs="Cambria"/>
        </w:rPr>
        <w:footnoteReference w:id="29"/>
      </w:r>
      <w:r w:rsidR="00720F91" w:rsidRPr="00465F79">
        <w:rPr>
          <w:rFonts w:eastAsia="Cambria" w:cs="Cambria"/>
          <w:lang w:val="es-ES"/>
        </w:rPr>
        <w:t xml:space="preserve"> (en adelante </w:t>
      </w:r>
      <w:r w:rsidR="00D21B25" w:rsidRPr="00465F79">
        <w:rPr>
          <w:rFonts w:eastAsia="Cambria" w:cs="Cambria"/>
          <w:lang w:val="es-ES"/>
        </w:rPr>
        <w:t>“</w:t>
      </w:r>
      <w:r w:rsidR="00720F91" w:rsidRPr="00465F79">
        <w:rPr>
          <w:rFonts w:eastAsia="Cambria" w:cs="Cambria"/>
          <w:lang w:val="es-ES"/>
        </w:rPr>
        <w:t xml:space="preserve">la </w:t>
      </w:r>
      <w:r w:rsidR="00533E2D" w:rsidRPr="00465F79">
        <w:rPr>
          <w:rFonts w:eastAsia="Cambria" w:cs="Cambria"/>
          <w:lang w:val="es-ES"/>
        </w:rPr>
        <w:t>O</w:t>
      </w:r>
      <w:r w:rsidR="00720F91" w:rsidRPr="00465F79">
        <w:rPr>
          <w:rFonts w:eastAsia="Cambria" w:cs="Cambria"/>
          <w:lang w:val="es-ES"/>
        </w:rPr>
        <w:t>ficina del Socorro Jurídico”)</w:t>
      </w:r>
      <w:r w:rsidR="00AD2168" w:rsidRPr="00465F79">
        <w:rPr>
          <w:rFonts w:eastAsia="Cambria" w:cs="Cambria"/>
          <w:lang w:val="es-ES"/>
        </w:rPr>
        <w:t>, y la Universidad Centroamericana</w:t>
      </w:r>
      <w:r w:rsidR="00AD2168" w:rsidRPr="00465F79">
        <w:rPr>
          <w:rStyle w:val="Refdenotaalpie"/>
          <w:rFonts w:eastAsia="Cambria" w:cs="Cambria"/>
        </w:rPr>
        <w:footnoteReference w:id="30"/>
      </w:r>
      <w:r w:rsidR="00AD2168" w:rsidRPr="00465F79">
        <w:rPr>
          <w:rFonts w:eastAsia="Cambria" w:cs="Cambria"/>
          <w:lang w:val="es-ES"/>
        </w:rPr>
        <w:t xml:space="preserve"> (UCA).</w:t>
      </w:r>
    </w:p>
    <w:p w14:paraId="2C4FF15D" w14:textId="77777777" w:rsidR="00AD2168" w:rsidRPr="00465F79" w:rsidRDefault="00AD2168" w:rsidP="00AD2168">
      <w:pPr>
        <w:tabs>
          <w:tab w:val="left" w:pos="567"/>
        </w:tabs>
        <w:spacing w:line="240" w:lineRule="auto"/>
        <w:rPr>
          <w:rFonts w:eastAsia="Cambria" w:cs="Cambria"/>
          <w:lang w:val="es-ES"/>
        </w:rPr>
      </w:pPr>
    </w:p>
    <w:p w14:paraId="5AD9AFF3" w14:textId="02A9F53E" w:rsidR="00B64F06" w:rsidRPr="00465F79" w:rsidRDefault="003B4ED2" w:rsidP="00AD2168">
      <w:pPr>
        <w:numPr>
          <w:ilvl w:val="0"/>
          <w:numId w:val="7"/>
        </w:numPr>
        <w:tabs>
          <w:tab w:val="left" w:pos="567"/>
          <w:tab w:val="num" w:pos="1569"/>
          <w:tab w:val="num" w:pos="12305"/>
        </w:tabs>
        <w:spacing w:line="240" w:lineRule="auto"/>
        <w:ind w:left="0" w:firstLine="0"/>
        <w:rPr>
          <w:rFonts w:eastAsia="Cambria" w:cs="Cambria"/>
          <w:lang w:val="es-ES"/>
        </w:rPr>
      </w:pPr>
      <w:r w:rsidRPr="00465F79">
        <w:rPr>
          <w:rFonts w:eastAsia="Cambria" w:cs="Cambria"/>
          <w:lang w:val="es-ES"/>
        </w:rPr>
        <w:t>Para</w:t>
      </w:r>
      <w:r w:rsidR="00967935" w:rsidRPr="00465F79">
        <w:rPr>
          <w:rFonts w:eastAsia="Cambria" w:cs="Cambria"/>
          <w:lang w:val="es-ES"/>
        </w:rPr>
        <w:t xml:space="preserve"> 1980, la actividad </w:t>
      </w:r>
      <w:r w:rsidRPr="00465F79">
        <w:rPr>
          <w:rFonts w:eastAsia="Cambria" w:cs="Cambria"/>
          <w:lang w:val="es-ES"/>
        </w:rPr>
        <w:t xml:space="preserve">de la </w:t>
      </w:r>
      <w:r w:rsidR="00533E2D" w:rsidRPr="00465F79">
        <w:rPr>
          <w:rFonts w:eastAsia="Cambria" w:cs="Cambria"/>
          <w:lang w:val="es-ES"/>
        </w:rPr>
        <w:t>O</w:t>
      </w:r>
      <w:r w:rsidR="00967935" w:rsidRPr="00465F79">
        <w:rPr>
          <w:rFonts w:eastAsia="Cambria" w:cs="Cambria"/>
          <w:lang w:val="es-ES"/>
        </w:rPr>
        <w:t xml:space="preserve">ficina del </w:t>
      </w:r>
      <w:r w:rsidR="00720F91" w:rsidRPr="00465F79">
        <w:rPr>
          <w:rFonts w:eastAsia="Cambria" w:cs="Cambria"/>
          <w:lang w:val="es-ES"/>
        </w:rPr>
        <w:t xml:space="preserve">Socorro Jurídico </w:t>
      </w:r>
      <w:r w:rsidR="00967935" w:rsidRPr="00465F79">
        <w:rPr>
          <w:rFonts w:eastAsia="Cambria" w:cs="Cambria"/>
          <w:lang w:val="es-ES"/>
        </w:rPr>
        <w:t>se había visto “incrementada apreciablemente” debido al “caudal normal de gente que venía a solicitar ayuda”, y al hecho de que “otras entidades que cumplían tareas similares habían cerrado sus puertas por el clima de terror que imperaba”</w:t>
      </w:r>
      <w:r w:rsidR="00967935" w:rsidRPr="00465F79">
        <w:rPr>
          <w:rStyle w:val="Refdenotaalpie"/>
          <w:rFonts w:eastAsia="Cambria" w:cs="Cambria"/>
        </w:rPr>
        <w:footnoteReference w:id="31"/>
      </w:r>
      <w:r w:rsidR="00967935" w:rsidRPr="00465F79">
        <w:rPr>
          <w:rFonts w:eastAsia="Cambria" w:cs="Cambria"/>
          <w:lang w:val="es-ES"/>
        </w:rPr>
        <w:t xml:space="preserve">. En marzo de 1980 se produjo el asesinato de Monseñor </w:t>
      </w:r>
      <w:r w:rsidR="00F04461" w:rsidRPr="00465F79">
        <w:rPr>
          <w:rFonts w:eastAsia="Cambria" w:cs="Cambria"/>
          <w:lang w:val="es-ES"/>
        </w:rPr>
        <w:t>Ó</w:t>
      </w:r>
      <w:r w:rsidR="00967935" w:rsidRPr="00465F79">
        <w:rPr>
          <w:rFonts w:eastAsia="Cambria" w:cs="Cambria"/>
          <w:lang w:val="es-ES"/>
        </w:rPr>
        <w:t>scar Arnulfo Romero y Galdámez</w:t>
      </w:r>
      <w:r w:rsidR="00001EFC">
        <w:rPr>
          <w:rFonts w:eastAsia="Cambria" w:cs="Cambria"/>
          <w:lang w:val="es-ES"/>
        </w:rPr>
        <w:t xml:space="preserve"> (en adelante “Monseñor Romero”)</w:t>
      </w:r>
      <w:r w:rsidR="00967935" w:rsidRPr="00465F79">
        <w:rPr>
          <w:rFonts w:eastAsia="Cambria" w:cs="Cambria"/>
          <w:lang w:val="es-ES"/>
        </w:rPr>
        <w:t xml:space="preserve">, quien, de acuerdo con la Comisión de la Verdad, realizaba “homilías que irritaban profundamente </w:t>
      </w:r>
      <w:r w:rsidR="00001EFC" w:rsidRPr="00465F79">
        <w:rPr>
          <w:rFonts w:eastAsia="Cambria" w:cs="Cambria"/>
          <w:lang w:val="es-ES"/>
        </w:rPr>
        <w:t>[</w:t>
      </w:r>
      <w:r w:rsidR="00967935" w:rsidRPr="00465F79">
        <w:rPr>
          <w:rFonts w:eastAsia="Cambria" w:cs="Cambria"/>
          <w:lang w:val="es-ES"/>
        </w:rPr>
        <w:t>a</w:t>
      </w:r>
      <w:r w:rsidR="00001EFC">
        <w:rPr>
          <w:rFonts w:eastAsia="Cambria" w:cs="Cambria"/>
          <w:lang w:val="es-ES"/>
        </w:rPr>
        <w:t xml:space="preserve"> </w:t>
      </w:r>
      <w:r w:rsidR="00967935" w:rsidRPr="00465F79">
        <w:rPr>
          <w:rFonts w:eastAsia="Cambria" w:cs="Cambria"/>
          <w:lang w:val="es-ES"/>
        </w:rPr>
        <w:t xml:space="preserve">los] círculos [civiles y militares] por cuanto incluían recuentos de hechos de violaciones a los derechos humanos, fruto del trabajo de la oficina del Socorro </w:t>
      </w:r>
      <w:r w:rsidR="00967935" w:rsidRPr="00C25D51">
        <w:rPr>
          <w:rFonts w:eastAsia="Cambria" w:cs="Cambria"/>
          <w:lang w:val="es-ES"/>
        </w:rPr>
        <w:t>Jurídico del Arzobispado</w:t>
      </w:r>
      <w:r w:rsidR="00967935" w:rsidRPr="00465F79">
        <w:rPr>
          <w:rFonts w:eastAsia="Cambria" w:cs="Cambria"/>
          <w:lang w:val="es-ES"/>
        </w:rPr>
        <w:t>”</w:t>
      </w:r>
      <w:r w:rsidR="00967935" w:rsidRPr="00465F79">
        <w:rPr>
          <w:rStyle w:val="Refdenotaalpie"/>
          <w:rFonts w:eastAsia="Cambria" w:cs="Cambria"/>
        </w:rPr>
        <w:footnoteReference w:id="32"/>
      </w:r>
      <w:r w:rsidR="00967935" w:rsidRPr="00465F79">
        <w:rPr>
          <w:rFonts w:eastAsia="Cambria" w:cs="Cambria"/>
          <w:lang w:val="es-ES"/>
        </w:rPr>
        <w:t>.</w:t>
      </w:r>
      <w:r w:rsidR="004E0487" w:rsidRPr="00465F79">
        <w:rPr>
          <w:rFonts w:eastAsia="Cambria" w:cs="Cambria"/>
          <w:lang w:val="es-ES"/>
        </w:rPr>
        <w:t xml:space="preserve"> </w:t>
      </w:r>
    </w:p>
    <w:p w14:paraId="30BEED04" w14:textId="3766BE1F" w:rsidR="00076DD7" w:rsidRPr="00F566ED" w:rsidRDefault="00EF555C" w:rsidP="00A12976">
      <w:pPr>
        <w:pStyle w:val="Ttulo2"/>
      </w:pPr>
      <w:bookmarkStart w:id="40" w:name="_Toc165022611"/>
      <w:r w:rsidRPr="00F566ED">
        <w:t>Sobre Patricia Emilie Cuéllar Sandoval y su trabajo en la oficina del Socorro Jurídico Cristiano</w:t>
      </w:r>
      <w:bookmarkEnd w:id="40"/>
    </w:p>
    <w:p w14:paraId="34C87328" w14:textId="59FE9CC8" w:rsidR="00001EFC" w:rsidRPr="00F566ED" w:rsidRDefault="00001EFC" w:rsidP="00001EFC">
      <w:pPr>
        <w:numPr>
          <w:ilvl w:val="0"/>
          <w:numId w:val="7"/>
        </w:numPr>
        <w:tabs>
          <w:tab w:val="left" w:pos="567"/>
          <w:tab w:val="num" w:pos="1569"/>
          <w:tab w:val="num" w:pos="12305"/>
        </w:tabs>
        <w:spacing w:line="240" w:lineRule="auto"/>
        <w:ind w:left="0" w:firstLine="0"/>
        <w:rPr>
          <w:bCs/>
        </w:rPr>
      </w:pPr>
      <w:r w:rsidRPr="00F566ED">
        <w:rPr>
          <w:bCs/>
        </w:rPr>
        <w:t xml:space="preserve">Patricia Emilie Cuéllar Sandoval (en adelante “la señora Cuéllar Sandoval”), ciudadana estadounidense y salvadoreña, estudió </w:t>
      </w:r>
      <w:r w:rsidRPr="00F566ED">
        <w:rPr>
          <w:rFonts w:eastAsia="Cambria" w:cs="Cambria"/>
          <w:lang w:val="es-ES"/>
        </w:rPr>
        <w:t>sociología</w:t>
      </w:r>
      <w:r w:rsidRPr="00F566ED">
        <w:rPr>
          <w:bCs/>
        </w:rPr>
        <w:t xml:space="preserve"> en la Universidad Centroamericana</w:t>
      </w:r>
      <w:r>
        <w:rPr>
          <w:bCs/>
        </w:rPr>
        <w:t xml:space="preserve"> “José Simeón Cañas”</w:t>
      </w:r>
      <w:r w:rsidRPr="00F566ED">
        <w:rPr>
          <w:bCs/>
        </w:rPr>
        <w:t>. Desde 1975 fue colaboradora activa de movimientos cristianos</w:t>
      </w:r>
      <w:r>
        <w:rPr>
          <w:bCs/>
        </w:rPr>
        <w:t xml:space="preserve"> de la iglesia católica</w:t>
      </w:r>
      <w:r w:rsidRPr="00F566ED">
        <w:rPr>
          <w:bCs/>
        </w:rPr>
        <w:t xml:space="preserve"> y se desempeñó como secretaria de la Oficina del Socorro Jurídico entre 1979 y 1980, en tiempos de Monseñor Romero</w:t>
      </w:r>
      <w:r w:rsidRPr="00F566ED">
        <w:rPr>
          <w:rStyle w:val="Refdenotaalpie"/>
          <w:bCs/>
        </w:rPr>
        <w:footnoteReference w:id="33"/>
      </w:r>
      <w:r w:rsidRPr="00F566ED">
        <w:rPr>
          <w:bCs/>
        </w:rPr>
        <w:t>. Dicha institución, fundada en 1975, tenía como objeto defender los derechos humanos de la población más vulnerable</w:t>
      </w:r>
      <w:r w:rsidRPr="00F566ED">
        <w:rPr>
          <w:rStyle w:val="Refdenotaalpie"/>
          <w:bCs/>
        </w:rPr>
        <w:footnoteReference w:id="34"/>
      </w:r>
      <w:r w:rsidRPr="00F566ED">
        <w:rPr>
          <w:bCs/>
        </w:rPr>
        <w:t xml:space="preserve">. Desde que la señora Cuéllar inició su labor en la Oficina del Socorro Jurídico comenzó a ser </w:t>
      </w:r>
      <w:r>
        <w:rPr>
          <w:bCs/>
        </w:rPr>
        <w:t>víctima</w:t>
      </w:r>
      <w:r w:rsidRPr="00F566ED">
        <w:rPr>
          <w:bCs/>
        </w:rPr>
        <w:t xml:space="preserve"> de persecución a manos de agentes estatales.</w:t>
      </w:r>
    </w:p>
    <w:p w14:paraId="4CC53F4B" w14:textId="77777777" w:rsidR="00A12976" w:rsidRPr="00F566ED" w:rsidRDefault="00A12976" w:rsidP="00A12976">
      <w:pPr>
        <w:tabs>
          <w:tab w:val="left" w:pos="567"/>
        </w:tabs>
        <w:spacing w:line="240" w:lineRule="auto"/>
        <w:rPr>
          <w:b/>
        </w:rPr>
      </w:pPr>
    </w:p>
    <w:p w14:paraId="444ADCB5" w14:textId="0389BBD1" w:rsidR="00F30D08" w:rsidRPr="00465F79" w:rsidRDefault="0005487F" w:rsidP="00A0621D">
      <w:pPr>
        <w:numPr>
          <w:ilvl w:val="0"/>
          <w:numId w:val="7"/>
        </w:numPr>
        <w:tabs>
          <w:tab w:val="left" w:pos="567"/>
          <w:tab w:val="num" w:pos="1569"/>
          <w:tab w:val="num" w:pos="12305"/>
        </w:tabs>
        <w:spacing w:line="240" w:lineRule="auto"/>
        <w:ind w:left="0" w:firstLine="0"/>
        <w:rPr>
          <w:b/>
        </w:rPr>
      </w:pPr>
      <w:r w:rsidRPr="00F566ED">
        <w:rPr>
          <w:bCs/>
        </w:rPr>
        <w:t>Así, e</w:t>
      </w:r>
      <w:r w:rsidR="00A0621D" w:rsidRPr="00F566ED">
        <w:rPr>
          <w:bCs/>
        </w:rPr>
        <w:t>ntre</w:t>
      </w:r>
      <w:r w:rsidR="00A0621D" w:rsidRPr="00465F79">
        <w:rPr>
          <w:bCs/>
        </w:rPr>
        <w:t xml:space="preserve"> agosto y septiembre de 1978</w:t>
      </w:r>
      <w:r w:rsidR="00F30D08" w:rsidRPr="00465F79">
        <w:rPr>
          <w:bCs/>
        </w:rPr>
        <w:t>,</w:t>
      </w:r>
      <w:r w:rsidR="00A0621D" w:rsidRPr="00465F79">
        <w:rPr>
          <w:bCs/>
        </w:rPr>
        <w:t xml:space="preserve"> aproximadamente 50 agentes de la Policía Nacional, vestidos de civiles y fuertemente armados, allanaron la casa de la señora Cuéllar Sandoval</w:t>
      </w:r>
      <w:r w:rsidR="00B916CB" w:rsidRPr="00465F79">
        <w:rPr>
          <w:bCs/>
        </w:rPr>
        <w:t>,</w:t>
      </w:r>
      <w:r w:rsidR="00A0621D" w:rsidRPr="00465F79">
        <w:rPr>
          <w:bCs/>
        </w:rPr>
        <w:t xml:space="preserve"> </w:t>
      </w:r>
      <w:r w:rsidR="00F30D08" w:rsidRPr="00465F79">
        <w:rPr>
          <w:bCs/>
        </w:rPr>
        <w:t xml:space="preserve">ubicada en </w:t>
      </w:r>
      <w:r w:rsidR="00A0621D" w:rsidRPr="00465F79">
        <w:rPr>
          <w:bCs/>
        </w:rPr>
        <w:t>Colonia Pinares de Monserrat</w:t>
      </w:r>
      <w:r w:rsidR="00F30D08" w:rsidRPr="00465F79">
        <w:rPr>
          <w:bCs/>
        </w:rPr>
        <w:t>, en San Salvador</w:t>
      </w:r>
      <w:r w:rsidR="008653D7" w:rsidRPr="00465F79">
        <w:rPr>
          <w:bCs/>
        </w:rPr>
        <w:t>, y registraron las habitaciones</w:t>
      </w:r>
      <w:r w:rsidR="00A0621D" w:rsidRPr="00465F79">
        <w:rPr>
          <w:bCs/>
        </w:rPr>
        <w:t>.</w:t>
      </w:r>
      <w:r w:rsidR="00A0621D" w:rsidRPr="00465F79">
        <w:rPr>
          <w:b/>
        </w:rPr>
        <w:t xml:space="preserve"> </w:t>
      </w:r>
      <w:r w:rsidR="00F30D08" w:rsidRPr="00465F79">
        <w:rPr>
          <w:bCs/>
        </w:rPr>
        <w:t xml:space="preserve">Posteriormente, </w:t>
      </w:r>
      <w:r w:rsidR="008653D7" w:rsidRPr="00465F79">
        <w:rPr>
          <w:bCs/>
        </w:rPr>
        <w:t>interrogaron</w:t>
      </w:r>
      <w:r w:rsidR="00F30D08" w:rsidRPr="00465F79">
        <w:rPr>
          <w:bCs/>
        </w:rPr>
        <w:t xml:space="preserve"> a la señora Cuéllar Sandoval</w:t>
      </w:r>
      <w:r w:rsidR="008653D7" w:rsidRPr="00465F79">
        <w:rPr>
          <w:bCs/>
        </w:rPr>
        <w:t xml:space="preserve"> y le tomaron fotografías</w:t>
      </w:r>
      <w:r w:rsidR="00F30D08" w:rsidRPr="00465F79">
        <w:rPr>
          <w:rStyle w:val="Refdenotaalpie"/>
          <w:bCs/>
        </w:rPr>
        <w:footnoteReference w:id="35"/>
      </w:r>
      <w:r w:rsidR="00F30D08" w:rsidRPr="00465F79">
        <w:rPr>
          <w:bCs/>
        </w:rPr>
        <w:t>.</w:t>
      </w:r>
      <w:r w:rsidR="008653D7" w:rsidRPr="00465F79">
        <w:rPr>
          <w:bCs/>
        </w:rPr>
        <w:t xml:space="preserve"> </w:t>
      </w:r>
    </w:p>
    <w:p w14:paraId="72C1DB99" w14:textId="77777777" w:rsidR="00F30D08" w:rsidRPr="00465F79" w:rsidRDefault="00F30D08" w:rsidP="00F30D08">
      <w:pPr>
        <w:tabs>
          <w:tab w:val="left" w:pos="567"/>
        </w:tabs>
        <w:spacing w:line="240" w:lineRule="auto"/>
        <w:rPr>
          <w:b/>
        </w:rPr>
      </w:pPr>
    </w:p>
    <w:p w14:paraId="7BD4E13E" w14:textId="10AFFF0B" w:rsidR="00A0621D" w:rsidRPr="00465F79" w:rsidRDefault="00A0621D" w:rsidP="00A0621D">
      <w:pPr>
        <w:numPr>
          <w:ilvl w:val="0"/>
          <w:numId w:val="7"/>
        </w:numPr>
        <w:tabs>
          <w:tab w:val="left" w:pos="567"/>
          <w:tab w:val="num" w:pos="1569"/>
          <w:tab w:val="num" w:pos="12305"/>
        </w:tabs>
        <w:spacing w:line="240" w:lineRule="auto"/>
        <w:ind w:left="0" w:firstLine="0"/>
        <w:rPr>
          <w:b/>
        </w:rPr>
      </w:pPr>
      <w:r w:rsidRPr="00465F79">
        <w:rPr>
          <w:bCs/>
        </w:rPr>
        <w:t xml:space="preserve">El 5 de julio de 1980 cuerpos de seguridad y las Fuerzas Armadas allanaron </w:t>
      </w:r>
      <w:r w:rsidR="00D34899" w:rsidRPr="00465F79">
        <w:rPr>
          <w:bCs/>
        </w:rPr>
        <w:t xml:space="preserve">la Oficina del Socorro Jurídico </w:t>
      </w:r>
      <w:r w:rsidR="008653D7" w:rsidRPr="00465F79">
        <w:rPr>
          <w:rStyle w:val="Refdenotaalpie"/>
          <w:bCs/>
        </w:rPr>
        <w:footnoteReference w:id="36"/>
      </w:r>
      <w:r w:rsidRPr="00465F79">
        <w:rPr>
          <w:bCs/>
        </w:rPr>
        <w:t xml:space="preserve">. En el informe </w:t>
      </w:r>
      <w:r w:rsidR="00B63238" w:rsidRPr="00465F79">
        <w:rPr>
          <w:bCs/>
        </w:rPr>
        <w:t>elaborado por autoridades policiales</w:t>
      </w:r>
      <w:r w:rsidR="00F174BC">
        <w:rPr>
          <w:bCs/>
        </w:rPr>
        <w:t>,</w:t>
      </w:r>
      <w:r w:rsidRPr="00465F79">
        <w:rPr>
          <w:bCs/>
        </w:rPr>
        <w:t xml:space="preserve"> </w:t>
      </w:r>
      <w:r w:rsidR="0002730F" w:rsidRPr="00465F79">
        <w:rPr>
          <w:bCs/>
        </w:rPr>
        <w:t xml:space="preserve">los </w:t>
      </w:r>
      <w:r w:rsidR="0002730F" w:rsidRPr="00465F79">
        <w:rPr>
          <w:bCs/>
        </w:rPr>
        <w:lastRenderedPageBreak/>
        <w:t xml:space="preserve">miembros de </w:t>
      </w:r>
      <w:r w:rsidR="00D34899">
        <w:rPr>
          <w:bCs/>
        </w:rPr>
        <w:t>dicha</w:t>
      </w:r>
      <w:r w:rsidR="0002730F" w:rsidRPr="00465F79">
        <w:rPr>
          <w:bCs/>
        </w:rPr>
        <w:t xml:space="preserve"> Oficina fueron</w:t>
      </w:r>
      <w:r w:rsidRPr="00465F79">
        <w:rPr>
          <w:bCs/>
        </w:rPr>
        <w:t xml:space="preserve"> califica</w:t>
      </w:r>
      <w:r w:rsidR="0002730F" w:rsidRPr="00465F79">
        <w:rPr>
          <w:bCs/>
        </w:rPr>
        <w:t xml:space="preserve">dos </w:t>
      </w:r>
      <w:r w:rsidRPr="00465F79">
        <w:rPr>
          <w:bCs/>
        </w:rPr>
        <w:t>como “subversivos”</w:t>
      </w:r>
      <w:r w:rsidR="008653D7" w:rsidRPr="00465F79">
        <w:rPr>
          <w:rStyle w:val="Refdenotaalpie"/>
          <w:bCs/>
        </w:rPr>
        <w:footnoteReference w:id="37"/>
      </w:r>
      <w:r w:rsidRPr="00465F79">
        <w:rPr>
          <w:bCs/>
        </w:rPr>
        <w:t xml:space="preserve">. </w:t>
      </w:r>
      <w:r w:rsidR="009E2719" w:rsidRPr="00465F79">
        <w:rPr>
          <w:bCs/>
        </w:rPr>
        <w:t>Este</w:t>
      </w:r>
      <w:r w:rsidRPr="00465F79">
        <w:rPr>
          <w:bCs/>
        </w:rPr>
        <w:t xml:space="preserve"> </w:t>
      </w:r>
      <w:r w:rsidR="00B63238" w:rsidRPr="00465F79">
        <w:rPr>
          <w:bCs/>
        </w:rPr>
        <w:t>hecho</w:t>
      </w:r>
      <w:r w:rsidRPr="00465F79">
        <w:rPr>
          <w:bCs/>
        </w:rPr>
        <w:t xml:space="preserve"> </w:t>
      </w:r>
      <w:r w:rsidR="00B63238" w:rsidRPr="00465F79">
        <w:rPr>
          <w:bCs/>
        </w:rPr>
        <w:t>motivó</w:t>
      </w:r>
      <w:r w:rsidRPr="00465F79">
        <w:rPr>
          <w:bCs/>
        </w:rPr>
        <w:t xml:space="preserve"> a la señora Cuéllar Sandoval a renunciar a su cargo en la </w:t>
      </w:r>
      <w:r w:rsidR="00B63238" w:rsidRPr="00465F79">
        <w:rPr>
          <w:bCs/>
        </w:rPr>
        <w:t>o</w:t>
      </w:r>
      <w:r w:rsidRPr="00465F79">
        <w:rPr>
          <w:bCs/>
        </w:rPr>
        <w:t>ficina del Socorro Jurídico</w:t>
      </w:r>
      <w:r w:rsidR="00B63238" w:rsidRPr="00465F79">
        <w:rPr>
          <w:rStyle w:val="Refdenotaalpie"/>
          <w:rFonts w:eastAsia="Batang"/>
          <w:bCs/>
          <w:lang w:val="es-CR"/>
        </w:rPr>
        <w:footnoteReference w:id="38"/>
      </w:r>
      <w:r w:rsidRPr="00465F79">
        <w:rPr>
          <w:bCs/>
        </w:rPr>
        <w:t xml:space="preserve">. </w:t>
      </w:r>
    </w:p>
    <w:p w14:paraId="67C8B9D5" w14:textId="77777777" w:rsidR="00A12976" w:rsidRPr="00A12976" w:rsidRDefault="00A12976" w:rsidP="00A12976">
      <w:pPr>
        <w:tabs>
          <w:tab w:val="left" w:pos="567"/>
        </w:tabs>
        <w:spacing w:line="240" w:lineRule="auto"/>
        <w:rPr>
          <w:b/>
        </w:rPr>
      </w:pPr>
    </w:p>
    <w:p w14:paraId="7ADFBF7F" w14:textId="0832B92C" w:rsidR="00A0621D" w:rsidRPr="00F566ED" w:rsidRDefault="00BB13DE" w:rsidP="00A03E1F">
      <w:pPr>
        <w:numPr>
          <w:ilvl w:val="0"/>
          <w:numId w:val="7"/>
        </w:numPr>
        <w:tabs>
          <w:tab w:val="left" w:pos="567"/>
          <w:tab w:val="num" w:pos="1569"/>
          <w:tab w:val="num" w:pos="12305"/>
        </w:tabs>
        <w:autoSpaceDE w:val="0"/>
        <w:autoSpaceDN w:val="0"/>
        <w:spacing w:line="240" w:lineRule="auto"/>
        <w:ind w:left="0" w:firstLine="0"/>
        <w:rPr>
          <w:b/>
        </w:rPr>
      </w:pPr>
      <w:r w:rsidRPr="0005487F">
        <w:rPr>
          <w:bCs/>
        </w:rPr>
        <w:t>E</w:t>
      </w:r>
      <w:r w:rsidR="00C25D51" w:rsidRPr="0005487F">
        <w:rPr>
          <w:bCs/>
        </w:rPr>
        <w:t xml:space="preserve">l 18 de marzo de </w:t>
      </w:r>
      <w:r w:rsidR="00A0621D" w:rsidRPr="0005487F">
        <w:rPr>
          <w:bCs/>
        </w:rPr>
        <w:t>1981</w:t>
      </w:r>
      <w:r w:rsidR="009E2719" w:rsidRPr="0005487F">
        <w:rPr>
          <w:bCs/>
        </w:rPr>
        <w:t>, aproximadamente a las 23:00 horas</w:t>
      </w:r>
      <w:r w:rsidR="00B83294" w:rsidRPr="0005487F">
        <w:rPr>
          <w:bCs/>
        </w:rPr>
        <w:t xml:space="preserve">, </w:t>
      </w:r>
      <w:r w:rsidR="00A0621D" w:rsidRPr="0005487F">
        <w:rPr>
          <w:bCs/>
        </w:rPr>
        <w:t xml:space="preserve">miembros del </w:t>
      </w:r>
      <w:r w:rsidR="009E2719" w:rsidRPr="0005487F">
        <w:rPr>
          <w:bCs/>
        </w:rPr>
        <w:t>e</w:t>
      </w:r>
      <w:r w:rsidR="00A0621D" w:rsidRPr="0005487F">
        <w:rPr>
          <w:bCs/>
        </w:rPr>
        <w:t xml:space="preserve">jército allanaron y registraron la casa </w:t>
      </w:r>
      <w:r w:rsidR="00E95B31" w:rsidRPr="0005487F">
        <w:rPr>
          <w:bCs/>
        </w:rPr>
        <w:t>a donde la</w:t>
      </w:r>
      <w:r w:rsidR="009E2719" w:rsidRPr="0005487F">
        <w:rPr>
          <w:bCs/>
        </w:rPr>
        <w:t xml:space="preserve"> señora </w:t>
      </w:r>
      <w:r w:rsidR="00A0621D" w:rsidRPr="0005487F">
        <w:rPr>
          <w:bCs/>
        </w:rPr>
        <w:t>Cuéllar Sandova</w:t>
      </w:r>
      <w:r w:rsidR="009E2719" w:rsidRPr="0005487F">
        <w:rPr>
          <w:bCs/>
        </w:rPr>
        <w:t>l</w:t>
      </w:r>
      <w:r w:rsidR="00E95B31" w:rsidRPr="0005487F">
        <w:rPr>
          <w:bCs/>
        </w:rPr>
        <w:t xml:space="preserve"> se había trasladado, ubicada en la 5</w:t>
      </w:r>
      <w:r w:rsidR="00E95B31" w:rsidRPr="0005487F">
        <w:rPr>
          <w:bCs/>
          <w:vertAlign w:val="superscript"/>
        </w:rPr>
        <w:t xml:space="preserve">a </w:t>
      </w:r>
      <w:r w:rsidR="00E95B31" w:rsidRPr="0005487F">
        <w:rPr>
          <w:bCs/>
        </w:rPr>
        <w:t>Avenida norte, Pasaje Venecia</w:t>
      </w:r>
      <w:r w:rsidR="006B7286" w:rsidRPr="0005487F">
        <w:rPr>
          <w:bCs/>
        </w:rPr>
        <w:t>,</w:t>
      </w:r>
      <w:r w:rsidR="00E95B31" w:rsidRPr="0005487F">
        <w:rPr>
          <w:bCs/>
        </w:rPr>
        <w:t xml:space="preserve"> en San Salvador</w:t>
      </w:r>
      <w:r w:rsidR="00323E13" w:rsidRPr="0029228F">
        <w:rPr>
          <w:rStyle w:val="Refdenotaalpie"/>
          <w:bCs/>
        </w:rPr>
        <w:footnoteReference w:id="39"/>
      </w:r>
      <w:r w:rsidR="00E95B31" w:rsidRPr="0005487F">
        <w:rPr>
          <w:bCs/>
        </w:rPr>
        <w:t>.</w:t>
      </w:r>
      <w:r w:rsidR="00E95B31" w:rsidRPr="0005487F">
        <w:rPr>
          <w:b/>
        </w:rPr>
        <w:t xml:space="preserve"> </w:t>
      </w:r>
      <w:r w:rsidR="00D465F2" w:rsidRPr="0005487F">
        <w:rPr>
          <w:rFonts w:eastAsiaTheme="minorHAnsi" w:cs="Cambria"/>
          <w:lang w:eastAsia="en-US"/>
        </w:rPr>
        <w:t xml:space="preserve">Sobre este hecho particular, el señor Francisco Alfredo Álvarez Solís declaró ante esta </w:t>
      </w:r>
      <w:r w:rsidR="00D465F2" w:rsidRPr="0005487F">
        <w:rPr>
          <w:bCs/>
        </w:rPr>
        <w:t>Corte</w:t>
      </w:r>
      <w:r w:rsidR="00D465F2" w:rsidRPr="0005487F">
        <w:rPr>
          <w:rFonts w:eastAsiaTheme="minorHAnsi" w:cs="Cambria"/>
          <w:lang w:eastAsia="en-US"/>
        </w:rPr>
        <w:t xml:space="preserve"> que los militares preguntaron por el paradero de “la comunista</w:t>
      </w:r>
      <w:r w:rsidR="00B83294" w:rsidRPr="0005487F">
        <w:rPr>
          <w:rFonts w:eastAsiaTheme="minorHAnsi" w:cs="Cambria"/>
          <w:lang w:eastAsia="en-US"/>
        </w:rPr>
        <w:t>”</w:t>
      </w:r>
      <w:r w:rsidR="00D465F2" w:rsidRPr="0005487F">
        <w:rPr>
          <w:rFonts w:eastAsiaTheme="minorHAnsi" w:cs="Cambria"/>
          <w:lang w:eastAsia="en-US"/>
        </w:rPr>
        <w:t xml:space="preserve"> Patricia Cuéllar</w:t>
      </w:r>
      <w:r w:rsidR="00D465F2" w:rsidRPr="0029228F">
        <w:rPr>
          <w:rStyle w:val="Refdenotaalpie"/>
          <w:rFonts w:eastAsiaTheme="minorHAnsi" w:cs="Cambria"/>
          <w:lang w:eastAsia="en-US"/>
        </w:rPr>
        <w:footnoteReference w:id="40"/>
      </w:r>
      <w:r w:rsidR="00D465F2" w:rsidRPr="0005487F">
        <w:rPr>
          <w:rFonts w:eastAsiaTheme="minorHAnsi" w:cs="Cambria"/>
          <w:lang w:eastAsia="en-US"/>
        </w:rPr>
        <w:t xml:space="preserve">. </w:t>
      </w:r>
      <w:r w:rsidR="00E95B31" w:rsidRPr="0005487F">
        <w:rPr>
          <w:bCs/>
        </w:rPr>
        <w:t xml:space="preserve">Al no encontrarla, los </w:t>
      </w:r>
      <w:r w:rsidR="00F174BC" w:rsidRPr="0005487F">
        <w:rPr>
          <w:bCs/>
        </w:rPr>
        <w:t>agentes</w:t>
      </w:r>
      <w:r w:rsidR="00E95B31" w:rsidRPr="0005487F">
        <w:rPr>
          <w:bCs/>
        </w:rPr>
        <w:t xml:space="preserve"> militares obligaron a</w:t>
      </w:r>
      <w:r w:rsidR="00A0621D" w:rsidRPr="0005487F">
        <w:rPr>
          <w:bCs/>
        </w:rPr>
        <w:t xml:space="preserve"> los familiares</w:t>
      </w:r>
      <w:r w:rsidR="00E95B31" w:rsidRPr="0005487F">
        <w:rPr>
          <w:bCs/>
        </w:rPr>
        <w:t xml:space="preserve"> presentes a brindarles la dirección</w:t>
      </w:r>
      <w:r w:rsidR="00A0621D" w:rsidRPr="0005487F">
        <w:rPr>
          <w:bCs/>
        </w:rPr>
        <w:t xml:space="preserve"> del domicilio de Mauricio Cuéllar Cuéllar, padre de la señora Cuéllar Sandoval,</w:t>
      </w:r>
      <w:r w:rsidR="00E95B31" w:rsidRPr="0005487F">
        <w:rPr>
          <w:bCs/>
        </w:rPr>
        <w:t xml:space="preserve"> y se dirigieron al lugar para interrogarle sobre su hija</w:t>
      </w:r>
      <w:r w:rsidR="00E95B31" w:rsidRPr="0029228F">
        <w:rPr>
          <w:rStyle w:val="Refdenotaalpie"/>
          <w:bCs/>
        </w:rPr>
        <w:footnoteReference w:id="41"/>
      </w:r>
      <w:r w:rsidR="00A0621D" w:rsidRPr="0005487F">
        <w:rPr>
          <w:bCs/>
        </w:rPr>
        <w:t xml:space="preserve">. </w:t>
      </w:r>
      <w:r w:rsidR="00D81B80" w:rsidRPr="0005487F">
        <w:rPr>
          <w:bCs/>
        </w:rPr>
        <w:t>El señor Álvarez</w:t>
      </w:r>
      <w:r w:rsidR="00270E7C">
        <w:rPr>
          <w:bCs/>
        </w:rPr>
        <w:t xml:space="preserve"> Solís</w:t>
      </w:r>
      <w:r w:rsidR="00D81B80" w:rsidRPr="0005487F">
        <w:rPr>
          <w:bCs/>
        </w:rPr>
        <w:t xml:space="preserve"> también declaró que en ese operativo él identificó a uno de los militares que participó, el señor J.E.M.R, quien en la actualidad sería Coronel retirado</w:t>
      </w:r>
      <w:r w:rsidR="00D81B80" w:rsidRPr="00F566ED">
        <w:rPr>
          <w:rStyle w:val="Refdenotaalpie"/>
          <w:bCs/>
        </w:rPr>
        <w:footnoteReference w:id="42"/>
      </w:r>
      <w:r w:rsidR="00D81B80" w:rsidRPr="00F566ED">
        <w:rPr>
          <w:bCs/>
        </w:rPr>
        <w:t>.</w:t>
      </w:r>
      <w:r w:rsidR="00D34899" w:rsidRPr="00F566ED">
        <w:rPr>
          <w:bCs/>
        </w:rPr>
        <w:t xml:space="preserve"> </w:t>
      </w:r>
      <w:r w:rsidR="00C25D51" w:rsidRPr="00F566ED">
        <w:rPr>
          <w:bCs/>
        </w:rPr>
        <w:t>Francisco Alfredo Álvarez Solís -</w:t>
      </w:r>
      <w:r w:rsidR="00593DE3">
        <w:rPr>
          <w:bCs/>
        </w:rPr>
        <w:t>ex</w:t>
      </w:r>
      <w:r w:rsidR="00C25D51" w:rsidRPr="00F566ED">
        <w:rPr>
          <w:bCs/>
        </w:rPr>
        <w:t>esposo de la señora Cuéllar-, indicó que, a raíz de este operativo, decidieron separarse</w:t>
      </w:r>
      <w:r w:rsidR="0005487F" w:rsidRPr="00F566ED">
        <w:rPr>
          <w:bCs/>
        </w:rPr>
        <w:t xml:space="preserve"> “formalmente”</w:t>
      </w:r>
      <w:r w:rsidR="00B453BE" w:rsidRPr="00F566ED">
        <w:rPr>
          <w:rStyle w:val="Refdenotaalpie"/>
          <w:bCs/>
        </w:rPr>
        <w:footnoteReference w:id="43"/>
      </w:r>
      <w:r w:rsidR="00F566ED">
        <w:rPr>
          <w:bCs/>
        </w:rPr>
        <w:t xml:space="preserve"> </w:t>
      </w:r>
      <w:r w:rsidR="00782AC5" w:rsidRPr="00F566ED">
        <w:rPr>
          <w:bCs/>
        </w:rPr>
        <w:t>porque</w:t>
      </w:r>
      <w:r w:rsidR="00C25D51" w:rsidRPr="00F566ED">
        <w:rPr>
          <w:bCs/>
        </w:rPr>
        <w:t xml:space="preserve"> “alguien de los dos tenía que quedar vivo para poder seguir educando y apoyando a </w:t>
      </w:r>
      <w:r w:rsidR="00782AC5" w:rsidRPr="00F566ED">
        <w:rPr>
          <w:bCs/>
        </w:rPr>
        <w:t>[sus]</w:t>
      </w:r>
      <w:r w:rsidR="00C25D51" w:rsidRPr="00F566ED">
        <w:rPr>
          <w:bCs/>
        </w:rPr>
        <w:t xml:space="preserve"> hijos”</w:t>
      </w:r>
      <w:r w:rsidR="00C25D51" w:rsidRPr="00F566ED">
        <w:rPr>
          <w:rStyle w:val="Refdenotaalpie"/>
          <w:bCs/>
        </w:rPr>
        <w:footnoteReference w:id="44"/>
      </w:r>
      <w:r w:rsidR="00C25D51" w:rsidRPr="00F566ED">
        <w:rPr>
          <w:bCs/>
        </w:rPr>
        <w:t xml:space="preserve">. </w:t>
      </w:r>
    </w:p>
    <w:p w14:paraId="422C0605" w14:textId="77777777" w:rsidR="0005487F" w:rsidRDefault="0005487F" w:rsidP="0005487F">
      <w:pPr>
        <w:pStyle w:val="Prrafodelista"/>
        <w:rPr>
          <w:b/>
        </w:rPr>
      </w:pPr>
    </w:p>
    <w:p w14:paraId="1414E96A" w14:textId="1BF68821" w:rsidR="00A0621D" w:rsidRPr="00465F79" w:rsidRDefault="00A0621D" w:rsidP="00A0621D">
      <w:pPr>
        <w:numPr>
          <w:ilvl w:val="0"/>
          <w:numId w:val="7"/>
        </w:numPr>
        <w:tabs>
          <w:tab w:val="left" w:pos="567"/>
          <w:tab w:val="num" w:pos="1569"/>
          <w:tab w:val="num" w:pos="12305"/>
        </w:tabs>
        <w:spacing w:line="240" w:lineRule="auto"/>
        <w:ind w:left="0" w:firstLine="0"/>
        <w:rPr>
          <w:b/>
        </w:rPr>
      </w:pPr>
      <w:r w:rsidRPr="00465F79">
        <w:rPr>
          <w:bCs/>
        </w:rPr>
        <w:t xml:space="preserve">El 27 de julio de 1982, un día antes de su desaparición, la señora Cuéllar Sandoval acudió a la </w:t>
      </w:r>
      <w:r w:rsidR="0002730F" w:rsidRPr="00465F79">
        <w:rPr>
          <w:bCs/>
        </w:rPr>
        <w:t>O</w:t>
      </w:r>
      <w:r w:rsidRPr="00465F79">
        <w:rPr>
          <w:bCs/>
        </w:rPr>
        <w:t>ficina de</w:t>
      </w:r>
      <w:r w:rsidR="0002730F" w:rsidRPr="00465F79">
        <w:rPr>
          <w:bCs/>
        </w:rPr>
        <w:t>l</w:t>
      </w:r>
      <w:r w:rsidRPr="00465F79">
        <w:rPr>
          <w:bCs/>
        </w:rPr>
        <w:t xml:space="preserve"> Socorro Jurídico para denunciar la persecución por parte de cuerpos de seguridad </w:t>
      </w:r>
      <w:r w:rsidR="006B7286" w:rsidRPr="00465F79">
        <w:rPr>
          <w:bCs/>
        </w:rPr>
        <w:t>“</w:t>
      </w:r>
      <w:r w:rsidRPr="00465F79">
        <w:rPr>
          <w:bCs/>
        </w:rPr>
        <w:t>vestidos de civil</w:t>
      </w:r>
      <w:r w:rsidR="006B7286" w:rsidRPr="00465F79">
        <w:rPr>
          <w:bCs/>
        </w:rPr>
        <w:t>”</w:t>
      </w:r>
      <w:r w:rsidRPr="00465F79">
        <w:rPr>
          <w:bCs/>
        </w:rPr>
        <w:t xml:space="preserve"> mientras se desplazaba en su vehículo</w:t>
      </w:r>
      <w:r w:rsidR="00E95B31" w:rsidRPr="00465F79">
        <w:rPr>
          <w:bCs/>
        </w:rPr>
        <w:t xml:space="preserve"> por las calles de San Salvador</w:t>
      </w:r>
      <w:r w:rsidR="00E95B31" w:rsidRPr="00465F79">
        <w:rPr>
          <w:rStyle w:val="Refdenotaalpie"/>
          <w:bCs/>
        </w:rPr>
        <w:footnoteReference w:id="45"/>
      </w:r>
      <w:r w:rsidR="00E95B31" w:rsidRPr="00465F79">
        <w:rPr>
          <w:bCs/>
        </w:rPr>
        <w:t>.</w:t>
      </w:r>
      <w:r w:rsidR="004E0487" w:rsidRPr="00465F79">
        <w:rPr>
          <w:bCs/>
        </w:rPr>
        <w:t xml:space="preserve"> </w:t>
      </w:r>
    </w:p>
    <w:p w14:paraId="3CB1B2D3" w14:textId="00A7232C" w:rsidR="003C16E9" w:rsidRPr="00465F79" w:rsidRDefault="00A0621D" w:rsidP="00A12976">
      <w:pPr>
        <w:pStyle w:val="Ttulo2"/>
      </w:pPr>
      <w:bookmarkStart w:id="41" w:name="_Toc165022612"/>
      <w:r w:rsidRPr="00465F79">
        <w:lastRenderedPageBreak/>
        <w:t>Sobre la desaparición de Patricia Emilie Cuéllar Sandoval, Mauricio Cuéllar Cuéllar y Julia Orbelina Pérez</w:t>
      </w:r>
      <w:bookmarkEnd w:id="41"/>
    </w:p>
    <w:p w14:paraId="1549F1CF" w14:textId="2285D13C" w:rsidR="00A0621D" w:rsidRPr="00465F79" w:rsidRDefault="00FF54E3" w:rsidP="00A0621D">
      <w:pPr>
        <w:numPr>
          <w:ilvl w:val="0"/>
          <w:numId w:val="7"/>
        </w:numPr>
        <w:tabs>
          <w:tab w:val="left" w:pos="567"/>
          <w:tab w:val="num" w:pos="1569"/>
          <w:tab w:val="num" w:pos="12305"/>
        </w:tabs>
        <w:spacing w:line="240" w:lineRule="auto"/>
        <w:ind w:left="0" w:firstLine="0"/>
        <w:rPr>
          <w:b/>
        </w:rPr>
      </w:pPr>
      <w:r w:rsidRPr="00465F79">
        <w:rPr>
          <w:bCs/>
        </w:rPr>
        <w:t>A las 11:00 horas del</w:t>
      </w:r>
      <w:r w:rsidR="00A0621D" w:rsidRPr="00465F79">
        <w:rPr>
          <w:bCs/>
        </w:rPr>
        <w:t xml:space="preserve"> 28 de julio de 1982 </w:t>
      </w:r>
      <w:r w:rsidR="002E3E76" w:rsidRPr="00465F79">
        <w:rPr>
          <w:bCs/>
        </w:rPr>
        <w:t>la señora</w:t>
      </w:r>
      <w:r w:rsidR="00A0621D" w:rsidRPr="00465F79">
        <w:rPr>
          <w:bCs/>
        </w:rPr>
        <w:t xml:space="preserve"> Cuéllar Sandoval salió de su casa ubicada en la Colonia Roma de San Salvador, junto con sus hijos Maite María, Javier</w:t>
      </w:r>
      <w:r w:rsidR="0029228F">
        <w:rPr>
          <w:bCs/>
        </w:rPr>
        <w:t> </w:t>
      </w:r>
      <w:r w:rsidR="00A0621D" w:rsidRPr="00465F79">
        <w:rPr>
          <w:bCs/>
        </w:rPr>
        <w:t>Ernesto y Ana Gabriela</w:t>
      </w:r>
      <w:r w:rsidR="00C25D51">
        <w:rPr>
          <w:bCs/>
        </w:rPr>
        <w:t xml:space="preserve"> </w:t>
      </w:r>
      <w:r w:rsidR="00C25D51" w:rsidRPr="0029228F">
        <w:rPr>
          <w:bCs/>
        </w:rPr>
        <w:t xml:space="preserve">-de </w:t>
      </w:r>
      <w:r w:rsidR="00782AC5" w:rsidRPr="0029228F">
        <w:rPr>
          <w:bCs/>
        </w:rPr>
        <w:t xml:space="preserve">tres años, un año </w:t>
      </w:r>
      <w:r w:rsidR="00C25D51" w:rsidRPr="0029228F">
        <w:rPr>
          <w:bCs/>
        </w:rPr>
        <w:t>y nueve meses de edad,</w:t>
      </w:r>
      <w:r w:rsidR="0029228F">
        <w:rPr>
          <w:bCs/>
        </w:rPr>
        <w:t xml:space="preserve"> </w:t>
      </w:r>
      <w:r w:rsidR="00C25D51" w:rsidRPr="0029228F">
        <w:rPr>
          <w:bCs/>
        </w:rPr>
        <w:t>respectivamente</w:t>
      </w:r>
      <w:r w:rsidR="0029228F">
        <w:rPr>
          <w:bCs/>
        </w:rPr>
        <w:t>-</w:t>
      </w:r>
      <w:r w:rsidR="00A0621D" w:rsidRPr="0029228F">
        <w:rPr>
          <w:bCs/>
        </w:rPr>
        <w:t>,</w:t>
      </w:r>
      <w:r w:rsidR="0029228F">
        <w:rPr>
          <w:bCs/>
        </w:rPr>
        <w:t xml:space="preserve"> </w:t>
      </w:r>
      <w:r w:rsidR="00A0621D" w:rsidRPr="00465F79">
        <w:rPr>
          <w:bCs/>
        </w:rPr>
        <w:t>a</w:t>
      </w:r>
      <w:r w:rsidR="0029228F">
        <w:rPr>
          <w:bCs/>
        </w:rPr>
        <w:t xml:space="preserve"> </w:t>
      </w:r>
      <w:r w:rsidR="00A0621D" w:rsidRPr="00465F79">
        <w:rPr>
          <w:bCs/>
        </w:rPr>
        <w:t>quienes dejó en la guardería donde usualmente los recogía a las 17:30 horas</w:t>
      </w:r>
      <w:r w:rsidR="00A4423D" w:rsidRPr="00465F79">
        <w:rPr>
          <w:rStyle w:val="Refdenotaalpie"/>
          <w:bCs/>
        </w:rPr>
        <w:footnoteReference w:id="46"/>
      </w:r>
      <w:r w:rsidR="00A0621D" w:rsidRPr="00465F79">
        <w:rPr>
          <w:bCs/>
        </w:rPr>
        <w:t>.</w:t>
      </w:r>
      <w:r w:rsidRPr="00465F79">
        <w:t xml:space="preserve"> </w:t>
      </w:r>
      <w:r w:rsidR="00A0621D" w:rsidRPr="00465F79">
        <w:rPr>
          <w:bCs/>
        </w:rPr>
        <w:t>A</w:t>
      </w:r>
      <w:r w:rsidR="00A515A2" w:rsidRPr="00465F79">
        <w:rPr>
          <w:bCs/>
        </w:rPr>
        <w:t>proximadamente a las</w:t>
      </w:r>
      <w:r w:rsidR="00A0621D" w:rsidRPr="00465F79">
        <w:rPr>
          <w:bCs/>
        </w:rPr>
        <w:t xml:space="preserve"> </w:t>
      </w:r>
      <w:r w:rsidRPr="00465F79">
        <w:rPr>
          <w:bCs/>
        </w:rPr>
        <w:t>19</w:t>
      </w:r>
      <w:r w:rsidR="00F546F1" w:rsidRPr="00465F79">
        <w:rPr>
          <w:bCs/>
        </w:rPr>
        <w:t>:</w:t>
      </w:r>
      <w:r w:rsidR="00001EFC">
        <w:rPr>
          <w:bCs/>
        </w:rPr>
        <w:t>3</w:t>
      </w:r>
      <w:r w:rsidR="00F546F1" w:rsidRPr="00465F79">
        <w:rPr>
          <w:bCs/>
        </w:rPr>
        <w:t>0 horas</w:t>
      </w:r>
      <w:r w:rsidR="00A0621D" w:rsidRPr="00465F79">
        <w:rPr>
          <w:bCs/>
        </w:rPr>
        <w:t xml:space="preserve"> del mismo día</w:t>
      </w:r>
      <w:r w:rsidRPr="00465F79">
        <w:rPr>
          <w:bCs/>
        </w:rPr>
        <w:t>, avisaron por llamada telefónica a</w:t>
      </w:r>
      <w:r w:rsidR="00A515A2" w:rsidRPr="00465F79">
        <w:rPr>
          <w:bCs/>
        </w:rPr>
        <w:t xml:space="preserve"> la señora María Consuelo Cuéllar Cuéllar que su sobrina, la señora Cuéllar Sandoval, no</w:t>
      </w:r>
      <w:r w:rsidR="00AE44C9" w:rsidRPr="00465F79">
        <w:rPr>
          <w:bCs/>
        </w:rPr>
        <w:t xml:space="preserve"> </w:t>
      </w:r>
      <w:r w:rsidR="00A515A2" w:rsidRPr="00465F79">
        <w:rPr>
          <w:bCs/>
        </w:rPr>
        <w:t>había pasado a recoger a sus hijos en la guardería</w:t>
      </w:r>
      <w:r w:rsidR="00A515A2" w:rsidRPr="00465F79">
        <w:rPr>
          <w:rStyle w:val="Refdenotaalpie"/>
          <w:bCs/>
        </w:rPr>
        <w:footnoteReference w:id="47"/>
      </w:r>
      <w:r w:rsidR="00A515A2" w:rsidRPr="00465F79">
        <w:rPr>
          <w:bCs/>
        </w:rPr>
        <w:t>. Acto seguido</w:t>
      </w:r>
      <w:r w:rsidR="00C67CB9" w:rsidRPr="00465F79">
        <w:rPr>
          <w:bCs/>
        </w:rPr>
        <w:t>, María Consuelo</w:t>
      </w:r>
      <w:r w:rsidR="00A515A2" w:rsidRPr="00465F79">
        <w:rPr>
          <w:bCs/>
        </w:rPr>
        <w:t xml:space="preserve"> llamó a su hermano, el señor </w:t>
      </w:r>
      <w:r w:rsidR="00C67CB9" w:rsidRPr="00465F79">
        <w:rPr>
          <w:bCs/>
        </w:rPr>
        <w:t xml:space="preserve">Mauricio </w:t>
      </w:r>
      <w:r w:rsidR="00A515A2" w:rsidRPr="00465F79">
        <w:rPr>
          <w:bCs/>
        </w:rPr>
        <w:t xml:space="preserve">Cuéllar Cuéllar, quien recogió a sus nietos en la guardería y los llevó a casa de </w:t>
      </w:r>
      <w:r w:rsidR="00C67CB9" w:rsidRPr="00465F79">
        <w:rPr>
          <w:bCs/>
        </w:rPr>
        <w:t>su hermana</w:t>
      </w:r>
      <w:r w:rsidR="00A515A2" w:rsidRPr="00465F79">
        <w:rPr>
          <w:rStyle w:val="Refdenotaalpie"/>
          <w:bCs/>
        </w:rPr>
        <w:footnoteReference w:id="48"/>
      </w:r>
      <w:r w:rsidR="00A515A2" w:rsidRPr="00465F79">
        <w:rPr>
          <w:bCs/>
        </w:rPr>
        <w:t xml:space="preserve">. </w:t>
      </w:r>
      <w:r w:rsidR="00AE44C9" w:rsidRPr="00465F79">
        <w:rPr>
          <w:bCs/>
        </w:rPr>
        <w:t>A las 21:15 horas el señor Cuéllar Cuéllar se retiró del lugar y se dirigió a su casa</w:t>
      </w:r>
      <w:r w:rsidR="00AE44C9" w:rsidRPr="00465F79">
        <w:rPr>
          <w:rStyle w:val="Refdenotaalpie"/>
          <w:bCs/>
        </w:rPr>
        <w:footnoteReference w:id="49"/>
      </w:r>
      <w:r w:rsidR="00AE44C9" w:rsidRPr="00465F79">
        <w:rPr>
          <w:bCs/>
        </w:rPr>
        <w:t>.</w:t>
      </w:r>
      <w:r w:rsidR="00D34899">
        <w:rPr>
          <w:bCs/>
        </w:rPr>
        <w:t xml:space="preserve"> </w:t>
      </w:r>
    </w:p>
    <w:p w14:paraId="7DE502B2" w14:textId="77777777" w:rsidR="00CC4DC0" w:rsidRPr="00926DB8" w:rsidRDefault="00CC4DC0" w:rsidP="00CC4DC0">
      <w:pPr>
        <w:tabs>
          <w:tab w:val="left" w:pos="567"/>
        </w:tabs>
        <w:spacing w:line="240" w:lineRule="auto"/>
        <w:rPr>
          <w:b/>
          <w:u w:val="single"/>
        </w:rPr>
      </w:pPr>
    </w:p>
    <w:p w14:paraId="68026BB3" w14:textId="5E597A3E" w:rsidR="00CC4DC0" w:rsidRPr="00465F79" w:rsidRDefault="00CC4DC0" w:rsidP="00A0621D">
      <w:pPr>
        <w:numPr>
          <w:ilvl w:val="0"/>
          <w:numId w:val="7"/>
        </w:numPr>
        <w:tabs>
          <w:tab w:val="left" w:pos="567"/>
          <w:tab w:val="num" w:pos="1569"/>
          <w:tab w:val="num" w:pos="12305"/>
        </w:tabs>
        <w:spacing w:line="240" w:lineRule="auto"/>
        <w:ind w:left="0" w:firstLine="0"/>
        <w:rPr>
          <w:b/>
        </w:rPr>
      </w:pPr>
      <w:r w:rsidRPr="00926DB8">
        <w:rPr>
          <w:bCs/>
        </w:rPr>
        <w:t>Aproximadamente a las 23:00 horas</w:t>
      </w:r>
      <w:r w:rsidR="00DE5C33" w:rsidRPr="00926DB8">
        <w:rPr>
          <w:bCs/>
        </w:rPr>
        <w:t xml:space="preserve"> del señalado 28 de julio de 1982</w:t>
      </w:r>
      <w:r w:rsidR="001259C9" w:rsidRPr="00926DB8">
        <w:rPr>
          <w:bCs/>
        </w:rPr>
        <w:t>,</w:t>
      </w:r>
      <w:r w:rsidR="0005487F" w:rsidRPr="00926DB8">
        <w:rPr>
          <w:bCs/>
        </w:rPr>
        <w:t xml:space="preserve"> estando vigente un toque de queda en el país,</w:t>
      </w:r>
      <w:r w:rsidRPr="00926DB8">
        <w:rPr>
          <w:bCs/>
        </w:rPr>
        <w:t xml:space="preserve"> soldados armados con</w:t>
      </w:r>
      <w:r w:rsidRPr="00465F79">
        <w:rPr>
          <w:bCs/>
        </w:rPr>
        <w:t xml:space="preserve"> uniformes militares ingresaron </w:t>
      </w:r>
      <w:r w:rsidR="00DE5C33" w:rsidRPr="00465F79">
        <w:rPr>
          <w:bCs/>
        </w:rPr>
        <w:t>en</w:t>
      </w:r>
      <w:r w:rsidRPr="00465F79">
        <w:rPr>
          <w:bCs/>
        </w:rPr>
        <w:t xml:space="preserve"> la casa de la señora Cuéllar Sandoval, y “saca[ron] todos los muebles y cosas que allí se encontraban”</w:t>
      </w:r>
      <w:r w:rsidRPr="00465F79">
        <w:rPr>
          <w:rStyle w:val="Refdenotaalpie"/>
          <w:bCs/>
        </w:rPr>
        <w:footnoteReference w:id="50"/>
      </w:r>
      <w:r w:rsidRPr="00465F79">
        <w:rPr>
          <w:bCs/>
        </w:rPr>
        <w:t>. Para ello, realizaron tres viajes consecutivos mientras se encontraba vigente un “</w:t>
      </w:r>
      <w:r w:rsidR="00A303C7" w:rsidRPr="00465F79">
        <w:rPr>
          <w:bCs/>
        </w:rPr>
        <w:t>retén de los cuerpos de seguridad</w:t>
      </w:r>
      <w:r w:rsidRPr="00465F79">
        <w:rPr>
          <w:bCs/>
        </w:rPr>
        <w:t>”</w:t>
      </w:r>
      <w:r w:rsidR="00A303C7" w:rsidRPr="00465F79">
        <w:rPr>
          <w:bCs/>
        </w:rPr>
        <w:t xml:space="preserve"> en las inmediaciones del inmueble registrado</w:t>
      </w:r>
      <w:r w:rsidRPr="00465F79">
        <w:rPr>
          <w:rStyle w:val="Refdenotaalpie"/>
          <w:bCs/>
        </w:rPr>
        <w:footnoteReference w:id="51"/>
      </w:r>
      <w:r w:rsidRPr="00465F79">
        <w:rPr>
          <w:bCs/>
        </w:rPr>
        <w:t xml:space="preserve">. </w:t>
      </w:r>
    </w:p>
    <w:p w14:paraId="010195F6" w14:textId="77777777" w:rsidR="00A0621D" w:rsidRPr="00465F79" w:rsidRDefault="00A0621D" w:rsidP="00A0621D">
      <w:pPr>
        <w:spacing w:line="240" w:lineRule="auto"/>
        <w:rPr>
          <w:b/>
        </w:rPr>
      </w:pPr>
    </w:p>
    <w:p w14:paraId="6EC5C02A" w14:textId="1E1BDC86" w:rsidR="00A0621D" w:rsidRPr="00465F79" w:rsidRDefault="00BB7211" w:rsidP="009E28D3">
      <w:pPr>
        <w:numPr>
          <w:ilvl w:val="0"/>
          <w:numId w:val="7"/>
        </w:numPr>
        <w:tabs>
          <w:tab w:val="left" w:pos="567"/>
          <w:tab w:val="num" w:pos="1569"/>
          <w:tab w:val="num" w:pos="12305"/>
        </w:tabs>
        <w:spacing w:line="240" w:lineRule="auto"/>
        <w:ind w:left="0" w:firstLine="0"/>
        <w:rPr>
          <w:b/>
        </w:rPr>
      </w:pPr>
      <w:r>
        <w:rPr>
          <w:bCs/>
        </w:rPr>
        <w:t>Asimismo, e</w:t>
      </w:r>
      <w:r w:rsidR="00A0621D" w:rsidRPr="00465F79">
        <w:rPr>
          <w:bCs/>
        </w:rPr>
        <w:t xml:space="preserve">n </w:t>
      </w:r>
      <w:r w:rsidR="003C304E" w:rsidRPr="00465F79">
        <w:rPr>
          <w:bCs/>
        </w:rPr>
        <w:t xml:space="preserve">las últimas horas </w:t>
      </w:r>
      <w:r w:rsidR="00DE5C33" w:rsidRPr="00465F79">
        <w:rPr>
          <w:bCs/>
        </w:rPr>
        <w:t>de ese día</w:t>
      </w:r>
      <w:r w:rsidR="003C304E" w:rsidRPr="00465F79">
        <w:rPr>
          <w:bCs/>
        </w:rPr>
        <w:t xml:space="preserve"> y la madrugada del día siguiente</w:t>
      </w:r>
      <w:r w:rsidR="00A0621D" w:rsidRPr="00465F79">
        <w:rPr>
          <w:bCs/>
        </w:rPr>
        <w:t xml:space="preserve">, el señor Mauricio Cuéllar </w:t>
      </w:r>
      <w:r w:rsidR="00C67CB9" w:rsidRPr="00465F79">
        <w:rPr>
          <w:bCs/>
        </w:rPr>
        <w:t>Cuéllar</w:t>
      </w:r>
      <w:r w:rsidR="00A0621D" w:rsidRPr="00465F79">
        <w:rPr>
          <w:bCs/>
        </w:rPr>
        <w:t xml:space="preserve"> y Julia Orbelina Pérez -quien se desempeñaba como empleada del servicio doméstico- fueron sacados del domicilio de aquel</w:t>
      </w:r>
      <w:r w:rsidR="00F546F1" w:rsidRPr="00465F79">
        <w:rPr>
          <w:rStyle w:val="Refdenotaalpie"/>
          <w:bCs/>
        </w:rPr>
        <w:footnoteReference w:id="52"/>
      </w:r>
      <w:r w:rsidR="00A0621D" w:rsidRPr="00465F79">
        <w:rPr>
          <w:bCs/>
        </w:rPr>
        <w:t xml:space="preserve">. </w:t>
      </w:r>
    </w:p>
    <w:p w14:paraId="223CDDC0" w14:textId="77777777" w:rsidR="00AC109A" w:rsidRPr="00465F79" w:rsidRDefault="00AC109A" w:rsidP="00AC109A">
      <w:pPr>
        <w:tabs>
          <w:tab w:val="left" w:pos="567"/>
        </w:tabs>
        <w:spacing w:line="240" w:lineRule="auto"/>
        <w:rPr>
          <w:b/>
        </w:rPr>
      </w:pPr>
    </w:p>
    <w:p w14:paraId="5AEB7EE9" w14:textId="77777777" w:rsidR="00001EFC" w:rsidRPr="00465F79" w:rsidRDefault="00001EFC" w:rsidP="00001EFC">
      <w:pPr>
        <w:numPr>
          <w:ilvl w:val="0"/>
          <w:numId w:val="7"/>
        </w:numPr>
        <w:tabs>
          <w:tab w:val="left" w:pos="567"/>
          <w:tab w:val="num" w:pos="1569"/>
          <w:tab w:val="num" w:pos="12305"/>
        </w:tabs>
        <w:spacing w:line="240" w:lineRule="auto"/>
        <w:ind w:left="0" w:firstLine="0"/>
        <w:rPr>
          <w:b/>
        </w:rPr>
      </w:pPr>
      <w:bookmarkStart w:id="42" w:name="_Toc165022613"/>
      <w:r w:rsidRPr="00465F79">
        <w:rPr>
          <w:bCs/>
        </w:rPr>
        <w:t>En la mañana del 29 de julio de 1982</w:t>
      </w:r>
      <w:r w:rsidRPr="00465F79">
        <w:rPr>
          <w:rStyle w:val="Refdenotaalpie"/>
          <w:bCs/>
        </w:rPr>
        <w:footnoteReference w:id="53"/>
      </w:r>
      <w:r w:rsidRPr="00465F79">
        <w:rPr>
          <w:bCs/>
        </w:rPr>
        <w:t xml:space="preserve">, el señor Enrique Cuéllar Cuéllar, acudió a la casa de Mauricio Cuéllar Cuéllar, y notó que “el carro de propiedad de su hermano […] no estaba aparcado en el </w:t>
      </w:r>
      <w:r>
        <w:rPr>
          <w:bCs/>
        </w:rPr>
        <w:t>sitio</w:t>
      </w:r>
      <w:r w:rsidRPr="00465F79">
        <w:rPr>
          <w:bCs/>
        </w:rPr>
        <w:t xml:space="preserve"> de </w:t>
      </w:r>
      <w:r>
        <w:rPr>
          <w:bCs/>
        </w:rPr>
        <w:t>costumbre</w:t>
      </w:r>
      <w:r w:rsidRPr="00465F79">
        <w:rPr>
          <w:bCs/>
        </w:rPr>
        <w:t>”. Al entrar a la casa observó que el teléfono estaba “desconectado” y que las gavetas del closet del cuarto de su hermano estaban “abiert[a]s y en desorden”. Más tarde ese mismo día, el señor Enrique Cuéllar Cuéllar recibió una llamada de una empleada de la Asociación Salvadoreña de Industriales (en adelante “</w:t>
      </w:r>
      <w:r>
        <w:rPr>
          <w:bCs/>
        </w:rPr>
        <w:t xml:space="preserve">la </w:t>
      </w:r>
      <w:r w:rsidRPr="00465F79">
        <w:rPr>
          <w:bCs/>
        </w:rPr>
        <w:t>ASI”) mediante la cual le informaron que su hermano no había asistido a una conferencia de prensa que tenían programada y le solicitaron que se apersonara en las oficinas de</w:t>
      </w:r>
      <w:r>
        <w:rPr>
          <w:bCs/>
        </w:rPr>
        <w:t xml:space="preserve"> </w:t>
      </w:r>
      <w:r w:rsidRPr="00465F79">
        <w:rPr>
          <w:bCs/>
        </w:rPr>
        <w:t>l</w:t>
      </w:r>
      <w:r>
        <w:rPr>
          <w:bCs/>
        </w:rPr>
        <w:t>a</w:t>
      </w:r>
      <w:r w:rsidRPr="00465F79">
        <w:rPr>
          <w:bCs/>
        </w:rPr>
        <w:t xml:space="preserve"> ASI porque llegaría una comisión de la Guardia Nacional y la Policía Nacional para iniciar las investigaciones correspondientes</w:t>
      </w:r>
      <w:r w:rsidRPr="00465F79">
        <w:rPr>
          <w:rStyle w:val="Refdenotaalpie"/>
          <w:bCs/>
        </w:rPr>
        <w:footnoteReference w:id="54"/>
      </w:r>
      <w:r w:rsidRPr="00465F79">
        <w:rPr>
          <w:bCs/>
        </w:rPr>
        <w:t>.</w:t>
      </w:r>
    </w:p>
    <w:p w14:paraId="07D81732" w14:textId="0231D611" w:rsidR="003C16E9" w:rsidRPr="00465F79" w:rsidRDefault="00A0621D" w:rsidP="00A12976">
      <w:pPr>
        <w:pStyle w:val="Ttulo2"/>
      </w:pPr>
      <w:r w:rsidRPr="00465F79">
        <w:t>Las acciones de investigación</w:t>
      </w:r>
      <w:bookmarkEnd w:id="42"/>
    </w:p>
    <w:p w14:paraId="19DA0740" w14:textId="4E6B2C55" w:rsidR="00765CC5" w:rsidRPr="00682DEB" w:rsidRDefault="009E28D3" w:rsidP="00765CC5">
      <w:pPr>
        <w:numPr>
          <w:ilvl w:val="0"/>
          <w:numId w:val="7"/>
        </w:numPr>
        <w:tabs>
          <w:tab w:val="left" w:pos="567"/>
          <w:tab w:val="num" w:pos="1569"/>
          <w:tab w:val="num" w:pos="12305"/>
        </w:tabs>
        <w:spacing w:line="240" w:lineRule="auto"/>
        <w:ind w:left="0" w:firstLine="0"/>
      </w:pPr>
      <w:r w:rsidRPr="00465F79">
        <w:rPr>
          <w:bCs/>
        </w:rPr>
        <w:t>Como</w:t>
      </w:r>
      <w:r w:rsidRPr="00465F79">
        <w:t xml:space="preserve"> resultado de las desapariciones forzadas de Patricia Emilie Cuéllar Sandoval, Mauricio Cuéllar </w:t>
      </w:r>
      <w:r w:rsidRPr="00465F79">
        <w:rPr>
          <w:rFonts w:cs="Arial"/>
          <w:bCs/>
          <w:lang w:val="es-ES"/>
        </w:rPr>
        <w:t>Cuéllar y Julia Orbelina Pérez</w:t>
      </w:r>
      <w:r w:rsidR="00BB7211">
        <w:rPr>
          <w:rFonts w:cs="Arial"/>
          <w:bCs/>
          <w:lang w:val="es-ES"/>
        </w:rPr>
        <w:t>,</w:t>
      </w:r>
      <w:r w:rsidRPr="00465F79">
        <w:rPr>
          <w:rFonts w:cs="Arial"/>
          <w:bCs/>
          <w:lang w:val="es-ES"/>
        </w:rPr>
        <w:t xml:space="preserve"> el Estado condujo una serie de investigaciones que se detallan a continuación:</w:t>
      </w:r>
    </w:p>
    <w:p w14:paraId="4D0CCE3D" w14:textId="6CBA82D7" w:rsidR="003C16E9" w:rsidRPr="00926DB8" w:rsidRDefault="00C91ADE" w:rsidP="00A12976">
      <w:pPr>
        <w:pStyle w:val="Ttulo3"/>
        <w:spacing w:before="240" w:after="240"/>
        <w:ind w:left="992"/>
        <w:contextualSpacing w:val="0"/>
        <w:rPr>
          <w:b w:val="0"/>
          <w:bCs/>
          <w:lang w:val="es-ES"/>
        </w:rPr>
      </w:pPr>
      <w:bookmarkStart w:id="43" w:name="_Toc134447566"/>
      <w:bookmarkStart w:id="44" w:name="_Toc165022614"/>
      <w:r w:rsidRPr="00465F79">
        <w:rPr>
          <w:b w:val="0"/>
          <w:bCs/>
          <w:lang w:val="es-ES"/>
        </w:rPr>
        <w:t>D</w:t>
      </w:r>
      <w:r w:rsidR="003C16E9" w:rsidRPr="00465F79">
        <w:rPr>
          <w:b w:val="0"/>
          <w:bCs/>
          <w:lang w:val="es-ES"/>
        </w:rPr>
        <w:t xml:space="preserve">.1. </w:t>
      </w:r>
      <w:bookmarkEnd w:id="43"/>
      <w:r w:rsidR="00A0621D" w:rsidRPr="00926DB8">
        <w:rPr>
          <w:b w:val="0"/>
          <w:bCs/>
          <w:lang w:val="es-ES"/>
        </w:rPr>
        <w:t>Solicitud de h</w:t>
      </w:r>
      <w:r w:rsidR="00682DEB" w:rsidRPr="00926DB8">
        <w:rPr>
          <w:b w:val="0"/>
          <w:bCs/>
          <w:lang w:val="es-ES"/>
        </w:rPr>
        <w:t>a</w:t>
      </w:r>
      <w:r w:rsidR="00A0621D" w:rsidRPr="00926DB8">
        <w:rPr>
          <w:b w:val="0"/>
          <w:bCs/>
          <w:lang w:val="es-ES"/>
        </w:rPr>
        <w:t>beas corpus</w:t>
      </w:r>
      <w:bookmarkEnd w:id="44"/>
    </w:p>
    <w:p w14:paraId="300E94DA" w14:textId="2A13ACE0" w:rsidR="00567996" w:rsidRPr="00465F79" w:rsidRDefault="00567996" w:rsidP="00567996">
      <w:pPr>
        <w:numPr>
          <w:ilvl w:val="0"/>
          <w:numId w:val="7"/>
        </w:numPr>
        <w:tabs>
          <w:tab w:val="left" w:pos="567"/>
          <w:tab w:val="num" w:pos="1569"/>
          <w:tab w:val="num" w:pos="12305"/>
        </w:tabs>
        <w:spacing w:line="240" w:lineRule="auto"/>
        <w:ind w:left="0" w:firstLine="0"/>
        <w:rPr>
          <w:b/>
          <w:bCs/>
        </w:rPr>
      </w:pPr>
      <w:r w:rsidRPr="00926DB8">
        <w:t xml:space="preserve">El 31 de julio de 1982, </w:t>
      </w:r>
      <w:r>
        <w:t xml:space="preserve">el señor </w:t>
      </w:r>
      <w:r w:rsidRPr="00926DB8">
        <w:t xml:space="preserve">Francisco Alfredo Álvarez Solís presentó una solicitud de </w:t>
      </w:r>
      <w:r w:rsidRPr="00926DB8">
        <w:rPr>
          <w:i/>
          <w:iCs/>
        </w:rPr>
        <w:t>habeas corpus</w:t>
      </w:r>
      <w:r w:rsidRPr="00926DB8">
        <w:t xml:space="preserve"> a favor de su exesposa, Patricia Emilie Cuéllar Sandoval, así como del señor Mauricio Cuéllar Cuéllar y la señora Julia</w:t>
      </w:r>
      <w:r w:rsidRPr="00465F79">
        <w:t xml:space="preserve"> Orbelina Pérez</w:t>
      </w:r>
      <w:r w:rsidRPr="00465F79">
        <w:rPr>
          <w:rStyle w:val="Refdenotaalpie"/>
        </w:rPr>
        <w:footnoteReference w:id="55"/>
      </w:r>
      <w:r w:rsidRPr="00465F79">
        <w:t xml:space="preserve">. El Juez Ejecutor ordenó una serie de diligencias de exhibición </w:t>
      </w:r>
      <w:r>
        <w:t>personal</w:t>
      </w:r>
      <w:r w:rsidRPr="00465F79">
        <w:t xml:space="preserve"> que consistieron en solicitar a los Directores Generales de la Guardia Nacional, Policía Nacional, Policía de Hacienda, y a los Jefes de los Cuarteles de Primera Brigada de Infantería o “Cuartel de San Carlos” y el Centro de Instrucción de Telecomunicaciones de la Fuerza Armada o “Cuartel El Zapote” </w:t>
      </w:r>
      <w:bookmarkStart w:id="45" w:name="_Hlk164164551"/>
      <w:r>
        <w:t xml:space="preserve">a los efectos de </w:t>
      </w:r>
      <w:r w:rsidRPr="00465F79">
        <w:t>que “exhib[ieran] a las personas [detenidas]” y “manif[estaran] el proceso o razón [por los que] est[aban] reducidos a prisión, encierre o restricción”</w:t>
      </w:r>
      <w:r w:rsidRPr="00465F79">
        <w:rPr>
          <w:rStyle w:val="Refdenotaalpie"/>
        </w:rPr>
        <w:footnoteReference w:id="56"/>
      </w:r>
      <w:r w:rsidRPr="00465F79">
        <w:t xml:space="preserve">. Los destinatarios negaron tener privados de libertad a las </w:t>
      </w:r>
      <w:bookmarkEnd w:id="45"/>
      <w:r>
        <w:t>señaladas personas</w:t>
      </w:r>
      <w:r w:rsidRPr="00465F79">
        <w:rPr>
          <w:rStyle w:val="Refdenotaalpie"/>
        </w:rPr>
        <w:footnoteReference w:id="57"/>
      </w:r>
      <w:r w:rsidRPr="00465F79">
        <w:t>.</w:t>
      </w:r>
    </w:p>
    <w:p w14:paraId="5779158A" w14:textId="77777777" w:rsidR="00AC3D3C" w:rsidRPr="00465F79" w:rsidRDefault="00AC3D3C" w:rsidP="00AC3D3C">
      <w:pPr>
        <w:tabs>
          <w:tab w:val="left" w:pos="567"/>
        </w:tabs>
        <w:spacing w:line="240" w:lineRule="auto"/>
        <w:rPr>
          <w:b/>
          <w:bCs/>
        </w:rPr>
      </w:pPr>
    </w:p>
    <w:p w14:paraId="78823E41" w14:textId="77777777" w:rsidR="00567996" w:rsidRPr="00465F79" w:rsidRDefault="00567996" w:rsidP="00567996">
      <w:pPr>
        <w:numPr>
          <w:ilvl w:val="0"/>
          <w:numId w:val="7"/>
        </w:numPr>
        <w:tabs>
          <w:tab w:val="left" w:pos="567"/>
          <w:tab w:val="num" w:pos="1569"/>
          <w:tab w:val="num" w:pos="12305"/>
        </w:tabs>
        <w:spacing w:line="240" w:lineRule="auto"/>
        <w:ind w:left="0" w:firstLine="0"/>
        <w:rPr>
          <w:b/>
          <w:bCs/>
        </w:rPr>
      </w:pPr>
      <w:r w:rsidRPr="00465F79">
        <w:t>El 17 de noviembre de 1982 el Juez Ejecutor informó sobre los resultados de las diligencias de exhibición provisional a la Corte Suprema de Justicia. El 23 de noviembre de</w:t>
      </w:r>
      <w:r>
        <w:t xml:space="preserve">l mismo año </w:t>
      </w:r>
      <w:r w:rsidRPr="00465F79">
        <w:t>la Sala de lo Penal de la Corte Suprema de Justicia resolvió archivar el expediente de exhibición provisional, “en vista del resultado negativo” de las actuaciones dirigidas por el Juez Ejecutor</w:t>
      </w:r>
      <w:r w:rsidRPr="00465F79">
        <w:rPr>
          <w:rStyle w:val="Refdenotaalpie"/>
        </w:rPr>
        <w:footnoteReference w:id="58"/>
      </w:r>
      <w:r w:rsidRPr="00465F79">
        <w:t>.</w:t>
      </w:r>
    </w:p>
    <w:p w14:paraId="4FA7A3A4" w14:textId="77777777" w:rsidR="001D4078" w:rsidRPr="00465F79" w:rsidRDefault="001D4078" w:rsidP="001D4078">
      <w:pPr>
        <w:tabs>
          <w:tab w:val="left" w:pos="567"/>
        </w:tabs>
        <w:spacing w:line="240" w:lineRule="auto"/>
        <w:rPr>
          <w:b/>
          <w:bCs/>
        </w:rPr>
      </w:pPr>
    </w:p>
    <w:p w14:paraId="5C04289C" w14:textId="4E86032D" w:rsidR="003C16E9" w:rsidRPr="00465F79" w:rsidRDefault="001D4078" w:rsidP="001D4078">
      <w:pPr>
        <w:numPr>
          <w:ilvl w:val="0"/>
          <w:numId w:val="7"/>
        </w:numPr>
        <w:tabs>
          <w:tab w:val="left" w:pos="567"/>
          <w:tab w:val="num" w:pos="1569"/>
          <w:tab w:val="num" w:pos="12305"/>
        </w:tabs>
        <w:spacing w:line="240" w:lineRule="auto"/>
        <w:ind w:left="0" w:firstLine="0"/>
        <w:rPr>
          <w:b/>
          <w:bCs/>
        </w:rPr>
      </w:pPr>
      <w:r w:rsidRPr="00926DB8">
        <w:t xml:space="preserve">El 22 de enero de 1983 la señora Teresa Pérez de Ramos interpuso una solicitud de </w:t>
      </w:r>
      <w:r w:rsidRPr="00926DB8">
        <w:rPr>
          <w:i/>
          <w:iCs/>
        </w:rPr>
        <w:t>h</w:t>
      </w:r>
      <w:r w:rsidR="00682DEB" w:rsidRPr="00926DB8">
        <w:rPr>
          <w:i/>
          <w:iCs/>
        </w:rPr>
        <w:t>a</w:t>
      </w:r>
      <w:r w:rsidRPr="00926DB8">
        <w:rPr>
          <w:i/>
          <w:iCs/>
        </w:rPr>
        <w:t>beas corpus</w:t>
      </w:r>
      <w:r w:rsidRPr="00926DB8">
        <w:t xml:space="preserve"> a favor de su hermana, la señora Julia Orbelina Pérez</w:t>
      </w:r>
      <w:r w:rsidR="003A65E5" w:rsidRPr="00926DB8">
        <w:rPr>
          <w:rStyle w:val="Refdenotaalpie"/>
        </w:rPr>
        <w:footnoteReference w:id="59"/>
      </w:r>
      <w:r w:rsidRPr="00926DB8">
        <w:t>.</w:t>
      </w:r>
      <w:r w:rsidRPr="00926DB8">
        <w:rPr>
          <w:b/>
          <w:bCs/>
        </w:rPr>
        <w:t xml:space="preserve"> </w:t>
      </w:r>
      <w:r w:rsidRPr="00926DB8">
        <w:t>El Juez Ejecutor ordenó una serie de</w:t>
      </w:r>
      <w:r w:rsidRPr="00465F79">
        <w:t xml:space="preserve"> diligencias de exhibición provisional</w:t>
      </w:r>
      <w:r w:rsidRPr="00465F79">
        <w:rPr>
          <w:rStyle w:val="Refdenotaalpie"/>
        </w:rPr>
        <w:footnoteReference w:id="60"/>
      </w:r>
      <w:r w:rsidR="009E28D3" w:rsidRPr="00465F79">
        <w:t xml:space="preserve">. </w:t>
      </w:r>
      <w:r w:rsidR="00410719" w:rsidRPr="00465F79">
        <w:t xml:space="preserve">El </w:t>
      </w:r>
      <w:r w:rsidR="00BB13DE">
        <w:t>14</w:t>
      </w:r>
      <w:r w:rsidR="00410719" w:rsidRPr="00465F79">
        <w:t xml:space="preserve"> de </w:t>
      </w:r>
      <w:r w:rsidR="00BB13DE">
        <w:t>marzo</w:t>
      </w:r>
      <w:r w:rsidR="00410719" w:rsidRPr="00465F79">
        <w:t xml:space="preserve"> de 1983 la Sala de lo Penal de la Corte Suprema de Justicia resolvió archivar el expediente de exhibición provisional, tras</w:t>
      </w:r>
      <w:r w:rsidR="009E28D3" w:rsidRPr="00465F79">
        <w:t xml:space="preserve"> constatar que </w:t>
      </w:r>
      <w:r w:rsidR="00410719" w:rsidRPr="00465F79">
        <w:t>la señora Orbelina Pérez</w:t>
      </w:r>
      <w:r w:rsidR="009E28D3" w:rsidRPr="00465F79">
        <w:t xml:space="preserve"> no se encontraba </w:t>
      </w:r>
      <w:r w:rsidR="003D5CF3" w:rsidRPr="00465F79">
        <w:t>recluida</w:t>
      </w:r>
      <w:r w:rsidR="009E28D3" w:rsidRPr="00465F79">
        <w:t xml:space="preserve"> en ninguna de las </w:t>
      </w:r>
      <w:r w:rsidRPr="00465F79">
        <w:t xml:space="preserve">instalaciones de </w:t>
      </w:r>
      <w:r w:rsidR="00410719" w:rsidRPr="00465F79">
        <w:t>los referidos cuerpos</w:t>
      </w:r>
      <w:r w:rsidRPr="00465F79">
        <w:t xml:space="preserve"> policiales</w:t>
      </w:r>
      <w:r w:rsidR="00410719" w:rsidRPr="00465F79">
        <w:rPr>
          <w:rStyle w:val="Refdenotaalpie"/>
        </w:rPr>
        <w:footnoteReference w:id="61"/>
      </w:r>
      <w:r w:rsidR="00410719" w:rsidRPr="00465F79">
        <w:t>.</w:t>
      </w:r>
      <w:r w:rsidR="009E28D3" w:rsidRPr="00465F79">
        <w:t xml:space="preserve"> </w:t>
      </w:r>
    </w:p>
    <w:p w14:paraId="2258C4DC" w14:textId="56895B6C" w:rsidR="003C16E9" w:rsidRPr="00465F79" w:rsidRDefault="00C91ADE" w:rsidP="00A12976">
      <w:pPr>
        <w:pStyle w:val="Ttulo3"/>
        <w:spacing w:before="240" w:after="240"/>
        <w:ind w:left="992"/>
        <w:contextualSpacing w:val="0"/>
        <w:rPr>
          <w:b w:val="0"/>
          <w:bCs/>
          <w:lang w:val="es-ES"/>
        </w:rPr>
      </w:pPr>
      <w:bookmarkStart w:id="46" w:name="_Toc165022615"/>
      <w:bookmarkStart w:id="47" w:name="_Toc134447567"/>
      <w:r w:rsidRPr="00465F79">
        <w:rPr>
          <w:b w:val="0"/>
          <w:bCs/>
          <w:lang w:val="es-ES"/>
        </w:rPr>
        <w:t>D</w:t>
      </w:r>
      <w:r w:rsidR="003C16E9" w:rsidRPr="00465F79">
        <w:rPr>
          <w:b w:val="0"/>
          <w:bCs/>
          <w:lang w:val="es-ES"/>
        </w:rPr>
        <w:t xml:space="preserve">.2. </w:t>
      </w:r>
      <w:bookmarkStart w:id="48" w:name="_Hlk140579895"/>
      <w:r w:rsidR="00A0621D" w:rsidRPr="00465F79">
        <w:rPr>
          <w:b w:val="0"/>
          <w:bCs/>
          <w:lang w:val="es-ES"/>
        </w:rPr>
        <w:t>Investigación penal por secuestro</w:t>
      </w:r>
      <w:bookmarkEnd w:id="46"/>
      <w:r w:rsidR="003C16E9" w:rsidRPr="00465F79">
        <w:rPr>
          <w:b w:val="0"/>
          <w:bCs/>
          <w:lang w:val="es-ES"/>
        </w:rPr>
        <w:t xml:space="preserve"> </w:t>
      </w:r>
      <w:bookmarkEnd w:id="47"/>
    </w:p>
    <w:p w14:paraId="1E05CFBE" w14:textId="28DEE7E6" w:rsidR="00384B90" w:rsidRPr="00465F79" w:rsidRDefault="00384B90" w:rsidP="00FB2204">
      <w:pPr>
        <w:numPr>
          <w:ilvl w:val="0"/>
          <w:numId w:val="7"/>
        </w:numPr>
        <w:tabs>
          <w:tab w:val="left" w:pos="567"/>
          <w:tab w:val="num" w:pos="1569"/>
          <w:tab w:val="num" w:pos="12305"/>
        </w:tabs>
        <w:spacing w:line="240" w:lineRule="auto"/>
        <w:ind w:left="0" w:firstLine="0"/>
      </w:pPr>
      <w:r w:rsidRPr="00465F79">
        <w:t xml:space="preserve">El 30 de julio de 1982 el Cabo Instructor </w:t>
      </w:r>
      <w:r w:rsidR="00632D55" w:rsidRPr="00465F79">
        <w:t>M.</w:t>
      </w:r>
      <w:r w:rsidRPr="00465F79">
        <w:t xml:space="preserve"> informó al Jefe de la Sección “II” de la Guardia Nacional </w:t>
      </w:r>
      <w:r w:rsidR="000C3B17" w:rsidRPr="00465F79">
        <w:t>sobre el “secuestro” del señor Cuéllar Cuéllar, ordenando investigar el caso e instruir las diligencias correspondientes</w:t>
      </w:r>
      <w:r w:rsidR="000C3B17" w:rsidRPr="00465F79">
        <w:rPr>
          <w:rStyle w:val="Refdenotaalpie"/>
        </w:rPr>
        <w:footnoteReference w:id="62"/>
      </w:r>
      <w:r w:rsidR="000C3B17" w:rsidRPr="00465F79">
        <w:t>.</w:t>
      </w:r>
      <w:r w:rsidR="00361613" w:rsidRPr="00465F79">
        <w:t xml:space="preserve"> El 31 de julio y el 1 de agosto de 1982 la Guardia Nacional entrevistó a la señora María Consuelo Cuéllar Cuéllar y al señor Enrique Cuéllar Cuéllar</w:t>
      </w:r>
      <w:r w:rsidR="001667D4" w:rsidRPr="00465F79">
        <w:t xml:space="preserve"> respectivamente</w:t>
      </w:r>
      <w:r w:rsidR="00361613" w:rsidRPr="00465F79">
        <w:rPr>
          <w:rStyle w:val="Refdenotaalpie"/>
        </w:rPr>
        <w:footnoteReference w:id="63"/>
      </w:r>
      <w:r w:rsidR="00361613" w:rsidRPr="00465F79">
        <w:t xml:space="preserve">. </w:t>
      </w:r>
    </w:p>
    <w:p w14:paraId="03005A78" w14:textId="77777777" w:rsidR="00361613" w:rsidRPr="00465F79" w:rsidRDefault="00361613" w:rsidP="00361613">
      <w:pPr>
        <w:tabs>
          <w:tab w:val="left" w:pos="567"/>
          <w:tab w:val="num" w:pos="12305"/>
        </w:tabs>
        <w:spacing w:line="240" w:lineRule="auto"/>
      </w:pPr>
    </w:p>
    <w:p w14:paraId="464BF211" w14:textId="54222051" w:rsidR="00582F18" w:rsidRPr="00465F79" w:rsidRDefault="009E28D3" w:rsidP="00582F18">
      <w:pPr>
        <w:numPr>
          <w:ilvl w:val="0"/>
          <w:numId w:val="7"/>
        </w:numPr>
        <w:tabs>
          <w:tab w:val="left" w:pos="567"/>
          <w:tab w:val="num" w:pos="1569"/>
          <w:tab w:val="num" w:pos="12305"/>
        </w:tabs>
        <w:spacing w:line="240" w:lineRule="auto"/>
        <w:ind w:left="0" w:firstLine="0"/>
      </w:pPr>
      <w:r w:rsidRPr="00465F79">
        <w:t xml:space="preserve">El 1 de agosto de 1982 se realizó una inspección en el domicilio del señor Cuéllar </w:t>
      </w:r>
      <w:r w:rsidR="001667D4" w:rsidRPr="00465F79">
        <w:t xml:space="preserve">Cuéllar </w:t>
      </w:r>
      <w:r w:rsidRPr="00465F79">
        <w:t xml:space="preserve">y se interrogaron </w:t>
      </w:r>
      <w:r w:rsidR="006D22EE" w:rsidRPr="00465F79">
        <w:t>a sus vecinos</w:t>
      </w:r>
      <w:r w:rsidRPr="00465F79">
        <w:t xml:space="preserve">, quienes afirmaron </w:t>
      </w:r>
      <w:r w:rsidR="00582F18" w:rsidRPr="00465F79">
        <w:t xml:space="preserve">desconocer los motivos que subyacían al </w:t>
      </w:r>
      <w:r w:rsidR="00EB7756" w:rsidRPr="00465F79">
        <w:t>“</w:t>
      </w:r>
      <w:r w:rsidR="00582F18" w:rsidRPr="00465F79">
        <w:t>secuestro</w:t>
      </w:r>
      <w:r w:rsidR="00EB7756" w:rsidRPr="00465F79">
        <w:t>”</w:t>
      </w:r>
      <w:r w:rsidR="00582F18" w:rsidRPr="00465F79">
        <w:t xml:space="preserve"> de la presunta víctima</w:t>
      </w:r>
      <w:r w:rsidR="00AE7691" w:rsidRPr="00465F79">
        <w:t>. Asimismo</w:t>
      </w:r>
      <w:r w:rsidR="00F94768">
        <w:t>,</w:t>
      </w:r>
      <w:r w:rsidR="00582F18" w:rsidRPr="00465F79">
        <w:t xml:space="preserve"> señalaron no haber observado a “personas sospechosas” en las inmediaciones de</w:t>
      </w:r>
      <w:r w:rsidR="00AE7691" w:rsidRPr="00465F79">
        <w:t xml:space="preserve"> la casa del señor Cuéllar Cuéllar</w:t>
      </w:r>
      <w:r w:rsidR="00582F18" w:rsidRPr="00465F79">
        <w:t xml:space="preserve"> </w:t>
      </w:r>
      <w:r w:rsidR="00AE7691" w:rsidRPr="00465F79">
        <w:t>el 28 de julio de 1982</w:t>
      </w:r>
      <w:r w:rsidR="00582F18" w:rsidRPr="00465F79">
        <w:rPr>
          <w:rStyle w:val="Refdenotaalpie"/>
        </w:rPr>
        <w:footnoteReference w:id="64"/>
      </w:r>
      <w:r w:rsidR="00582F18" w:rsidRPr="00465F79">
        <w:t xml:space="preserve">. </w:t>
      </w:r>
    </w:p>
    <w:p w14:paraId="4F6164B3" w14:textId="77777777" w:rsidR="009E28D3" w:rsidRPr="00465F79" w:rsidRDefault="009E28D3" w:rsidP="009E28D3">
      <w:pPr>
        <w:autoSpaceDE w:val="0"/>
        <w:autoSpaceDN w:val="0"/>
        <w:spacing w:line="240" w:lineRule="auto"/>
      </w:pPr>
    </w:p>
    <w:p w14:paraId="66610EF3" w14:textId="0B359ADD" w:rsidR="009E28D3" w:rsidRPr="00465F79" w:rsidRDefault="009E28D3" w:rsidP="009E28D3">
      <w:pPr>
        <w:numPr>
          <w:ilvl w:val="0"/>
          <w:numId w:val="7"/>
        </w:numPr>
        <w:tabs>
          <w:tab w:val="left" w:pos="567"/>
          <w:tab w:val="num" w:pos="1569"/>
          <w:tab w:val="num" w:pos="12305"/>
        </w:tabs>
        <w:spacing w:line="240" w:lineRule="auto"/>
        <w:ind w:left="0" w:firstLine="0"/>
        <w:rPr>
          <w:b/>
          <w:bCs/>
        </w:rPr>
      </w:pPr>
      <w:r w:rsidRPr="00465F79">
        <w:t>El 2 de agosto de 1982 la Guardia Nacional tomó la declaración de</w:t>
      </w:r>
      <w:r w:rsidR="00AE7691" w:rsidRPr="00465F79">
        <w:t xml:space="preserve"> la señora</w:t>
      </w:r>
      <w:r w:rsidRPr="00465F79">
        <w:t xml:space="preserve"> Ana</w:t>
      </w:r>
      <w:r w:rsidR="00444E5F">
        <w:t xml:space="preserve"> </w:t>
      </w:r>
      <w:r w:rsidR="00F01B69">
        <w:t>Gladis</w:t>
      </w:r>
      <w:r w:rsidRPr="00465F79">
        <w:t xml:space="preserve"> </w:t>
      </w:r>
      <w:r w:rsidR="000B7B3C">
        <w:t>Pérez de Castro</w:t>
      </w:r>
      <w:r w:rsidRPr="00465F79">
        <w:t xml:space="preserve">, </w:t>
      </w:r>
      <w:r w:rsidR="00A2596E" w:rsidRPr="00465F79">
        <w:t xml:space="preserve">quien </w:t>
      </w:r>
      <w:r w:rsidR="000A235A" w:rsidRPr="00465F79">
        <w:t>informó a las autoridades policiales que</w:t>
      </w:r>
      <w:r w:rsidR="00AE7691" w:rsidRPr="00465F79">
        <w:t xml:space="preserve"> su madre, la señora </w:t>
      </w:r>
      <w:r w:rsidR="00782AC5">
        <w:t xml:space="preserve">Julia </w:t>
      </w:r>
      <w:r w:rsidR="00AE7691" w:rsidRPr="00465F79">
        <w:t xml:space="preserve">Orbelina Pérez, </w:t>
      </w:r>
      <w:r w:rsidRPr="00465F79">
        <w:t>trabajaba en la casa del señor Cuéllar</w:t>
      </w:r>
      <w:r w:rsidR="00AE7691" w:rsidRPr="00465F79">
        <w:t xml:space="preserve"> Cuéllar</w:t>
      </w:r>
      <w:r w:rsidRPr="00465F79">
        <w:t xml:space="preserve"> desde hacía aproximadamente un mes y </w:t>
      </w:r>
      <w:r w:rsidR="00270E7C">
        <w:t>20</w:t>
      </w:r>
      <w:r w:rsidRPr="00465F79">
        <w:t xml:space="preserve"> días</w:t>
      </w:r>
      <w:r w:rsidR="00AE7691" w:rsidRPr="00465F79">
        <w:rPr>
          <w:rStyle w:val="Refdenotaalpie"/>
        </w:rPr>
        <w:footnoteReference w:id="65"/>
      </w:r>
      <w:r w:rsidRPr="00465F79">
        <w:t>. En la misma fecha, la Guardia Nacional recabó el testimonio de Teresa Pérez de Ramos, hermana de</w:t>
      </w:r>
      <w:r w:rsidR="00AE7691" w:rsidRPr="00465F79">
        <w:t xml:space="preserve"> la</w:t>
      </w:r>
      <w:r w:rsidRPr="00465F79">
        <w:t xml:space="preserve"> </w:t>
      </w:r>
      <w:r w:rsidR="00AE7691" w:rsidRPr="00465F79">
        <w:t>señora</w:t>
      </w:r>
      <w:r w:rsidRPr="00465F79">
        <w:t xml:space="preserve"> Orbelina</w:t>
      </w:r>
      <w:r w:rsidR="00AE7691" w:rsidRPr="00465F79">
        <w:t xml:space="preserve"> Pérez</w:t>
      </w:r>
      <w:r w:rsidR="00AE7691" w:rsidRPr="00465F79">
        <w:rPr>
          <w:rStyle w:val="Refdenotaalpie"/>
        </w:rPr>
        <w:footnoteReference w:id="66"/>
      </w:r>
      <w:r w:rsidRPr="00465F79">
        <w:t xml:space="preserve">. </w:t>
      </w:r>
    </w:p>
    <w:p w14:paraId="34877E02" w14:textId="77777777" w:rsidR="009E28D3" w:rsidRPr="00465F79" w:rsidRDefault="009E28D3" w:rsidP="009E28D3">
      <w:pPr>
        <w:autoSpaceDE w:val="0"/>
        <w:autoSpaceDN w:val="0"/>
        <w:spacing w:line="240" w:lineRule="auto"/>
        <w:rPr>
          <w:b/>
          <w:bCs/>
        </w:rPr>
      </w:pPr>
    </w:p>
    <w:p w14:paraId="5D8503FE" w14:textId="445A8DFE" w:rsidR="009A26B7" w:rsidRPr="00465F79" w:rsidRDefault="009E28D3" w:rsidP="009A26B7">
      <w:pPr>
        <w:numPr>
          <w:ilvl w:val="0"/>
          <w:numId w:val="7"/>
        </w:numPr>
        <w:tabs>
          <w:tab w:val="left" w:pos="567"/>
          <w:tab w:val="num" w:pos="1569"/>
          <w:tab w:val="num" w:pos="12305"/>
        </w:tabs>
        <w:spacing w:line="240" w:lineRule="auto"/>
        <w:ind w:left="0" w:firstLine="0"/>
        <w:rPr>
          <w:b/>
          <w:bCs/>
        </w:rPr>
      </w:pPr>
      <w:r w:rsidRPr="00465F79">
        <w:t>El 10 de agosto de 1982 el Director de la Guardia Nacional remitió al Juzgado Cuarto de Paz</w:t>
      </w:r>
      <w:r w:rsidR="007703D6" w:rsidRPr="00465F79">
        <w:t xml:space="preserve"> de San Salvador</w:t>
      </w:r>
      <w:r w:rsidR="00923E31" w:rsidRPr="00465F79">
        <w:t xml:space="preserve"> (en adelante “el Juzgado Cuarto de Paz”)</w:t>
      </w:r>
      <w:r w:rsidRPr="00465F79">
        <w:t xml:space="preserve"> la constancia de las diligencias iniciadas por el delito de secuestro en </w:t>
      </w:r>
      <w:r w:rsidR="00AD481B" w:rsidRPr="00465F79">
        <w:t>perjuicio</w:t>
      </w:r>
      <w:r w:rsidRPr="00465F79">
        <w:t xml:space="preserve"> de</w:t>
      </w:r>
      <w:r w:rsidR="007703D6" w:rsidRPr="00465F79">
        <w:t xml:space="preserve">l señor Cuéllar </w:t>
      </w:r>
      <w:r w:rsidRPr="00465F79">
        <w:t>Cuéllar</w:t>
      </w:r>
      <w:r w:rsidR="007703D6" w:rsidRPr="00465F79">
        <w:rPr>
          <w:rStyle w:val="Refdenotaalpie"/>
        </w:rPr>
        <w:footnoteReference w:id="67"/>
      </w:r>
      <w:r w:rsidRPr="00465F79">
        <w:t>. Ese mismo día</w:t>
      </w:r>
      <w:r w:rsidR="00BB6399" w:rsidRPr="00465F79">
        <w:t>,</w:t>
      </w:r>
      <w:r w:rsidRPr="00465F79">
        <w:t xml:space="preserve"> el Juzgado Cuarto de Paz citó a María Consuelo Cuéllar</w:t>
      </w:r>
      <w:r w:rsidR="000A235A" w:rsidRPr="00465F79">
        <w:t xml:space="preserve"> Cuéllar</w:t>
      </w:r>
      <w:r w:rsidRPr="00465F79">
        <w:t xml:space="preserve">, </w:t>
      </w:r>
      <w:r w:rsidR="00BB6399" w:rsidRPr="00465F79">
        <w:t>Enrique Cuéllar</w:t>
      </w:r>
      <w:r w:rsidRPr="00465F79">
        <w:t xml:space="preserve"> Cuéllar, Ana</w:t>
      </w:r>
      <w:r w:rsidR="00444E5F">
        <w:t xml:space="preserve"> </w:t>
      </w:r>
      <w:r w:rsidR="00F01B69">
        <w:t>Gladis</w:t>
      </w:r>
      <w:r w:rsidRPr="00465F79">
        <w:t xml:space="preserve"> Pérez de Castro y Teresa Pérez de Ramos para que comparecieran y brindaran nuevamente testimonio sobre los hechos del caso</w:t>
      </w:r>
      <w:r w:rsidR="007703D6" w:rsidRPr="00465F79">
        <w:rPr>
          <w:rStyle w:val="Refdenotaalpie"/>
        </w:rPr>
        <w:footnoteReference w:id="68"/>
      </w:r>
      <w:r w:rsidRPr="00465F79">
        <w:t xml:space="preserve">. </w:t>
      </w:r>
    </w:p>
    <w:p w14:paraId="54E13C55" w14:textId="77777777" w:rsidR="009A26B7" w:rsidRPr="00465F79" w:rsidRDefault="009A26B7" w:rsidP="009A26B7">
      <w:pPr>
        <w:tabs>
          <w:tab w:val="left" w:pos="567"/>
        </w:tabs>
        <w:spacing w:line="240" w:lineRule="auto"/>
        <w:rPr>
          <w:b/>
          <w:bCs/>
        </w:rPr>
      </w:pPr>
    </w:p>
    <w:p w14:paraId="628659EC" w14:textId="34F1C336" w:rsidR="00366DA8" w:rsidRPr="00465F79" w:rsidRDefault="009E28D3" w:rsidP="0075368F">
      <w:pPr>
        <w:numPr>
          <w:ilvl w:val="0"/>
          <w:numId w:val="7"/>
        </w:numPr>
        <w:tabs>
          <w:tab w:val="left" w:pos="567"/>
          <w:tab w:val="num" w:pos="1569"/>
          <w:tab w:val="num" w:pos="12305"/>
        </w:tabs>
        <w:autoSpaceDE w:val="0"/>
        <w:autoSpaceDN w:val="0"/>
        <w:spacing w:line="240" w:lineRule="auto"/>
        <w:ind w:left="0" w:firstLine="0"/>
        <w:rPr>
          <w:b/>
          <w:bCs/>
        </w:rPr>
      </w:pPr>
      <w:r w:rsidRPr="00465F79">
        <w:t>El 18 de septiembre de 1982 el Juzgado Cuarto de Paz remitió al Juez Cuarto de lo Penal</w:t>
      </w:r>
      <w:r w:rsidR="009A26B7" w:rsidRPr="00465F79">
        <w:t xml:space="preserve"> del Distrito de San Salvador (en adelante “el Juzgado Cuarto de lo Penal”) </w:t>
      </w:r>
      <w:r w:rsidRPr="00465F79">
        <w:t>la causa criminal sobre el secuestro de</w:t>
      </w:r>
      <w:r w:rsidR="009A26B7" w:rsidRPr="00465F79">
        <w:t>l</w:t>
      </w:r>
      <w:r w:rsidRPr="00465F79">
        <w:t xml:space="preserve"> </w:t>
      </w:r>
      <w:r w:rsidR="009A26B7" w:rsidRPr="00465F79">
        <w:t>señor</w:t>
      </w:r>
      <w:r w:rsidRPr="00465F79">
        <w:t xml:space="preserve"> Cuéllar Cuéllar</w:t>
      </w:r>
      <w:r w:rsidR="007703D6" w:rsidRPr="00465F79">
        <w:rPr>
          <w:rStyle w:val="Refdenotaalpie"/>
        </w:rPr>
        <w:footnoteReference w:id="69"/>
      </w:r>
      <w:r w:rsidRPr="00465F79">
        <w:t>. Entre el 27 de octubre</w:t>
      </w:r>
      <w:r w:rsidR="00366DA8" w:rsidRPr="00465F79">
        <w:t xml:space="preserve"> de 1982</w:t>
      </w:r>
      <w:r w:rsidRPr="00465F79">
        <w:t xml:space="preserve"> y el </w:t>
      </w:r>
      <w:r w:rsidR="00F94768">
        <w:t>2</w:t>
      </w:r>
      <w:r w:rsidRPr="00465F79">
        <w:t xml:space="preserve">0 de </w:t>
      </w:r>
      <w:r w:rsidR="00366DA8" w:rsidRPr="00465F79">
        <w:t>septiembre</w:t>
      </w:r>
      <w:r w:rsidRPr="00465F79">
        <w:t xml:space="preserve"> de 198</w:t>
      </w:r>
      <w:r w:rsidR="00366DA8" w:rsidRPr="00465F79">
        <w:t>3,</w:t>
      </w:r>
      <w:r w:rsidRPr="00465F79">
        <w:t xml:space="preserve"> el Juzgado Cuarto de lo Penal recibió</w:t>
      </w:r>
      <w:r w:rsidR="000A235A" w:rsidRPr="00465F79">
        <w:t xml:space="preserve"> </w:t>
      </w:r>
      <w:r w:rsidRPr="00465F79">
        <w:t>las declaraciones de María Consuelo Cuéllar Cuéllar, Enrique Cuéllar Cuéllar y Teresa Pérez de Ramos</w:t>
      </w:r>
      <w:r w:rsidR="007703D6" w:rsidRPr="00465F79">
        <w:rPr>
          <w:rStyle w:val="Refdenotaalpie"/>
        </w:rPr>
        <w:footnoteReference w:id="70"/>
      </w:r>
      <w:r w:rsidRPr="00465F79">
        <w:t xml:space="preserve">. </w:t>
      </w:r>
      <w:r w:rsidR="00567996">
        <w:t>El 4 de diciembre de 1982 el Secretario de la Sala de lo Penal de la Corte Suprema de Justicia informó al Juzgado Cuarto de lo Penal sobre el resultado negativo de los procesos de exhibición personal iniciados por el señor Álvarez Solís a favor de las presuntas víctimas</w:t>
      </w:r>
      <w:r w:rsidR="00567996">
        <w:rPr>
          <w:rStyle w:val="Refdenotaalpie"/>
        </w:rPr>
        <w:footnoteReference w:id="71"/>
      </w:r>
      <w:r w:rsidR="00567996">
        <w:t xml:space="preserve">. </w:t>
      </w:r>
    </w:p>
    <w:p w14:paraId="1E4E29EA" w14:textId="77777777" w:rsidR="00366DA8" w:rsidRPr="00465F79" w:rsidRDefault="00366DA8" w:rsidP="00366DA8">
      <w:pPr>
        <w:tabs>
          <w:tab w:val="left" w:pos="567"/>
        </w:tabs>
        <w:spacing w:line="240" w:lineRule="auto"/>
        <w:rPr>
          <w:b/>
          <w:bCs/>
        </w:rPr>
      </w:pPr>
    </w:p>
    <w:p w14:paraId="75BD7F4F" w14:textId="6ADAC292" w:rsidR="009E28D3" w:rsidRPr="00465F79" w:rsidRDefault="009E28D3" w:rsidP="009E28D3">
      <w:pPr>
        <w:numPr>
          <w:ilvl w:val="0"/>
          <w:numId w:val="7"/>
        </w:numPr>
        <w:tabs>
          <w:tab w:val="left" w:pos="567"/>
          <w:tab w:val="num" w:pos="1569"/>
          <w:tab w:val="num" w:pos="12305"/>
        </w:tabs>
        <w:spacing w:line="240" w:lineRule="auto"/>
        <w:ind w:left="0" w:firstLine="0"/>
        <w:rPr>
          <w:b/>
          <w:bCs/>
        </w:rPr>
      </w:pPr>
      <w:r w:rsidRPr="00465F79">
        <w:t>El 17 de diciembre de 1983</w:t>
      </w:r>
      <w:r w:rsidR="00366DA8" w:rsidRPr="00465F79">
        <w:t xml:space="preserve"> el Juzgado Cuarto de lo Penal </w:t>
      </w:r>
      <w:r w:rsidRPr="00465F79">
        <w:t>archivó el caso señalando</w:t>
      </w:r>
      <w:r w:rsidR="00EB7756" w:rsidRPr="00465F79">
        <w:t>,</w:t>
      </w:r>
      <w:r w:rsidRPr="00465F79">
        <w:t xml:space="preserve"> </w:t>
      </w:r>
      <w:r w:rsidRPr="00465F79">
        <w:rPr>
          <w:i/>
          <w:iCs/>
        </w:rPr>
        <w:t>inter alia</w:t>
      </w:r>
      <w:r w:rsidR="00EB7756" w:rsidRPr="00465F79">
        <w:rPr>
          <w:i/>
          <w:iCs/>
        </w:rPr>
        <w:t>,</w:t>
      </w:r>
      <w:r w:rsidRPr="00465F79">
        <w:rPr>
          <w:i/>
          <w:iCs/>
        </w:rPr>
        <w:t xml:space="preserve"> </w:t>
      </w:r>
      <w:r w:rsidRPr="00465F79">
        <w:t xml:space="preserve">que se habían practicado las diligencias necesarias para </w:t>
      </w:r>
      <w:r w:rsidR="00EB7756" w:rsidRPr="00465F79">
        <w:t>determinar</w:t>
      </w:r>
      <w:r w:rsidRPr="00465F79">
        <w:t xml:space="preserve"> </w:t>
      </w:r>
      <w:r w:rsidR="00EB7756" w:rsidRPr="00465F79">
        <w:t>e</w:t>
      </w:r>
      <w:r w:rsidR="000275EE" w:rsidRPr="00465F79">
        <w:t>l</w:t>
      </w:r>
      <w:r w:rsidRPr="00465F79">
        <w:t xml:space="preserve"> paradero</w:t>
      </w:r>
      <w:r w:rsidR="00BB7211">
        <w:t xml:space="preserve"> </w:t>
      </w:r>
      <w:r w:rsidRPr="00465F79">
        <w:t xml:space="preserve">de </w:t>
      </w:r>
      <w:r w:rsidR="000275EE" w:rsidRPr="00465F79">
        <w:t xml:space="preserve">Mauricio Cuéllar Cuéllar, Patricia </w:t>
      </w:r>
      <w:r w:rsidR="00F94768">
        <w:t xml:space="preserve">Emilie </w:t>
      </w:r>
      <w:r w:rsidR="000275EE" w:rsidRPr="00465F79">
        <w:t xml:space="preserve">Cuéllar Sandoval y Julia Orbelina </w:t>
      </w:r>
      <w:r w:rsidR="000275EE" w:rsidRPr="00465F79">
        <w:lastRenderedPageBreak/>
        <w:t>Pérez</w:t>
      </w:r>
      <w:r w:rsidRPr="00465F79">
        <w:t xml:space="preserve"> y sus posibles </w:t>
      </w:r>
      <w:r w:rsidR="00BB7211">
        <w:t>“</w:t>
      </w:r>
      <w:r w:rsidRPr="00465F79">
        <w:t>secuestradores</w:t>
      </w:r>
      <w:r w:rsidR="00BB7211">
        <w:t>”</w:t>
      </w:r>
      <w:r w:rsidRPr="00465F79">
        <w:t>, pero que “no ha[bía sido] posible establec[er] hasta el momento ninguno de los extremos mencionados” por lo que, “no habiendo más diligencias que ordenar y practicar” debía de “arch[ivarse] el juicio”</w:t>
      </w:r>
      <w:r w:rsidR="007703D6" w:rsidRPr="00465F79">
        <w:rPr>
          <w:rStyle w:val="Refdenotaalpie"/>
        </w:rPr>
        <w:footnoteReference w:id="72"/>
      </w:r>
      <w:r w:rsidRPr="00465F79">
        <w:t xml:space="preserve">. </w:t>
      </w:r>
    </w:p>
    <w:p w14:paraId="7B713C5A" w14:textId="77777777" w:rsidR="00A12976" w:rsidRPr="00A12976" w:rsidRDefault="00A12976" w:rsidP="00A12976">
      <w:pPr>
        <w:tabs>
          <w:tab w:val="left" w:pos="567"/>
        </w:tabs>
        <w:spacing w:line="240" w:lineRule="auto"/>
        <w:rPr>
          <w:b/>
          <w:bCs/>
        </w:rPr>
      </w:pPr>
    </w:p>
    <w:p w14:paraId="5A6FF554" w14:textId="77777777" w:rsidR="00567996" w:rsidRPr="00465F79" w:rsidRDefault="00567996" w:rsidP="00567996">
      <w:pPr>
        <w:numPr>
          <w:ilvl w:val="0"/>
          <w:numId w:val="7"/>
        </w:numPr>
        <w:tabs>
          <w:tab w:val="left" w:pos="567"/>
          <w:tab w:val="num" w:pos="1569"/>
          <w:tab w:val="num" w:pos="12305"/>
        </w:tabs>
        <w:spacing w:line="240" w:lineRule="auto"/>
        <w:ind w:left="0" w:firstLine="0"/>
        <w:rPr>
          <w:b/>
          <w:bCs/>
        </w:rPr>
      </w:pPr>
      <w:r w:rsidRPr="00465F79">
        <w:t xml:space="preserve">El 20 de febrero de 2018, </w:t>
      </w:r>
      <w:r>
        <w:t>esto es,</w:t>
      </w:r>
      <w:r w:rsidRPr="00465F79">
        <w:t xml:space="preserve"> 3</w:t>
      </w:r>
      <w:r>
        <w:t>4</w:t>
      </w:r>
      <w:r w:rsidRPr="00465F79">
        <w:t xml:space="preserve"> años después de la última actuación judicial, los fiscales J.C.L.B. y H.M.Q. solicitaron al Juez Cuarto de Instrucción el “desarchivo” y </w:t>
      </w:r>
      <w:r>
        <w:t>el “</w:t>
      </w:r>
      <w:proofErr w:type="spellStart"/>
      <w:r>
        <w:t>impuls</w:t>
      </w:r>
      <w:proofErr w:type="spellEnd"/>
      <w:r>
        <w:t>[o] [de] las [diligencias] que fueran necesarias, para darle continuidad al referido expediente y poder esclarecer los hechos”, todo ello</w:t>
      </w:r>
      <w:r w:rsidRPr="00465F79">
        <w:t xml:space="preserve"> como resultado de “la declaratoria de inconstitucionalidad de la Ley de Amnistía para la Consolidación de la Paz”</w:t>
      </w:r>
      <w:r w:rsidRPr="00465F79">
        <w:rPr>
          <w:rStyle w:val="Refdenotaalpie"/>
        </w:rPr>
        <w:footnoteReference w:id="73"/>
      </w:r>
      <w:r w:rsidRPr="00465F79">
        <w:t>. El 22 de febrero de 2018 el Juzgado Cuarto de Instrucción ordenó que remitieran el expediente de la causa a los fiscales J.C.L.B., D.C., J.B.B. y H.M.Q. para que condujeran las pesquisas correspondientes</w:t>
      </w:r>
      <w:r w:rsidRPr="00465F79">
        <w:rPr>
          <w:rStyle w:val="Refdenotaalpie"/>
        </w:rPr>
        <w:footnoteReference w:id="74"/>
      </w:r>
      <w:r w:rsidRPr="00465F79">
        <w:t>.</w:t>
      </w:r>
    </w:p>
    <w:p w14:paraId="3FA51F7B" w14:textId="77777777" w:rsidR="00736C76" w:rsidRPr="00465F79" w:rsidRDefault="00736C76" w:rsidP="00736C76">
      <w:pPr>
        <w:tabs>
          <w:tab w:val="left" w:pos="567"/>
        </w:tabs>
        <w:spacing w:line="240" w:lineRule="auto"/>
        <w:rPr>
          <w:b/>
          <w:bCs/>
        </w:rPr>
      </w:pPr>
    </w:p>
    <w:p w14:paraId="7C90BA3B" w14:textId="1018E6D3" w:rsidR="00293EA8" w:rsidRPr="00465F79" w:rsidRDefault="00EB7756" w:rsidP="00E72575">
      <w:pPr>
        <w:numPr>
          <w:ilvl w:val="0"/>
          <w:numId w:val="7"/>
        </w:numPr>
        <w:tabs>
          <w:tab w:val="left" w:pos="567"/>
          <w:tab w:val="num" w:pos="1569"/>
          <w:tab w:val="num" w:pos="12305"/>
        </w:tabs>
        <w:spacing w:line="240" w:lineRule="auto"/>
        <w:ind w:left="0" w:firstLine="0"/>
        <w:rPr>
          <w:b/>
          <w:bCs/>
        </w:rPr>
      </w:pPr>
      <w:r w:rsidRPr="00465F79">
        <w:t>Con fecha</w:t>
      </w:r>
      <w:r w:rsidR="00736C76" w:rsidRPr="00465F79">
        <w:t xml:space="preserve"> 8 de octubre de 2021 el proceso penal se “enc[ontraba] aún en fase de instrucción”</w:t>
      </w:r>
      <w:r w:rsidR="00736C76" w:rsidRPr="00465F79">
        <w:rPr>
          <w:rStyle w:val="Refdenotaalpie"/>
        </w:rPr>
        <w:footnoteReference w:id="75"/>
      </w:r>
      <w:r w:rsidR="00736C76" w:rsidRPr="00465F79">
        <w:t>.</w:t>
      </w:r>
      <w:r w:rsidR="00C65094" w:rsidRPr="00465F79">
        <w:t xml:space="preserve"> </w:t>
      </w:r>
      <w:r w:rsidR="00293EA8" w:rsidRPr="00465F79">
        <w:t>El 8 de diciembre del mismo año el Juzgado Cuarto de Instrucción previno a los fiscales a cargo de la causa que informaran sobre las diligencias de investigación adelantadas en relación con la causa</w:t>
      </w:r>
      <w:r w:rsidR="00293EA8" w:rsidRPr="00465F79">
        <w:rPr>
          <w:rStyle w:val="Refdenotaalpie"/>
        </w:rPr>
        <w:footnoteReference w:id="76"/>
      </w:r>
      <w:r w:rsidR="00293EA8" w:rsidRPr="00465F79">
        <w:t xml:space="preserve">. </w:t>
      </w:r>
    </w:p>
    <w:p w14:paraId="3309FAA0" w14:textId="77777777" w:rsidR="00293EA8" w:rsidRPr="00465F79" w:rsidRDefault="00293EA8" w:rsidP="00293EA8">
      <w:pPr>
        <w:tabs>
          <w:tab w:val="left" w:pos="567"/>
        </w:tabs>
        <w:spacing w:line="240" w:lineRule="auto"/>
        <w:rPr>
          <w:b/>
          <w:bCs/>
        </w:rPr>
      </w:pPr>
    </w:p>
    <w:p w14:paraId="0813D24F" w14:textId="3557EA67" w:rsidR="00EB7756" w:rsidRPr="00465F79" w:rsidRDefault="00293EA8" w:rsidP="00EB7756">
      <w:pPr>
        <w:numPr>
          <w:ilvl w:val="0"/>
          <w:numId w:val="7"/>
        </w:numPr>
        <w:tabs>
          <w:tab w:val="left" w:pos="567"/>
          <w:tab w:val="num" w:pos="1569"/>
          <w:tab w:val="num" w:pos="12305"/>
        </w:tabs>
        <w:spacing w:line="240" w:lineRule="auto"/>
        <w:ind w:left="0" w:firstLine="0"/>
      </w:pPr>
      <w:r w:rsidRPr="00465F79">
        <w:t xml:space="preserve">El 13 de diciembre de 2021 </w:t>
      </w:r>
      <w:r w:rsidR="00747872" w:rsidRPr="00465F79">
        <w:t xml:space="preserve">los fiscales J.C.L.B. y </w:t>
      </w:r>
      <w:r w:rsidRPr="00465F79">
        <w:t xml:space="preserve">K.M.A.M. </w:t>
      </w:r>
      <w:r w:rsidR="00747872" w:rsidRPr="00465F79">
        <w:t>informaron</w:t>
      </w:r>
      <w:r w:rsidRPr="00465F79">
        <w:t xml:space="preserve"> al Juzgado Cuarto de Instrucción sobre las diligencias realizadas </w:t>
      </w:r>
      <w:r w:rsidR="009E107A" w:rsidRPr="00465F79">
        <w:t>en relación con</w:t>
      </w:r>
      <w:r w:rsidRPr="00465F79">
        <w:t xml:space="preserve"> la causa</w:t>
      </w:r>
      <w:r w:rsidRPr="00465F79">
        <w:rPr>
          <w:rStyle w:val="Refdenotaalpie"/>
        </w:rPr>
        <w:footnoteReference w:id="77"/>
      </w:r>
      <w:r w:rsidRPr="00465F79">
        <w:t xml:space="preserve">. </w:t>
      </w:r>
      <w:r w:rsidR="00C65094" w:rsidRPr="00465F79">
        <w:t xml:space="preserve">La Corte no dispone de más información sobre lo sucedido en relación con el </w:t>
      </w:r>
      <w:r w:rsidR="00BB7211">
        <w:t>este</w:t>
      </w:r>
      <w:r w:rsidR="00C65094" w:rsidRPr="00465F79">
        <w:t xml:space="preserve"> procedimiento.</w:t>
      </w:r>
    </w:p>
    <w:p w14:paraId="1DD71EB0" w14:textId="50669AB1" w:rsidR="009E28D3" w:rsidRPr="00465F79" w:rsidRDefault="009E28D3" w:rsidP="00A12976">
      <w:pPr>
        <w:pStyle w:val="Ttulo3"/>
        <w:spacing w:before="240" w:after="240"/>
        <w:ind w:left="992"/>
        <w:contextualSpacing w:val="0"/>
        <w:rPr>
          <w:b w:val="0"/>
          <w:bCs/>
          <w:lang w:val="es-ES"/>
        </w:rPr>
      </w:pPr>
      <w:bookmarkStart w:id="49" w:name="_Toc165022616"/>
      <w:r w:rsidRPr="00465F79">
        <w:rPr>
          <w:b w:val="0"/>
          <w:bCs/>
          <w:lang w:val="es-ES"/>
        </w:rPr>
        <w:t>D.3.</w:t>
      </w:r>
      <w:r w:rsidR="00EB7756" w:rsidRPr="00465F79">
        <w:rPr>
          <w:b w:val="0"/>
          <w:bCs/>
          <w:lang w:val="es-ES"/>
        </w:rPr>
        <w:t xml:space="preserve"> I</w:t>
      </w:r>
      <w:r w:rsidRPr="00465F79">
        <w:rPr>
          <w:b w:val="0"/>
          <w:bCs/>
          <w:lang w:val="es-ES"/>
        </w:rPr>
        <w:t>nvestigación</w:t>
      </w:r>
      <w:r w:rsidR="00EB7756" w:rsidRPr="00465F79">
        <w:rPr>
          <w:b w:val="0"/>
          <w:bCs/>
          <w:lang w:val="es-ES"/>
        </w:rPr>
        <w:t xml:space="preserve"> penal</w:t>
      </w:r>
      <w:r w:rsidRPr="00465F79">
        <w:rPr>
          <w:b w:val="0"/>
          <w:bCs/>
          <w:lang w:val="es-ES"/>
        </w:rPr>
        <w:t xml:space="preserve"> por desaparición forzada</w:t>
      </w:r>
      <w:bookmarkEnd w:id="49"/>
      <w:r w:rsidRPr="00465F79">
        <w:rPr>
          <w:b w:val="0"/>
          <w:bCs/>
          <w:lang w:val="es-ES"/>
        </w:rPr>
        <w:t xml:space="preserve"> </w:t>
      </w:r>
    </w:p>
    <w:p w14:paraId="155F8F60" w14:textId="226B6BA2" w:rsidR="00983A63" w:rsidRPr="00465F79" w:rsidRDefault="00A027CE" w:rsidP="004B0B55">
      <w:pPr>
        <w:numPr>
          <w:ilvl w:val="0"/>
          <w:numId w:val="7"/>
        </w:numPr>
        <w:tabs>
          <w:tab w:val="left" w:pos="567"/>
          <w:tab w:val="num" w:pos="1569"/>
          <w:tab w:val="num" w:pos="12305"/>
        </w:tabs>
        <w:spacing w:line="240" w:lineRule="auto"/>
        <w:ind w:left="0" w:firstLine="0"/>
        <w:rPr>
          <w:b/>
          <w:bCs/>
        </w:rPr>
      </w:pPr>
      <w:r w:rsidRPr="00465F79">
        <w:t xml:space="preserve">El </w:t>
      </w:r>
      <w:r w:rsidR="00983A63" w:rsidRPr="00465F79">
        <w:t>28</w:t>
      </w:r>
      <w:r w:rsidRPr="00465F79">
        <w:t xml:space="preserve"> de </w:t>
      </w:r>
      <w:r w:rsidR="00983A63" w:rsidRPr="00465F79">
        <w:t>marzo</w:t>
      </w:r>
      <w:r w:rsidRPr="00465F79">
        <w:t xml:space="preserve"> de 2003 el Instituto de Derechos Humanos de la Universidad Centroamericana “José Simeón Cañas”</w:t>
      </w:r>
      <w:r w:rsidR="00E85997" w:rsidRPr="00465F79">
        <w:t xml:space="preserve"> (IDHUCA)</w:t>
      </w:r>
      <w:r w:rsidRPr="00465F79">
        <w:t xml:space="preserve"> presentó una denuncia ante la Fiscalía General de la República por la desaparición de las víctimas</w:t>
      </w:r>
      <w:r w:rsidR="004B0B55" w:rsidRPr="00465F79">
        <w:rPr>
          <w:rStyle w:val="Refdenotaalpie"/>
        </w:rPr>
        <w:footnoteReference w:id="78"/>
      </w:r>
      <w:r w:rsidRPr="00465F79">
        <w:t>.</w:t>
      </w:r>
      <w:r w:rsidR="00131C52" w:rsidRPr="00465F79">
        <w:t xml:space="preserve"> El 8 de septiembre de 2005 el Fiscal F.C. solicitó al Juzgado Cuarto de </w:t>
      </w:r>
      <w:r w:rsidR="00C93A64" w:rsidRPr="00465F79">
        <w:t>Instrucción</w:t>
      </w:r>
      <w:r w:rsidR="00131C52" w:rsidRPr="00465F79">
        <w:t xml:space="preserve"> copia de la investigación</w:t>
      </w:r>
      <w:r w:rsidR="00D350A0" w:rsidRPr="00465F79">
        <w:t xml:space="preserve"> penal por secuestro</w:t>
      </w:r>
      <w:r w:rsidR="00131C52" w:rsidRPr="00465F79">
        <w:t xml:space="preserve"> para impulsar la pesquisa sobre la desaparición </w:t>
      </w:r>
      <w:r w:rsidR="00D350A0" w:rsidRPr="00465F79">
        <w:t xml:space="preserve">forzada </w:t>
      </w:r>
      <w:r w:rsidR="00131C52" w:rsidRPr="00465F79">
        <w:t>de las presuntas víctimas</w:t>
      </w:r>
      <w:r w:rsidR="00D350A0" w:rsidRPr="00465F79">
        <w:t xml:space="preserve"> conocida bajo el expediente de referencia 1287-UDV-2003</w:t>
      </w:r>
      <w:r w:rsidR="004B0B55" w:rsidRPr="00465F79">
        <w:rPr>
          <w:rStyle w:val="Refdenotaalpie"/>
        </w:rPr>
        <w:footnoteReference w:id="79"/>
      </w:r>
      <w:r w:rsidR="00131C52" w:rsidRPr="00465F79">
        <w:t>.</w:t>
      </w:r>
      <w:r w:rsidR="00C67CB9" w:rsidRPr="00465F79">
        <w:t xml:space="preserve"> </w:t>
      </w:r>
    </w:p>
    <w:p w14:paraId="1CF21C55" w14:textId="77777777" w:rsidR="00983A63" w:rsidRPr="00465F79" w:rsidRDefault="00983A63" w:rsidP="00983A63">
      <w:pPr>
        <w:tabs>
          <w:tab w:val="left" w:pos="567"/>
        </w:tabs>
        <w:spacing w:line="240" w:lineRule="auto"/>
        <w:rPr>
          <w:b/>
          <w:bCs/>
        </w:rPr>
      </w:pPr>
    </w:p>
    <w:p w14:paraId="4FB90577" w14:textId="1116DD5F" w:rsidR="00983A63" w:rsidRPr="00465F79" w:rsidRDefault="00131C52" w:rsidP="00983A63">
      <w:pPr>
        <w:numPr>
          <w:ilvl w:val="0"/>
          <w:numId w:val="7"/>
        </w:numPr>
        <w:tabs>
          <w:tab w:val="left" w:pos="567"/>
          <w:tab w:val="num" w:pos="1569"/>
          <w:tab w:val="num" w:pos="12305"/>
        </w:tabs>
        <w:spacing w:line="240" w:lineRule="auto"/>
        <w:ind w:left="0" w:firstLine="0"/>
        <w:rPr>
          <w:b/>
          <w:bCs/>
        </w:rPr>
      </w:pPr>
      <w:r w:rsidRPr="00465F79">
        <w:t xml:space="preserve">El 28 de junio de 2011 la </w:t>
      </w:r>
      <w:r w:rsidR="00983A63" w:rsidRPr="00465F79">
        <w:t xml:space="preserve">fiscal C.N.P.P., asignada al conocimiento de la causa, solicitó al Juzgado Cuarto de Instrucción </w:t>
      </w:r>
      <w:r w:rsidR="00C93A64" w:rsidRPr="00465F79">
        <w:t>copia del expediente</w:t>
      </w:r>
      <w:r w:rsidR="00D350A0" w:rsidRPr="00465F79">
        <w:t xml:space="preserve"> de la investigación penal por secuestro para impulsar las pesquisas relacionadas con la desaparición forzada de las presuntas víctimas</w:t>
      </w:r>
      <w:r w:rsidR="00D350A0" w:rsidRPr="00465F79">
        <w:rPr>
          <w:rStyle w:val="Refdenotaalpie"/>
        </w:rPr>
        <w:footnoteReference w:id="80"/>
      </w:r>
      <w:r w:rsidR="00D350A0" w:rsidRPr="00465F79">
        <w:t xml:space="preserve">. En 2015, la causa adelantada por medio del expediente 1287-UDV-03 fue archivada por la Fiscalía General, siendo posteriormente remitida a la Unidad Fiscal Especializada Antipandillas y Delito de Homicidio </w:t>
      </w:r>
      <w:r w:rsidR="00904C81" w:rsidRPr="00465F79">
        <w:t>bajo el expediente</w:t>
      </w:r>
      <w:r w:rsidR="00D350A0" w:rsidRPr="00465F79">
        <w:t xml:space="preserve"> 52-UDHO-SS-2015 por el delito de desaparición forzada</w:t>
      </w:r>
      <w:r w:rsidR="00D350A0" w:rsidRPr="00465F79">
        <w:rPr>
          <w:rStyle w:val="Refdenotaalpie"/>
        </w:rPr>
        <w:footnoteReference w:id="81"/>
      </w:r>
      <w:r w:rsidR="00D350A0" w:rsidRPr="00465F79">
        <w:t>.</w:t>
      </w:r>
    </w:p>
    <w:p w14:paraId="548D740D" w14:textId="77777777" w:rsidR="004B0B55" w:rsidRPr="00465F79" w:rsidRDefault="004B0B55" w:rsidP="004B0B55">
      <w:pPr>
        <w:tabs>
          <w:tab w:val="left" w:pos="567"/>
          <w:tab w:val="num" w:pos="12305"/>
        </w:tabs>
        <w:spacing w:line="240" w:lineRule="auto"/>
        <w:rPr>
          <w:b/>
          <w:bCs/>
        </w:rPr>
      </w:pPr>
    </w:p>
    <w:p w14:paraId="2BF69A32" w14:textId="77777777" w:rsidR="00567996" w:rsidRPr="00465F79" w:rsidRDefault="00567996" w:rsidP="00567996">
      <w:pPr>
        <w:numPr>
          <w:ilvl w:val="0"/>
          <w:numId w:val="7"/>
        </w:numPr>
        <w:tabs>
          <w:tab w:val="left" w:pos="567"/>
          <w:tab w:val="num" w:pos="1569"/>
          <w:tab w:val="num" w:pos="12305"/>
        </w:tabs>
        <w:spacing w:line="240" w:lineRule="auto"/>
        <w:ind w:left="0" w:firstLine="0"/>
        <w:rPr>
          <w:b/>
          <w:bCs/>
        </w:rPr>
      </w:pPr>
      <w:r w:rsidRPr="00465F79">
        <w:t xml:space="preserve">El 30 de junio de 2017 el señor Francisco Alfredo Álvarez Solís interpuso una denuncia ante la sede de la fiscalía de San Salvador con el objetivo de que se </w:t>
      </w:r>
      <w:r>
        <w:t>”se impulsa[aran] todas las acciones necesarias para que se cono[</w:t>
      </w:r>
      <w:proofErr w:type="spellStart"/>
      <w:r>
        <w:t>ciera</w:t>
      </w:r>
      <w:proofErr w:type="spellEnd"/>
      <w:r>
        <w:t xml:space="preserve">] la verdad de los hechos ocurridos” y para que “se </w:t>
      </w:r>
      <w:proofErr w:type="spellStart"/>
      <w:r>
        <w:t>determin</w:t>
      </w:r>
      <w:proofErr w:type="spellEnd"/>
      <w:r>
        <w:t>[aran] las responsabilidades respectivas”</w:t>
      </w:r>
      <w:r w:rsidRPr="00465F79">
        <w:rPr>
          <w:rStyle w:val="Refdenotaalpie"/>
        </w:rPr>
        <w:footnoteReference w:id="82"/>
      </w:r>
      <w:r w:rsidRPr="00465F79">
        <w:t>.</w:t>
      </w:r>
      <w:r w:rsidRPr="00465F79">
        <w:rPr>
          <w:b/>
          <w:bCs/>
        </w:rPr>
        <w:t xml:space="preserve"> </w:t>
      </w:r>
      <w:r w:rsidRPr="00465F79">
        <w:t xml:space="preserve">Desde el 2017 la causa se encuentra bajo conocimiento de la Unidad Fiscal de Delitos cometidos en el Conflicto Armado Interno, bajo el expediente </w:t>
      </w:r>
      <w:bookmarkStart w:id="50" w:name="_Hlk164240473"/>
      <w:r w:rsidRPr="00465F79">
        <w:t>45-GIDCAI-2017</w:t>
      </w:r>
      <w:bookmarkEnd w:id="50"/>
      <w:r w:rsidRPr="00465F79">
        <w:rPr>
          <w:rStyle w:val="Refdenotaalpie"/>
        </w:rPr>
        <w:footnoteReference w:id="83"/>
      </w:r>
      <w:r w:rsidRPr="00465F79">
        <w:t>.</w:t>
      </w:r>
    </w:p>
    <w:p w14:paraId="6D2F31D5" w14:textId="77777777" w:rsidR="00B30C0B" w:rsidRPr="00465F79" w:rsidRDefault="00B30C0B" w:rsidP="00B30C0B">
      <w:pPr>
        <w:tabs>
          <w:tab w:val="left" w:pos="567"/>
        </w:tabs>
        <w:spacing w:line="240" w:lineRule="auto"/>
        <w:rPr>
          <w:b/>
          <w:bCs/>
        </w:rPr>
      </w:pPr>
    </w:p>
    <w:p w14:paraId="4EBC6F4E" w14:textId="6736AC85" w:rsidR="00EB7756" w:rsidRPr="00465F79" w:rsidRDefault="00747872" w:rsidP="00EB7756">
      <w:pPr>
        <w:numPr>
          <w:ilvl w:val="0"/>
          <w:numId w:val="7"/>
        </w:numPr>
        <w:tabs>
          <w:tab w:val="left" w:pos="567"/>
          <w:tab w:val="num" w:pos="1569"/>
          <w:tab w:val="num" w:pos="12305"/>
        </w:tabs>
        <w:spacing w:line="240" w:lineRule="auto"/>
        <w:ind w:left="0" w:firstLine="0"/>
      </w:pPr>
      <w:r w:rsidRPr="00465F79">
        <w:t>El 13 de diciembre de 2021 los fiscales J.C.L.B. y K.M.A.M. informaron al Juzgado Cuarto de Instrucción sobre las diligencias adelantadas en relación con la</w:t>
      </w:r>
      <w:r w:rsidR="00BB7211">
        <w:t xml:space="preserve"> referida</w:t>
      </w:r>
      <w:r w:rsidRPr="00465F79">
        <w:t xml:space="preserve"> causa 45-GIDCAI-2017</w:t>
      </w:r>
      <w:r w:rsidR="002F352D" w:rsidRPr="00465F79">
        <w:rPr>
          <w:rStyle w:val="Refdenotaalpie"/>
        </w:rPr>
        <w:footnoteReference w:id="84"/>
      </w:r>
      <w:r w:rsidRPr="00465F79">
        <w:t xml:space="preserve">. En </w:t>
      </w:r>
      <w:r w:rsidR="00D02F8C" w:rsidRPr="00465F79">
        <w:t>particular</w:t>
      </w:r>
      <w:r w:rsidRPr="00465F79">
        <w:t xml:space="preserve">, señalaron que se solicitó un informe sobre la desaparición forzada a la Comisión de Búsqueda de Personas Adultas Desaparecidas en el Contexto del Conflicto Armado en </w:t>
      </w:r>
      <w:r w:rsidR="00567996">
        <w:t>E</w:t>
      </w:r>
      <w:r w:rsidRPr="00465F79">
        <w:t>l Salvador (</w:t>
      </w:r>
      <w:r w:rsidR="00BB7211">
        <w:t xml:space="preserve">en adelante </w:t>
      </w:r>
      <w:r w:rsidRPr="00465F79">
        <w:t xml:space="preserve">la </w:t>
      </w:r>
      <w:r w:rsidR="00BB7211">
        <w:t>“</w:t>
      </w:r>
      <w:r w:rsidRPr="00465F79">
        <w:t>CONABÚSQUEDA”)</w:t>
      </w:r>
      <w:r w:rsidRPr="00465F79">
        <w:rPr>
          <w:rStyle w:val="Refdenotaalpie"/>
        </w:rPr>
        <w:footnoteReference w:id="85"/>
      </w:r>
      <w:r w:rsidRPr="00465F79">
        <w:t>. El 5 de noviembre de 2021, la CONABÚSQUEDA informó que el caso “segu[ía] en estado de investigación”</w:t>
      </w:r>
      <w:r w:rsidRPr="00465F79">
        <w:rPr>
          <w:rStyle w:val="Refdenotaalpie"/>
        </w:rPr>
        <w:footnoteReference w:id="86"/>
      </w:r>
      <w:r w:rsidRPr="00465F79">
        <w:t>.</w:t>
      </w:r>
      <w:r w:rsidR="00CA7C60" w:rsidRPr="00465F79">
        <w:t xml:space="preserve"> La Corte no dispone de más información sobre lo sucedido en relación con </w:t>
      </w:r>
      <w:r w:rsidR="00BB7211">
        <w:t>este</w:t>
      </w:r>
      <w:r w:rsidR="00CA7C60" w:rsidRPr="00465F79">
        <w:t xml:space="preserve"> procedimiento.</w:t>
      </w:r>
      <w:r w:rsidR="00EB7756" w:rsidRPr="00465F79">
        <w:t xml:space="preserve"> </w:t>
      </w:r>
    </w:p>
    <w:p w14:paraId="7BFDE128" w14:textId="16DDD60D" w:rsidR="00EC3525" w:rsidRPr="00465F79" w:rsidRDefault="00110622" w:rsidP="00465F79">
      <w:pPr>
        <w:pStyle w:val="Ttulo1"/>
      </w:pPr>
      <w:bookmarkStart w:id="51" w:name="_Toc165022617"/>
      <w:bookmarkEnd w:id="38"/>
      <w:bookmarkEnd w:id="48"/>
      <w:r w:rsidRPr="00465F79">
        <w:t>VII</w:t>
      </w:r>
      <w:r w:rsidRPr="00465F79">
        <w:br/>
        <w:t>FONDO</w:t>
      </w:r>
      <w:bookmarkEnd w:id="51"/>
      <w:r w:rsidRPr="00465F79">
        <w:t xml:space="preserve"> </w:t>
      </w:r>
    </w:p>
    <w:p w14:paraId="4287FE73" w14:textId="734C7320" w:rsidR="00E810B3" w:rsidRPr="009446A0" w:rsidRDefault="009762ED" w:rsidP="00D35E36">
      <w:pPr>
        <w:numPr>
          <w:ilvl w:val="0"/>
          <w:numId w:val="7"/>
        </w:numPr>
        <w:tabs>
          <w:tab w:val="left" w:pos="567"/>
          <w:tab w:val="num" w:pos="1569"/>
          <w:tab w:val="num" w:pos="12305"/>
        </w:tabs>
        <w:spacing w:line="240" w:lineRule="auto"/>
        <w:ind w:left="0" w:firstLine="0"/>
      </w:pPr>
      <w:r w:rsidRPr="00465F79">
        <w:t>El Tribunal recuerda que el Estado realizó un reconocimiento total de responsabilidad internacional en relación con los derechos alegados como violados por la Comisión Interamericana</w:t>
      </w:r>
      <w:r w:rsidR="001E039F" w:rsidRPr="00465F79">
        <w:t xml:space="preserve"> y el representante</w:t>
      </w:r>
      <w:r w:rsidRPr="00465F79">
        <w:t>, y que esta Corte ha decidido dictar una</w:t>
      </w:r>
      <w:r w:rsidR="00444E5F">
        <w:t xml:space="preserve"> </w:t>
      </w:r>
      <w:r w:rsidR="002F316B">
        <w:t>Sentencia</w:t>
      </w:r>
      <w:r w:rsidRPr="00465F79">
        <w:t xml:space="preserve"> sobre el fondo en el presente asunto (</w:t>
      </w:r>
      <w:r w:rsidRPr="009446A0">
        <w:rPr>
          <w:i/>
        </w:rPr>
        <w:t>supra</w:t>
      </w:r>
      <w:r w:rsidRPr="00465F79">
        <w:t xml:space="preserve"> </w:t>
      </w:r>
      <w:r w:rsidR="005F1B2F">
        <w:t>capítulo IV</w:t>
      </w:r>
      <w:r w:rsidRPr="00465F79">
        <w:t>). Por lo anterior, en atención al reconocimiento de responsabilidad realizado por el Estado y a la jurisprudencia constante de este Tribunal, la Corte se pronunciará sobre las violaciones a derechos convencionales ocurridas en este caso y reconocidas por el Estado</w:t>
      </w:r>
      <w:r w:rsidR="004014C2" w:rsidRPr="00465F79">
        <w:t xml:space="preserve">, así como las eventuales violaciones que la Corte pueda apreciar </w:t>
      </w:r>
      <w:r w:rsidR="00E810B3" w:rsidRPr="00465F79">
        <w:t xml:space="preserve">en virtud del principio </w:t>
      </w:r>
      <w:r w:rsidR="00E810B3" w:rsidRPr="009446A0">
        <w:rPr>
          <w:i/>
          <w:iCs/>
        </w:rPr>
        <w:t xml:space="preserve">iura novit </w:t>
      </w:r>
      <w:r w:rsidR="00E810B3" w:rsidRPr="009446A0">
        <w:rPr>
          <w:i/>
          <w:iCs/>
        </w:rPr>
        <w:lastRenderedPageBreak/>
        <w:t>curia</w:t>
      </w:r>
      <w:r w:rsidR="00E810B3" w:rsidRPr="00465F79">
        <w:rPr>
          <w:rStyle w:val="Refdenotaalpie"/>
        </w:rPr>
        <w:footnoteReference w:id="87"/>
      </w:r>
      <w:r w:rsidRPr="00465F79">
        <w:t>.</w:t>
      </w:r>
      <w:r w:rsidRPr="009446A0">
        <w:rPr>
          <w:rFonts w:cs="Arial"/>
        </w:rPr>
        <w:t xml:space="preserve"> </w:t>
      </w:r>
    </w:p>
    <w:p w14:paraId="36A023F1" w14:textId="77777777" w:rsidR="009446A0" w:rsidRPr="00465F79" w:rsidRDefault="009446A0" w:rsidP="009446A0">
      <w:pPr>
        <w:tabs>
          <w:tab w:val="left" w:pos="567"/>
          <w:tab w:val="num" w:pos="12305"/>
        </w:tabs>
        <w:spacing w:line="240" w:lineRule="auto"/>
      </w:pPr>
    </w:p>
    <w:p w14:paraId="38CABA7C" w14:textId="11F5BD47" w:rsidR="009762ED" w:rsidRPr="00465F79" w:rsidRDefault="009762ED" w:rsidP="001E55B2">
      <w:pPr>
        <w:numPr>
          <w:ilvl w:val="0"/>
          <w:numId w:val="7"/>
        </w:numPr>
        <w:tabs>
          <w:tab w:val="left" w:pos="567"/>
          <w:tab w:val="num" w:pos="1569"/>
          <w:tab w:val="num" w:pos="12305"/>
        </w:tabs>
        <w:spacing w:line="240" w:lineRule="auto"/>
        <w:ind w:left="0" w:firstLine="0"/>
      </w:pPr>
      <w:r w:rsidRPr="00465F79">
        <w:rPr>
          <w:rFonts w:cs="Arial"/>
        </w:rPr>
        <w:t xml:space="preserve">Para ello, </w:t>
      </w:r>
      <w:r w:rsidRPr="00465F79">
        <w:t>el análisis de fondo se dividirá en tres partes principales: (</w:t>
      </w:r>
      <w:r w:rsidR="00E810B3" w:rsidRPr="00465F79">
        <w:t>i</w:t>
      </w:r>
      <w:r w:rsidRPr="00465F79">
        <w:t>) la violación de los derechos al reconocimiento de la personalidad jurídica,</w:t>
      </w:r>
      <w:r w:rsidR="00BB571C">
        <w:t xml:space="preserve"> vida,</w:t>
      </w:r>
      <w:r w:rsidRPr="00465F79">
        <w:t xml:space="preserve"> integridad</w:t>
      </w:r>
      <w:r w:rsidR="00BB571C">
        <w:t>, libertad personal, libertad de pensamiento y expresión y libertad de asociación</w:t>
      </w:r>
      <w:r w:rsidR="00567996">
        <w:t>;</w:t>
      </w:r>
      <w:r w:rsidRPr="00465F79">
        <w:t xml:space="preserve"> (</w:t>
      </w:r>
      <w:r w:rsidR="00E810B3" w:rsidRPr="00465F79">
        <w:t>ii</w:t>
      </w:r>
      <w:r w:rsidRPr="00465F79">
        <w:t>) la violación de los derechos a las garantías judiciales y a la protección judicial y (</w:t>
      </w:r>
      <w:r w:rsidR="00E810B3" w:rsidRPr="00465F79">
        <w:t>iii</w:t>
      </w:r>
      <w:r w:rsidRPr="00465F79">
        <w:t>) la violación al derecho a la integridad</w:t>
      </w:r>
      <w:r w:rsidR="003D4F99">
        <w:t xml:space="preserve">, protección </w:t>
      </w:r>
      <w:r w:rsidR="00BB571C">
        <w:t>a</w:t>
      </w:r>
      <w:r w:rsidR="003D4F99">
        <w:t xml:space="preserve"> la familia y derechos de la niñez</w:t>
      </w:r>
      <w:r w:rsidRPr="00465F79">
        <w:t xml:space="preserve"> de los familiares </w:t>
      </w:r>
      <w:r w:rsidR="00E810B3" w:rsidRPr="00465F79">
        <w:t>de Patricia Emilie Cuéllar Sandoval, Mauricio Cuéllar Cuéllar y Julia Orbelina Pérez</w:t>
      </w:r>
      <w:r w:rsidRPr="00465F79">
        <w:t>.</w:t>
      </w:r>
    </w:p>
    <w:p w14:paraId="280FDA47" w14:textId="56EDE35E" w:rsidR="009762ED" w:rsidRPr="00465F79" w:rsidRDefault="009762ED" w:rsidP="00465F79">
      <w:pPr>
        <w:pStyle w:val="Ttulo1"/>
      </w:pPr>
      <w:bookmarkStart w:id="52" w:name="_Toc37668399"/>
      <w:bookmarkStart w:id="53" w:name="_Toc41291428"/>
      <w:bookmarkStart w:id="54" w:name="_Toc41291465"/>
      <w:bookmarkStart w:id="55" w:name="_Toc41476767"/>
      <w:bookmarkStart w:id="56" w:name="_Toc77250292"/>
      <w:bookmarkStart w:id="57" w:name="_Toc77250410"/>
      <w:bookmarkStart w:id="58" w:name="_Toc77250478"/>
      <w:bookmarkStart w:id="59" w:name="_Toc78986513"/>
      <w:bookmarkStart w:id="60" w:name="_Toc165022618"/>
      <w:r w:rsidRPr="00465F79">
        <w:rPr>
          <w:rStyle w:val="None"/>
          <w:lang w:val="es-CR"/>
        </w:rPr>
        <w:t>VII-1</w:t>
      </w:r>
      <w:r w:rsidRPr="00465F79">
        <w:rPr>
          <w:rStyle w:val="None"/>
          <w:lang w:val="es-CR"/>
        </w:rPr>
        <w:br/>
      </w:r>
      <w:bookmarkStart w:id="61" w:name="_Toc469664508"/>
      <w:bookmarkStart w:id="62" w:name="_Toc469594936"/>
      <w:bookmarkStart w:id="63" w:name="_Toc469940953"/>
      <w:bookmarkStart w:id="64" w:name="_Toc479618052"/>
      <w:bookmarkStart w:id="65" w:name="_Toc480194694"/>
      <w:bookmarkStart w:id="66" w:name="_Toc41291429"/>
      <w:bookmarkStart w:id="67" w:name="_Toc41291466"/>
      <w:bookmarkStart w:id="68" w:name="_Toc41476768"/>
      <w:bookmarkStart w:id="69" w:name="_Toc37668400"/>
      <w:bookmarkEnd w:id="52"/>
      <w:bookmarkEnd w:id="53"/>
      <w:bookmarkEnd w:id="54"/>
      <w:bookmarkEnd w:id="55"/>
      <w:r w:rsidRPr="00465F79">
        <w:t>DERECHOS AL RECONOCIMIENTO DE LA PERSONALIDAD JURÍDICA,</w:t>
      </w:r>
      <w:r w:rsidR="0038027D" w:rsidRPr="00465F79">
        <w:t xml:space="preserve"> VIDA, INTEGRIDAD PERSONAL</w:t>
      </w:r>
      <w:r w:rsidR="00782AC5">
        <w:t xml:space="preserve">, </w:t>
      </w:r>
      <w:r w:rsidRPr="00465F79">
        <w:t>LIBERTAD PERSONAL</w:t>
      </w:r>
      <w:bookmarkEnd w:id="61"/>
      <w:bookmarkEnd w:id="62"/>
      <w:bookmarkEnd w:id="63"/>
      <w:bookmarkEnd w:id="64"/>
      <w:bookmarkEnd w:id="65"/>
      <w:r w:rsidR="00782AC5">
        <w:t>, LIBERTAD DE PENSAMIENTO Y EXPRESIÓN Y LIBERTAD DE ASOCIACIÓN</w:t>
      </w:r>
      <w:r w:rsidRPr="00465F79">
        <w:rPr>
          <w:rStyle w:val="Refdenotaalpie"/>
          <w:rFonts w:eastAsia="Batang"/>
          <w:lang w:val="es-CR"/>
        </w:rPr>
        <w:footnoteReference w:id="88"/>
      </w:r>
      <w:bookmarkEnd w:id="56"/>
      <w:bookmarkEnd w:id="57"/>
      <w:bookmarkEnd w:id="58"/>
      <w:bookmarkEnd w:id="59"/>
      <w:bookmarkEnd w:id="60"/>
      <w:bookmarkEnd w:id="66"/>
      <w:bookmarkEnd w:id="67"/>
      <w:bookmarkEnd w:id="68"/>
      <w:r w:rsidR="00444E5F">
        <w:t xml:space="preserve"> </w:t>
      </w:r>
    </w:p>
    <w:p w14:paraId="036AB15B" w14:textId="3A642EDD" w:rsidR="009446A0" w:rsidRDefault="009446A0">
      <w:pPr>
        <w:pStyle w:val="Ttulo2"/>
        <w:numPr>
          <w:ilvl w:val="0"/>
          <w:numId w:val="16"/>
        </w:numPr>
      </w:pPr>
      <w:bookmarkStart w:id="70" w:name="_Toc165022619"/>
      <w:bookmarkStart w:id="71" w:name="_Toc77250294"/>
      <w:bookmarkStart w:id="72" w:name="_Toc77250412"/>
      <w:bookmarkStart w:id="73" w:name="_Toc77250480"/>
      <w:bookmarkStart w:id="74" w:name="_Toc78986514"/>
      <w:bookmarkEnd w:id="69"/>
      <w:r>
        <w:t>Argumentos de las partes y de la Comisión</w:t>
      </w:r>
      <w:bookmarkEnd w:id="70"/>
    </w:p>
    <w:p w14:paraId="06F67279" w14:textId="2C3FE4C2" w:rsidR="003D4F99" w:rsidRPr="006544D6" w:rsidRDefault="003D4F99" w:rsidP="003D4F99">
      <w:pPr>
        <w:numPr>
          <w:ilvl w:val="0"/>
          <w:numId w:val="7"/>
        </w:numPr>
        <w:tabs>
          <w:tab w:val="left" w:pos="567"/>
          <w:tab w:val="num" w:pos="1569"/>
          <w:tab w:val="num" w:pos="12305"/>
        </w:tabs>
        <w:spacing w:line="240" w:lineRule="auto"/>
        <w:ind w:left="0" w:firstLine="0"/>
        <w:rPr>
          <w:rFonts w:cs="Arial"/>
          <w:bCs/>
          <w:lang w:val="es-ES"/>
        </w:rPr>
      </w:pPr>
      <w:r>
        <w:rPr>
          <w:rFonts w:cs="Arial"/>
          <w:bCs/>
          <w:lang w:val="es-ES"/>
        </w:rPr>
        <w:t xml:space="preserve">La </w:t>
      </w:r>
      <w:r>
        <w:rPr>
          <w:rFonts w:cs="Arial"/>
          <w:b/>
          <w:i/>
          <w:iCs/>
          <w:lang w:val="es-ES"/>
        </w:rPr>
        <w:t>Comisión</w:t>
      </w:r>
      <w:r>
        <w:rPr>
          <w:rFonts w:cs="Arial"/>
          <w:bCs/>
          <w:lang w:val="es-ES"/>
        </w:rPr>
        <w:t xml:space="preserve"> indicó que en el caso concreto prevalecen “indicios que apuntan a que existió una privación de la libertad [de las </w:t>
      </w:r>
      <w:r w:rsidR="00567996">
        <w:rPr>
          <w:rFonts w:cs="Arial"/>
          <w:bCs/>
          <w:lang w:val="es-ES"/>
        </w:rPr>
        <w:t xml:space="preserve">presuntas </w:t>
      </w:r>
      <w:r>
        <w:rPr>
          <w:rFonts w:cs="Arial"/>
          <w:bCs/>
          <w:lang w:val="es-ES"/>
        </w:rPr>
        <w:t>víctimas] por parte de agentes del Estado”. En particular, e</w:t>
      </w:r>
      <w:r w:rsidRPr="006544D6">
        <w:rPr>
          <w:rFonts w:cs="Arial"/>
          <w:bCs/>
          <w:lang w:val="es-ES"/>
        </w:rPr>
        <w:t xml:space="preserve">n el caso de la señora Cuéllar Sandoval la Comisión indicó que existen los siguientes indicios de participación estatal en su desaparición forzada: (i) la víctima trabajó en el Socorro Jurídico entre 1979 y 1980, cuando dicha oficina fue objeto de un cateo por fuerzas de seguridad del Estado; (ii) su casa fue registrada por miembros del ejército en 1981; (iii) la señora Cuéllar Sandoval habría sido perseguida por cuerpos de seguridad vestidos de civiles en días anteriores a su desaparición, y (iv) hombres armados con uniformes militares registraron su apartamento el día de su desaparición y se llevaron “documentos personales” y “un vehículo”. </w:t>
      </w:r>
    </w:p>
    <w:p w14:paraId="379249B3" w14:textId="77777777" w:rsidR="003D4F99" w:rsidRPr="00B32C77" w:rsidRDefault="003D4F99" w:rsidP="003D4F99">
      <w:pPr>
        <w:tabs>
          <w:tab w:val="left" w:pos="567"/>
        </w:tabs>
        <w:spacing w:line="240" w:lineRule="auto"/>
        <w:rPr>
          <w:rFonts w:cs="Arial"/>
          <w:bCs/>
          <w:lang w:val="es-ES"/>
        </w:rPr>
      </w:pPr>
    </w:p>
    <w:p w14:paraId="02222548" w14:textId="6EE0D0DF" w:rsidR="003D4F99" w:rsidRPr="00B32C77" w:rsidRDefault="003D4F99" w:rsidP="003D4F99">
      <w:pPr>
        <w:numPr>
          <w:ilvl w:val="0"/>
          <w:numId w:val="7"/>
        </w:numPr>
        <w:tabs>
          <w:tab w:val="left" w:pos="567"/>
          <w:tab w:val="num" w:pos="1569"/>
          <w:tab w:val="num" w:pos="12305"/>
        </w:tabs>
        <w:spacing w:line="240" w:lineRule="auto"/>
        <w:ind w:left="0" w:firstLine="0"/>
        <w:rPr>
          <w:rFonts w:cs="Arial"/>
          <w:bCs/>
          <w:lang w:val="es-ES"/>
        </w:rPr>
      </w:pPr>
      <w:r w:rsidRPr="00B32C77">
        <w:rPr>
          <w:rFonts w:cs="Arial"/>
          <w:bCs/>
          <w:lang w:val="es-ES"/>
        </w:rPr>
        <w:t xml:space="preserve">Respecto </w:t>
      </w:r>
      <w:r w:rsidR="00454805">
        <w:rPr>
          <w:rFonts w:cs="Arial"/>
          <w:bCs/>
          <w:lang w:val="es-ES"/>
        </w:rPr>
        <w:t>de</w:t>
      </w:r>
      <w:r w:rsidRPr="00B32C77">
        <w:rPr>
          <w:rFonts w:cs="Arial"/>
          <w:bCs/>
          <w:lang w:val="es-ES"/>
        </w:rPr>
        <w:t xml:space="preserve"> Mauricio Cuéllar Cuéllar y Julia Orbelina Pérez la Comisión refirió los siguientes indicios de participación estatal en su desaparición forzada: (i) que el señor Cuéllar había estado buscando a su hija desaparecida en las horas precedentes a su desaparición; (ii) que su casa había sido objeto de un registro previo por parte del ejército cuando buscaba a la señora Cuéllar Sandoval; (iii) que el señor Cuéllar Cuéllar y </w:t>
      </w:r>
      <w:r>
        <w:rPr>
          <w:rFonts w:cs="Arial"/>
          <w:bCs/>
          <w:lang w:val="es-ES"/>
        </w:rPr>
        <w:t xml:space="preserve">la señora </w:t>
      </w:r>
      <w:r w:rsidRPr="00B32C77">
        <w:rPr>
          <w:rFonts w:cs="Arial"/>
          <w:bCs/>
          <w:lang w:val="es-ES"/>
        </w:rPr>
        <w:t>Orbelina Pérez fueron sacados del domicilio abruptamente la misma noche de la desaparición de Cuéllar Sandoval por agentes estatales, y (iv) que el domicilio del señor Cuéllar Cuéllar fue encontrado con los cables de teléfono “reventados”, por lo que “se habría podido querer interferir en el rastreo de las labores de búsqueda de Patricia Emilie”.</w:t>
      </w:r>
      <w:r w:rsidRPr="00B32C77">
        <w:rPr>
          <w:rFonts w:cs="Arial"/>
          <w:b/>
          <w:lang w:val="es-ES"/>
        </w:rPr>
        <w:t xml:space="preserve"> </w:t>
      </w:r>
    </w:p>
    <w:p w14:paraId="72FCF90B" w14:textId="77777777" w:rsidR="003D4F99" w:rsidRPr="00B32C77" w:rsidRDefault="003D4F99" w:rsidP="003D4F99">
      <w:pPr>
        <w:tabs>
          <w:tab w:val="left" w:pos="567"/>
        </w:tabs>
        <w:spacing w:line="240" w:lineRule="auto"/>
        <w:rPr>
          <w:rFonts w:cs="Arial"/>
          <w:bCs/>
          <w:lang w:val="es-ES"/>
        </w:rPr>
      </w:pPr>
    </w:p>
    <w:p w14:paraId="6DEB1C8C" w14:textId="41B9ECC1" w:rsidR="003D4F99" w:rsidRPr="006544D6" w:rsidRDefault="003D4F99" w:rsidP="003D4F99">
      <w:pPr>
        <w:numPr>
          <w:ilvl w:val="0"/>
          <w:numId w:val="7"/>
        </w:numPr>
        <w:tabs>
          <w:tab w:val="left" w:pos="567"/>
          <w:tab w:val="num" w:pos="1569"/>
          <w:tab w:val="num" w:pos="12305"/>
        </w:tabs>
        <w:spacing w:line="240" w:lineRule="auto"/>
        <w:ind w:left="0" w:firstLine="0"/>
        <w:rPr>
          <w:rFonts w:cs="Arial"/>
          <w:bCs/>
          <w:lang w:val="es-ES"/>
        </w:rPr>
      </w:pPr>
      <w:r>
        <w:rPr>
          <w:rFonts w:cs="Arial"/>
          <w:bCs/>
          <w:lang w:val="es-ES"/>
        </w:rPr>
        <w:t xml:space="preserve">Aunado a lo anterior, la Comisión señaló que las desapariciones de las víctimas tuvieron lugar en una época donde “había una práctica de desaparición forzada”, y las organizaciones cristianas eran objeto de “seguimiento” y “persecución”. En vista de lo anterior, </w:t>
      </w:r>
      <w:r w:rsidRPr="006544D6">
        <w:rPr>
          <w:rFonts w:cs="Arial"/>
          <w:bCs/>
          <w:lang w:val="es-ES"/>
        </w:rPr>
        <w:t xml:space="preserve">la </w:t>
      </w:r>
      <w:r w:rsidRPr="003D4F99">
        <w:t>Comisión</w:t>
      </w:r>
      <w:r w:rsidRPr="006544D6">
        <w:rPr>
          <w:rFonts w:cs="Arial"/>
          <w:bCs/>
          <w:lang w:val="es-ES"/>
        </w:rPr>
        <w:t xml:space="preserve"> solicitó que la Corte concluyera </w:t>
      </w:r>
      <w:r w:rsidR="00C2097B">
        <w:rPr>
          <w:rFonts w:cs="Arial"/>
          <w:bCs/>
          <w:lang w:val="es-ES"/>
        </w:rPr>
        <w:t xml:space="preserve">que </w:t>
      </w:r>
      <w:r w:rsidRPr="006544D6">
        <w:rPr>
          <w:rFonts w:cs="Arial"/>
          <w:bCs/>
          <w:lang w:val="es-ES"/>
        </w:rPr>
        <w:t xml:space="preserve">el Estado era responsable de la violación de los derechos a la personalidad jurídica, a la vida, a la integridad personal y a la libertad, previstos en los artículos 3, 4, 5, y 7 de la Convención Americana, en </w:t>
      </w:r>
      <w:r w:rsidRPr="006544D6">
        <w:rPr>
          <w:rFonts w:cs="Arial"/>
          <w:bCs/>
          <w:lang w:val="es-ES"/>
        </w:rPr>
        <w:lastRenderedPageBreak/>
        <w:t>relación con el artículo 1.1 del mismo instrumento,</w:t>
      </w:r>
      <w:r w:rsidRPr="006544D6">
        <w:rPr>
          <w:rFonts w:cs="Arial"/>
          <w:b/>
          <w:lang w:val="es-ES"/>
        </w:rPr>
        <w:t xml:space="preserve"> </w:t>
      </w:r>
      <w:r w:rsidRPr="006544D6">
        <w:rPr>
          <w:bCs/>
        </w:rPr>
        <w:t xml:space="preserve">en perjuicio </w:t>
      </w:r>
      <w:r>
        <w:rPr>
          <w:bCs/>
        </w:rPr>
        <w:t>las presuntas víctimas</w:t>
      </w:r>
      <w:r w:rsidRPr="006544D6">
        <w:rPr>
          <w:bCs/>
        </w:rPr>
        <w:t>.</w:t>
      </w:r>
      <w:r w:rsidRPr="006544D6">
        <w:rPr>
          <w:rFonts w:cs="Arial"/>
          <w:b/>
          <w:lang w:val="es-ES"/>
        </w:rPr>
        <w:t xml:space="preserve"> </w:t>
      </w:r>
    </w:p>
    <w:p w14:paraId="6FB319DF" w14:textId="77777777" w:rsidR="003D4F99" w:rsidRPr="00CC4933" w:rsidRDefault="003D4F99" w:rsidP="003D4F99">
      <w:pPr>
        <w:autoSpaceDE w:val="0"/>
        <w:autoSpaceDN w:val="0"/>
        <w:spacing w:line="240" w:lineRule="auto"/>
        <w:rPr>
          <w:rFonts w:cs="Arial"/>
          <w:b/>
          <w:lang w:val="es-ES"/>
        </w:rPr>
      </w:pPr>
    </w:p>
    <w:p w14:paraId="44F47952" w14:textId="1D4B50E7" w:rsidR="003D4F99" w:rsidRPr="006315EF" w:rsidRDefault="003D4F99" w:rsidP="003D4F99">
      <w:pPr>
        <w:numPr>
          <w:ilvl w:val="0"/>
          <w:numId w:val="7"/>
        </w:numPr>
        <w:tabs>
          <w:tab w:val="left" w:pos="567"/>
          <w:tab w:val="num" w:pos="1569"/>
          <w:tab w:val="num" w:pos="12305"/>
        </w:tabs>
        <w:spacing w:line="240" w:lineRule="auto"/>
        <w:ind w:left="0" w:firstLine="0"/>
        <w:rPr>
          <w:rFonts w:cs="Arial"/>
          <w:bCs/>
          <w:lang w:val="es-ES"/>
        </w:rPr>
      </w:pPr>
      <w:r>
        <w:rPr>
          <w:bCs/>
        </w:rPr>
        <w:t xml:space="preserve">El </w:t>
      </w:r>
      <w:r>
        <w:rPr>
          <w:b/>
          <w:i/>
          <w:iCs/>
        </w:rPr>
        <w:t xml:space="preserve">representante </w:t>
      </w:r>
      <w:r>
        <w:rPr>
          <w:bCs/>
        </w:rPr>
        <w:t xml:space="preserve">señaló que en el presente caso se produjo la “consumación del secuestro y desaparición forzada de tres personas” perpetrada por “agentes de un Estado que impulsó dicha práctica de manera sistemática”. Asimismo reiteró los estándares jurisprudenciales de la Corte señalados por la Comisión en su Informe de </w:t>
      </w:r>
      <w:r w:rsidRPr="00552138">
        <w:rPr>
          <w:rFonts w:cs="Arial"/>
          <w:bCs/>
          <w:lang w:val="es-ES"/>
        </w:rPr>
        <w:t>Fondo</w:t>
      </w:r>
      <w:r>
        <w:rPr>
          <w:bCs/>
        </w:rPr>
        <w:t xml:space="preserve"> y solicitó que se declararan las violaciones de los artículos mencionados en el referido Informe. </w:t>
      </w:r>
    </w:p>
    <w:p w14:paraId="71DF1B9F" w14:textId="77777777" w:rsidR="003D4F99" w:rsidRPr="00EF0C85" w:rsidRDefault="003D4F99" w:rsidP="003D4F99">
      <w:pPr>
        <w:autoSpaceDE w:val="0"/>
        <w:autoSpaceDN w:val="0"/>
        <w:spacing w:line="240" w:lineRule="auto"/>
        <w:rPr>
          <w:bCs/>
        </w:rPr>
      </w:pPr>
    </w:p>
    <w:p w14:paraId="334D4C10" w14:textId="6D6B7852" w:rsidR="003D4F99" w:rsidRPr="003D4F99" w:rsidRDefault="003D4F99" w:rsidP="003D4F99">
      <w:pPr>
        <w:numPr>
          <w:ilvl w:val="0"/>
          <w:numId w:val="7"/>
        </w:numPr>
        <w:tabs>
          <w:tab w:val="left" w:pos="567"/>
          <w:tab w:val="num" w:pos="1569"/>
          <w:tab w:val="num" w:pos="12305"/>
        </w:tabs>
        <w:spacing w:line="240" w:lineRule="auto"/>
        <w:ind w:left="0" w:firstLine="0"/>
        <w:rPr>
          <w:bCs/>
        </w:rPr>
      </w:pPr>
      <w:r>
        <w:rPr>
          <w:bCs/>
        </w:rPr>
        <w:t xml:space="preserve">El </w:t>
      </w:r>
      <w:r>
        <w:rPr>
          <w:b/>
          <w:i/>
          <w:iCs/>
        </w:rPr>
        <w:t xml:space="preserve">Estado </w:t>
      </w:r>
      <w:r>
        <w:rPr>
          <w:bCs/>
        </w:rPr>
        <w:t xml:space="preserve">indicó en el marco de su reconocimiento de responsabilidad internacional por los hechos del presente caso que, efectivamente, se había producido una violación de los derechos a </w:t>
      </w:r>
      <w:r>
        <w:rPr>
          <w:rFonts w:cs="Arial"/>
          <w:bCs/>
          <w:lang w:val="es-ES"/>
        </w:rPr>
        <w:t xml:space="preserve">la personalidad jurídica, a la vida, a la integridad personal y a la libertad, previstos en los artículos </w:t>
      </w:r>
      <w:r w:rsidRPr="006544D6">
        <w:rPr>
          <w:rFonts w:cs="Arial"/>
          <w:bCs/>
          <w:lang w:val="es-ES"/>
        </w:rPr>
        <w:t>3, 4, 5, y 7 de la Convención Americana, en relación con el artículo 1.1 del mismo instrumento,</w:t>
      </w:r>
      <w:r>
        <w:rPr>
          <w:rFonts w:cs="Arial"/>
          <w:b/>
          <w:lang w:val="es-ES"/>
        </w:rPr>
        <w:t xml:space="preserve"> </w:t>
      </w:r>
      <w:r>
        <w:rPr>
          <w:bCs/>
        </w:rPr>
        <w:t>en perjuicio de Patricia E. Cuéllar Sandoval, Mauricio Cuéllar Cuéllar y Julia Orbelina Pérez.</w:t>
      </w:r>
      <w:r w:rsidRPr="00857019">
        <w:rPr>
          <w:rFonts w:cs="Arial"/>
          <w:b/>
          <w:lang w:val="es-ES"/>
        </w:rPr>
        <w:t xml:space="preserve"> </w:t>
      </w:r>
    </w:p>
    <w:p w14:paraId="3A52918C" w14:textId="6B10ED40" w:rsidR="009762ED" w:rsidRDefault="009762ED">
      <w:pPr>
        <w:pStyle w:val="Ttulo2"/>
        <w:numPr>
          <w:ilvl w:val="0"/>
          <w:numId w:val="16"/>
        </w:numPr>
      </w:pPr>
      <w:bookmarkStart w:id="75" w:name="_Toc165022620"/>
      <w:r w:rsidRPr="00A12976">
        <w:t>Consideraciones de la Corte</w:t>
      </w:r>
      <w:bookmarkEnd w:id="71"/>
      <w:bookmarkEnd w:id="72"/>
      <w:bookmarkEnd w:id="73"/>
      <w:bookmarkEnd w:id="74"/>
      <w:bookmarkEnd w:id="75"/>
    </w:p>
    <w:p w14:paraId="5E1100A8" w14:textId="76A9B42B" w:rsidR="009446A0" w:rsidRPr="009446A0" w:rsidRDefault="009446A0" w:rsidP="009446A0">
      <w:pPr>
        <w:pStyle w:val="Ttulo3"/>
        <w:spacing w:before="240" w:after="240"/>
        <w:ind w:left="992"/>
        <w:contextualSpacing w:val="0"/>
        <w:rPr>
          <w:lang w:val="es-ES"/>
        </w:rPr>
      </w:pPr>
      <w:bookmarkStart w:id="76" w:name="_Toc165022621"/>
      <w:r>
        <w:rPr>
          <w:b w:val="0"/>
          <w:bCs/>
          <w:lang w:val="es-ES"/>
        </w:rPr>
        <w:t>B</w:t>
      </w:r>
      <w:r w:rsidRPr="00465F79">
        <w:rPr>
          <w:b w:val="0"/>
          <w:bCs/>
          <w:lang w:val="es-ES"/>
        </w:rPr>
        <w:t>.</w:t>
      </w:r>
      <w:r>
        <w:rPr>
          <w:b w:val="0"/>
          <w:bCs/>
          <w:lang w:val="es-ES"/>
        </w:rPr>
        <w:t>1.</w:t>
      </w:r>
      <w:r w:rsidRPr="00465F79">
        <w:rPr>
          <w:b w:val="0"/>
          <w:bCs/>
          <w:lang w:val="es-ES"/>
        </w:rPr>
        <w:t xml:space="preserve"> </w:t>
      </w:r>
      <w:r>
        <w:rPr>
          <w:b w:val="0"/>
          <w:bCs/>
          <w:lang w:val="es-ES"/>
        </w:rPr>
        <w:t xml:space="preserve">Desaparición forzada de </w:t>
      </w:r>
      <w:r w:rsidRPr="009446A0">
        <w:rPr>
          <w:b w:val="0"/>
          <w:bCs/>
          <w:lang w:val="es-ES"/>
        </w:rPr>
        <w:t>Patricia Emilie Cuéllar Sandoval, Mauricio Cuéllar Cuéllar y Julia Orbelina Pérez</w:t>
      </w:r>
      <w:bookmarkEnd w:id="76"/>
    </w:p>
    <w:p w14:paraId="68523527" w14:textId="1B8ACDFF" w:rsidR="009762ED" w:rsidRPr="00465F79" w:rsidRDefault="009762ED" w:rsidP="00F140E0">
      <w:pPr>
        <w:numPr>
          <w:ilvl w:val="0"/>
          <w:numId w:val="7"/>
        </w:numPr>
        <w:tabs>
          <w:tab w:val="left" w:pos="567"/>
          <w:tab w:val="num" w:pos="1569"/>
          <w:tab w:val="num" w:pos="12305"/>
        </w:tabs>
        <w:spacing w:line="240" w:lineRule="auto"/>
        <w:ind w:left="0" w:firstLine="0"/>
      </w:pPr>
      <w:r w:rsidRPr="00465F79">
        <w:t>Este Tribunal se ha referido de manera reiterada al carácter pluriofensivo de la desaparición forzada, así como a su naturaleza permanente o continuada, la cual inicia con la privación de la libertad de la persona y la falta de información sobre su destino y se prolonga mientras no se conozca su paradero o se identifiquen con certeza sus restos</w:t>
      </w:r>
      <w:r w:rsidRPr="00465F79">
        <w:rPr>
          <w:rStyle w:val="Refdenotaalpie"/>
          <w:rFonts w:eastAsia="Batang"/>
          <w:lang w:val="es-CR"/>
        </w:rPr>
        <w:footnoteReference w:id="89"/>
      </w:r>
      <w:r w:rsidRPr="00465F79">
        <w:t>. También ha establecido que la desaparición forzada es una violación de derechos humanos constituida por tres elementos concurrentes: a) la privación de la libertad; b) la intervención directa de agentes estatales o la aquiescencia de estos, y c) la negativa a reconocer la detención o la falta de información sobre la suerte o el paradero de la persona</w:t>
      </w:r>
      <w:r w:rsidRPr="00465F79">
        <w:rPr>
          <w:rStyle w:val="Refdenotaalpie"/>
          <w:rFonts w:eastAsia="Batang"/>
          <w:lang w:val="es-CR"/>
        </w:rPr>
        <w:footnoteReference w:id="90"/>
      </w:r>
      <w:r w:rsidRPr="00465F79">
        <w:t>. Estos elementos han sido identificados también en la Convención Interamericana sobre Desaparición Forzada de Personas</w:t>
      </w:r>
      <w:r w:rsidRPr="00465F79">
        <w:rPr>
          <w:rStyle w:val="Refdenotaalpie"/>
          <w:rFonts w:eastAsia="Batang"/>
          <w:lang w:val="es-CR"/>
        </w:rPr>
        <w:footnoteReference w:id="91"/>
      </w:r>
      <w:r w:rsidRPr="00465F79">
        <w:t>; el Estatuto de Roma</w:t>
      </w:r>
      <w:r w:rsidRPr="00465F79">
        <w:rPr>
          <w:rStyle w:val="Refdenotaalpie"/>
          <w:rFonts w:eastAsia="Batang"/>
          <w:lang w:val="es-CR"/>
        </w:rPr>
        <w:footnoteReference w:id="92"/>
      </w:r>
      <w:r w:rsidRPr="00465F79">
        <w:t>; las definiciones del Grupo de Trabajo sobre Desapariciones Forzadas e Involuntarias de Personas de las Naciones Unidas</w:t>
      </w:r>
      <w:r w:rsidRPr="00465F79">
        <w:rPr>
          <w:rStyle w:val="Refdenotaalpie"/>
          <w:rFonts w:eastAsia="Batang"/>
          <w:lang w:val="es-CR"/>
        </w:rPr>
        <w:footnoteReference w:id="93"/>
      </w:r>
      <w:r w:rsidRPr="00465F79">
        <w:t>; así como en la jurisprudencia del Tribunal Europeo de Derechos Humanos</w:t>
      </w:r>
      <w:r w:rsidRPr="00465F79">
        <w:rPr>
          <w:rStyle w:val="Refdenotaalpie"/>
          <w:rFonts w:eastAsia="Batang"/>
          <w:lang w:val="es-CR"/>
        </w:rPr>
        <w:footnoteReference w:id="94"/>
      </w:r>
      <w:r w:rsidRPr="00465F79">
        <w:t xml:space="preserve"> y en decisiones de diferentes instancias internacionales</w:t>
      </w:r>
      <w:r w:rsidRPr="00465F79">
        <w:rPr>
          <w:rStyle w:val="Refdenotaalpie"/>
          <w:rFonts w:eastAsia="Batang"/>
          <w:lang w:val="es-CR"/>
        </w:rPr>
        <w:footnoteReference w:id="95"/>
      </w:r>
      <w:r w:rsidRPr="00465F79">
        <w:t xml:space="preserve">. Además, este Tribunal se ha referido en diferentes oportunidades a </w:t>
      </w:r>
      <w:r w:rsidRPr="00465F79">
        <w:lastRenderedPageBreak/>
        <w:t xml:space="preserve">casos de desapariciones forzadas ocurridas en </w:t>
      </w:r>
      <w:r w:rsidR="00AE1D05" w:rsidRPr="00465F79">
        <w:t>El Salvador</w:t>
      </w:r>
      <w:r w:rsidRPr="00465F79">
        <w:rPr>
          <w:rStyle w:val="Refdenotaalpie"/>
          <w:rFonts w:eastAsia="Batang"/>
          <w:lang w:val="es-CR"/>
        </w:rPr>
        <w:footnoteReference w:id="96"/>
      </w:r>
      <w:r w:rsidRPr="00465F79">
        <w:t xml:space="preserve">. </w:t>
      </w:r>
    </w:p>
    <w:p w14:paraId="7A6E13C7" w14:textId="77777777" w:rsidR="009446A0" w:rsidRPr="009446A0" w:rsidRDefault="009446A0" w:rsidP="009446A0">
      <w:pPr>
        <w:tabs>
          <w:tab w:val="left" w:pos="567"/>
        </w:tabs>
        <w:spacing w:line="240" w:lineRule="auto"/>
      </w:pPr>
    </w:p>
    <w:p w14:paraId="4CABCD6E" w14:textId="669F3DCA" w:rsidR="004C406C" w:rsidRPr="005B34F8" w:rsidRDefault="00E7611F" w:rsidP="00D41374">
      <w:pPr>
        <w:numPr>
          <w:ilvl w:val="0"/>
          <w:numId w:val="7"/>
        </w:numPr>
        <w:tabs>
          <w:tab w:val="left" w:pos="567"/>
          <w:tab w:val="num" w:pos="1569"/>
          <w:tab w:val="num" w:pos="12305"/>
        </w:tabs>
        <w:spacing w:line="240" w:lineRule="auto"/>
        <w:ind w:left="0" w:firstLine="0"/>
        <w:rPr>
          <w:color w:val="FF0000"/>
          <w:sz w:val="18"/>
          <w:szCs w:val="18"/>
        </w:rPr>
      </w:pPr>
      <w:r w:rsidRPr="00E7611F">
        <w:t>En el presente caso,</w:t>
      </w:r>
      <w:r w:rsidR="000912C1" w:rsidRPr="000912C1">
        <w:t xml:space="preserve"> </w:t>
      </w:r>
      <w:r w:rsidR="000912C1" w:rsidRPr="00E7611F">
        <w:t xml:space="preserve">la Corte </w:t>
      </w:r>
      <w:r w:rsidR="000912C1">
        <w:t>recuerda</w:t>
      </w:r>
      <w:r w:rsidR="000912C1" w:rsidRPr="00E7611F">
        <w:t xml:space="preserve"> que, en su reconocimiento de responsabilidad, el Estado </w:t>
      </w:r>
      <w:r w:rsidR="000912C1" w:rsidRPr="00465F79">
        <w:t>aceptó que “dentro del patrón de desapariciones forzadas que fue perpetuado durante el conflicto armado interno salvadoreño, se produjo la desaparición de Patricia Emilie Cuellar Sandoval, Mauricio Cuellar y Julia Orbelina Pérez</w:t>
      </w:r>
      <w:r w:rsidR="005F1B2F">
        <w:t>”</w:t>
      </w:r>
      <w:r w:rsidR="000912C1">
        <w:t>. En consecuencia,</w:t>
      </w:r>
      <w:r w:rsidRPr="00E7611F">
        <w:t xml:space="preserve"> en virtud del </w:t>
      </w:r>
      <w:r w:rsidR="005E01EB">
        <w:t xml:space="preserve">referido </w:t>
      </w:r>
      <w:r w:rsidRPr="00E7611F">
        <w:t xml:space="preserve">reconocimiento de responsabilidad, de la jurisprudencia constante </w:t>
      </w:r>
      <w:r w:rsidRPr="00926DB8">
        <w:t>de est</w:t>
      </w:r>
      <w:r w:rsidR="004F729D">
        <w:t>e Tribunal</w:t>
      </w:r>
      <w:r w:rsidRPr="00926DB8">
        <w:t xml:space="preserve"> en materia de desaparición forzada y de los hechos probados, la Corte </w:t>
      </w:r>
      <w:r w:rsidR="006F5D41" w:rsidRPr="00926DB8">
        <w:t>considera que el Estado es responsable</w:t>
      </w:r>
      <w:r w:rsidR="006F5D41">
        <w:t xml:space="preserve"> por </w:t>
      </w:r>
      <w:r w:rsidRPr="00E7611F">
        <w:t>la sustracción y posterior desaparición forzada de</w:t>
      </w:r>
      <w:r>
        <w:t xml:space="preserve"> </w:t>
      </w:r>
      <w:r w:rsidR="000912C1" w:rsidRPr="000912C1">
        <w:t>Patricia Emilie Cuéllar Sandoval, Mauricio Cuéllar Cuéllar y Julia Orbelina Pérez</w:t>
      </w:r>
      <w:r w:rsidR="000912C1">
        <w:t>, sin que a la fecha se tenga noticias de su paradero, y que esta desaparición es atribuible al Estado</w:t>
      </w:r>
      <w:r>
        <w:t xml:space="preserve">. </w:t>
      </w:r>
    </w:p>
    <w:p w14:paraId="7D7C8328" w14:textId="77777777" w:rsidR="000912C1" w:rsidRDefault="000912C1" w:rsidP="000912C1">
      <w:pPr>
        <w:tabs>
          <w:tab w:val="left" w:pos="567"/>
        </w:tabs>
        <w:spacing w:line="240" w:lineRule="auto"/>
      </w:pPr>
    </w:p>
    <w:p w14:paraId="03429E13" w14:textId="07700436" w:rsidR="009446A0" w:rsidRPr="001F7ED2" w:rsidRDefault="004C406C" w:rsidP="001F7ED2">
      <w:pPr>
        <w:numPr>
          <w:ilvl w:val="0"/>
          <w:numId w:val="7"/>
        </w:numPr>
        <w:tabs>
          <w:tab w:val="left" w:pos="567"/>
          <w:tab w:val="num" w:pos="1569"/>
          <w:tab w:val="num" w:pos="12305"/>
        </w:tabs>
        <w:spacing w:line="240" w:lineRule="auto"/>
        <w:ind w:left="0" w:firstLine="0"/>
      </w:pPr>
      <w:r>
        <w:t xml:space="preserve">En vista de lo anterior, </w:t>
      </w:r>
      <w:r w:rsidR="000912C1">
        <w:t>l</w:t>
      </w:r>
      <w:r w:rsidR="009762ED" w:rsidRPr="001F7ED2">
        <w:t xml:space="preserve">a Corte </w:t>
      </w:r>
      <w:r w:rsidR="00714E5B" w:rsidRPr="001F7ED2">
        <w:t xml:space="preserve">declara que el Estado es responsable por la </w:t>
      </w:r>
      <w:r w:rsidR="001F7ED2">
        <w:t>v</w:t>
      </w:r>
      <w:r w:rsidR="009446A0" w:rsidRPr="001F7ED2">
        <w:t>iolación de los derechos reconocidos en los artículos 3, 4.1, 5.1, 5.2 y 7 de la Convención Americana, en relación con lo dispuesto en el artículo 1.1 del mismo instrumento</w:t>
      </w:r>
      <w:r w:rsidR="000912C1">
        <w:t xml:space="preserve">, en perjuicio de </w:t>
      </w:r>
      <w:r w:rsidR="000912C1" w:rsidRPr="001F7ED2">
        <w:t>Patricia Emilie Cuéllar Sandoval, Mauricio Cuéllar Cuéllar y Julia Orbelina Pérez</w:t>
      </w:r>
      <w:r w:rsidR="009446A0" w:rsidRPr="001F7ED2">
        <w:t>.</w:t>
      </w:r>
    </w:p>
    <w:p w14:paraId="7D1A71DC" w14:textId="6F76B7BA" w:rsidR="009446A0" w:rsidRPr="009446A0" w:rsidRDefault="009446A0" w:rsidP="009446A0">
      <w:pPr>
        <w:pStyle w:val="Ttulo3"/>
        <w:spacing w:before="240" w:after="240"/>
        <w:ind w:left="992"/>
        <w:contextualSpacing w:val="0"/>
        <w:rPr>
          <w:lang w:val="es-ES"/>
        </w:rPr>
      </w:pPr>
      <w:bookmarkStart w:id="77" w:name="_Toc165022622"/>
      <w:r>
        <w:rPr>
          <w:b w:val="0"/>
          <w:bCs/>
          <w:lang w:val="es-ES"/>
        </w:rPr>
        <w:t>B</w:t>
      </w:r>
      <w:r w:rsidRPr="00465F79">
        <w:rPr>
          <w:b w:val="0"/>
          <w:bCs/>
          <w:lang w:val="es-ES"/>
        </w:rPr>
        <w:t>.</w:t>
      </w:r>
      <w:r>
        <w:rPr>
          <w:b w:val="0"/>
          <w:bCs/>
          <w:lang w:val="es-ES"/>
        </w:rPr>
        <w:t>2.</w:t>
      </w:r>
      <w:r w:rsidRPr="00465F79">
        <w:rPr>
          <w:b w:val="0"/>
          <w:bCs/>
          <w:lang w:val="es-ES"/>
        </w:rPr>
        <w:t xml:space="preserve"> </w:t>
      </w:r>
      <w:r>
        <w:rPr>
          <w:b w:val="0"/>
          <w:bCs/>
          <w:lang w:val="es-ES"/>
        </w:rPr>
        <w:t>Afectación al derecho a defender derechos humanos</w:t>
      </w:r>
      <w:r w:rsidR="00177CDC">
        <w:rPr>
          <w:b w:val="0"/>
          <w:bCs/>
          <w:lang w:val="es-ES"/>
        </w:rPr>
        <w:t xml:space="preserve"> de Patricia Emilie Cuéllar Sandoval</w:t>
      </w:r>
      <w:bookmarkEnd w:id="77"/>
    </w:p>
    <w:p w14:paraId="2ECBBE49" w14:textId="2357AFDD" w:rsidR="008C3922" w:rsidRPr="00465F79" w:rsidRDefault="00936446" w:rsidP="00A53A3E">
      <w:pPr>
        <w:numPr>
          <w:ilvl w:val="0"/>
          <w:numId w:val="7"/>
        </w:numPr>
        <w:tabs>
          <w:tab w:val="left" w:pos="567"/>
          <w:tab w:val="num" w:pos="1569"/>
          <w:tab w:val="num" w:pos="12305"/>
        </w:tabs>
        <w:autoSpaceDE w:val="0"/>
        <w:autoSpaceDN w:val="0"/>
        <w:spacing w:line="240" w:lineRule="auto"/>
        <w:ind w:left="0" w:firstLine="0"/>
        <w:rPr>
          <w:b/>
        </w:rPr>
      </w:pPr>
      <w:r w:rsidRPr="00465F79">
        <w:t>Adicionalmente</w:t>
      </w:r>
      <w:r w:rsidR="00263935" w:rsidRPr="00465F79">
        <w:t>, el Tribunal advierte que la señora Patricia Emilie Cuéllar Sandoval había sido, desde el año 1975, activa colaboradora de Movimientos Cristianos de la Iglesia Católica. Durante los años 1979 y 1980 fue Secretaria de la Oficina del Socorro Jurídico Cristiano, una entidad humanitaria que tenía como objetivo, entre otros, la defensa de los derechos humanos</w:t>
      </w:r>
      <w:r w:rsidR="00263935" w:rsidRPr="00465F79">
        <w:rPr>
          <w:rStyle w:val="Refdenotaalpie"/>
        </w:rPr>
        <w:footnoteReference w:id="97"/>
      </w:r>
      <w:r w:rsidR="00263935" w:rsidRPr="00465F79">
        <w:t xml:space="preserve">. </w:t>
      </w:r>
      <w:r w:rsidR="008C3922" w:rsidRPr="00465F79">
        <w:t>Las amenazas que previamente había recibido</w:t>
      </w:r>
      <w:r w:rsidR="00782AC5">
        <w:t xml:space="preserve"> </w:t>
      </w:r>
      <w:r w:rsidR="008C3922" w:rsidRPr="00465F79">
        <w:t>provocaron que la señora Cuéllar Sandoval renunciara a su puesto en la Oficina del Socorro Jurídico Cristiano dos años antes de su desaparición</w:t>
      </w:r>
      <w:r w:rsidR="00466027">
        <w:rPr>
          <w:rStyle w:val="Refdenotaalpie"/>
        </w:rPr>
        <w:footnoteReference w:id="98"/>
      </w:r>
      <w:r w:rsidR="008C3922" w:rsidRPr="00465F79">
        <w:t xml:space="preserve">. Estas amenazas </w:t>
      </w:r>
      <w:r w:rsidR="008C3922" w:rsidRPr="00465F79">
        <w:lastRenderedPageBreak/>
        <w:t>continuaron en los años posteriores a su salida del Socorro Jurídico Cristia</w:t>
      </w:r>
      <w:r w:rsidR="003C4FC2">
        <w:t>n</w:t>
      </w:r>
      <w:r w:rsidR="000B7B3C">
        <w:t>o.</w:t>
      </w:r>
      <w:r w:rsidR="008C3922" w:rsidRPr="00465F79">
        <w:t xml:space="preserve"> Así, en 1981 su casa fue allanada por miembros del ejército</w:t>
      </w:r>
      <w:r w:rsidR="00BB7211">
        <w:t>, quienes</w:t>
      </w:r>
      <w:r w:rsidR="008C3922" w:rsidRPr="00465F79">
        <w:t xml:space="preserve"> preguntaron por “la comunista” de Patricia Cuéllar</w:t>
      </w:r>
      <w:r w:rsidR="008C3922" w:rsidRPr="00465F79">
        <w:rPr>
          <w:rStyle w:val="Refdenotaalpie"/>
          <w:rFonts w:eastAsiaTheme="minorHAnsi" w:cs="Cambria"/>
          <w:lang w:eastAsia="en-US"/>
        </w:rPr>
        <w:footnoteReference w:id="99"/>
      </w:r>
      <w:r w:rsidRPr="00465F79">
        <w:rPr>
          <w:rFonts w:eastAsiaTheme="minorHAnsi" w:cs="Cambria"/>
          <w:lang w:eastAsia="en-US"/>
        </w:rPr>
        <w:t xml:space="preserve"> y el padre de esta fue interrogado sobre el paradero de su hija</w:t>
      </w:r>
      <w:r w:rsidR="008C3922" w:rsidRPr="00465F79">
        <w:rPr>
          <w:rStyle w:val="Refdenotaalpie"/>
          <w:bCs/>
        </w:rPr>
        <w:footnoteReference w:id="100"/>
      </w:r>
      <w:r w:rsidR="008C3922" w:rsidRPr="00465F79">
        <w:rPr>
          <w:bCs/>
        </w:rPr>
        <w:t>.</w:t>
      </w:r>
      <w:r w:rsidR="00EB7CA4" w:rsidRPr="00465F79">
        <w:rPr>
          <w:bCs/>
        </w:rPr>
        <w:t xml:space="preserve"> </w:t>
      </w:r>
      <w:r w:rsidRPr="00465F79">
        <w:rPr>
          <w:bCs/>
        </w:rPr>
        <w:t>Además, e</w:t>
      </w:r>
      <w:r w:rsidR="008C3922" w:rsidRPr="00465F79">
        <w:rPr>
          <w:bCs/>
        </w:rPr>
        <w:t>l 27 de julio de 1982, un día antes de su desaparición, la señora Cuéllar Sandoval acudió a la Oficina del Socorro Jurídico para denunciar la persecución por parte de cuerpos de seguridad “vestidos de civil” mientras se desplazaba en su vehículo por las calles de San Salvador</w:t>
      </w:r>
      <w:r w:rsidR="008C3922" w:rsidRPr="00465F79">
        <w:rPr>
          <w:rStyle w:val="Refdenotaalpie"/>
          <w:bCs/>
        </w:rPr>
        <w:footnoteReference w:id="101"/>
      </w:r>
      <w:r w:rsidR="008C3922" w:rsidRPr="00465F79">
        <w:rPr>
          <w:bCs/>
        </w:rPr>
        <w:t xml:space="preserve">. </w:t>
      </w:r>
    </w:p>
    <w:p w14:paraId="7DA1004B" w14:textId="77777777" w:rsidR="00936446" w:rsidRPr="00465F79" w:rsidRDefault="00936446" w:rsidP="00936446">
      <w:pPr>
        <w:tabs>
          <w:tab w:val="left" w:pos="567"/>
        </w:tabs>
        <w:autoSpaceDE w:val="0"/>
        <w:autoSpaceDN w:val="0"/>
        <w:spacing w:line="240" w:lineRule="auto"/>
        <w:rPr>
          <w:b/>
        </w:rPr>
      </w:pPr>
    </w:p>
    <w:p w14:paraId="123965FF" w14:textId="3A00548F" w:rsidR="00EB7CA4" w:rsidRPr="00465F79" w:rsidRDefault="00EB7CA4" w:rsidP="003E235D">
      <w:pPr>
        <w:widowControl/>
        <w:numPr>
          <w:ilvl w:val="0"/>
          <w:numId w:val="7"/>
        </w:numPr>
        <w:tabs>
          <w:tab w:val="left" w:pos="567"/>
          <w:tab w:val="num" w:pos="1569"/>
          <w:tab w:val="num" w:pos="12305"/>
        </w:tabs>
        <w:autoSpaceDE w:val="0"/>
        <w:autoSpaceDN w:val="0"/>
        <w:adjustRightInd/>
        <w:spacing w:line="240" w:lineRule="auto"/>
        <w:ind w:left="0" w:firstLine="0"/>
      </w:pPr>
      <w:r w:rsidRPr="00465F79">
        <w:rPr>
          <w:bCs/>
        </w:rPr>
        <w:t xml:space="preserve">A lo anterior se añade </w:t>
      </w:r>
      <w:r w:rsidRPr="00465F79">
        <w:rPr>
          <w:rFonts w:eastAsia="Cambria" w:cs="Cambria"/>
          <w:lang w:val="es-ES"/>
        </w:rPr>
        <w:t>el contexto en el cual tuvieron</w:t>
      </w:r>
      <w:r w:rsidR="00BB571C">
        <w:rPr>
          <w:rFonts w:eastAsia="Cambria" w:cs="Cambria"/>
          <w:lang w:val="es-ES"/>
        </w:rPr>
        <w:t xml:space="preserve"> lugar</w:t>
      </w:r>
      <w:r w:rsidRPr="00465F79">
        <w:rPr>
          <w:rFonts w:eastAsia="Cambria" w:cs="Cambria"/>
          <w:lang w:val="es-ES"/>
        </w:rPr>
        <w:t xml:space="preserve"> los hechos, un conflicto armado en el que la represión se dirigió contra “organizaciones políticas, gremios y sectores organizados de la sociedad salvadoreña”, produciéndose ataques contra personas relacionadas con entidades de derechos humanos</w:t>
      </w:r>
      <w:r w:rsidRPr="00465F79">
        <w:rPr>
          <w:rStyle w:val="Refdenotaalpie"/>
          <w:rFonts w:eastAsia="Cambria" w:cs="Cambria"/>
        </w:rPr>
        <w:footnoteReference w:id="102"/>
      </w:r>
      <w:r w:rsidRPr="00465F79">
        <w:rPr>
          <w:rFonts w:eastAsia="Cambria" w:cs="Cambria"/>
          <w:lang w:val="es-ES"/>
        </w:rPr>
        <w:t xml:space="preserve">, y, en particular, contra la Oficina del Socorro Jurídico, cuestión respaldada por el Estado en su escrito de </w:t>
      </w:r>
      <w:r w:rsidR="00BB7211">
        <w:rPr>
          <w:rFonts w:eastAsia="Cambria" w:cs="Cambria"/>
          <w:lang w:val="es-ES"/>
        </w:rPr>
        <w:t>c</w:t>
      </w:r>
      <w:r w:rsidRPr="00465F79">
        <w:rPr>
          <w:rFonts w:eastAsia="Cambria" w:cs="Cambria"/>
          <w:lang w:val="es-ES"/>
        </w:rPr>
        <w:t>ontestación al reconocer que se produjo una “persecución” contra dicha institución en el marco del conflicto armado”</w:t>
      </w:r>
      <w:r w:rsidRPr="00465F79">
        <w:rPr>
          <w:rStyle w:val="Refdenotaalpie"/>
          <w:rFonts w:eastAsia="Cambria" w:cs="Cambria"/>
        </w:rPr>
        <w:footnoteReference w:id="103"/>
      </w:r>
      <w:r w:rsidRPr="00465F79">
        <w:rPr>
          <w:rFonts w:eastAsia="Cambria" w:cs="Cambria"/>
          <w:lang w:val="es-ES"/>
        </w:rPr>
        <w:t xml:space="preserve">. </w:t>
      </w:r>
    </w:p>
    <w:p w14:paraId="455A819B" w14:textId="77777777" w:rsidR="00465F79" w:rsidRPr="00465F79" w:rsidRDefault="00465F79" w:rsidP="00465F79">
      <w:pPr>
        <w:widowControl/>
        <w:tabs>
          <w:tab w:val="left" w:pos="567"/>
        </w:tabs>
        <w:autoSpaceDE w:val="0"/>
        <w:autoSpaceDN w:val="0"/>
        <w:adjustRightInd/>
        <w:spacing w:line="240" w:lineRule="auto"/>
      </w:pPr>
    </w:p>
    <w:p w14:paraId="5DDBFEF6" w14:textId="0DBA7656" w:rsidR="00A63DE6" w:rsidRPr="00465F79" w:rsidRDefault="00EB7CA4" w:rsidP="00B409A2">
      <w:pPr>
        <w:widowControl/>
        <w:numPr>
          <w:ilvl w:val="0"/>
          <w:numId w:val="7"/>
        </w:numPr>
        <w:tabs>
          <w:tab w:val="left" w:pos="567"/>
          <w:tab w:val="num" w:pos="1569"/>
          <w:tab w:val="num" w:pos="12305"/>
        </w:tabs>
        <w:autoSpaceDE w:val="0"/>
        <w:autoSpaceDN w:val="0"/>
        <w:adjustRightInd/>
        <w:spacing w:line="240" w:lineRule="auto"/>
        <w:ind w:left="0" w:firstLine="0"/>
      </w:pPr>
      <w:r w:rsidRPr="00465F79">
        <w:rPr>
          <w:bCs/>
        </w:rPr>
        <w:t>En vista de lo anterior, e</w:t>
      </w:r>
      <w:r w:rsidR="00936446" w:rsidRPr="00465F79">
        <w:rPr>
          <w:bCs/>
        </w:rPr>
        <w:t>l Tribunal considera que existen fuertes indicios que señalan que la desaparición de la señora Cuéllar Sandoval tuvo relación con su actividad como defensora de derechos humanos.</w:t>
      </w:r>
      <w:r w:rsidRPr="00465F79">
        <w:rPr>
          <w:bCs/>
        </w:rPr>
        <w:t xml:space="preserve"> </w:t>
      </w:r>
      <w:r w:rsidR="00936446" w:rsidRPr="00465F79">
        <w:rPr>
          <w:rFonts w:cs="Cambria"/>
        </w:rPr>
        <w:t xml:space="preserve">Esta Corte ha tenido oportunidad de referirse, en distintas oportunidades, a las personas defensoras de derechos humanos y a su trascendental papel en el marco de un </w:t>
      </w:r>
      <w:r w:rsidR="00936446" w:rsidRPr="00465F79">
        <w:rPr>
          <w:bCs/>
        </w:rPr>
        <w:t>sistema</w:t>
      </w:r>
      <w:r w:rsidR="00936446" w:rsidRPr="00465F79">
        <w:rPr>
          <w:rFonts w:cs="Cambria"/>
        </w:rPr>
        <w:t xml:space="preserve"> democrático</w:t>
      </w:r>
      <w:r w:rsidR="00936446" w:rsidRPr="00465F79">
        <w:rPr>
          <w:rStyle w:val="Refdenotaalpie"/>
          <w:rFonts w:eastAsia="Batang" w:cs="Cambria"/>
        </w:rPr>
        <w:footnoteReference w:id="104"/>
      </w:r>
      <w:r w:rsidR="00936446" w:rsidRPr="00465F79">
        <w:rPr>
          <w:rFonts w:cs="Cambria"/>
        </w:rPr>
        <w:t>.</w:t>
      </w:r>
      <w:r w:rsidR="00936446" w:rsidRPr="00465F79">
        <w:t xml:space="preserve"> </w:t>
      </w:r>
      <w:r w:rsidR="00936446" w:rsidRPr="00465F79">
        <w:rPr>
          <w:rFonts w:cs="Cambria"/>
        </w:rPr>
        <w:t xml:space="preserve">Así, el Tribunal en forma reiterada ha puesto de relieve </w:t>
      </w:r>
      <w:r w:rsidR="00936446" w:rsidRPr="00465F79">
        <w:t>la importancia de la labor de las defensoras y los defensores de derechos humanos</w:t>
      </w:r>
      <w:r w:rsidR="00936446" w:rsidRPr="00465F79">
        <w:rPr>
          <w:rStyle w:val="Refdenotaalpie"/>
          <w:rFonts w:eastAsia="Batang"/>
        </w:rPr>
        <w:footnoteReference w:id="105"/>
      </w:r>
      <w:r w:rsidR="00936446" w:rsidRPr="00465F79">
        <w:t>, al considerarla fundamental para el fortalecimiento de la democracia y el Estado de Derecho</w:t>
      </w:r>
      <w:r w:rsidR="00936446" w:rsidRPr="00465F79">
        <w:rPr>
          <w:rStyle w:val="Refdenotaalpie"/>
          <w:rFonts w:eastAsia="Batang"/>
        </w:rPr>
        <w:footnoteReference w:id="106"/>
      </w:r>
      <w:r w:rsidR="00936446" w:rsidRPr="00465F79">
        <w:t xml:space="preserve">. El Tribunal recuerda, además, que las actividades de vigilancia, denuncia y educación que realizan contribuyen de manera esencial a la observancia de los derechos humanos, pues actúan como garantes contra </w:t>
      </w:r>
      <w:r w:rsidR="00936446" w:rsidRPr="00465F79">
        <w:lastRenderedPageBreak/>
        <w:t>la impunidad. De esta manera se complementa el rol, no tan solo de los Estados, sino del Sistema Interamericano de Derechos Humanos en su conjunto</w:t>
      </w:r>
      <w:r w:rsidR="00936446" w:rsidRPr="00465F79">
        <w:rPr>
          <w:rStyle w:val="Refdenotaalpie"/>
          <w:rFonts w:eastAsia="Batang"/>
        </w:rPr>
        <w:footnoteReference w:id="107"/>
      </w:r>
      <w:r w:rsidR="00936446" w:rsidRPr="00465F79">
        <w:t xml:space="preserve">. </w:t>
      </w:r>
    </w:p>
    <w:p w14:paraId="65C37621" w14:textId="77777777" w:rsidR="00936446" w:rsidRPr="00465F79" w:rsidRDefault="00936446" w:rsidP="00936446">
      <w:pPr>
        <w:widowControl/>
        <w:tabs>
          <w:tab w:val="left" w:pos="567"/>
        </w:tabs>
        <w:autoSpaceDE w:val="0"/>
        <w:autoSpaceDN w:val="0"/>
        <w:adjustRightInd/>
        <w:spacing w:line="240" w:lineRule="auto"/>
      </w:pPr>
    </w:p>
    <w:p w14:paraId="0D7BDB39" w14:textId="6382934D" w:rsidR="00936446" w:rsidRDefault="00936446" w:rsidP="00EF6483">
      <w:pPr>
        <w:widowControl/>
        <w:numPr>
          <w:ilvl w:val="0"/>
          <w:numId w:val="7"/>
        </w:numPr>
        <w:tabs>
          <w:tab w:val="left" w:pos="567"/>
          <w:tab w:val="num" w:pos="1569"/>
          <w:tab w:val="num" w:pos="12305"/>
        </w:tabs>
        <w:autoSpaceDE w:val="0"/>
        <w:autoSpaceDN w:val="0"/>
        <w:adjustRightInd/>
        <w:spacing w:line="240" w:lineRule="auto"/>
        <w:ind w:left="0" w:firstLine="0"/>
      </w:pPr>
      <w:r w:rsidRPr="00465F79">
        <w:t>Lo anterior no sucedió en el presente caso, donde la señora Cuéllar Sandoval fue víctima de amenazas, allanamientos y persecuciones a cargo de agentes del Estado, quienes tenían un deber especial de protección de las personas defensoras de derechos humanos</w:t>
      </w:r>
      <w:r w:rsidRPr="00465F79">
        <w:rPr>
          <w:rStyle w:val="Refdenotaalpie"/>
          <w:rFonts w:eastAsia="Batang"/>
        </w:rPr>
        <w:footnoteReference w:id="108"/>
      </w:r>
      <w:r w:rsidRPr="00465F79">
        <w:t xml:space="preserve">. </w:t>
      </w:r>
    </w:p>
    <w:p w14:paraId="701FC7D1" w14:textId="77777777" w:rsidR="00682DEB" w:rsidRDefault="00682DEB" w:rsidP="00682DEB">
      <w:pPr>
        <w:widowControl/>
        <w:tabs>
          <w:tab w:val="left" w:pos="567"/>
        </w:tabs>
        <w:autoSpaceDE w:val="0"/>
        <w:autoSpaceDN w:val="0"/>
        <w:adjustRightInd/>
        <w:spacing w:line="240" w:lineRule="auto"/>
      </w:pPr>
    </w:p>
    <w:p w14:paraId="24AFEDD8" w14:textId="76F9D627" w:rsidR="003858C4" w:rsidRPr="00614D58" w:rsidRDefault="003858C4" w:rsidP="003858C4">
      <w:pPr>
        <w:widowControl/>
        <w:numPr>
          <w:ilvl w:val="0"/>
          <w:numId w:val="7"/>
        </w:numPr>
        <w:tabs>
          <w:tab w:val="left" w:pos="567"/>
          <w:tab w:val="num" w:pos="1569"/>
          <w:tab w:val="num" w:pos="12305"/>
        </w:tabs>
        <w:autoSpaceDE w:val="0"/>
        <w:autoSpaceDN w:val="0"/>
        <w:adjustRightInd/>
        <w:spacing w:line="240" w:lineRule="auto"/>
        <w:ind w:left="0" w:firstLine="0"/>
        <w:rPr>
          <w:bCs/>
        </w:rPr>
      </w:pPr>
      <w:r w:rsidRPr="001B181F">
        <w:rPr>
          <w:bCs/>
        </w:rPr>
        <w:t xml:space="preserve">Aunado a ello, la Corte advierte que el actuar ilícito de las autoridades estatales y los referidos múltiples hechos de coacción perpetrados contra la señora Cuéllar </w:t>
      </w:r>
      <w:r>
        <w:rPr>
          <w:bCs/>
        </w:rPr>
        <w:t xml:space="preserve">Sandoval </w:t>
      </w:r>
      <w:r w:rsidRPr="001B181F">
        <w:rPr>
          <w:bCs/>
        </w:rPr>
        <w:t xml:space="preserve">desde que comenzó a trabajar en el Socorro Jurídico </w:t>
      </w:r>
      <w:r w:rsidRPr="00614D58">
        <w:rPr>
          <w:bCs/>
        </w:rPr>
        <w:t>Cristiano (</w:t>
      </w:r>
      <w:r w:rsidRPr="00614D58">
        <w:rPr>
          <w:bCs/>
          <w:i/>
          <w:iCs/>
        </w:rPr>
        <w:t>supra</w:t>
      </w:r>
      <w:r w:rsidRPr="00614D58">
        <w:rPr>
          <w:bCs/>
        </w:rPr>
        <w:t xml:space="preserve"> párrs. 3</w:t>
      </w:r>
      <w:r w:rsidR="00614D58" w:rsidRPr="00614D58">
        <w:rPr>
          <w:bCs/>
        </w:rPr>
        <w:t>9</w:t>
      </w:r>
      <w:r w:rsidRPr="00614D58">
        <w:rPr>
          <w:bCs/>
        </w:rPr>
        <w:t xml:space="preserve"> a 4</w:t>
      </w:r>
      <w:r w:rsidR="00614D58" w:rsidRPr="00614D58">
        <w:rPr>
          <w:bCs/>
        </w:rPr>
        <w:t>3</w:t>
      </w:r>
      <w:r w:rsidRPr="00614D58">
        <w:rPr>
          <w:bCs/>
        </w:rPr>
        <w:t xml:space="preserve">) tenían como objetivo silenciarla en su labor como persona defensora, en el sentido de limitar su intervención en el debate público y de restringir su labor de denuncia en el marco de la defensa y protección de los derechos humanos en El Salvador. En consecuencia, la dinámica de ataques y amenazas dirigidos contra la señora Cuéllar Sandoval supuso una conculcación del derecho a la libertad de expresión amparado por el artículo 13 de la Convención Americana, al haber supuesto una intromisión ilegítima en su labor de promoción, defensa y denuncia en el ámbito de los derechos humanos. </w:t>
      </w:r>
    </w:p>
    <w:p w14:paraId="120AAFB1" w14:textId="77777777" w:rsidR="007330FD" w:rsidRPr="00614D58" w:rsidRDefault="007330FD" w:rsidP="007330FD">
      <w:pPr>
        <w:widowControl/>
        <w:tabs>
          <w:tab w:val="left" w:pos="567"/>
        </w:tabs>
        <w:autoSpaceDE w:val="0"/>
        <w:autoSpaceDN w:val="0"/>
        <w:adjustRightInd/>
        <w:spacing w:line="240" w:lineRule="auto"/>
      </w:pPr>
    </w:p>
    <w:p w14:paraId="768EA82F" w14:textId="45893C7B" w:rsidR="003858C4" w:rsidRPr="00926DB8" w:rsidRDefault="003858C4" w:rsidP="003858C4">
      <w:pPr>
        <w:widowControl/>
        <w:numPr>
          <w:ilvl w:val="0"/>
          <w:numId w:val="7"/>
        </w:numPr>
        <w:tabs>
          <w:tab w:val="left" w:pos="567"/>
          <w:tab w:val="num" w:pos="1569"/>
          <w:tab w:val="num" w:pos="12305"/>
        </w:tabs>
        <w:autoSpaceDE w:val="0"/>
        <w:autoSpaceDN w:val="0"/>
        <w:adjustRightInd/>
        <w:spacing w:line="240" w:lineRule="auto"/>
        <w:ind w:left="0" w:firstLine="0"/>
      </w:pPr>
      <w:r w:rsidRPr="00614D58">
        <w:t xml:space="preserve">Adicionalmente, la Corte considera que las distintas acciones de amedrentamiento ejecutadas por agentes estatales también afectaron su participación en una entidad no gubernamental dedicada a defensa de los derechos humanos, lo cual provocó, además, que la víctima tuviera que renunciar </w:t>
      </w:r>
      <w:r w:rsidRPr="00535D4E">
        <w:t>a</w:t>
      </w:r>
      <w:r w:rsidRPr="00614D58">
        <w:t xml:space="preserve"> continuar trabajando en dicha asociación (</w:t>
      </w:r>
      <w:r w:rsidRPr="00614D58">
        <w:rPr>
          <w:i/>
          <w:iCs/>
        </w:rPr>
        <w:t>supra</w:t>
      </w:r>
      <w:r w:rsidRPr="00614D58">
        <w:t xml:space="preserve"> párr. 4</w:t>
      </w:r>
      <w:r w:rsidR="00614D58" w:rsidRPr="00614D58">
        <w:t>1</w:t>
      </w:r>
      <w:r w:rsidRPr="00614D58">
        <w:t>). La Corte recuerda que la libertad de asociación amparada por el artículo 16.1 de la Convención Americana comprende el derecho de toda persona a formar y participar</w:t>
      </w:r>
      <w:r w:rsidRPr="00926DB8">
        <w:t xml:space="preserve"> libremente en organizaciones, asociaciones o grupos no gubernamentales orientados a la vigilancia, denuncia y promoción de los derechos humanos. A su vez, el derecho conlleva una obligación positiva para los Estados de crear condiciones legales y fácticas para su ejercicio</w:t>
      </w:r>
      <w:r w:rsidRPr="00926DB8">
        <w:rPr>
          <w:rStyle w:val="Refdenotaalpie"/>
        </w:rPr>
        <w:footnoteReference w:id="109"/>
      </w:r>
      <w:r w:rsidRPr="00926DB8">
        <w:t>, lo que abarca, de ser pertinente, los deberes de prevenir atentados contra la libre asociación, proteger a quienes la ejercen e investigar las violaciones de dicha libertad</w:t>
      </w:r>
      <w:r w:rsidRPr="00926DB8">
        <w:rPr>
          <w:rStyle w:val="Refdenotaalpie"/>
        </w:rPr>
        <w:footnoteReference w:id="110"/>
      </w:r>
      <w:r w:rsidRPr="00926DB8">
        <w:t>. En tal sentido, el conjunto de hechos comprobados y sus consecuencias determinan que en el presente caso hubo una particular afectación a la libertad de asociación amparado en el artículo 16.1 de la Convención Americana, como derecho que incluye la facultad de conformar y participar, sin presiones o intromisiones de cualquier naturaleza, en una organización como el Socorro Jurídico Cristiano, constituida legalmente y dirigida a la promoción y protección de los derechos humanos en el país</w:t>
      </w:r>
      <w:r w:rsidRPr="00926DB8">
        <w:rPr>
          <w:rStyle w:val="Refdenotaalpie"/>
        </w:rPr>
        <w:footnoteReference w:id="111"/>
      </w:r>
      <w:r w:rsidRPr="00926DB8">
        <w:t xml:space="preserve">. </w:t>
      </w:r>
    </w:p>
    <w:p w14:paraId="327CD47C" w14:textId="77777777" w:rsidR="00AD727D" w:rsidRDefault="00AD727D" w:rsidP="00AD727D">
      <w:pPr>
        <w:widowControl/>
        <w:tabs>
          <w:tab w:val="left" w:pos="567"/>
        </w:tabs>
        <w:autoSpaceDE w:val="0"/>
        <w:autoSpaceDN w:val="0"/>
        <w:adjustRightInd/>
        <w:spacing w:line="240" w:lineRule="auto"/>
        <w:rPr>
          <w:highlight w:val="yellow"/>
        </w:rPr>
      </w:pPr>
    </w:p>
    <w:p w14:paraId="6F9736E5" w14:textId="00860363" w:rsidR="006F5D41" w:rsidRPr="0029228F" w:rsidRDefault="00782AC5" w:rsidP="006F5D41">
      <w:pPr>
        <w:widowControl/>
        <w:numPr>
          <w:ilvl w:val="0"/>
          <w:numId w:val="7"/>
        </w:numPr>
        <w:tabs>
          <w:tab w:val="left" w:pos="567"/>
          <w:tab w:val="num" w:pos="1569"/>
          <w:tab w:val="num" w:pos="12305"/>
        </w:tabs>
        <w:autoSpaceDE w:val="0"/>
        <w:autoSpaceDN w:val="0"/>
        <w:adjustRightInd/>
        <w:spacing w:line="240" w:lineRule="auto"/>
        <w:ind w:left="0" w:firstLine="0"/>
      </w:pPr>
      <w:r w:rsidRPr="0029228F">
        <w:t xml:space="preserve">En vista de lo anterior, el Tribunal considera que </w:t>
      </w:r>
      <w:r w:rsidR="00616E5B" w:rsidRPr="0029228F">
        <w:t xml:space="preserve">la concatenación de sucesos en los que la </w:t>
      </w:r>
      <w:r w:rsidRPr="0029228F">
        <w:t xml:space="preserve">señora Cuéllar Sandoval </w:t>
      </w:r>
      <w:r w:rsidR="00616E5B" w:rsidRPr="0029228F">
        <w:t>fue sujeto de amenazas</w:t>
      </w:r>
      <w:r w:rsidR="007253A9" w:rsidRPr="0029228F">
        <w:t xml:space="preserve"> </w:t>
      </w:r>
      <w:r w:rsidR="00EE77DC" w:rsidRPr="0029228F">
        <w:t xml:space="preserve">y </w:t>
      </w:r>
      <w:r w:rsidR="0029228F">
        <w:t xml:space="preserve">hostigamientos </w:t>
      </w:r>
      <w:r w:rsidR="00EE77DC" w:rsidRPr="0029228F">
        <w:t>que culminaron con su desaparición, sin que el Estado cumpliera con</w:t>
      </w:r>
      <w:r w:rsidR="007253A9" w:rsidRPr="0029228F">
        <w:t xml:space="preserve"> su obligación </w:t>
      </w:r>
      <w:r w:rsidR="00EE77DC" w:rsidRPr="0029228F">
        <w:t xml:space="preserve">de crear </w:t>
      </w:r>
      <w:r w:rsidR="00EE77DC" w:rsidRPr="0029228F">
        <w:lastRenderedPageBreak/>
        <w:t>las condiciones necesarias para el efectivo goce y disfrute de los derechos establecidos en la Convención</w:t>
      </w:r>
      <w:r w:rsidR="00EE77DC" w:rsidRPr="0029228F">
        <w:rPr>
          <w:rStyle w:val="Refdenotaalpie"/>
          <w:rFonts w:eastAsia="Batang"/>
        </w:rPr>
        <w:footnoteReference w:id="112"/>
      </w:r>
      <w:r w:rsidR="00EE77DC" w:rsidRPr="0029228F">
        <w:t xml:space="preserve"> y de las </w:t>
      </w:r>
      <w:r w:rsidR="007253A9" w:rsidRPr="0029228F">
        <w:t xml:space="preserve">condiciones fácticas </w:t>
      </w:r>
      <w:r w:rsidR="00EE77DC" w:rsidRPr="0029228F">
        <w:t xml:space="preserve">para que </w:t>
      </w:r>
      <w:r w:rsidR="007253A9" w:rsidRPr="0029228F">
        <w:t>la señora Cuéllar Sandoval pudiera desarrollar libremente su función</w:t>
      </w:r>
      <w:r w:rsidR="00EE77DC" w:rsidRPr="0029228F">
        <w:t xml:space="preserve"> como defensora de derechos humanos</w:t>
      </w:r>
      <w:r w:rsidR="007253A9" w:rsidRPr="0029228F">
        <w:rPr>
          <w:rStyle w:val="Refdenotaalpie"/>
        </w:rPr>
        <w:footnoteReference w:id="113"/>
      </w:r>
      <w:r w:rsidR="00EE77DC" w:rsidRPr="0029228F">
        <w:t xml:space="preserve">, </w:t>
      </w:r>
      <w:r w:rsidR="00616E5B" w:rsidRPr="0029228F">
        <w:t xml:space="preserve">también fue violatorio de </w:t>
      </w:r>
      <w:r w:rsidR="00EE77DC" w:rsidRPr="0029228F">
        <w:t>su derecho a la libertad de expresión y a la libertad de asociación en</w:t>
      </w:r>
      <w:r w:rsidR="00241495" w:rsidRPr="0029228F">
        <w:t xml:space="preserve"> </w:t>
      </w:r>
      <w:r w:rsidR="00EE77DC" w:rsidRPr="0029228F">
        <w:t xml:space="preserve">su labor de promoción, defensa y denuncia en el ámbito de los derechos humanos, amparados en los </w:t>
      </w:r>
      <w:r w:rsidR="00616E5B" w:rsidRPr="0029228F">
        <w:t>artículos 13</w:t>
      </w:r>
      <w:r w:rsidR="00241495" w:rsidRPr="0029228F">
        <w:t>.1</w:t>
      </w:r>
      <w:r w:rsidR="00616E5B" w:rsidRPr="0029228F">
        <w:t xml:space="preserve"> y 16</w:t>
      </w:r>
      <w:r w:rsidR="00241495" w:rsidRPr="0029228F">
        <w:t>.1</w:t>
      </w:r>
      <w:r w:rsidR="00616E5B" w:rsidRPr="0029228F">
        <w:t xml:space="preserve"> de la Convención Americana.</w:t>
      </w:r>
      <w:r w:rsidR="00444E5F">
        <w:t xml:space="preserve"> </w:t>
      </w:r>
    </w:p>
    <w:p w14:paraId="3DB22B92" w14:textId="24324361" w:rsidR="009446A0" w:rsidRPr="0029228F" w:rsidRDefault="009446A0" w:rsidP="009446A0">
      <w:pPr>
        <w:pStyle w:val="Ttulo3"/>
        <w:spacing w:before="240" w:after="240"/>
        <w:ind w:left="992"/>
        <w:contextualSpacing w:val="0"/>
        <w:rPr>
          <w:lang w:val="es-ES"/>
        </w:rPr>
      </w:pPr>
      <w:bookmarkStart w:id="78" w:name="_Toc165022623"/>
      <w:bookmarkStart w:id="79" w:name="_Ref469938455"/>
      <w:r w:rsidRPr="0029228F">
        <w:rPr>
          <w:b w:val="0"/>
          <w:bCs/>
          <w:lang w:val="es-ES"/>
        </w:rPr>
        <w:t>B.3. Conclusión</w:t>
      </w:r>
      <w:bookmarkEnd w:id="78"/>
      <w:r w:rsidRPr="0029228F">
        <w:rPr>
          <w:b w:val="0"/>
          <w:bCs/>
          <w:lang w:val="es-ES"/>
        </w:rPr>
        <w:t xml:space="preserve"> </w:t>
      </w:r>
    </w:p>
    <w:p w14:paraId="6FF5D7D8" w14:textId="0E9AA27C" w:rsidR="00F367EC" w:rsidRPr="00616E5B" w:rsidRDefault="00A70916" w:rsidP="00496F2E">
      <w:pPr>
        <w:numPr>
          <w:ilvl w:val="0"/>
          <w:numId w:val="7"/>
        </w:numPr>
        <w:tabs>
          <w:tab w:val="left" w:pos="567"/>
          <w:tab w:val="num" w:pos="1569"/>
          <w:tab w:val="num" w:pos="12305"/>
        </w:tabs>
        <w:spacing w:line="240" w:lineRule="auto"/>
        <w:ind w:left="0" w:firstLine="0"/>
      </w:pPr>
      <w:r w:rsidRPr="0029228F">
        <w:t>C</w:t>
      </w:r>
      <w:r w:rsidR="00616E5B" w:rsidRPr="0029228F">
        <w:t xml:space="preserve">on base en el reconocimiento realizado por el Estado, así como por la aplicación del principio </w:t>
      </w:r>
      <w:r w:rsidR="00616E5B" w:rsidRPr="0029228F">
        <w:rPr>
          <w:i/>
          <w:iCs/>
        </w:rPr>
        <w:t>iura novit curia</w:t>
      </w:r>
      <w:r w:rsidR="00616E5B" w:rsidRPr="0029228F">
        <w:t>,</w:t>
      </w:r>
      <w:r w:rsidR="00616E5B">
        <w:t xml:space="preserve"> </w:t>
      </w:r>
      <w:r w:rsidR="009762ED" w:rsidRPr="00465F79">
        <w:t>la Corte concluye</w:t>
      </w:r>
      <w:r w:rsidR="00F367EC" w:rsidRPr="00465F79">
        <w:t xml:space="preserve"> </w:t>
      </w:r>
      <w:r w:rsidR="00BB571C">
        <w:t xml:space="preserve">que </w:t>
      </w:r>
      <w:r w:rsidR="00F367EC" w:rsidRPr="00465F79">
        <w:t>el Estado es responsable por la desaparición forzada de Patricia Emilie Cuéllar Sandoval</w:t>
      </w:r>
      <w:r w:rsidR="00EB7CA4" w:rsidRPr="00465F79">
        <w:t>, así como por</w:t>
      </w:r>
      <w:r w:rsidR="00F367EC" w:rsidRPr="00465F79">
        <w:t xml:space="preserve"> la consecuente violación del derecho a defender los derechos humanos, todo ello en violación de los artículos 3, 4.1, 5.1, 5.2, 7, 13.1 y 16.1 de la Convención Americana, en relación con lo dispuesto en el artículo 1.1 de ese Tratado</w:t>
      </w:r>
      <w:r w:rsidR="00C2097B">
        <w:rPr>
          <w:rStyle w:val="Refdenotaalpie"/>
        </w:rPr>
        <w:footnoteReference w:id="114"/>
      </w:r>
      <w:r w:rsidR="00F367EC" w:rsidRPr="00465F79">
        <w:t xml:space="preserve">. </w:t>
      </w:r>
    </w:p>
    <w:p w14:paraId="1D8CDA03" w14:textId="77777777" w:rsidR="00616E5B" w:rsidRPr="00465F79" w:rsidRDefault="00616E5B" w:rsidP="00616E5B">
      <w:pPr>
        <w:tabs>
          <w:tab w:val="left" w:pos="567"/>
          <w:tab w:val="num" w:pos="12305"/>
        </w:tabs>
        <w:spacing w:line="240" w:lineRule="auto"/>
      </w:pPr>
    </w:p>
    <w:p w14:paraId="6CB5BC8A" w14:textId="323D35B0" w:rsidR="00A63DE6" w:rsidRPr="00465F79" w:rsidRDefault="00926DB8" w:rsidP="00A63DE6">
      <w:pPr>
        <w:numPr>
          <w:ilvl w:val="0"/>
          <w:numId w:val="7"/>
        </w:numPr>
        <w:tabs>
          <w:tab w:val="left" w:pos="567"/>
          <w:tab w:val="num" w:pos="1569"/>
          <w:tab w:val="num" w:pos="12305"/>
        </w:tabs>
        <w:spacing w:line="240" w:lineRule="auto"/>
        <w:ind w:left="0" w:firstLine="0"/>
      </w:pPr>
      <w:r>
        <w:t>C</w:t>
      </w:r>
      <w:r w:rsidR="00616E5B" w:rsidRPr="00616E5B">
        <w:t xml:space="preserve">on base en el reconocimiento realizado por </w:t>
      </w:r>
      <w:r w:rsidR="003858C4">
        <w:t>El Salvador</w:t>
      </w:r>
      <w:r w:rsidR="00616E5B" w:rsidRPr="00616E5B">
        <w:t>, la Corte</w:t>
      </w:r>
      <w:r w:rsidR="00616E5B">
        <w:t xml:space="preserve"> concluye que </w:t>
      </w:r>
      <w:r w:rsidR="00F367EC" w:rsidRPr="00465F79">
        <w:t>el Estado es responsable por la desaparición forzada de</w:t>
      </w:r>
      <w:r w:rsidR="00EB7CA4" w:rsidRPr="00465F79">
        <w:t xml:space="preserve"> </w:t>
      </w:r>
      <w:r w:rsidR="00F367EC" w:rsidRPr="00465F79">
        <w:t xml:space="preserve">Mauricio Cuéllar Cuéllar y Julia Orbelina Pérez </w:t>
      </w:r>
      <w:r w:rsidR="009762ED" w:rsidRPr="00465F79">
        <w:t xml:space="preserve">y encuentra que el Estado es responsable </w:t>
      </w:r>
      <w:r w:rsidR="00F367EC" w:rsidRPr="00465F79">
        <w:t xml:space="preserve">internacionalmente por la violación </w:t>
      </w:r>
      <w:r w:rsidR="009762ED" w:rsidRPr="00465F79">
        <w:t>de</w:t>
      </w:r>
      <w:bookmarkEnd w:id="79"/>
      <w:r w:rsidR="00F367EC" w:rsidRPr="00465F79">
        <w:t xml:space="preserve"> los artículos 3, 4.1, 5.1, 5.2, y 7 de la Convención Americana, en relación con lo dispuesto en el artículo 1.1 de ese Tratado.</w:t>
      </w:r>
      <w:bookmarkStart w:id="80" w:name="_Hlk158801800"/>
    </w:p>
    <w:p w14:paraId="386341DF" w14:textId="6BFD6D3D" w:rsidR="009762ED" w:rsidRPr="00465F79" w:rsidRDefault="009762ED" w:rsidP="00465F79">
      <w:pPr>
        <w:pStyle w:val="Ttulo1"/>
      </w:pPr>
      <w:bookmarkStart w:id="81" w:name="_Toc37668401"/>
      <w:bookmarkStart w:id="82" w:name="_Toc41291430"/>
      <w:bookmarkStart w:id="83" w:name="_Toc41291467"/>
      <w:bookmarkStart w:id="84" w:name="_Toc41476769"/>
      <w:bookmarkStart w:id="85" w:name="_Toc165022624"/>
      <w:bookmarkStart w:id="86" w:name="_Toc77250296"/>
      <w:bookmarkStart w:id="87" w:name="_Toc77250413"/>
      <w:bookmarkStart w:id="88" w:name="_Toc77250482"/>
      <w:bookmarkStart w:id="89" w:name="_Toc78986515"/>
      <w:bookmarkEnd w:id="80"/>
      <w:r w:rsidRPr="00465F79">
        <w:rPr>
          <w:rStyle w:val="None"/>
          <w:lang w:val="es-CR"/>
        </w:rPr>
        <w:t>VII-2</w:t>
      </w:r>
      <w:r w:rsidRPr="00465F79">
        <w:rPr>
          <w:rStyle w:val="None"/>
          <w:lang w:val="es-CR"/>
        </w:rPr>
        <w:br/>
      </w:r>
      <w:bookmarkStart w:id="90" w:name="_Toc469594942"/>
      <w:bookmarkStart w:id="91" w:name="_Toc469664516"/>
      <w:bookmarkStart w:id="92" w:name="_Toc469940962"/>
      <w:bookmarkStart w:id="93" w:name="_Toc479618062"/>
      <w:bookmarkStart w:id="94" w:name="_Toc480194704"/>
      <w:bookmarkStart w:id="95" w:name="_Toc41291431"/>
      <w:bookmarkStart w:id="96" w:name="_Toc41291468"/>
      <w:bookmarkStart w:id="97" w:name="_Toc41476770"/>
      <w:bookmarkEnd w:id="81"/>
      <w:bookmarkEnd w:id="82"/>
      <w:bookmarkEnd w:id="83"/>
      <w:bookmarkEnd w:id="84"/>
      <w:r w:rsidRPr="00465F79">
        <w:t>DERECHOS A LAS GARANTÍAS JUDICIALES Y A LA PROTECCIÓN JUDICIAL</w:t>
      </w:r>
      <w:bookmarkEnd w:id="90"/>
      <w:bookmarkEnd w:id="91"/>
      <w:bookmarkEnd w:id="92"/>
      <w:bookmarkEnd w:id="93"/>
      <w:bookmarkEnd w:id="94"/>
      <w:r w:rsidRPr="00465F79">
        <w:rPr>
          <w:rStyle w:val="Refdenotaalpie"/>
          <w:rFonts w:eastAsia="Batang"/>
          <w:lang w:val="es-CR"/>
        </w:rPr>
        <w:footnoteReference w:id="115"/>
      </w:r>
      <w:bookmarkEnd w:id="85"/>
      <w:r w:rsidR="00EB7CA4" w:rsidRPr="00465F79">
        <w:t xml:space="preserve"> </w:t>
      </w:r>
      <w:bookmarkEnd w:id="86"/>
      <w:bookmarkEnd w:id="87"/>
      <w:bookmarkEnd w:id="88"/>
      <w:bookmarkEnd w:id="89"/>
      <w:bookmarkEnd w:id="95"/>
      <w:bookmarkEnd w:id="96"/>
      <w:bookmarkEnd w:id="97"/>
    </w:p>
    <w:p w14:paraId="1A074B9A" w14:textId="645D2643" w:rsidR="000A0940" w:rsidRDefault="00A4478A">
      <w:pPr>
        <w:pStyle w:val="Ttulo2"/>
        <w:numPr>
          <w:ilvl w:val="0"/>
          <w:numId w:val="13"/>
        </w:numPr>
        <w:ind w:left="1066" w:hanging="357"/>
      </w:pPr>
      <w:bookmarkStart w:id="98" w:name="_Toc165022625"/>
      <w:r>
        <w:t>Argumentos de las partes y de la Comisión</w:t>
      </w:r>
      <w:bookmarkEnd w:id="98"/>
    </w:p>
    <w:p w14:paraId="4F9B66ED" w14:textId="50D3E89E" w:rsidR="003D4F99" w:rsidRPr="00421847" w:rsidRDefault="003D4F99" w:rsidP="0019658A">
      <w:pPr>
        <w:numPr>
          <w:ilvl w:val="0"/>
          <w:numId w:val="7"/>
        </w:numPr>
        <w:tabs>
          <w:tab w:val="left" w:pos="567"/>
          <w:tab w:val="num" w:pos="1569"/>
          <w:tab w:val="num" w:pos="12305"/>
        </w:tabs>
        <w:spacing w:line="240" w:lineRule="auto"/>
        <w:ind w:left="0" w:firstLine="0"/>
        <w:rPr>
          <w:rFonts w:cs="Arial"/>
          <w:bCs/>
          <w:lang w:val="es-ES"/>
        </w:rPr>
      </w:pPr>
      <w:r w:rsidRPr="00421847">
        <w:rPr>
          <w:rFonts w:cs="Arial"/>
          <w:bCs/>
          <w:lang w:val="es-ES"/>
        </w:rPr>
        <w:t xml:space="preserve">La </w:t>
      </w:r>
      <w:r w:rsidRPr="00421847">
        <w:rPr>
          <w:rFonts w:cs="Arial"/>
          <w:b/>
          <w:i/>
          <w:iCs/>
          <w:lang w:val="es-ES"/>
        </w:rPr>
        <w:t>Comisión</w:t>
      </w:r>
      <w:r w:rsidRPr="00421847">
        <w:rPr>
          <w:rFonts w:cs="Arial"/>
          <w:bCs/>
          <w:lang w:val="es-ES"/>
        </w:rPr>
        <w:t xml:space="preserve"> refirió </w:t>
      </w:r>
      <w:r w:rsidRPr="00421847">
        <w:rPr>
          <w:lang w:val="es-CO"/>
        </w:rPr>
        <w:t>que</w:t>
      </w:r>
      <w:r w:rsidR="00421847" w:rsidRPr="00421847">
        <w:rPr>
          <w:lang w:val="es-CO"/>
        </w:rPr>
        <w:t>,</w:t>
      </w:r>
      <w:r w:rsidRPr="00421847">
        <w:rPr>
          <w:lang w:val="es-CO"/>
        </w:rPr>
        <w:t xml:space="preserve"> </w:t>
      </w:r>
      <w:r w:rsidRPr="00421847">
        <w:rPr>
          <w:rFonts w:cs="Arial"/>
          <w:bCs/>
          <w:lang w:val="es-ES"/>
        </w:rPr>
        <w:t>en el caso concreto</w:t>
      </w:r>
      <w:r w:rsidR="00421847" w:rsidRPr="00421847">
        <w:rPr>
          <w:rFonts w:cs="Arial"/>
          <w:bCs/>
          <w:lang w:val="es-ES"/>
        </w:rPr>
        <w:t>,</w:t>
      </w:r>
      <w:r w:rsidRPr="00421847">
        <w:rPr>
          <w:rFonts w:cs="Arial"/>
          <w:bCs/>
          <w:lang w:val="es-ES"/>
        </w:rPr>
        <w:t xml:space="preserve"> no existió una respuesta estatal inmediata y exhaustiva tras el conocimiento de las autoridades de la desaparición de las presuntas víctimas. Al respecto, indicó que el 31 de julio de 1998 el señor Francisco Álvarez presentó un</w:t>
      </w:r>
      <w:r w:rsidR="00421847" w:rsidRPr="00421847">
        <w:rPr>
          <w:rFonts w:cs="Arial"/>
          <w:bCs/>
          <w:lang w:val="es-ES"/>
        </w:rPr>
        <w:t>a solicitud de</w:t>
      </w:r>
      <w:r w:rsidRPr="00421847">
        <w:rPr>
          <w:rFonts w:cs="Arial"/>
          <w:bCs/>
          <w:lang w:val="es-ES"/>
        </w:rPr>
        <w:t xml:space="preserve"> </w:t>
      </w:r>
      <w:r w:rsidRPr="00421847">
        <w:rPr>
          <w:rFonts w:cs="Arial"/>
          <w:bCs/>
          <w:i/>
          <w:iCs/>
          <w:lang w:val="es-ES"/>
        </w:rPr>
        <w:t>habeas corpus</w:t>
      </w:r>
      <w:r w:rsidRPr="00421847">
        <w:rPr>
          <w:rFonts w:cs="Arial"/>
          <w:bCs/>
          <w:lang w:val="es-ES"/>
        </w:rPr>
        <w:t xml:space="preserve"> y expuso las circunstancias de persecución previa por parte de agentes estatales que antecedieron a la desaparición forzada de Patricia Cuéllar Sandoval. No obstante lo anterior, las autoridades competentes no iniciaron “labores activas de búsqueda” ni investigaron sobre el presunto involucramiento de agentes del Estado. Respecto de la investigación penal adelantada por el Estado, la Comisión adujo que las autoridades recogieron testimonios de las familias de las presuntas víctimas, pero no adoptaron medidas tendientes a indagar a más personas ni a obtener nuevas pruebas. En tal sentido, la Comisión adujo que la denuncia presentada el 3 de septiembre de 2003 sobre la desaparición forzada de las presuntas víctimas no ha tenido “avances significativos”. En razón de lo anterior, la Comisión concluyó que no se </w:t>
      </w:r>
      <w:r w:rsidR="00421847" w:rsidRPr="00421847">
        <w:rPr>
          <w:rFonts w:cs="Arial"/>
          <w:bCs/>
          <w:lang w:val="es-ES"/>
        </w:rPr>
        <w:t>desplegaron</w:t>
      </w:r>
      <w:r w:rsidRPr="00421847">
        <w:rPr>
          <w:rFonts w:cs="Arial"/>
          <w:bCs/>
          <w:lang w:val="es-ES"/>
        </w:rPr>
        <w:t xml:space="preserve"> diligencias de investigación que permitan </w:t>
      </w:r>
      <w:r w:rsidRPr="00421847">
        <w:rPr>
          <w:rFonts w:cs="Arial"/>
          <w:bCs/>
          <w:lang w:val="es-ES"/>
        </w:rPr>
        <w:lastRenderedPageBreak/>
        <w:t xml:space="preserve">conocer la verdad de los hechos y sancionar a los </w:t>
      </w:r>
      <w:r w:rsidRPr="003D4F99">
        <w:t>responsables</w:t>
      </w:r>
      <w:r w:rsidRPr="00421847">
        <w:rPr>
          <w:rFonts w:cs="Arial"/>
          <w:bCs/>
          <w:lang w:val="es-ES"/>
        </w:rPr>
        <w:t xml:space="preserve"> lo cual constituye una violación de los derechos a las garantías judiciales y a la protección judicial contenidos en los artículos 8 y 25, en relación con el artículo 1.1 de la Convención Americana. </w:t>
      </w:r>
    </w:p>
    <w:p w14:paraId="17C88172" w14:textId="77777777" w:rsidR="003D4F99" w:rsidRDefault="003D4F99" w:rsidP="003D4F99">
      <w:pPr>
        <w:tabs>
          <w:tab w:val="left" w:pos="567"/>
        </w:tabs>
        <w:spacing w:line="240" w:lineRule="auto"/>
        <w:rPr>
          <w:rFonts w:cs="Arial"/>
          <w:bCs/>
          <w:lang w:val="es-ES"/>
        </w:rPr>
      </w:pPr>
    </w:p>
    <w:p w14:paraId="6DABE5EE" w14:textId="25C89987" w:rsidR="003858C4" w:rsidRPr="00305900" w:rsidRDefault="003858C4" w:rsidP="003858C4">
      <w:pPr>
        <w:numPr>
          <w:ilvl w:val="0"/>
          <w:numId w:val="7"/>
        </w:numPr>
        <w:tabs>
          <w:tab w:val="left" w:pos="567"/>
          <w:tab w:val="num" w:pos="1569"/>
          <w:tab w:val="num" w:pos="12305"/>
        </w:tabs>
        <w:spacing w:line="240" w:lineRule="auto"/>
        <w:ind w:left="0" w:firstLine="0"/>
        <w:rPr>
          <w:rFonts w:cs="Arial"/>
          <w:bCs/>
          <w:lang w:val="es-ES"/>
        </w:rPr>
      </w:pPr>
      <w:r w:rsidRPr="00305900">
        <w:rPr>
          <w:bCs/>
        </w:rPr>
        <w:t xml:space="preserve">El </w:t>
      </w:r>
      <w:r w:rsidRPr="00305900">
        <w:rPr>
          <w:b/>
          <w:i/>
          <w:iCs/>
        </w:rPr>
        <w:t xml:space="preserve">representante </w:t>
      </w:r>
      <w:r w:rsidRPr="00305900">
        <w:rPr>
          <w:bCs/>
        </w:rPr>
        <w:t xml:space="preserve">reiteró lo indicado por la Comisión sobre la obligación de los Estados de conducir investigaciones de oficio en casos de desaparición forzada, “utilizando los </w:t>
      </w:r>
      <w:r>
        <w:rPr>
          <w:bCs/>
        </w:rPr>
        <w:t>recursos</w:t>
      </w:r>
      <w:r w:rsidRPr="00305900">
        <w:rPr>
          <w:bCs/>
        </w:rPr>
        <w:t xml:space="preserve"> logísticos y científicos </w:t>
      </w:r>
      <w:r>
        <w:rPr>
          <w:bCs/>
        </w:rPr>
        <w:t xml:space="preserve">necesarios </w:t>
      </w:r>
      <w:r w:rsidRPr="00305900">
        <w:rPr>
          <w:bCs/>
        </w:rPr>
        <w:t xml:space="preserve">para recabar y procesar las pruebas” que puedan conducir al esclarecimiento sobre la autoría de los hechos. </w:t>
      </w:r>
      <w:r>
        <w:rPr>
          <w:bCs/>
        </w:rPr>
        <w:t xml:space="preserve">Añadió que el Estado no investigó, capturó y sancionó a los responsables de los hechos que dieron origen al presente caso ni efectuó ningún esfuerzo por localizar el paradero de las víctimas. </w:t>
      </w:r>
    </w:p>
    <w:p w14:paraId="52E232EE" w14:textId="77777777" w:rsidR="003D4F99" w:rsidRPr="00305900" w:rsidRDefault="003D4F99" w:rsidP="003D4F99">
      <w:pPr>
        <w:tabs>
          <w:tab w:val="left" w:pos="567"/>
          <w:tab w:val="num" w:pos="12305"/>
        </w:tabs>
        <w:spacing w:line="240" w:lineRule="auto"/>
        <w:rPr>
          <w:rFonts w:cs="Arial"/>
          <w:bCs/>
          <w:lang w:val="es-ES"/>
        </w:rPr>
      </w:pPr>
    </w:p>
    <w:p w14:paraId="5931C418" w14:textId="77777777" w:rsidR="003858C4" w:rsidRPr="00E6207A" w:rsidRDefault="003858C4" w:rsidP="003858C4">
      <w:pPr>
        <w:numPr>
          <w:ilvl w:val="0"/>
          <w:numId w:val="7"/>
        </w:numPr>
        <w:tabs>
          <w:tab w:val="left" w:pos="567"/>
          <w:tab w:val="num" w:pos="1569"/>
          <w:tab w:val="num" w:pos="12305"/>
        </w:tabs>
        <w:spacing w:line="240" w:lineRule="auto"/>
        <w:ind w:left="0" w:firstLine="0"/>
        <w:rPr>
          <w:b/>
        </w:rPr>
      </w:pPr>
      <w:bookmarkStart w:id="99" w:name="_Toc165022626"/>
      <w:r w:rsidRPr="00E6207A">
        <w:rPr>
          <w:bCs/>
        </w:rPr>
        <w:t xml:space="preserve">El </w:t>
      </w:r>
      <w:r w:rsidRPr="00E6207A">
        <w:rPr>
          <w:b/>
          <w:i/>
          <w:iCs/>
        </w:rPr>
        <w:t>Estado</w:t>
      </w:r>
      <w:r w:rsidRPr="00E6207A">
        <w:rPr>
          <w:bCs/>
        </w:rPr>
        <w:t xml:space="preserve"> reconoció que en el presente caso “existió una inactividad en los procesos de </w:t>
      </w:r>
      <w:r w:rsidRPr="003858C4">
        <w:rPr>
          <w:bCs/>
        </w:rPr>
        <w:t>investigación</w:t>
      </w:r>
      <w:r w:rsidRPr="00E6207A">
        <w:rPr>
          <w:bCs/>
        </w:rPr>
        <w:t xml:space="preserve"> sobre los hechos del caso, al haber sido archivados por decisión de las autoridades competentes”. Asimismo señaló que en el presente caso no se “registrar[on] avances efectivos en materia de protección judicial y búsqueda del paradero de las </w:t>
      </w:r>
      <w:r>
        <w:rPr>
          <w:bCs/>
        </w:rPr>
        <w:t>personas afectadas en el caso</w:t>
      </w:r>
      <w:r w:rsidRPr="00E6207A">
        <w:rPr>
          <w:bCs/>
        </w:rPr>
        <w:t xml:space="preserve">”. </w:t>
      </w:r>
      <w:r>
        <w:rPr>
          <w:bCs/>
        </w:rPr>
        <w:t>El</w:t>
      </w:r>
      <w:r w:rsidRPr="00E6207A">
        <w:rPr>
          <w:bCs/>
        </w:rPr>
        <w:t xml:space="preserve"> Estado reconoció que los hechos del presente caso derivaron en una violación de los artículos 8.1 y 25 de la Convención Americana en relación con el artículo 1.1 del mismo instrumento en perjuicio de las presuntas víctimas.</w:t>
      </w:r>
    </w:p>
    <w:p w14:paraId="376F9EF5" w14:textId="32DD7591" w:rsidR="0038027D" w:rsidRDefault="00162338">
      <w:pPr>
        <w:pStyle w:val="Ttulo2"/>
        <w:numPr>
          <w:ilvl w:val="0"/>
          <w:numId w:val="13"/>
        </w:numPr>
      </w:pPr>
      <w:r>
        <w:t>Consideraciones de la Corte</w:t>
      </w:r>
      <w:bookmarkEnd w:id="99"/>
    </w:p>
    <w:p w14:paraId="07C0C0D4" w14:textId="2B2B511B" w:rsidR="008066D5" w:rsidRPr="008066D5" w:rsidRDefault="008066D5" w:rsidP="008066D5">
      <w:pPr>
        <w:pStyle w:val="Ttulo3"/>
        <w:spacing w:before="240" w:after="240"/>
        <w:ind w:left="992"/>
        <w:contextualSpacing w:val="0"/>
        <w:rPr>
          <w:b w:val="0"/>
          <w:bCs/>
          <w:lang w:val="es-ES"/>
        </w:rPr>
      </w:pPr>
      <w:bookmarkStart w:id="100" w:name="_Toc165022627"/>
      <w:r>
        <w:rPr>
          <w:b w:val="0"/>
          <w:bCs/>
          <w:lang w:val="es-ES"/>
        </w:rPr>
        <w:t>B.1. Afectaciones a las garantías judiciales, protección judicial, derecho a la verdad y plazo razonable</w:t>
      </w:r>
      <w:bookmarkEnd w:id="100"/>
    </w:p>
    <w:p w14:paraId="36B620D2" w14:textId="721E48A2" w:rsidR="00B5464E" w:rsidRPr="00465F79" w:rsidRDefault="00B5464E" w:rsidP="00B5464E">
      <w:pPr>
        <w:numPr>
          <w:ilvl w:val="0"/>
          <w:numId w:val="7"/>
        </w:numPr>
        <w:tabs>
          <w:tab w:val="left" w:pos="567"/>
          <w:tab w:val="num" w:pos="1569"/>
          <w:tab w:val="num" w:pos="12305"/>
        </w:tabs>
        <w:spacing w:line="240" w:lineRule="auto"/>
        <w:ind w:left="0" w:firstLine="0"/>
      </w:pPr>
      <w:r w:rsidRPr="00465F79">
        <w:rPr>
          <w:rFonts w:eastAsia="Arial"/>
        </w:rPr>
        <w:t>Esta Corte recuerda que la obligación de investigar las violaciones de derechos humanos es una de las medidas positivas que deben adoptar los Estados para garantizar los derechos reconocidos en la Convención. Así, desde su primera</w:t>
      </w:r>
      <w:r w:rsidR="00444E5F">
        <w:rPr>
          <w:rFonts w:eastAsia="Arial"/>
        </w:rPr>
        <w:t xml:space="preserve"> </w:t>
      </w:r>
      <w:r>
        <w:rPr>
          <w:rFonts w:eastAsia="Arial"/>
        </w:rPr>
        <w:t>Sentencia</w:t>
      </w:r>
      <w:r w:rsidRPr="00465F79">
        <w:rPr>
          <w:rFonts w:eastAsia="Arial"/>
        </w:rPr>
        <w:t xml:space="preserve">, </w:t>
      </w:r>
      <w:r w:rsidRPr="00B5464E">
        <w:t>esta</w:t>
      </w:r>
      <w:r w:rsidRPr="00465F79">
        <w:rPr>
          <w:rFonts w:eastAsia="Arial"/>
        </w:rPr>
        <w:t xml:space="preserve"> Corte ha destacado la importancia del deber estatal de investigar y sancionar este tipo de violaciones</w:t>
      </w:r>
      <w:r w:rsidRPr="00465F79">
        <w:rPr>
          <w:rFonts w:cs="Verdana"/>
          <w:vertAlign w:val="superscript"/>
        </w:rPr>
        <w:footnoteReference w:id="116"/>
      </w:r>
      <w:r w:rsidRPr="00465F79">
        <w:rPr>
          <w:rFonts w:eastAsia="Arial"/>
        </w:rPr>
        <w:t xml:space="preserve">, el cual adquiere </w:t>
      </w:r>
      <w:r w:rsidRPr="00465F79">
        <w:t>especial</w:t>
      </w:r>
      <w:r w:rsidRPr="00465F79">
        <w:rPr>
          <w:rFonts w:eastAsia="Arial"/>
        </w:rPr>
        <w:t xml:space="preserve"> importancia ante la gravedad de los delitos cometidos y la naturaleza de los derechos lesionados</w:t>
      </w:r>
      <w:r w:rsidRPr="00465F79">
        <w:rPr>
          <w:rStyle w:val="Refdenotaalpie"/>
          <w:rFonts w:eastAsia="Arial" w:cs="Arial"/>
          <w:lang w:val="es-CR"/>
        </w:rPr>
        <w:footnoteReference w:id="117"/>
      </w:r>
      <w:r w:rsidRPr="00465F79">
        <w:rPr>
          <w:rFonts w:eastAsia="Arial"/>
        </w:rPr>
        <w:t xml:space="preserve">. </w:t>
      </w:r>
    </w:p>
    <w:p w14:paraId="0415D62F" w14:textId="77777777" w:rsidR="00B5464E" w:rsidRPr="00465F79" w:rsidRDefault="00B5464E" w:rsidP="00B5464E">
      <w:pPr>
        <w:pStyle w:val="PrrafodeSentencia"/>
        <w:rPr>
          <w:lang w:val="es-CR"/>
        </w:rPr>
      </w:pPr>
    </w:p>
    <w:p w14:paraId="54C67DE6" w14:textId="77777777" w:rsidR="00B5464E" w:rsidRPr="00465F79" w:rsidRDefault="00B5464E" w:rsidP="00B5464E">
      <w:pPr>
        <w:numPr>
          <w:ilvl w:val="0"/>
          <w:numId w:val="7"/>
        </w:numPr>
        <w:tabs>
          <w:tab w:val="left" w:pos="567"/>
          <w:tab w:val="num" w:pos="1569"/>
          <w:tab w:val="num" w:pos="12305"/>
        </w:tabs>
        <w:spacing w:line="240" w:lineRule="auto"/>
        <w:ind w:left="0" w:firstLine="0"/>
      </w:pPr>
      <w:r>
        <w:rPr>
          <w:rFonts w:eastAsia="Arial"/>
        </w:rPr>
        <w:t>Además</w:t>
      </w:r>
      <w:r w:rsidRPr="00465F79">
        <w:rPr>
          <w:rFonts w:eastAsia="Arial"/>
        </w:rPr>
        <w:t>, esta Corte ha considerado que, una vez ocurre una desaparición forzada, es necesario que sea efectivamente considerada y tratada como un hecho ilícito que debe tener como consecuencia la imposición de sanciones para quien la cometa, instigue, encubra o para quien haya tenido cualquier otra forma de participación en su ocurrencia</w:t>
      </w:r>
      <w:r w:rsidRPr="00465F79">
        <w:rPr>
          <w:rStyle w:val="Refdenotaalpie"/>
          <w:rFonts w:eastAsia="Arial" w:cs="Arial"/>
          <w:lang w:val="es-CR"/>
        </w:rPr>
        <w:footnoteReference w:id="118"/>
      </w:r>
      <w:r w:rsidRPr="00465F79">
        <w:rPr>
          <w:rFonts w:eastAsia="Arial"/>
        </w:rPr>
        <w:t>.</w:t>
      </w:r>
      <w:r w:rsidRPr="00465F79">
        <w:t xml:space="preserve"> En ese sentido, la Corte ha señalado de manera consistente que el deber de investigar es una obligación de medio y no de resultado, que debe ser asumida por el Estado como un deber jurídico propio y no como una simple formalidad condenada de antemano a ser infructuosa, o como una mera gestión de intereses particulares que dependa de la iniciativa procesal </w:t>
      </w:r>
      <w:r w:rsidRPr="00465F79">
        <w:rPr>
          <w:rFonts w:eastAsia="Arial"/>
        </w:rPr>
        <w:t>de</w:t>
      </w:r>
      <w:r w:rsidRPr="00465F79">
        <w:t xml:space="preserve"> las víctimas o de sus familiares o de la aportación </w:t>
      </w:r>
      <w:r w:rsidRPr="00465F79">
        <w:lastRenderedPageBreak/>
        <w:t>privada de elementos probatorios</w:t>
      </w:r>
      <w:r w:rsidRPr="00465F79">
        <w:rPr>
          <w:vertAlign w:val="superscript"/>
        </w:rPr>
        <w:footnoteReference w:id="119"/>
      </w:r>
      <w:r w:rsidRPr="00465F79">
        <w:t>. Además, la investigación debe ser seria, objetiva y efectiva, y estar orientada a la determinación de la verdad y a la persecución, captura, y eventual enjuiciamiento y castigo de los autores</w:t>
      </w:r>
      <w:r w:rsidRPr="00465F79">
        <w:rPr>
          <w:vertAlign w:val="superscript"/>
        </w:rPr>
        <w:footnoteReference w:id="120"/>
      </w:r>
      <w:r w:rsidRPr="00465F79">
        <w:t>. Asimismo, la debida diligencia exige que el órgano que investiga lleve a cabo todas aquellas actuaciones y averiguaciones necesarias para procurar el resultado que se persigue</w:t>
      </w:r>
      <w:r w:rsidRPr="00465F79">
        <w:rPr>
          <w:vertAlign w:val="superscript"/>
        </w:rPr>
        <w:footnoteReference w:id="121"/>
      </w:r>
      <w:r w:rsidRPr="00465F79">
        <w:t>.</w:t>
      </w:r>
    </w:p>
    <w:p w14:paraId="68D84ED9" w14:textId="77777777" w:rsidR="006760AE" w:rsidRDefault="006760AE" w:rsidP="006760AE">
      <w:pPr>
        <w:tabs>
          <w:tab w:val="left" w:pos="567"/>
        </w:tabs>
        <w:spacing w:line="240" w:lineRule="auto"/>
        <w:rPr>
          <w:lang w:eastAsia="es-MX"/>
        </w:rPr>
      </w:pPr>
    </w:p>
    <w:p w14:paraId="4073D2A0" w14:textId="0FFDFCFA" w:rsidR="00E8294E" w:rsidRDefault="00E8294E" w:rsidP="00E8294E">
      <w:pPr>
        <w:numPr>
          <w:ilvl w:val="0"/>
          <w:numId w:val="7"/>
        </w:numPr>
        <w:tabs>
          <w:tab w:val="left" w:pos="567"/>
          <w:tab w:val="num" w:pos="1569"/>
          <w:tab w:val="num" w:pos="12305"/>
        </w:tabs>
        <w:spacing w:line="240" w:lineRule="auto"/>
        <w:ind w:left="0" w:firstLine="0"/>
        <w:rPr>
          <w:lang w:eastAsia="es-MX"/>
        </w:rPr>
      </w:pPr>
      <w:r w:rsidRPr="00465F79">
        <w:t>En el presente caso, el Estado reconoció que existió “por años” una “inactividad en los procesos de investigación sobre los hechos del caso, al haber sido archivados por decisión de las autoridades competentes, sin que se registraran avances efectivos en materia de protección judicial y búsqueda del paradero de las personas afectadas en el caso”</w:t>
      </w:r>
      <w:r w:rsidRPr="00465F79">
        <w:rPr>
          <w:rStyle w:val="Refdenotaalpie"/>
        </w:rPr>
        <w:footnoteReference w:id="122"/>
      </w:r>
      <w:r w:rsidRPr="00465F79">
        <w:t>. El Tribunal observa, además, que en los primeros meses tras la desaparición de las víctimas, se inició una investigación penal por “secuestro”, en el marco de la cual las únicas diligencias realizadas por el Estado consistieron en la realización de una serie de entrevistas (</w:t>
      </w:r>
      <w:r w:rsidRPr="00465F79">
        <w:rPr>
          <w:i/>
          <w:iCs/>
        </w:rPr>
        <w:t>supra</w:t>
      </w:r>
      <w:r w:rsidRPr="00465F79">
        <w:t xml:space="preserve"> párrs. </w:t>
      </w:r>
      <w:r w:rsidR="00614D58">
        <w:t>52</w:t>
      </w:r>
      <w:r>
        <w:t xml:space="preserve"> a </w:t>
      </w:r>
      <w:r w:rsidR="00614D58">
        <w:t>57</w:t>
      </w:r>
      <w:r w:rsidRPr="00465F79">
        <w:t>). El caso permaneció 3</w:t>
      </w:r>
      <w:r>
        <w:t>4</w:t>
      </w:r>
      <w:r w:rsidRPr="00465F79">
        <w:t xml:space="preserve"> años archivado hasta que en el mes de febrero de 2018 se reactivó el mismo tras la declaratoria de inconstitucionalidad de la Ley de Amnistía para la Consolidación de la Paz</w:t>
      </w:r>
      <w:r w:rsidRPr="00465F79">
        <w:rPr>
          <w:rStyle w:val="Refdenotaalpie"/>
        </w:rPr>
        <w:footnoteReference w:id="123"/>
      </w:r>
      <w:r w:rsidRPr="00465F79">
        <w:t xml:space="preserve">. Según la información aportada ante esta Corte, </w:t>
      </w:r>
      <w:r>
        <w:t>dicho</w:t>
      </w:r>
      <w:r w:rsidRPr="00465F79">
        <w:t xml:space="preserve"> proceso continúa a día de hoy en fase de instrucción. Asimismo, en el año 2003, más de veinte años después de la desaparición de las víctimas, dio inicio una investigación penal por desaparición forzada, a raíz de una denuncia interpuesta por</w:t>
      </w:r>
      <w:r>
        <w:t xml:space="preserve"> </w:t>
      </w:r>
      <w:r w:rsidRPr="00465F79">
        <w:t>el Instituto de Derechos Humanos de la Universidad Centroamericana “José Simeón Cañas” (IDHUCA)</w:t>
      </w:r>
      <w:r w:rsidRPr="00465F79">
        <w:rPr>
          <w:rStyle w:val="Refdenotaalpie"/>
        </w:rPr>
        <w:footnoteReference w:id="124"/>
      </w:r>
      <w:r w:rsidRPr="00465F79">
        <w:t xml:space="preserve">. Esta causa se encuentra, a día de hoy, en una etapa preliminar de investigación, sin que haya habido algún avance sustantivo. </w:t>
      </w:r>
    </w:p>
    <w:p w14:paraId="7CA6461C" w14:textId="77777777" w:rsidR="006760AE" w:rsidRDefault="006760AE" w:rsidP="006760AE">
      <w:pPr>
        <w:tabs>
          <w:tab w:val="left" w:pos="567"/>
        </w:tabs>
        <w:spacing w:line="240" w:lineRule="auto"/>
        <w:rPr>
          <w:lang w:eastAsia="es-MX"/>
        </w:rPr>
      </w:pPr>
    </w:p>
    <w:p w14:paraId="5EC6E29C" w14:textId="1530652E" w:rsidR="00B5464E" w:rsidRDefault="00B5464E" w:rsidP="00B5464E">
      <w:pPr>
        <w:numPr>
          <w:ilvl w:val="0"/>
          <w:numId w:val="7"/>
        </w:numPr>
        <w:tabs>
          <w:tab w:val="left" w:pos="567"/>
          <w:tab w:val="num" w:pos="1569"/>
          <w:tab w:val="num" w:pos="12305"/>
        </w:tabs>
        <w:spacing w:line="240" w:lineRule="auto"/>
        <w:ind w:left="0" w:firstLine="0"/>
        <w:rPr>
          <w:lang w:eastAsia="es-MX"/>
        </w:rPr>
      </w:pPr>
      <w:r w:rsidRPr="00465F79">
        <w:t xml:space="preserve">En </w:t>
      </w:r>
      <w:r>
        <w:t>vista de lo anterior</w:t>
      </w:r>
      <w:r w:rsidRPr="00465F79">
        <w:t>, la Corte concluye que el Estado violó su obligación de realizar con debida diligencia una búsqueda seria, coordinada y sistemática de la</w:t>
      </w:r>
      <w:r w:rsidR="00B73374">
        <w:t>s</w:t>
      </w:r>
      <w:r w:rsidRPr="00465F79">
        <w:t xml:space="preserve"> víctima</w:t>
      </w:r>
      <w:r w:rsidR="00B73374">
        <w:t>s</w:t>
      </w:r>
      <w:r w:rsidRPr="00465F79">
        <w:t>, hasta que se determine con certeza su suerte o el paradero, lo cual constituye, además, una violación del derecho al acceso a la justicia de sus familiares</w:t>
      </w:r>
      <w:r>
        <w:t>.</w:t>
      </w:r>
    </w:p>
    <w:p w14:paraId="34EA5E3F" w14:textId="77777777" w:rsidR="00593241" w:rsidRDefault="00593241" w:rsidP="00593241">
      <w:pPr>
        <w:widowControl/>
        <w:tabs>
          <w:tab w:val="left" w:pos="567"/>
        </w:tabs>
        <w:adjustRightInd/>
        <w:spacing w:line="240" w:lineRule="auto"/>
      </w:pPr>
    </w:p>
    <w:p w14:paraId="4A9613D8" w14:textId="77777777" w:rsidR="00E8294E" w:rsidRPr="000829F2" w:rsidRDefault="00E8294E" w:rsidP="00E8294E">
      <w:pPr>
        <w:widowControl/>
        <w:numPr>
          <w:ilvl w:val="0"/>
          <w:numId w:val="7"/>
        </w:numPr>
        <w:tabs>
          <w:tab w:val="left" w:pos="567"/>
          <w:tab w:val="num" w:pos="1569"/>
          <w:tab w:val="num" w:pos="12305"/>
        </w:tabs>
        <w:adjustRightInd/>
        <w:spacing w:line="240" w:lineRule="auto"/>
        <w:ind w:left="0" w:firstLine="0"/>
      </w:pPr>
      <w:r>
        <w:rPr>
          <w:lang w:eastAsia="es-MX"/>
        </w:rPr>
        <w:t>Adicionalmente, el</w:t>
      </w:r>
      <w:r w:rsidRPr="000829F2">
        <w:t xml:space="preserve"> Tribunal ha señalado que toda persona, incluyendo los familiares de las víctimas de graves violaciones a derechos humanos, tiene el derecho a conocer la verdad</w:t>
      </w:r>
      <w:r w:rsidRPr="000829F2">
        <w:rPr>
          <w:rStyle w:val="Refdenotaalpie"/>
        </w:rPr>
        <w:footnoteReference w:id="125"/>
      </w:r>
      <w:r w:rsidRPr="000829F2">
        <w:t xml:space="preserve">. </w:t>
      </w:r>
      <w:r>
        <w:t>Así</w:t>
      </w:r>
      <w:r w:rsidRPr="000829F2">
        <w:t xml:space="preserve">, la Corte ha destacado a lo largo de su jurisprudencia, la dimensión dual del derecho a la verdad, la cual se concreta en un derecho individual a conocer la verdad para las víctimas y sus familiares, así como en un derecho de la sociedad en su conjunto. En consecuencia, los familiares de las víctimas y la sociedad </w:t>
      </w:r>
      <w:r w:rsidRPr="000829F2">
        <w:lastRenderedPageBreak/>
        <w:t xml:space="preserve">deben ser informados de todo lo sucedido con relación a dichas violaciones. Asimismo, </w:t>
      </w:r>
      <w:r>
        <w:t>el</w:t>
      </w:r>
      <w:r w:rsidRPr="000829F2">
        <w:t xml:space="preserve"> </w:t>
      </w:r>
      <w:r>
        <w:t>Tribunal</w:t>
      </w:r>
      <w:r w:rsidRPr="000829F2">
        <w:t xml:space="preserve"> ha señalado que, en casos de desaparición forzada, es parte del derecho a la verdad el “derecho de los familiares de la víctima de conocer cuál fue el destino de ésta y, en su caso, dónde se encuentran sus restos”</w:t>
      </w:r>
      <w:r w:rsidRPr="000829F2">
        <w:rPr>
          <w:rStyle w:val="Refdenotaalpie"/>
        </w:rPr>
        <w:footnoteReference w:id="126"/>
      </w:r>
      <w:r w:rsidRPr="000829F2">
        <w:t xml:space="preserve">. </w:t>
      </w:r>
    </w:p>
    <w:p w14:paraId="52F9D6BF" w14:textId="77777777" w:rsidR="007B5B88" w:rsidRPr="000829F2" w:rsidRDefault="007B5B88" w:rsidP="007B5B88">
      <w:pPr>
        <w:pStyle w:val="Prrafodelista"/>
        <w:spacing w:line="240" w:lineRule="auto"/>
        <w:ind w:left="0"/>
      </w:pPr>
    </w:p>
    <w:p w14:paraId="3206E6E0" w14:textId="77777777" w:rsidR="00E8294E" w:rsidRPr="000829F2" w:rsidRDefault="00E8294E" w:rsidP="00E8294E">
      <w:pPr>
        <w:widowControl/>
        <w:numPr>
          <w:ilvl w:val="0"/>
          <w:numId w:val="7"/>
        </w:numPr>
        <w:tabs>
          <w:tab w:val="left" w:pos="567"/>
          <w:tab w:val="num" w:pos="1569"/>
          <w:tab w:val="num" w:pos="12305"/>
        </w:tabs>
        <w:adjustRightInd/>
        <w:spacing w:line="240" w:lineRule="auto"/>
        <w:ind w:left="0" w:firstLine="0"/>
      </w:pPr>
      <w:r w:rsidRPr="000829F2">
        <w:t xml:space="preserve">Tal y como lo ha sostenido </w:t>
      </w:r>
      <w:r>
        <w:t>la</w:t>
      </w:r>
      <w:r w:rsidRPr="000829F2">
        <w:t xml:space="preserve"> </w:t>
      </w:r>
      <w:r>
        <w:t>Corte</w:t>
      </w:r>
      <w:r w:rsidRPr="000829F2">
        <w:t>, si bien el derecho a conocer la verdad se ha enmarcado fundamentalmente en el derecho de acceso a la justicia, el mismo no se circunscribe a la verdad procesal o judicial, y lo cierto es que el derecho a la verdad tiene autonomía ya que tiene una naturaleza amplia y su vulneración puede afectar distintos derechos contenidos en la Convención Americana, dependiendo del contexto y circunstancias particulares</w:t>
      </w:r>
      <w:r w:rsidRPr="000829F2">
        <w:rPr>
          <w:rStyle w:val="Refdenotaalpie"/>
        </w:rPr>
        <w:footnoteReference w:id="127"/>
      </w:r>
      <w:r w:rsidRPr="000829F2">
        <w:t xml:space="preserve">, como es el caso de los derechos a las garantías judiciales y a la </w:t>
      </w:r>
      <w:r w:rsidRPr="000829F2">
        <w:rPr>
          <w:lang w:eastAsia="es-MX"/>
        </w:rPr>
        <w:t>protección</w:t>
      </w:r>
      <w:r w:rsidRPr="000829F2">
        <w:t xml:space="preserve"> judicial, reconocidos por los artículos 8 y 25 del tratado</w:t>
      </w:r>
      <w:r w:rsidRPr="000829F2">
        <w:rPr>
          <w:rStyle w:val="Refdenotaalpie"/>
        </w:rPr>
        <w:footnoteReference w:id="128"/>
      </w:r>
      <w:r w:rsidRPr="000829F2">
        <w:t>, o el derecho de acceso a información, tutelado por su artículo 13</w:t>
      </w:r>
      <w:r w:rsidRPr="000829F2">
        <w:rPr>
          <w:rStyle w:val="Refdenotaalpie"/>
        </w:rPr>
        <w:footnoteReference w:id="129"/>
      </w:r>
      <w:r w:rsidRPr="000829F2">
        <w:t xml:space="preserve">. En relación con este último, </w:t>
      </w:r>
      <w:r>
        <w:t>el Tribunal</w:t>
      </w:r>
      <w:r w:rsidRPr="000829F2">
        <w:t xml:space="preserve"> ha señalado que, en contextos de desaparición forzada, el derecho al acceso a la información requiere la participación activa de todas las autoridades involucradas. No basta con que se facilite o se alegue la inexistencia de información para garantizar el derecho de acceso a la información, sino que deben agotarse los esfuerzos para establecer el paradero de la víctima</w:t>
      </w:r>
      <w:r w:rsidRPr="000829F2">
        <w:rPr>
          <w:vertAlign w:val="superscript"/>
        </w:rPr>
        <w:footnoteReference w:id="130"/>
      </w:r>
      <w:r w:rsidRPr="000829F2">
        <w:t xml:space="preserve">. </w:t>
      </w:r>
      <w:r w:rsidRPr="00E7611F">
        <w:rPr>
          <w:rFonts w:cs="Verdana"/>
        </w:rPr>
        <w:t>Por lo anterior, la Corte encuentra que el acceso a la información integra el derecho a conocer la verdad de las víctimas y de la sociedad en su conjunto cuando ocurre una desaparición forzada.</w:t>
      </w:r>
    </w:p>
    <w:p w14:paraId="09D47EAF" w14:textId="77777777" w:rsidR="00BB7211" w:rsidRDefault="00BB7211" w:rsidP="00BB7211">
      <w:pPr>
        <w:widowControl/>
        <w:tabs>
          <w:tab w:val="left" w:pos="567"/>
        </w:tabs>
        <w:adjustRightInd/>
        <w:spacing w:line="240" w:lineRule="auto"/>
      </w:pPr>
    </w:p>
    <w:p w14:paraId="61C1E646" w14:textId="1419C574" w:rsidR="007B5B88" w:rsidRDefault="007B5B88" w:rsidP="007B5B88">
      <w:pPr>
        <w:widowControl/>
        <w:numPr>
          <w:ilvl w:val="0"/>
          <w:numId w:val="7"/>
        </w:numPr>
        <w:tabs>
          <w:tab w:val="left" w:pos="567"/>
          <w:tab w:val="num" w:pos="1569"/>
          <w:tab w:val="num" w:pos="12305"/>
        </w:tabs>
        <w:adjustRightInd/>
        <w:spacing w:line="240" w:lineRule="auto"/>
        <w:ind w:left="0" w:firstLine="0"/>
      </w:pPr>
      <w:r w:rsidRPr="000829F2">
        <w:t>Así, la Corte reitera que el derecho a la verdad incluye también el derecho a ser informados de las diligencias practicadas y de los resultados obtenidos</w:t>
      </w:r>
      <w:r w:rsidRPr="000829F2">
        <w:rPr>
          <w:rStyle w:val="Refdenotaalpie"/>
        </w:rPr>
        <w:footnoteReference w:id="131"/>
      </w:r>
      <w:r w:rsidRPr="000829F2">
        <w:t>, incluida cualquier hipótesis o conclusión que surja, con el mayor nivel de detalle posible y conforme a las especificaciones técnicas y científicas que el tema amerite. Sobre el tema, también el Grupo de Trabajo sobre las Desapariciones Forzadas ha afirmado que el derecho a la verdad en relación con las desapariciones forzadas se refiere, entre otros elementos, “al derecho a conocer los progresos y resultados de una investigación [con relación a] la suerte y el paradero de las personas desaparecidas”, lo que impone al Estado la obligación de “comunicar los resultados de las investigaciones” a los interesados</w:t>
      </w:r>
      <w:r w:rsidRPr="000829F2">
        <w:rPr>
          <w:rStyle w:val="Refdenotaalpie"/>
        </w:rPr>
        <w:footnoteReference w:id="132"/>
      </w:r>
      <w:r w:rsidRPr="000829F2">
        <w:t>.</w:t>
      </w:r>
    </w:p>
    <w:p w14:paraId="2354FC39" w14:textId="77777777" w:rsidR="00593241" w:rsidRDefault="00593241" w:rsidP="00593241">
      <w:pPr>
        <w:widowControl/>
        <w:tabs>
          <w:tab w:val="left" w:pos="567"/>
        </w:tabs>
        <w:adjustRightInd/>
        <w:spacing w:line="240" w:lineRule="auto"/>
      </w:pPr>
    </w:p>
    <w:p w14:paraId="765947A8" w14:textId="77777777" w:rsidR="00E8294E" w:rsidRPr="000829F2" w:rsidRDefault="00E8294E" w:rsidP="00E8294E">
      <w:pPr>
        <w:widowControl/>
        <w:numPr>
          <w:ilvl w:val="0"/>
          <w:numId w:val="7"/>
        </w:numPr>
        <w:tabs>
          <w:tab w:val="left" w:pos="567"/>
          <w:tab w:val="num" w:pos="1569"/>
          <w:tab w:val="num" w:pos="12305"/>
        </w:tabs>
        <w:adjustRightInd/>
        <w:spacing w:line="240" w:lineRule="auto"/>
        <w:ind w:left="0" w:firstLine="0"/>
      </w:pPr>
      <w:r w:rsidRPr="000829F2">
        <w:t>Además, la Corte considera que el cumplimiento del deber de los Estados de investigar y sancionar las graves violaciones a los derechos humanos, como las del presente caso, configura no solo una obligación internacional, sino que provee elementos imprescindibles para consolidar una política integral en materias de derecho a la verdad, acceso a la justicia, medidas efectivas de reparación y garantías de no repetición. Así, los procesos judiciales dirigidos a esclarecer lo sucedido en contextos de violaciones sistemáticas a los derechos humanos pueden propiciar un espacio de denuncia pública y rendición de cuentas por las arbitrariedades cometidas; fomentan la confianza de la sociedad en el régimen de legalidad y en la labor de sus autoridades, legitimando su actuación; permiten procesos de reconciliación social sobre la base del conocimiento de la verdad de lo sucedido y de la dignificación de las víctimas, y, en definitiva, fortalecen la cohesión colectiva y el Estado de derecho</w:t>
      </w:r>
      <w:r w:rsidRPr="000829F2">
        <w:rPr>
          <w:rStyle w:val="Refdenotaalpie"/>
        </w:rPr>
        <w:footnoteReference w:id="133"/>
      </w:r>
      <w:r w:rsidRPr="000829F2">
        <w:t xml:space="preserve">. </w:t>
      </w:r>
    </w:p>
    <w:p w14:paraId="0EF07602" w14:textId="77777777" w:rsidR="00B5464E" w:rsidRPr="00E8294E" w:rsidRDefault="00B5464E" w:rsidP="00B5464E">
      <w:pPr>
        <w:tabs>
          <w:tab w:val="left" w:pos="567"/>
        </w:tabs>
        <w:spacing w:line="240" w:lineRule="auto"/>
      </w:pPr>
    </w:p>
    <w:p w14:paraId="42A92DBA" w14:textId="6177B93A" w:rsidR="00CB55EA" w:rsidRPr="00CB55EA" w:rsidRDefault="007B5B88" w:rsidP="00CB55EA">
      <w:pPr>
        <w:numPr>
          <w:ilvl w:val="0"/>
          <w:numId w:val="7"/>
        </w:numPr>
        <w:tabs>
          <w:tab w:val="left" w:pos="567"/>
          <w:tab w:val="num" w:pos="1569"/>
          <w:tab w:val="num" w:pos="12305"/>
        </w:tabs>
        <w:spacing w:line="240" w:lineRule="auto"/>
        <w:ind w:left="0" w:firstLine="0"/>
        <w:rPr>
          <w:b/>
          <w:bCs/>
          <w:lang w:val="es-ES"/>
        </w:rPr>
      </w:pPr>
      <w:r>
        <w:t>E</w:t>
      </w:r>
      <w:r w:rsidR="00B5464E" w:rsidRPr="00CB55EA">
        <w:t xml:space="preserve">l Tribunal advierte que, transcurridos más de 41 años </w:t>
      </w:r>
      <w:r w:rsidR="00CB55EA" w:rsidRPr="00CB55EA">
        <w:t xml:space="preserve">desde </w:t>
      </w:r>
      <w:r w:rsidR="00B5464E" w:rsidRPr="00CB55EA">
        <w:t>la desaparición forzada de Patricia Emilie Cuéllar Sandoval, Mauricio Cuéllar Cuéllar y Julia Orbelina Pérez</w:t>
      </w:r>
      <w:r w:rsidR="00CB55EA" w:rsidRPr="00CB55EA">
        <w:t>, esta</w:t>
      </w:r>
      <w:r w:rsidR="00B5464E" w:rsidRPr="00CB55EA">
        <w:t xml:space="preserve"> permanece en absoluta impunidad, desconociéndose el paradero de las víctimas o los posibles perpetradores de esta grave violación de derechos humanos.</w:t>
      </w:r>
      <w:r w:rsidR="00CB55EA" w:rsidRPr="00CB55EA">
        <w:t xml:space="preserve"> </w:t>
      </w:r>
      <w:r w:rsidR="00E6207A">
        <w:t>En este sentido</w:t>
      </w:r>
      <w:r w:rsidR="00EA4C4B">
        <w:t>, l</w:t>
      </w:r>
      <w:r w:rsidR="00CB55EA">
        <w:t>a Corte destaca</w:t>
      </w:r>
      <w:r w:rsidR="00CB55EA" w:rsidRPr="00CB55EA">
        <w:t xml:space="preserve"> el hecho de que la señora Patricia Emilie Cuéllar Sandoval fuera defensora de derechos humanos torna esta impunidad en una cuestión particularmente grave, toda vez que posee un efecto no solo individual, sino también colectivo, en la medida en que la sociedad se ve impedida de conocer la verdad sobre la situación de respeto o de violación de los derechos de las personas bajo la jurisdicción de un determinado Estado</w:t>
      </w:r>
      <w:r w:rsidR="00CB55EA" w:rsidRPr="00CB55EA">
        <w:rPr>
          <w:rStyle w:val="Refdenotaalpie"/>
        </w:rPr>
        <w:footnoteReference w:id="134"/>
      </w:r>
      <w:r w:rsidR="00CB55EA" w:rsidRPr="00CB55EA">
        <w:t>.</w:t>
      </w:r>
    </w:p>
    <w:p w14:paraId="0A945843" w14:textId="77777777" w:rsidR="006760AE" w:rsidRPr="006760AE" w:rsidRDefault="006760AE" w:rsidP="006760AE">
      <w:pPr>
        <w:tabs>
          <w:tab w:val="left" w:pos="567"/>
        </w:tabs>
        <w:spacing w:line="240" w:lineRule="auto"/>
        <w:rPr>
          <w:b/>
          <w:bCs/>
        </w:rPr>
      </w:pPr>
    </w:p>
    <w:p w14:paraId="23EE44EB" w14:textId="37170E82" w:rsidR="00B5464E" w:rsidRPr="00CB55EA" w:rsidRDefault="00CB55EA" w:rsidP="00CB55EA">
      <w:pPr>
        <w:numPr>
          <w:ilvl w:val="0"/>
          <w:numId w:val="7"/>
        </w:numPr>
        <w:tabs>
          <w:tab w:val="left" w:pos="567"/>
          <w:tab w:val="num" w:pos="1569"/>
          <w:tab w:val="num" w:pos="12305"/>
        </w:tabs>
        <w:spacing w:line="240" w:lineRule="auto"/>
        <w:ind w:left="0" w:firstLine="0"/>
        <w:rPr>
          <w:b/>
          <w:bCs/>
        </w:rPr>
      </w:pPr>
      <w:r w:rsidRPr="00CB55EA">
        <w:rPr>
          <w:rFonts w:cs="TimesNewRoman,Bold"/>
          <w:bCs/>
        </w:rPr>
        <w:t xml:space="preserve">En </w:t>
      </w:r>
      <w:r>
        <w:rPr>
          <w:rFonts w:cs="TimesNewRoman,Bold"/>
          <w:bCs/>
        </w:rPr>
        <w:t>consecuencia</w:t>
      </w:r>
      <w:r w:rsidRPr="00CB55EA">
        <w:rPr>
          <w:rFonts w:cs="TimesNewRoman,Bold"/>
          <w:bCs/>
        </w:rPr>
        <w:t>, la Corte considera que el Estado también violó el derecho a la verdad y el plazo razonable</w:t>
      </w:r>
      <w:r>
        <w:rPr>
          <w:rFonts w:cs="TimesNewRoman,Bold"/>
          <w:bCs/>
        </w:rPr>
        <w:t xml:space="preserve"> en perjuicio de las víctimas del presente caso</w:t>
      </w:r>
      <w:r w:rsidRPr="00CB55EA">
        <w:rPr>
          <w:rFonts w:cs="TimesNewRoman,Bold"/>
          <w:bCs/>
        </w:rPr>
        <w:t>.</w:t>
      </w:r>
    </w:p>
    <w:p w14:paraId="3843BA29" w14:textId="57C7A2F3" w:rsidR="00162338" w:rsidRPr="00162338" w:rsidRDefault="00162338" w:rsidP="00162338">
      <w:pPr>
        <w:pStyle w:val="Ttulo3"/>
        <w:spacing w:before="240" w:after="240"/>
        <w:ind w:left="992"/>
        <w:contextualSpacing w:val="0"/>
        <w:rPr>
          <w:lang w:val="es-ES"/>
        </w:rPr>
      </w:pPr>
      <w:bookmarkStart w:id="101" w:name="_Toc165022628"/>
      <w:r>
        <w:rPr>
          <w:b w:val="0"/>
          <w:bCs/>
          <w:lang w:val="es-ES"/>
        </w:rPr>
        <w:t>B</w:t>
      </w:r>
      <w:r w:rsidRPr="00465F79">
        <w:rPr>
          <w:b w:val="0"/>
          <w:bCs/>
          <w:lang w:val="es-ES"/>
        </w:rPr>
        <w:t>.</w:t>
      </w:r>
      <w:r>
        <w:rPr>
          <w:b w:val="0"/>
          <w:bCs/>
          <w:lang w:val="es-ES"/>
        </w:rPr>
        <w:t>2.</w:t>
      </w:r>
      <w:r w:rsidRPr="00465F79">
        <w:rPr>
          <w:b w:val="0"/>
          <w:bCs/>
          <w:lang w:val="es-ES"/>
        </w:rPr>
        <w:t xml:space="preserve"> </w:t>
      </w:r>
      <w:r>
        <w:rPr>
          <w:b w:val="0"/>
          <w:bCs/>
          <w:lang w:val="es-ES"/>
        </w:rPr>
        <w:t>Conclusión</w:t>
      </w:r>
      <w:bookmarkEnd w:id="101"/>
      <w:r>
        <w:rPr>
          <w:b w:val="0"/>
          <w:bCs/>
          <w:lang w:val="es-ES"/>
        </w:rPr>
        <w:t xml:space="preserve"> </w:t>
      </w:r>
    </w:p>
    <w:p w14:paraId="6777893F" w14:textId="6A55D8B6" w:rsidR="00C2639A" w:rsidRDefault="00C2639A" w:rsidP="00C2639A">
      <w:pPr>
        <w:numPr>
          <w:ilvl w:val="0"/>
          <w:numId w:val="7"/>
        </w:numPr>
        <w:tabs>
          <w:tab w:val="left" w:pos="567"/>
          <w:tab w:val="num" w:pos="1569"/>
          <w:tab w:val="num" w:pos="12305"/>
        </w:tabs>
        <w:spacing w:line="240" w:lineRule="auto"/>
        <w:ind w:left="0" w:firstLine="0"/>
      </w:pPr>
      <w:bookmarkStart w:id="102" w:name="_Ref469938982"/>
      <w:bookmarkStart w:id="103" w:name="_Ref479272978"/>
      <w:r w:rsidRPr="00465F79">
        <w:t xml:space="preserve">Por lo anterior, la Corte concluye que el Estado es responsable de la violación de los artículos 8.1 y 25.1 de la Convención, en relación con el artículo 1.1 del mismo instrumento en perjuicio </w:t>
      </w:r>
      <w:r w:rsidR="00137439" w:rsidRPr="00465F79">
        <w:t>de Patricia Emilie Cuéllar Sandoval, Mauricio Cuéllar Cuéllar</w:t>
      </w:r>
      <w:r w:rsidR="002859C9">
        <w:t xml:space="preserve"> y Julia Orbelina Pérez, así como en perjuicio de</w:t>
      </w:r>
      <w:r w:rsidR="00137439" w:rsidRPr="00465F79">
        <w:t xml:space="preserve"> </w:t>
      </w:r>
      <w:bookmarkEnd w:id="102"/>
      <w:r w:rsidR="00137439" w:rsidRPr="00465F79">
        <w:t xml:space="preserve">sus familiares </w:t>
      </w:r>
      <w:r w:rsidR="00137439" w:rsidRPr="00465F79">
        <w:rPr>
          <w:lang w:eastAsia="es-ES_tradnl"/>
        </w:rPr>
        <w:t xml:space="preserve">Maite María Álvarez Cuéllar, </w:t>
      </w:r>
      <w:r w:rsidR="00137439" w:rsidRPr="00465F79">
        <w:rPr>
          <w:lang w:eastAsia="es-ES_tradnl"/>
        </w:rPr>
        <w:lastRenderedPageBreak/>
        <w:t>Javier Ernesto Álvarez Cuéllar, Ana Gabriela Álvarez Cuéllar, Francisco</w:t>
      </w:r>
      <w:r w:rsidR="00495015">
        <w:rPr>
          <w:lang w:eastAsia="es-ES_tradnl"/>
        </w:rPr>
        <w:t xml:space="preserve"> Alfredo</w:t>
      </w:r>
      <w:r w:rsidR="00137439" w:rsidRPr="00465F79">
        <w:rPr>
          <w:lang w:eastAsia="es-ES_tradnl"/>
        </w:rPr>
        <w:t xml:space="preserve"> Álvarez Solís, María Consuelo Cuéllar Cuéllar, </w:t>
      </w:r>
      <w:r w:rsidR="00712C1C">
        <w:rPr>
          <w:lang w:eastAsia="es-ES_tradnl"/>
        </w:rPr>
        <w:t xml:space="preserve">Leon </w:t>
      </w:r>
      <w:r w:rsidR="00137439" w:rsidRPr="00465F79">
        <w:rPr>
          <w:lang w:eastAsia="es-ES_tradnl"/>
        </w:rPr>
        <w:t>Enrique Cuéllar Cuéllar, Mauricio Cuéllar Sandoval, Ana</w:t>
      </w:r>
      <w:r w:rsidR="00444E5F">
        <w:rPr>
          <w:lang w:eastAsia="es-ES_tradnl"/>
        </w:rPr>
        <w:t xml:space="preserve"> </w:t>
      </w:r>
      <w:r w:rsidR="00F01B69">
        <w:rPr>
          <w:lang w:eastAsia="es-ES_tradnl"/>
        </w:rPr>
        <w:t>Gladis</w:t>
      </w:r>
      <w:r w:rsidR="00137439" w:rsidRPr="00465F79">
        <w:rPr>
          <w:lang w:eastAsia="es-ES_tradnl"/>
        </w:rPr>
        <w:t xml:space="preserve"> </w:t>
      </w:r>
      <w:r w:rsidR="000B7B3C">
        <w:rPr>
          <w:lang w:eastAsia="es-ES_tradnl"/>
        </w:rPr>
        <w:t>Pérez de Castro</w:t>
      </w:r>
      <w:r w:rsidR="00137439" w:rsidRPr="00465F79">
        <w:rPr>
          <w:lang w:eastAsia="es-ES_tradnl"/>
        </w:rPr>
        <w:t xml:space="preserve"> y Teresa Pérez de Ramos</w:t>
      </w:r>
      <w:r w:rsidRPr="00465F79">
        <w:t>.</w:t>
      </w:r>
      <w:bookmarkEnd w:id="103"/>
    </w:p>
    <w:p w14:paraId="30B6DA73" w14:textId="77777777" w:rsidR="004C406C" w:rsidRDefault="004C406C" w:rsidP="002859C9">
      <w:pPr>
        <w:tabs>
          <w:tab w:val="left" w:pos="567"/>
        </w:tabs>
        <w:spacing w:line="240" w:lineRule="auto"/>
      </w:pPr>
    </w:p>
    <w:p w14:paraId="77D1D906" w14:textId="1E9A4547" w:rsidR="00E7611F" w:rsidRPr="00465F79" w:rsidRDefault="00E7611F" w:rsidP="00BB7211">
      <w:pPr>
        <w:numPr>
          <w:ilvl w:val="0"/>
          <w:numId w:val="7"/>
        </w:numPr>
        <w:tabs>
          <w:tab w:val="left" w:pos="567"/>
          <w:tab w:val="num" w:pos="1569"/>
          <w:tab w:val="num" w:pos="12305"/>
        </w:tabs>
        <w:spacing w:line="240" w:lineRule="auto"/>
        <w:ind w:left="0" w:firstLine="0"/>
      </w:pPr>
      <w:r w:rsidRPr="000829F2">
        <w:t xml:space="preserve">Además, </w:t>
      </w:r>
      <w:r w:rsidR="00A01AEA">
        <w:t xml:space="preserve">en aplicación del principio </w:t>
      </w:r>
      <w:r w:rsidR="00A01AEA" w:rsidRPr="00A01AEA">
        <w:rPr>
          <w:i/>
          <w:iCs/>
        </w:rPr>
        <w:t>iura novit curia</w:t>
      </w:r>
      <w:r w:rsidR="00A01AEA">
        <w:t xml:space="preserve">, </w:t>
      </w:r>
      <w:r w:rsidRPr="000829F2">
        <w:t xml:space="preserve">la Corte concluye que el Estado violó el derecho a conocer la verdad, con base en la </w:t>
      </w:r>
      <w:r w:rsidRPr="00BB7211">
        <w:rPr>
          <w:rFonts w:cs="TimesNewRoman,Bold"/>
          <w:bCs/>
        </w:rPr>
        <w:t>vulneración</w:t>
      </w:r>
      <w:r w:rsidRPr="000829F2">
        <w:t xml:space="preserve"> de los artículos 8.1, 13.1 y 25.1 de la Convención Americana, en relación con su artículo 1.1 </w:t>
      </w:r>
      <w:r w:rsidR="00E8294E">
        <w:t>del mismo instrumento</w:t>
      </w:r>
      <w:r>
        <w:t>,</w:t>
      </w:r>
      <w:r w:rsidRPr="000829F2">
        <w:t xml:space="preserve"> en perjuicio de los familiares </w:t>
      </w:r>
      <w:r>
        <w:t xml:space="preserve">de </w:t>
      </w:r>
      <w:r w:rsidR="002859C9" w:rsidRPr="00465F79">
        <w:t>Patricia Emilie Cuéllar Sandoval, Mauricio Cuéllar Cuéllar</w:t>
      </w:r>
      <w:r w:rsidR="002859C9">
        <w:t xml:space="preserve"> y Julia Orbelina Pérez</w:t>
      </w:r>
      <w:r w:rsidR="002859C9" w:rsidRPr="000829F2">
        <w:t xml:space="preserve"> </w:t>
      </w:r>
      <w:r w:rsidRPr="000829F2">
        <w:t xml:space="preserve">nombrados en el párrafo anterior. </w:t>
      </w:r>
    </w:p>
    <w:p w14:paraId="6FD91A37" w14:textId="4CB2D748" w:rsidR="00C2639A" w:rsidRPr="00465F79" w:rsidRDefault="00C2639A" w:rsidP="00465F79">
      <w:pPr>
        <w:pStyle w:val="Ttulo1"/>
      </w:pPr>
      <w:bookmarkStart w:id="104" w:name="_Toc77250305"/>
      <w:bookmarkStart w:id="105" w:name="_Toc77250417"/>
      <w:bookmarkStart w:id="106" w:name="_Toc77250491"/>
      <w:bookmarkStart w:id="107" w:name="_Toc78986522"/>
      <w:bookmarkStart w:id="108" w:name="_Toc165022629"/>
      <w:r w:rsidRPr="00465F79">
        <w:rPr>
          <w:rStyle w:val="None"/>
          <w:caps/>
          <w:lang w:val="es-CR"/>
        </w:rPr>
        <w:t>VII-3</w:t>
      </w:r>
      <w:r w:rsidRPr="00465F79">
        <w:rPr>
          <w:rStyle w:val="None"/>
          <w:caps/>
          <w:lang w:val="es-CR"/>
        </w:rPr>
        <w:br/>
      </w:r>
      <w:bookmarkStart w:id="109" w:name="_Toc424834031"/>
      <w:bookmarkStart w:id="110" w:name="_Toc424834715"/>
      <w:bookmarkStart w:id="111" w:name="_Toc424834769"/>
      <w:bookmarkStart w:id="112" w:name="_Toc427234560"/>
      <w:bookmarkStart w:id="113" w:name="_Toc427342849"/>
      <w:bookmarkStart w:id="114" w:name="_Toc427663835"/>
      <w:bookmarkStart w:id="115" w:name="_Toc427932811"/>
      <w:bookmarkStart w:id="116" w:name="_Toc427943768"/>
      <w:bookmarkStart w:id="117" w:name="_Toc431584660"/>
      <w:bookmarkStart w:id="118" w:name="_Toc431584776"/>
      <w:bookmarkStart w:id="119" w:name="_Toc431585082"/>
      <w:bookmarkStart w:id="120" w:name="_Toc431646599"/>
      <w:bookmarkStart w:id="121" w:name="_Toc431834678"/>
      <w:bookmarkStart w:id="122" w:name="_Toc308538203"/>
      <w:bookmarkStart w:id="123" w:name="_Toc434849970"/>
      <w:bookmarkStart w:id="124" w:name="_Toc434850449"/>
      <w:bookmarkStart w:id="125" w:name="_Toc469594587"/>
      <w:bookmarkStart w:id="126" w:name="_Toc469594953"/>
      <w:bookmarkStart w:id="127" w:name="_Toc469664533"/>
      <w:bookmarkStart w:id="128" w:name="_Toc479618077"/>
      <w:bookmarkStart w:id="129" w:name="_Toc480194719"/>
      <w:bookmarkStart w:id="130" w:name="_Toc41291433"/>
      <w:bookmarkStart w:id="131" w:name="_Toc41291470"/>
      <w:bookmarkStart w:id="132" w:name="_Toc41476772"/>
      <w:r w:rsidRPr="00465F79">
        <w:t>DERECHO A LA INTEGRIDAD PERSONAL</w:t>
      </w:r>
      <w:r w:rsidR="00137439" w:rsidRPr="00465F79">
        <w:t xml:space="preserve">, PROTECCIÓN A LA FAMILIA Y DERECHOS </w:t>
      </w:r>
      <w:r w:rsidR="008066D5">
        <w:t>DE LA NIÑEZ</w:t>
      </w:r>
      <w:r w:rsidRPr="00465F79">
        <w:t xml:space="preserve"> </w:t>
      </w:r>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r w:rsidRPr="00465F79">
        <w:t xml:space="preserve">DE LOS FAMILIARES </w:t>
      </w:r>
      <w:bookmarkEnd w:id="104"/>
      <w:bookmarkEnd w:id="105"/>
      <w:bookmarkEnd w:id="106"/>
      <w:bookmarkEnd w:id="125"/>
      <w:bookmarkEnd w:id="126"/>
      <w:bookmarkEnd w:id="127"/>
      <w:bookmarkEnd w:id="128"/>
      <w:bookmarkEnd w:id="129"/>
      <w:bookmarkEnd w:id="130"/>
      <w:bookmarkEnd w:id="131"/>
      <w:bookmarkEnd w:id="132"/>
      <w:r w:rsidR="00465F79">
        <w:t>DE PATRICIA EMILIE CUÉLLAR SANDOVAL, MAURICIO CUÉLLAR CUÉLLAR Y JULIA ORBELINA PÉREZ</w:t>
      </w:r>
      <w:r w:rsidRPr="00465F79">
        <w:rPr>
          <w:rStyle w:val="Refdenotaalpie"/>
          <w:rFonts w:eastAsia="Batang"/>
          <w:caps/>
          <w:lang w:val="es-CR"/>
        </w:rPr>
        <w:footnoteReference w:id="135"/>
      </w:r>
      <w:bookmarkEnd w:id="107"/>
      <w:bookmarkEnd w:id="108"/>
    </w:p>
    <w:p w14:paraId="2C12EF00" w14:textId="75B19EC7" w:rsidR="008066D5" w:rsidRDefault="008066D5">
      <w:pPr>
        <w:pStyle w:val="Ttulo2"/>
        <w:numPr>
          <w:ilvl w:val="0"/>
          <w:numId w:val="21"/>
        </w:numPr>
      </w:pPr>
      <w:bookmarkStart w:id="133" w:name="_Toc165022630"/>
      <w:bookmarkStart w:id="134" w:name="_Toc434850451"/>
      <w:bookmarkStart w:id="135" w:name="_Toc431584662"/>
      <w:bookmarkStart w:id="136" w:name="_Toc427932813"/>
      <w:bookmarkStart w:id="137" w:name="_Toc469594956"/>
      <w:bookmarkStart w:id="138" w:name="_Toc480194721"/>
      <w:bookmarkStart w:id="139" w:name="_Toc77250307"/>
      <w:bookmarkStart w:id="140" w:name="_Toc77250419"/>
      <w:bookmarkStart w:id="141" w:name="_Toc77250493"/>
      <w:bookmarkStart w:id="142" w:name="_Toc78986523"/>
      <w:bookmarkStart w:id="143" w:name="_Toc424834771"/>
      <w:bookmarkStart w:id="144" w:name="_Toc424834717"/>
      <w:r>
        <w:t>Argumentos de las partes y de la Comisión</w:t>
      </w:r>
      <w:bookmarkEnd w:id="133"/>
    </w:p>
    <w:p w14:paraId="46178DCB" w14:textId="10E4AF31" w:rsidR="003D4F99" w:rsidRPr="00E6207A" w:rsidRDefault="003D4F99" w:rsidP="0077165B">
      <w:pPr>
        <w:numPr>
          <w:ilvl w:val="0"/>
          <w:numId w:val="7"/>
        </w:numPr>
        <w:tabs>
          <w:tab w:val="left" w:pos="567"/>
          <w:tab w:val="num" w:pos="1569"/>
          <w:tab w:val="num" w:pos="12305"/>
        </w:tabs>
        <w:autoSpaceDE w:val="0"/>
        <w:autoSpaceDN w:val="0"/>
        <w:spacing w:line="240" w:lineRule="auto"/>
        <w:ind w:left="0" w:firstLine="0"/>
        <w:rPr>
          <w:b/>
          <w:lang w:val="es-CO"/>
        </w:rPr>
      </w:pPr>
      <w:r w:rsidRPr="00E6207A">
        <w:rPr>
          <w:bCs/>
          <w:lang w:val="es-CO"/>
        </w:rPr>
        <w:t xml:space="preserve">La </w:t>
      </w:r>
      <w:r w:rsidRPr="00E6207A">
        <w:rPr>
          <w:b/>
          <w:i/>
          <w:iCs/>
          <w:lang w:val="es-CO"/>
        </w:rPr>
        <w:t>Comisión</w:t>
      </w:r>
      <w:r w:rsidRPr="00E6207A">
        <w:rPr>
          <w:bCs/>
          <w:lang w:val="es-CO"/>
        </w:rPr>
        <w:t xml:space="preserve"> señaló que los familiares de las presuntas víctimas pueden verse afectados en su integridad psíquica y moral como consecuencia de las situaciones </w:t>
      </w:r>
      <w:r w:rsidRPr="003D4F99">
        <w:t>particulares</w:t>
      </w:r>
      <w:r w:rsidRPr="00E6207A">
        <w:rPr>
          <w:bCs/>
          <w:lang w:val="es-CO"/>
        </w:rPr>
        <w:t xml:space="preserve"> que padecieron sus seres queridos. Asimismo</w:t>
      </w:r>
      <w:r w:rsidR="00B73374">
        <w:rPr>
          <w:bCs/>
          <w:lang w:val="es-CO"/>
        </w:rPr>
        <w:t>,</w:t>
      </w:r>
      <w:r w:rsidRPr="00E6207A">
        <w:rPr>
          <w:bCs/>
          <w:lang w:val="es-CO"/>
        </w:rPr>
        <w:t xml:space="preserve"> indicó que</w:t>
      </w:r>
      <w:r w:rsidR="00E6207A" w:rsidRPr="00E6207A">
        <w:rPr>
          <w:bCs/>
          <w:lang w:val="es-CO"/>
        </w:rPr>
        <w:t>,</w:t>
      </w:r>
      <w:r w:rsidRPr="00E6207A">
        <w:rPr>
          <w:bCs/>
          <w:lang w:val="es-CO"/>
        </w:rPr>
        <w:t xml:space="preserve"> casos de desaparición forzada</w:t>
      </w:r>
      <w:r w:rsidR="00E6207A" w:rsidRPr="00E6207A">
        <w:rPr>
          <w:bCs/>
          <w:lang w:val="es-CO"/>
        </w:rPr>
        <w:t>,</w:t>
      </w:r>
      <w:r w:rsidRPr="00E6207A">
        <w:rPr>
          <w:bCs/>
          <w:lang w:val="es-CO"/>
        </w:rPr>
        <w:t xml:space="preserve"> se presume que el “sufrimiento derivado de la incertidumbre del paradero de la persona desaparecida” así como al “temor por el riesgo que corre” la “vida e integridad personal” de sus familiares desaparecidos. </w:t>
      </w:r>
      <w:r w:rsidR="002214E1" w:rsidRPr="002214E1">
        <w:rPr>
          <w:bCs/>
          <w:lang w:val="es-CO"/>
        </w:rPr>
        <w:t>S</w:t>
      </w:r>
      <w:r w:rsidRPr="002214E1">
        <w:rPr>
          <w:bCs/>
          <w:lang w:val="es-CO"/>
        </w:rPr>
        <w:t>obre</w:t>
      </w:r>
      <w:r w:rsidRPr="00E6207A">
        <w:rPr>
          <w:bCs/>
          <w:lang w:val="es-CO"/>
        </w:rPr>
        <w:t xml:space="preserve"> la base de lo anterior solicitó a la Corte que declarara la responsabilidad del Estado por la violación del derecho a la integridad personal previsto en el artículo 5 en relación con el artículo 1.1 de la Convención Americana, en perjuicio de los familiares de las presuntas víctimas. </w:t>
      </w:r>
    </w:p>
    <w:p w14:paraId="10A77659" w14:textId="77777777" w:rsidR="003D4F99" w:rsidRDefault="003D4F99" w:rsidP="003D4F99">
      <w:pPr>
        <w:tabs>
          <w:tab w:val="left" w:pos="567"/>
          <w:tab w:val="num" w:pos="12305"/>
        </w:tabs>
        <w:spacing w:line="240" w:lineRule="auto"/>
        <w:rPr>
          <w:bCs/>
        </w:rPr>
      </w:pPr>
    </w:p>
    <w:p w14:paraId="0373E065" w14:textId="3021A8B1" w:rsidR="003D4F99" w:rsidRPr="006D10E8" w:rsidRDefault="003D4F99" w:rsidP="003D4F99">
      <w:pPr>
        <w:numPr>
          <w:ilvl w:val="0"/>
          <w:numId w:val="7"/>
        </w:numPr>
        <w:tabs>
          <w:tab w:val="left" w:pos="567"/>
          <w:tab w:val="num" w:pos="1569"/>
          <w:tab w:val="num" w:pos="12305"/>
        </w:tabs>
        <w:spacing w:line="240" w:lineRule="auto"/>
        <w:ind w:left="0" w:firstLine="0"/>
        <w:rPr>
          <w:b/>
        </w:rPr>
      </w:pPr>
      <w:r w:rsidRPr="007D48D7">
        <w:rPr>
          <w:bCs/>
        </w:rPr>
        <w:t xml:space="preserve">El </w:t>
      </w:r>
      <w:r w:rsidRPr="007D48D7">
        <w:rPr>
          <w:b/>
          <w:i/>
          <w:iCs/>
        </w:rPr>
        <w:t>representante</w:t>
      </w:r>
      <w:r w:rsidRPr="007D48D7">
        <w:rPr>
          <w:bCs/>
        </w:rPr>
        <w:t xml:space="preserve"> </w:t>
      </w:r>
      <w:r>
        <w:rPr>
          <w:bCs/>
        </w:rPr>
        <w:t xml:space="preserve">señaló que los familiares de las presuntas víctimas “padecieron serias afectaciones derivadas de la desaparición forzada de sus madres” y que, además, han experimentado “grandes sufrimientos que impactaron en sus proyectos de vida”. </w:t>
      </w:r>
    </w:p>
    <w:p w14:paraId="0F742EAD" w14:textId="77777777" w:rsidR="003D4F99" w:rsidRPr="00DF7DD2" w:rsidRDefault="003D4F99" w:rsidP="003D4F99">
      <w:pPr>
        <w:autoSpaceDE w:val="0"/>
        <w:autoSpaceDN w:val="0"/>
        <w:spacing w:line="240" w:lineRule="auto"/>
        <w:rPr>
          <w:bCs/>
          <w:highlight w:val="yellow"/>
        </w:rPr>
      </w:pPr>
    </w:p>
    <w:p w14:paraId="18F911AF" w14:textId="01283A62" w:rsidR="008066D5" w:rsidRPr="003D4F99" w:rsidRDefault="003D4F99" w:rsidP="008066D5">
      <w:pPr>
        <w:numPr>
          <w:ilvl w:val="0"/>
          <w:numId w:val="7"/>
        </w:numPr>
        <w:tabs>
          <w:tab w:val="left" w:pos="567"/>
          <w:tab w:val="num" w:pos="1569"/>
          <w:tab w:val="num" w:pos="12305"/>
        </w:tabs>
        <w:spacing w:line="240" w:lineRule="auto"/>
        <w:ind w:left="0" w:firstLine="0"/>
        <w:rPr>
          <w:bCs/>
        </w:rPr>
      </w:pPr>
      <w:r w:rsidRPr="006D2F62">
        <w:rPr>
          <w:bCs/>
        </w:rPr>
        <w:t xml:space="preserve">El </w:t>
      </w:r>
      <w:r w:rsidRPr="006D2F62">
        <w:rPr>
          <w:b/>
          <w:i/>
          <w:iCs/>
        </w:rPr>
        <w:t xml:space="preserve">Estado </w:t>
      </w:r>
      <w:r>
        <w:rPr>
          <w:bCs/>
        </w:rPr>
        <w:t xml:space="preserve">indicó que, con base en la jurisprudencia de la Corte en la materia, los familiares de las víctimas pueden considerarse “víctimas indirectas” siempre </w:t>
      </w:r>
      <w:r w:rsidRPr="003D4F99">
        <w:t>que</w:t>
      </w:r>
      <w:r>
        <w:rPr>
          <w:bCs/>
        </w:rPr>
        <w:t xml:space="preserve"> la Corte acreditara la existencia de un vínculo estrecho entre las personas identificadas por la Comisión como ”familiares” y las presuntas víctimas. En el marco de la Audiencia Pública del caso el Estado efectuó un reconocimiento de responsabilidad respecto de la violación del artículo 5 en relación con el artículo 1.1 de la Convención Americana, en perjuicio de los familiares de las presuntas víctimas. </w:t>
      </w:r>
      <w:r w:rsidR="00E6207A">
        <w:rPr>
          <w:bCs/>
        </w:rPr>
        <w:t>Lo anterior fue reiterado en sus alegatos finales escritos.</w:t>
      </w:r>
      <w:r w:rsidR="00ED1B1A">
        <w:rPr>
          <w:bCs/>
        </w:rPr>
        <w:t xml:space="preserve"> </w:t>
      </w:r>
    </w:p>
    <w:p w14:paraId="142620C2" w14:textId="004D2F0E" w:rsidR="00C2639A" w:rsidRDefault="00C2639A">
      <w:pPr>
        <w:pStyle w:val="Ttulo2"/>
        <w:numPr>
          <w:ilvl w:val="0"/>
          <w:numId w:val="21"/>
        </w:numPr>
      </w:pPr>
      <w:bookmarkStart w:id="145" w:name="_Toc165022631"/>
      <w:r w:rsidRPr="00465F79">
        <w:t>Consideraciones de la Corte</w:t>
      </w:r>
      <w:bookmarkEnd w:id="134"/>
      <w:bookmarkEnd w:id="135"/>
      <w:bookmarkEnd w:id="136"/>
      <w:bookmarkEnd w:id="137"/>
      <w:bookmarkEnd w:id="138"/>
      <w:bookmarkEnd w:id="139"/>
      <w:bookmarkEnd w:id="140"/>
      <w:bookmarkEnd w:id="141"/>
      <w:bookmarkEnd w:id="142"/>
      <w:bookmarkEnd w:id="145"/>
      <w:r w:rsidRPr="00465F79">
        <w:t xml:space="preserve"> </w:t>
      </w:r>
      <w:bookmarkEnd w:id="143"/>
      <w:bookmarkEnd w:id="144"/>
    </w:p>
    <w:p w14:paraId="4CD81963" w14:textId="159D9EC4" w:rsidR="008066D5" w:rsidRPr="000A57C6" w:rsidRDefault="008066D5" w:rsidP="000A57C6">
      <w:pPr>
        <w:pStyle w:val="Ttulo3"/>
        <w:spacing w:before="240" w:after="240"/>
        <w:ind w:left="992"/>
        <w:contextualSpacing w:val="0"/>
        <w:rPr>
          <w:b w:val="0"/>
          <w:bCs/>
          <w:lang w:val="es-ES"/>
        </w:rPr>
      </w:pPr>
      <w:bookmarkStart w:id="146" w:name="_Toc165022632"/>
      <w:r>
        <w:rPr>
          <w:b w:val="0"/>
          <w:bCs/>
          <w:lang w:val="es-ES"/>
        </w:rPr>
        <w:t>B.1. Afectaciones a la integridad personal, protección a la familia y derechos de la niñez</w:t>
      </w:r>
      <w:bookmarkEnd w:id="146"/>
    </w:p>
    <w:p w14:paraId="59A3A19C" w14:textId="77777777" w:rsidR="0006149F" w:rsidRPr="00465F79" w:rsidRDefault="0006149F" w:rsidP="0006149F">
      <w:pPr>
        <w:numPr>
          <w:ilvl w:val="0"/>
          <w:numId w:val="7"/>
        </w:numPr>
        <w:tabs>
          <w:tab w:val="left" w:pos="567"/>
          <w:tab w:val="num" w:pos="1569"/>
          <w:tab w:val="num" w:pos="12305"/>
        </w:tabs>
        <w:spacing w:line="240" w:lineRule="auto"/>
        <w:ind w:left="0" w:firstLine="0"/>
      </w:pPr>
      <w:bookmarkStart w:id="147" w:name="_Ref469934433"/>
      <w:r w:rsidRPr="00465F79">
        <w:t xml:space="preserve">Este Tribunal ha considerado de forma reiterada que en casos que involucran la desaparición forzada de personas, es posible entender que la violación del derecho a la </w:t>
      </w:r>
      <w:r w:rsidRPr="00465F79">
        <w:lastRenderedPageBreak/>
        <w:t xml:space="preserve">integridad psíquica y moral de los familiares de la víctima, es una consecuencia directa de ese fenómeno, el cual les causa un severo sufrimiento por el hecho mismo y se acrecienta, entre otros factores, por la constante negativa de las autoridades estatales de proporcionar información sobre el paradero de la víctima o de realizar una investigación eficaz para lograr el esclarecimiento de lo sucedido. Estas afectaciones hacen presumir un daño a la integridad psíquica y moral de los familiares. En casos anteriores, la Corte ha establecido que dicha presunción se establece </w:t>
      </w:r>
      <w:r w:rsidRPr="00465F79">
        <w:rPr>
          <w:i/>
        </w:rPr>
        <w:t xml:space="preserve">juris tantum </w:t>
      </w:r>
      <w:r w:rsidRPr="00465F79">
        <w:t>respecto de madres y padres, hijas e hijos, cónyuges, compañeros y compañeras permanentes, hermanos y hermanas, siempre que corresponda a las circunstancias particulares del caso</w:t>
      </w:r>
      <w:r w:rsidRPr="00465F79">
        <w:rPr>
          <w:vertAlign w:val="superscript"/>
        </w:rPr>
        <w:footnoteReference w:id="136"/>
      </w:r>
      <w:r w:rsidRPr="00465F79">
        <w:t xml:space="preserve">. </w:t>
      </w:r>
      <w:bookmarkEnd w:id="147"/>
    </w:p>
    <w:p w14:paraId="6ACAEA28" w14:textId="77777777" w:rsidR="00A12976" w:rsidRDefault="00A12976" w:rsidP="00A12976">
      <w:pPr>
        <w:tabs>
          <w:tab w:val="left" w:pos="567"/>
        </w:tabs>
        <w:spacing w:line="240" w:lineRule="auto"/>
        <w:rPr>
          <w:lang w:eastAsia="es-MX"/>
        </w:rPr>
      </w:pPr>
    </w:p>
    <w:p w14:paraId="5B871C46" w14:textId="59068937" w:rsidR="00C04EBD" w:rsidRPr="00465F79" w:rsidRDefault="00C2639A" w:rsidP="001E55B2">
      <w:pPr>
        <w:numPr>
          <w:ilvl w:val="0"/>
          <w:numId w:val="7"/>
        </w:numPr>
        <w:tabs>
          <w:tab w:val="left" w:pos="567"/>
          <w:tab w:val="num" w:pos="1569"/>
          <w:tab w:val="num" w:pos="12305"/>
        </w:tabs>
        <w:spacing w:line="240" w:lineRule="auto"/>
        <w:ind w:left="0" w:firstLine="0"/>
        <w:rPr>
          <w:lang w:eastAsia="es-MX"/>
        </w:rPr>
      </w:pPr>
      <w:r w:rsidRPr="00465F79">
        <w:t>En e</w:t>
      </w:r>
      <w:r w:rsidR="00C04EBD" w:rsidRPr="00465F79">
        <w:t>l presente el Estado reconoció, en el marco de la Audiencia Pública celebrada ante esta Corte, su responsabilidad internacional por la violación del derecho a la integridad personal en perjuicio de los familiares de las presuntas víctimas</w:t>
      </w:r>
      <w:r w:rsidR="00C04EBD" w:rsidRPr="00465F79">
        <w:rPr>
          <w:rStyle w:val="Refdenotaalpie"/>
        </w:rPr>
        <w:footnoteReference w:id="137"/>
      </w:r>
      <w:r w:rsidR="00C04EBD" w:rsidRPr="00465F79">
        <w:t>. Lo anterior fue reiterado en sus alegatos finales escritos</w:t>
      </w:r>
      <w:r w:rsidR="00C04EBD" w:rsidRPr="00465F79">
        <w:rPr>
          <w:rStyle w:val="Refdenotaalpie"/>
        </w:rPr>
        <w:footnoteReference w:id="138"/>
      </w:r>
      <w:r w:rsidR="00C04EBD" w:rsidRPr="00465F79">
        <w:t xml:space="preserve">. </w:t>
      </w:r>
    </w:p>
    <w:p w14:paraId="3ED5FD60" w14:textId="77777777" w:rsidR="00BA3DFE" w:rsidRPr="00465F79" w:rsidRDefault="00BA3DFE" w:rsidP="00BA3DFE">
      <w:pPr>
        <w:tabs>
          <w:tab w:val="left" w:pos="567"/>
        </w:tabs>
        <w:spacing w:line="240" w:lineRule="auto"/>
        <w:rPr>
          <w:lang w:eastAsia="es-MX"/>
        </w:rPr>
      </w:pPr>
    </w:p>
    <w:p w14:paraId="3855C5FA" w14:textId="120981F1" w:rsidR="00C2639A" w:rsidRPr="00465F79" w:rsidRDefault="00C2639A" w:rsidP="001E55B2">
      <w:pPr>
        <w:numPr>
          <w:ilvl w:val="0"/>
          <w:numId w:val="7"/>
        </w:numPr>
        <w:tabs>
          <w:tab w:val="left" w:pos="567"/>
          <w:tab w:val="num" w:pos="1569"/>
          <w:tab w:val="num" w:pos="12305"/>
        </w:tabs>
        <w:spacing w:line="240" w:lineRule="auto"/>
        <w:ind w:left="0" w:firstLine="0"/>
        <w:rPr>
          <w:lang w:eastAsia="es-MX"/>
        </w:rPr>
      </w:pPr>
      <w:r w:rsidRPr="00465F79">
        <w:t xml:space="preserve">A esto se suma que algunas de las declaraciones rendidas ante la Corte permiten constatar que estas personas han padecido incertidumbre, sufrimiento y angustia en detrimento de su integridad </w:t>
      </w:r>
      <w:r w:rsidR="00466027">
        <w:t>física y psí</w:t>
      </w:r>
      <w:r w:rsidRPr="00465F79">
        <w:t xml:space="preserve">quica debido a la desaparición forzada de </w:t>
      </w:r>
      <w:r w:rsidR="00466027">
        <w:t>sus seres queridos</w:t>
      </w:r>
      <w:r w:rsidR="00184116" w:rsidRPr="00465F79">
        <w:t xml:space="preserve"> y </w:t>
      </w:r>
      <w:r w:rsidRPr="00465F79">
        <w:t xml:space="preserve">a la </w:t>
      </w:r>
      <w:r w:rsidR="00466027">
        <w:t xml:space="preserve">posterior deficiente </w:t>
      </w:r>
      <w:r w:rsidRPr="00465F79">
        <w:t xml:space="preserve">actuación de las autoridades estatales. </w:t>
      </w:r>
    </w:p>
    <w:p w14:paraId="0182514A" w14:textId="77777777" w:rsidR="00BA3DFE" w:rsidRPr="00465F79" w:rsidRDefault="00BA3DFE" w:rsidP="00BA3DFE">
      <w:pPr>
        <w:tabs>
          <w:tab w:val="left" w:pos="567"/>
        </w:tabs>
        <w:spacing w:line="240" w:lineRule="auto"/>
        <w:rPr>
          <w:lang w:eastAsia="es-MX"/>
        </w:rPr>
      </w:pPr>
    </w:p>
    <w:p w14:paraId="032EC7A3" w14:textId="3DEDC79F" w:rsidR="00A84835" w:rsidRPr="00465F79" w:rsidRDefault="00A84835" w:rsidP="00A84835">
      <w:pPr>
        <w:numPr>
          <w:ilvl w:val="0"/>
          <w:numId w:val="7"/>
        </w:numPr>
        <w:tabs>
          <w:tab w:val="left" w:pos="567"/>
          <w:tab w:val="num" w:pos="1569"/>
          <w:tab w:val="num" w:pos="12305"/>
        </w:tabs>
        <w:spacing w:line="240" w:lineRule="auto"/>
        <w:ind w:left="0" w:firstLine="0"/>
        <w:rPr>
          <w:lang w:eastAsia="es-MX"/>
        </w:rPr>
      </w:pPr>
      <w:r w:rsidRPr="00465F79">
        <w:rPr>
          <w:lang w:eastAsia="es-MX"/>
        </w:rPr>
        <w:t xml:space="preserve">Así, Ana </w:t>
      </w:r>
      <w:r w:rsidR="00F01B69">
        <w:rPr>
          <w:lang w:eastAsia="es-MX"/>
        </w:rPr>
        <w:t>Gladis</w:t>
      </w:r>
      <w:r w:rsidRPr="00465F79">
        <w:rPr>
          <w:lang w:eastAsia="es-MX"/>
        </w:rPr>
        <w:t xml:space="preserve"> Pérez de Castro, hija de </w:t>
      </w:r>
      <w:r w:rsidRPr="00465F79">
        <w:rPr>
          <w:lang w:val="es-ES"/>
        </w:rPr>
        <w:t>Julia Orbelina Pérez</w:t>
      </w:r>
      <w:r w:rsidRPr="00465F79">
        <w:rPr>
          <w:lang w:val="es-ES" w:eastAsia="es-MX"/>
        </w:rPr>
        <w:t xml:space="preserve">, </w:t>
      </w:r>
      <w:r w:rsidRPr="00465F79">
        <w:rPr>
          <w:lang w:eastAsia="es-MX"/>
        </w:rPr>
        <w:t xml:space="preserve">declaró </w:t>
      </w:r>
      <w:r w:rsidR="00466027">
        <w:rPr>
          <w:lang w:eastAsia="es-MX"/>
        </w:rPr>
        <w:t>ante esta</w:t>
      </w:r>
      <w:r w:rsidR="00444E5F">
        <w:rPr>
          <w:lang w:eastAsia="es-MX"/>
        </w:rPr>
        <w:t xml:space="preserve"> </w:t>
      </w:r>
      <w:r w:rsidR="00466027">
        <w:rPr>
          <w:lang w:eastAsia="es-MX"/>
        </w:rPr>
        <w:t xml:space="preserve">Corte </w:t>
      </w:r>
      <w:r w:rsidRPr="00465F79">
        <w:rPr>
          <w:lang w:eastAsia="es-MX"/>
        </w:rPr>
        <w:t xml:space="preserve">que tuvo que continuar su vida sin volver a ver a su madre, ni conocer su paradero, creando hipótesis de qué habría sucedido con ella. Además, ha sido diagnosticada con depresión crónica por varios años. A este respecto, la señora Pérez </w:t>
      </w:r>
      <w:r w:rsidR="00466027">
        <w:rPr>
          <w:lang w:eastAsia="es-MX"/>
        </w:rPr>
        <w:t xml:space="preserve">de Castro </w:t>
      </w:r>
      <w:r w:rsidRPr="00465F79">
        <w:rPr>
          <w:lang w:eastAsia="es-MX"/>
        </w:rPr>
        <w:t>declaró ante esta Corte que sentía que su madre “podía aparecer” o “regresar”, que ella “seguía esperando” y que como nunca se halló el cuerpo, entró en depresión crónica y recibió asistencia psiquiátrica</w:t>
      </w:r>
      <w:r w:rsidRPr="00465F79">
        <w:rPr>
          <w:rStyle w:val="Refdenotaalpie"/>
          <w:lang w:eastAsia="es-MX"/>
        </w:rPr>
        <w:footnoteReference w:id="139"/>
      </w:r>
      <w:r w:rsidRPr="00465F79">
        <w:rPr>
          <w:lang w:eastAsia="es-MX"/>
        </w:rPr>
        <w:t>.</w:t>
      </w:r>
    </w:p>
    <w:p w14:paraId="1603E55B" w14:textId="77777777" w:rsidR="00627C5A" w:rsidRPr="00465F79" w:rsidRDefault="00627C5A" w:rsidP="00627C5A">
      <w:pPr>
        <w:tabs>
          <w:tab w:val="left" w:pos="567"/>
        </w:tabs>
        <w:spacing w:line="240" w:lineRule="auto"/>
        <w:rPr>
          <w:lang w:eastAsia="es-MX"/>
        </w:rPr>
      </w:pPr>
    </w:p>
    <w:p w14:paraId="364A5080" w14:textId="22CC39E3" w:rsidR="00627C5A" w:rsidRPr="00465F79" w:rsidRDefault="00627C5A" w:rsidP="00A84835">
      <w:pPr>
        <w:numPr>
          <w:ilvl w:val="0"/>
          <w:numId w:val="7"/>
        </w:numPr>
        <w:tabs>
          <w:tab w:val="left" w:pos="567"/>
          <w:tab w:val="num" w:pos="1569"/>
          <w:tab w:val="num" w:pos="12305"/>
        </w:tabs>
        <w:spacing w:line="240" w:lineRule="auto"/>
        <w:ind w:left="0" w:firstLine="0"/>
        <w:rPr>
          <w:lang w:eastAsia="es-MX"/>
        </w:rPr>
      </w:pPr>
      <w:r w:rsidRPr="00465F79">
        <w:rPr>
          <w:lang w:eastAsia="es-MX"/>
        </w:rPr>
        <w:t xml:space="preserve">Francisco </w:t>
      </w:r>
      <w:r w:rsidR="00CE13D0" w:rsidRPr="00465F79">
        <w:rPr>
          <w:lang w:eastAsia="es-MX"/>
        </w:rPr>
        <w:t>Alfred</w:t>
      </w:r>
      <w:r w:rsidR="006724C7" w:rsidRPr="00465F79">
        <w:rPr>
          <w:lang w:eastAsia="es-MX"/>
        </w:rPr>
        <w:t>o</w:t>
      </w:r>
      <w:r w:rsidR="00CE13D0" w:rsidRPr="00465F79">
        <w:rPr>
          <w:lang w:eastAsia="es-MX"/>
        </w:rPr>
        <w:t xml:space="preserve"> </w:t>
      </w:r>
      <w:r w:rsidRPr="00465F79">
        <w:rPr>
          <w:lang w:eastAsia="es-MX"/>
        </w:rPr>
        <w:t>Álvarez</w:t>
      </w:r>
      <w:r w:rsidR="00CE13D0" w:rsidRPr="00465F79">
        <w:rPr>
          <w:lang w:eastAsia="es-MX"/>
        </w:rPr>
        <w:t xml:space="preserve"> </w:t>
      </w:r>
      <w:r w:rsidR="00034C9E" w:rsidRPr="00465F79">
        <w:rPr>
          <w:lang w:eastAsia="es-MX"/>
        </w:rPr>
        <w:t>Solís</w:t>
      </w:r>
      <w:r w:rsidRPr="00465F79">
        <w:rPr>
          <w:lang w:eastAsia="es-MX"/>
        </w:rPr>
        <w:t xml:space="preserve">, exmarido de Patricia Emilie Cuéllar Sandoval, declaró ante esta Corte </w:t>
      </w:r>
      <w:r w:rsidR="00783242" w:rsidRPr="00465F79">
        <w:rPr>
          <w:lang w:eastAsia="es-MX"/>
        </w:rPr>
        <w:t>estar afligido por el dolor que causó la desaparición de la señora Cuéllar Sandoval a sus hijos, lo cual creó “un vacío en sus vidas”</w:t>
      </w:r>
      <w:r w:rsidR="0006149F">
        <w:rPr>
          <w:lang w:eastAsia="es-MX"/>
        </w:rPr>
        <w:t xml:space="preserve"> y provocó</w:t>
      </w:r>
      <w:r w:rsidR="00783242" w:rsidRPr="00465F79">
        <w:rPr>
          <w:lang w:eastAsia="es-MX"/>
        </w:rPr>
        <w:t xml:space="preserve"> que “su felicidad [fue</w:t>
      </w:r>
      <w:r w:rsidR="0006149F">
        <w:rPr>
          <w:lang w:eastAsia="es-MX"/>
        </w:rPr>
        <w:t>ra</w:t>
      </w:r>
      <w:r w:rsidR="00783242" w:rsidRPr="00465F79">
        <w:rPr>
          <w:lang w:eastAsia="es-MX"/>
        </w:rPr>
        <w:t xml:space="preserve">] destruida”. Asimismo, indicó que tenía un “un sentimiento de culpa, de no haber estado, de no haber podido hacer algo para impedirlo, y un enojo muy grande porque </w:t>
      </w:r>
      <w:r w:rsidR="00783242" w:rsidRPr="00466027">
        <w:rPr>
          <w:lang w:eastAsia="es-MX"/>
        </w:rPr>
        <w:t>han sido 41 años y 4 meses de que el proceso no se puso a disposición de las víctimas”</w:t>
      </w:r>
      <w:r w:rsidR="00CE13D0" w:rsidRPr="00466027">
        <w:rPr>
          <w:rStyle w:val="Refdenotaalpie"/>
          <w:lang w:eastAsia="es-MX"/>
        </w:rPr>
        <w:footnoteReference w:id="140"/>
      </w:r>
      <w:r w:rsidRPr="00466027">
        <w:rPr>
          <w:lang w:eastAsia="es-MX"/>
        </w:rPr>
        <w:t>.</w:t>
      </w:r>
    </w:p>
    <w:p w14:paraId="0D0CEA0C" w14:textId="2AB5A82B" w:rsidR="00A84835" w:rsidRPr="00465F79" w:rsidRDefault="00A84835" w:rsidP="00A84835">
      <w:pPr>
        <w:tabs>
          <w:tab w:val="left" w:pos="567"/>
        </w:tabs>
        <w:spacing w:line="240" w:lineRule="auto"/>
        <w:rPr>
          <w:lang w:eastAsia="es-MX"/>
        </w:rPr>
      </w:pPr>
    </w:p>
    <w:p w14:paraId="612AE8D1" w14:textId="5F8C60F2" w:rsidR="00A84835" w:rsidRPr="00465F79" w:rsidRDefault="00A84835" w:rsidP="00A84835">
      <w:pPr>
        <w:numPr>
          <w:ilvl w:val="0"/>
          <w:numId w:val="7"/>
        </w:numPr>
        <w:tabs>
          <w:tab w:val="left" w:pos="567"/>
          <w:tab w:val="num" w:pos="1569"/>
          <w:tab w:val="num" w:pos="12305"/>
        </w:tabs>
        <w:spacing w:line="240" w:lineRule="auto"/>
        <w:ind w:left="0" w:firstLine="0"/>
        <w:rPr>
          <w:lang w:eastAsia="es-MX"/>
        </w:rPr>
      </w:pPr>
      <w:r w:rsidRPr="00465F79">
        <w:rPr>
          <w:lang w:eastAsia="es-MX"/>
        </w:rPr>
        <w:t xml:space="preserve">Ana Gabriela Álvarez Cuéllar, hija de Patricia Emilie Cuéllar Sandoval y nieta de Mauricio Cuéllar Cuéllar, declaró que “después de 41 años y tres meses desde que mi mama fue desaparecida de mi vida, es muy difícil y extremamente doloroso transmitir o </w:t>
      </w:r>
      <w:r w:rsidRPr="00465F79">
        <w:rPr>
          <w:lang w:eastAsia="es-MX"/>
        </w:rPr>
        <w:lastRenderedPageBreak/>
        <w:t>intentar de explicar mis sentimientos y el sufrimiento causado por la ausencia de mi mama y de mi abuelo”</w:t>
      </w:r>
      <w:r w:rsidRPr="00465F79">
        <w:rPr>
          <w:rStyle w:val="Refdenotaalpie"/>
          <w:lang w:eastAsia="es-MX"/>
        </w:rPr>
        <w:footnoteReference w:id="141"/>
      </w:r>
      <w:r w:rsidRPr="00465F79">
        <w:rPr>
          <w:lang w:eastAsia="es-MX"/>
        </w:rPr>
        <w:t>. Además, desde joven sufre “migrañas episódicas crónicas” que le ocasionan “fuertes dolores de cabeza”</w:t>
      </w:r>
      <w:r w:rsidRPr="00465F79">
        <w:rPr>
          <w:rStyle w:val="Refdenotaalpie"/>
          <w:lang w:val="es-CR" w:eastAsia="es-MX"/>
        </w:rPr>
        <w:t xml:space="preserve"> </w:t>
      </w:r>
      <w:r w:rsidRPr="00465F79">
        <w:rPr>
          <w:rStyle w:val="Refdenotaalpie"/>
          <w:lang w:eastAsia="es-MX"/>
        </w:rPr>
        <w:footnoteReference w:id="142"/>
      </w:r>
      <w:r w:rsidRPr="00465F79">
        <w:rPr>
          <w:lang w:eastAsia="es-MX"/>
        </w:rPr>
        <w:t>. Ana Gabriela también indicó que sufre “pensamientos atormentadores” por no saber “cómo murieron, si fueron torturados o si [su] ma[dre] fue violada en sus últimos momentos, como muchas mujeres lo han sido”</w:t>
      </w:r>
      <w:r w:rsidRPr="00465F79">
        <w:rPr>
          <w:rStyle w:val="Refdenotaalpie"/>
          <w:lang w:eastAsia="es-MX"/>
        </w:rPr>
        <w:footnoteReference w:id="143"/>
      </w:r>
      <w:r w:rsidRPr="00465F79">
        <w:rPr>
          <w:lang w:eastAsia="es-MX"/>
        </w:rPr>
        <w:t>, y que le genera angustia “los años que pasan sin justicia y sin respuestas”</w:t>
      </w:r>
      <w:r w:rsidRPr="00465F79">
        <w:rPr>
          <w:rStyle w:val="Refdenotaalpie"/>
          <w:lang w:eastAsia="es-MX"/>
        </w:rPr>
        <w:footnoteReference w:id="144"/>
      </w:r>
      <w:r w:rsidRPr="00465F79">
        <w:rPr>
          <w:lang w:eastAsia="es-MX"/>
        </w:rPr>
        <w:t xml:space="preserve">. </w:t>
      </w:r>
    </w:p>
    <w:p w14:paraId="68949D5E" w14:textId="4EA2C976" w:rsidR="00A84835" w:rsidRPr="00465F79" w:rsidRDefault="00A84835" w:rsidP="00A84835">
      <w:pPr>
        <w:tabs>
          <w:tab w:val="left" w:pos="567"/>
        </w:tabs>
        <w:spacing w:line="240" w:lineRule="auto"/>
        <w:rPr>
          <w:lang w:eastAsia="es-MX"/>
        </w:rPr>
      </w:pPr>
    </w:p>
    <w:p w14:paraId="184DFA23" w14:textId="21D40AE0" w:rsidR="0006149F" w:rsidRDefault="0006149F" w:rsidP="0006149F">
      <w:pPr>
        <w:numPr>
          <w:ilvl w:val="0"/>
          <w:numId w:val="7"/>
        </w:numPr>
        <w:tabs>
          <w:tab w:val="left" w:pos="567"/>
          <w:tab w:val="num" w:pos="1569"/>
          <w:tab w:val="num" w:pos="12305"/>
        </w:tabs>
        <w:spacing w:line="240" w:lineRule="auto"/>
        <w:ind w:left="0" w:firstLine="0"/>
      </w:pPr>
      <w:r w:rsidRPr="00465F79">
        <w:rPr>
          <w:lang w:eastAsia="es-MX"/>
        </w:rPr>
        <w:t xml:space="preserve">Además, el Tribunal advierte que los tres hijos de Patricia Emilie Cuéllar Sandoval tenían entre </w:t>
      </w:r>
      <w:r>
        <w:rPr>
          <w:lang w:eastAsia="es-MX"/>
        </w:rPr>
        <w:t>9</w:t>
      </w:r>
      <w:r w:rsidRPr="00465F79">
        <w:rPr>
          <w:lang w:eastAsia="es-MX"/>
        </w:rPr>
        <w:t xml:space="preserve"> meses y </w:t>
      </w:r>
      <w:r>
        <w:rPr>
          <w:lang w:eastAsia="es-MX"/>
        </w:rPr>
        <w:t>3</w:t>
      </w:r>
      <w:r w:rsidRPr="00465F79">
        <w:rPr>
          <w:lang w:eastAsia="es-MX"/>
        </w:rPr>
        <w:t xml:space="preserve"> años de edad cuando tuvo lugar la desaparición de su madre, la cual tuvo un gran impacto en sus vidas. </w:t>
      </w:r>
      <w:r w:rsidRPr="00466027">
        <w:rPr>
          <w:lang w:val="es-ES"/>
        </w:rPr>
        <w:t>A este respecto, la Corte recuerda que el artículo 17 de la Convención Americana reconoce que la familia es el elemento natural y fundamental de la sociedad y tiene derecho a la protección de la sociedad y el Estado</w:t>
      </w:r>
      <w:r w:rsidRPr="00465F79">
        <w:rPr>
          <w:rStyle w:val="Refdenotaalpie"/>
          <w:rFonts w:eastAsia="MS Mincho"/>
        </w:rPr>
        <w:footnoteReference w:id="145"/>
      </w:r>
      <w:r w:rsidRPr="00466027">
        <w:rPr>
          <w:lang w:val="es-ES"/>
        </w:rPr>
        <w:t xml:space="preserve">. </w:t>
      </w:r>
      <w:r>
        <w:rPr>
          <w:lang w:val="es-ES"/>
        </w:rPr>
        <w:t>El Tribunal</w:t>
      </w:r>
      <w:r w:rsidRPr="00466027">
        <w:rPr>
          <w:lang w:val="es-ES"/>
        </w:rPr>
        <w:t xml:space="preserve"> ha establecido que el Estado se encuentra obligado a favorecer el desarrollo y la </w:t>
      </w:r>
      <w:r w:rsidRPr="00465F79">
        <w:rPr>
          <w:lang w:eastAsia="es-MX"/>
        </w:rPr>
        <w:t>fortaleza</w:t>
      </w:r>
      <w:r w:rsidRPr="00466027">
        <w:rPr>
          <w:lang w:val="es-ES"/>
        </w:rPr>
        <w:t xml:space="preserve"> del núcleo familiar</w:t>
      </w:r>
      <w:r w:rsidRPr="00465F79">
        <w:rPr>
          <w:rStyle w:val="Refdenotaalpie"/>
          <w:rFonts w:eastAsia="MS Mincho"/>
        </w:rPr>
        <w:footnoteReference w:id="146"/>
      </w:r>
      <w:r w:rsidRPr="00466027">
        <w:rPr>
          <w:lang w:val="es-ES"/>
        </w:rPr>
        <w:t xml:space="preserve"> y que la separación de niños y niñas de su familia constituye, bajo ciertas condiciones, una violación de su derecho a la familia. Así, el niño o la niña tiene derecho a vivir con su familia, llamada a satisfacer sus necesidades materiales, afectivas y psicológicas</w:t>
      </w:r>
      <w:r w:rsidRPr="00465F79">
        <w:rPr>
          <w:rStyle w:val="Refdenotaalpie"/>
          <w:rFonts w:eastAsia="MS Mincho"/>
        </w:rPr>
        <w:footnoteReference w:id="147"/>
      </w:r>
      <w:r w:rsidRPr="00466027">
        <w:rPr>
          <w:lang w:val="es-ES"/>
        </w:rPr>
        <w:t>.</w:t>
      </w:r>
      <w:r w:rsidRPr="00465F79">
        <w:t xml:space="preserve"> </w:t>
      </w:r>
    </w:p>
    <w:p w14:paraId="010C0CD4" w14:textId="77777777" w:rsidR="00F0469F" w:rsidRDefault="00F0469F" w:rsidP="00F0469F">
      <w:pPr>
        <w:pStyle w:val="Prrafodelista"/>
      </w:pPr>
    </w:p>
    <w:p w14:paraId="1E7FA54A" w14:textId="77777777" w:rsidR="0006149F" w:rsidRPr="006760AE" w:rsidRDefault="0006149F" w:rsidP="0006149F">
      <w:pPr>
        <w:numPr>
          <w:ilvl w:val="0"/>
          <w:numId w:val="7"/>
        </w:numPr>
        <w:tabs>
          <w:tab w:val="left" w:pos="567"/>
          <w:tab w:val="num" w:pos="1569"/>
          <w:tab w:val="num" w:pos="12305"/>
        </w:tabs>
        <w:spacing w:line="240" w:lineRule="auto"/>
        <w:ind w:left="0" w:firstLine="0"/>
      </w:pPr>
      <w:r w:rsidRPr="006760AE">
        <w:t xml:space="preserve">Por otro lado, el artículo 19 de la Convención Americana impone a los Estados la obligación de </w:t>
      </w:r>
      <w:r w:rsidRPr="006760AE">
        <w:rPr>
          <w:lang w:eastAsia="es-MX"/>
        </w:rPr>
        <w:t>adoptar</w:t>
      </w:r>
      <w:r w:rsidRPr="006760AE">
        <w:t xml:space="preserve"> “</w:t>
      </w:r>
      <w:r w:rsidRPr="006760AE">
        <w:rPr>
          <w:lang w:eastAsia="es-MX"/>
        </w:rPr>
        <w:t>medidas</w:t>
      </w:r>
      <w:r w:rsidRPr="006760AE">
        <w:t xml:space="preserve"> de protección” requeridas por su condición de niñas y niños. En forma </w:t>
      </w:r>
      <w:r w:rsidRPr="006760AE">
        <w:rPr>
          <w:lang w:eastAsia="es-MX"/>
        </w:rPr>
        <w:t>complementaria</w:t>
      </w:r>
      <w:r w:rsidRPr="006760AE">
        <w:t>, las niñas y los niños, quienes son más vulnerables a sufrir violaciones de sus derechos durante los conflictos armados, son beneficiarios de una protección especial en función de su edad, razón por la cual los Estados deberán proporcionarles los cuidados y la ayuda que necesiten</w:t>
      </w:r>
      <w:r w:rsidRPr="006760AE">
        <w:rPr>
          <w:rStyle w:val="Refdenotaalpie"/>
        </w:rPr>
        <w:footnoteReference w:id="148"/>
      </w:r>
      <w:r w:rsidRPr="006760AE">
        <w:t>. La Corte ha señalado que las niñas y los niños son titulares de los derechos humanos que corresponden a todos los seres humanos y gozan, además, de derechos especiales derivados de su condición, a los que corresponden deberes específicos de la familia, la sociedad y el Estado</w:t>
      </w:r>
      <w:r w:rsidRPr="006760AE">
        <w:rPr>
          <w:rStyle w:val="Refdenotaalpie"/>
        </w:rPr>
        <w:footnoteReference w:id="149"/>
      </w:r>
      <w:r w:rsidRPr="006760AE">
        <w:t xml:space="preserve">. Este Tribunal ha recalcado reiteradamente la existencia de un “muy comprensivo </w:t>
      </w:r>
      <w:r w:rsidRPr="006760AE">
        <w:rPr>
          <w:i/>
          <w:iCs/>
        </w:rPr>
        <w:t>corpus iuris</w:t>
      </w:r>
      <w:r w:rsidRPr="006760AE">
        <w:t xml:space="preserve"> de derecho internacional de protección de los derechos de los niños [y las niñas]”, que debe ser utilizado como fuente de derecho para establecer “el contenido y los alcances” de las obligaciones que han asumido los Estados conforme al artículo 19 de la Convención </w:t>
      </w:r>
      <w:r w:rsidRPr="006760AE">
        <w:lastRenderedPageBreak/>
        <w:t>Americana, en particular respecto de las medidas de protección a las que se hace referencia en el mencionado precepto</w:t>
      </w:r>
      <w:r w:rsidRPr="006760AE">
        <w:rPr>
          <w:rStyle w:val="Refdenotaalpie"/>
        </w:rPr>
        <w:footnoteReference w:id="150"/>
      </w:r>
      <w:r w:rsidRPr="006760AE">
        <w:t>. La Corte ya ha resaltado que, cuando se trata de la protección de los derechos de niñas y niños y de la adopción de medidas para lograr dicha protección, los siguientes cuatro principios rectores de la Convención sobre los Derechos del Niño deben inspirar de forma transversal e implementarse en todo sistema de protección integral: (i) el principio de no discriminación, (ii) el principio del interés superior de la niña o del niño, (iii) el principio de respeto al derecho a la vida, la supervivencia y el desarrollo, y (iv) el principio de respeto a la opinión de la niña o del niño en todo procedimiento que lo afecte, de modo que se garantice su participación</w:t>
      </w:r>
      <w:r w:rsidRPr="006760AE">
        <w:rPr>
          <w:rStyle w:val="Refdenotaalpie"/>
        </w:rPr>
        <w:footnoteReference w:id="151"/>
      </w:r>
      <w:r>
        <w:t>.</w:t>
      </w:r>
    </w:p>
    <w:p w14:paraId="483A2A0C" w14:textId="77777777" w:rsidR="00A12976" w:rsidRPr="00A12976" w:rsidRDefault="00A12976" w:rsidP="00A12976">
      <w:pPr>
        <w:tabs>
          <w:tab w:val="left" w:pos="567"/>
        </w:tabs>
        <w:spacing w:line="240" w:lineRule="auto"/>
        <w:rPr>
          <w:lang w:eastAsia="es-MX"/>
        </w:rPr>
      </w:pPr>
    </w:p>
    <w:p w14:paraId="0E7406F2" w14:textId="50A6B63C" w:rsidR="00D81B80" w:rsidRDefault="00C2097B" w:rsidP="00FC5F17">
      <w:pPr>
        <w:numPr>
          <w:ilvl w:val="0"/>
          <w:numId w:val="7"/>
        </w:numPr>
        <w:tabs>
          <w:tab w:val="left" w:pos="567"/>
          <w:tab w:val="num" w:pos="1569"/>
          <w:tab w:val="num" w:pos="12305"/>
        </w:tabs>
        <w:spacing w:line="240" w:lineRule="auto"/>
        <w:ind w:left="0" w:firstLine="0"/>
        <w:rPr>
          <w:lang w:eastAsia="es-MX"/>
        </w:rPr>
      </w:pPr>
      <w:r>
        <w:rPr>
          <w:lang w:val="es-ES"/>
        </w:rPr>
        <w:t>E</w:t>
      </w:r>
      <w:r w:rsidR="005F4284" w:rsidRPr="00465F79">
        <w:rPr>
          <w:lang w:val="es-ES"/>
        </w:rPr>
        <w:t xml:space="preserve">l Tribunal advierte que </w:t>
      </w:r>
      <w:r w:rsidR="00A84835" w:rsidRPr="00465F79">
        <w:rPr>
          <w:lang w:eastAsia="es-MX"/>
        </w:rPr>
        <w:t>Maite María, la hermana mayor, tenía tres años y cuatro meses de edad cuando su madre y su abuelo fueron desaparecidos</w:t>
      </w:r>
      <w:r w:rsidR="00A84835" w:rsidRPr="00465F79">
        <w:rPr>
          <w:rStyle w:val="Refdenotaalpie"/>
          <w:lang w:eastAsia="es-MX"/>
        </w:rPr>
        <w:footnoteReference w:id="152"/>
      </w:r>
      <w:r w:rsidR="00466027">
        <w:rPr>
          <w:lang w:eastAsia="es-MX"/>
        </w:rPr>
        <w:t>, lo cual provocó que,</w:t>
      </w:r>
      <w:r w:rsidR="00BA3DFE" w:rsidRPr="00465F79">
        <w:rPr>
          <w:lang w:eastAsia="es-MX"/>
        </w:rPr>
        <w:t xml:space="preserve"> a muy temprana edad</w:t>
      </w:r>
      <w:r w:rsidR="00466027">
        <w:rPr>
          <w:lang w:eastAsia="es-MX"/>
        </w:rPr>
        <w:t>, tuviera</w:t>
      </w:r>
      <w:r w:rsidR="00A84835" w:rsidRPr="00465F79">
        <w:rPr>
          <w:lang w:eastAsia="es-MX"/>
        </w:rPr>
        <w:t xml:space="preserve"> que asumir el rol de “madre”</w:t>
      </w:r>
      <w:r w:rsidR="00A84835" w:rsidRPr="00465F79">
        <w:rPr>
          <w:rStyle w:val="Refdenotaalpie"/>
          <w:lang w:eastAsia="es-MX"/>
        </w:rPr>
        <w:footnoteReference w:id="153"/>
      </w:r>
      <w:r w:rsidR="00A84835" w:rsidRPr="00465F79">
        <w:rPr>
          <w:lang w:eastAsia="es-MX"/>
        </w:rPr>
        <w:t xml:space="preserve">. </w:t>
      </w:r>
      <w:r w:rsidR="006724C7" w:rsidRPr="00465F79">
        <w:rPr>
          <w:lang w:eastAsia="es-MX"/>
        </w:rPr>
        <w:t xml:space="preserve">Por su parte, </w:t>
      </w:r>
      <w:r w:rsidR="00466027">
        <w:rPr>
          <w:lang w:eastAsia="es-MX"/>
        </w:rPr>
        <w:t xml:space="preserve">su hermana </w:t>
      </w:r>
      <w:r w:rsidR="007F58F7" w:rsidRPr="00465F79">
        <w:rPr>
          <w:lang w:eastAsia="es-MX"/>
        </w:rPr>
        <w:t xml:space="preserve">Ana Gabriela </w:t>
      </w:r>
      <w:r w:rsidR="006724C7" w:rsidRPr="00465F79">
        <w:rPr>
          <w:lang w:eastAsia="es-MX"/>
        </w:rPr>
        <w:t xml:space="preserve">Álvarez Cuéllar </w:t>
      </w:r>
      <w:r w:rsidR="005452B9" w:rsidRPr="00465F79">
        <w:rPr>
          <w:lang w:eastAsia="es-MX"/>
        </w:rPr>
        <w:t>declaró que solamente tenía nueve meses edad cuando tuvo lugar la desaparición forzada de su madre y de su abuelo</w:t>
      </w:r>
      <w:r w:rsidR="006724C7" w:rsidRPr="00465F79">
        <w:rPr>
          <w:lang w:eastAsia="es-MX"/>
        </w:rPr>
        <w:t xml:space="preserve"> y que, s</w:t>
      </w:r>
      <w:r w:rsidR="005452B9" w:rsidRPr="00465F79">
        <w:rPr>
          <w:lang w:eastAsia="es-MX"/>
        </w:rPr>
        <w:t xml:space="preserve">i bien no tiene ningún recuerdo de lo sucedido, sí carga con un “gran dolor constante en </w:t>
      </w:r>
      <w:r w:rsidR="0006149F">
        <w:rPr>
          <w:lang w:eastAsia="es-MX"/>
        </w:rPr>
        <w:t>[su]</w:t>
      </w:r>
      <w:r w:rsidR="005452B9" w:rsidRPr="00465F79">
        <w:rPr>
          <w:lang w:eastAsia="es-MX"/>
        </w:rPr>
        <w:t xml:space="preserve"> alma y un sentimiento profundo por el vacío que sus ausencias [l]e han causado”</w:t>
      </w:r>
      <w:r w:rsidR="005452B9" w:rsidRPr="00465F79">
        <w:rPr>
          <w:rStyle w:val="Refdenotaalpie"/>
          <w:lang w:eastAsia="es-MX"/>
        </w:rPr>
        <w:footnoteReference w:id="154"/>
      </w:r>
      <w:r w:rsidR="005452B9" w:rsidRPr="00465F79">
        <w:rPr>
          <w:lang w:eastAsia="es-MX"/>
        </w:rPr>
        <w:t>.</w:t>
      </w:r>
      <w:r w:rsidR="0056590B" w:rsidRPr="00465F79">
        <w:rPr>
          <w:lang w:eastAsia="es-MX"/>
        </w:rPr>
        <w:t xml:space="preserve"> Señaló que la ausencia de su madre impidió que, siendo bebé, pudiese ser amamantada en las primeras etapas de su vida</w:t>
      </w:r>
      <w:r w:rsidR="0056590B" w:rsidRPr="00465F79">
        <w:rPr>
          <w:rStyle w:val="Refdenotaalpie"/>
          <w:lang w:eastAsia="es-MX"/>
        </w:rPr>
        <w:footnoteReference w:id="155"/>
      </w:r>
      <w:r w:rsidR="0056590B" w:rsidRPr="00465F79">
        <w:rPr>
          <w:lang w:eastAsia="es-MX"/>
        </w:rPr>
        <w:t>.</w:t>
      </w:r>
      <w:r w:rsidR="00EB7CA4" w:rsidRPr="00465F79">
        <w:rPr>
          <w:lang w:eastAsia="es-MX"/>
        </w:rPr>
        <w:t xml:space="preserve"> </w:t>
      </w:r>
      <w:r w:rsidR="005452B9" w:rsidRPr="00465F79">
        <w:rPr>
          <w:lang w:eastAsia="es-MX"/>
        </w:rPr>
        <w:t>Indicó que</w:t>
      </w:r>
      <w:r w:rsidR="006724C7" w:rsidRPr="00465F79">
        <w:rPr>
          <w:lang w:eastAsia="es-MX"/>
        </w:rPr>
        <w:t>,</w:t>
      </w:r>
      <w:r w:rsidR="005452B9" w:rsidRPr="00465F79">
        <w:rPr>
          <w:lang w:eastAsia="es-MX"/>
        </w:rPr>
        <w:t xml:space="preserve"> especialmente en el día de la madre, así como otras fechas señaladas (como la de su cumpleaños, la época navideña, </w:t>
      </w:r>
      <w:r w:rsidR="005452B9" w:rsidRPr="00465F79">
        <w:rPr>
          <w:i/>
          <w:iCs/>
          <w:lang w:eastAsia="es-MX"/>
        </w:rPr>
        <w:t>et</w:t>
      </w:r>
      <w:r w:rsidR="0056590B" w:rsidRPr="00465F79">
        <w:rPr>
          <w:i/>
          <w:iCs/>
          <w:lang w:eastAsia="es-MX"/>
        </w:rPr>
        <w:t>c</w:t>
      </w:r>
      <w:r w:rsidR="00323E13" w:rsidRPr="00465F79">
        <w:rPr>
          <w:lang w:eastAsia="es-MX"/>
        </w:rPr>
        <w:t>.</w:t>
      </w:r>
      <w:r w:rsidR="005452B9" w:rsidRPr="00465F79">
        <w:rPr>
          <w:lang w:eastAsia="es-MX"/>
        </w:rPr>
        <w:t xml:space="preserve">), siente un </w:t>
      </w:r>
      <w:r w:rsidR="00BB7211">
        <w:rPr>
          <w:lang w:eastAsia="es-MX"/>
        </w:rPr>
        <w:t>“</w:t>
      </w:r>
      <w:r w:rsidR="005452B9" w:rsidRPr="00465F79">
        <w:rPr>
          <w:lang w:eastAsia="es-MX"/>
        </w:rPr>
        <w:t>vacío</w:t>
      </w:r>
      <w:r w:rsidR="00BB7211">
        <w:rPr>
          <w:lang w:eastAsia="es-MX"/>
        </w:rPr>
        <w:t>”</w:t>
      </w:r>
      <w:r w:rsidR="005452B9" w:rsidRPr="00465F79">
        <w:rPr>
          <w:lang w:eastAsia="es-MX"/>
        </w:rPr>
        <w:t>, el cual “siempre está presente en [su] vida”</w:t>
      </w:r>
      <w:r w:rsidR="005452B9" w:rsidRPr="00465F79">
        <w:rPr>
          <w:rStyle w:val="Refdenotaalpie"/>
          <w:lang w:eastAsia="es-MX"/>
        </w:rPr>
        <w:footnoteReference w:id="156"/>
      </w:r>
      <w:r w:rsidR="005452B9" w:rsidRPr="00465F79">
        <w:rPr>
          <w:lang w:eastAsia="es-MX"/>
        </w:rPr>
        <w:t>. Desde muy pequeña sintió que su familia “no era ‘normal’”, toda vez que “no estaba completa”</w:t>
      </w:r>
      <w:r w:rsidR="005452B9" w:rsidRPr="00465F79">
        <w:rPr>
          <w:rStyle w:val="Refdenotaalpie"/>
          <w:lang w:eastAsia="es-MX"/>
        </w:rPr>
        <w:footnoteReference w:id="157"/>
      </w:r>
      <w:r w:rsidR="005452B9" w:rsidRPr="00465F79">
        <w:rPr>
          <w:lang w:eastAsia="es-MX"/>
        </w:rPr>
        <w:t xml:space="preserve">. </w:t>
      </w:r>
      <w:r w:rsidR="00A84835" w:rsidRPr="00465F79">
        <w:rPr>
          <w:lang w:eastAsia="es-MX"/>
        </w:rPr>
        <w:t>Durante la adolescencia</w:t>
      </w:r>
      <w:r w:rsidR="006724C7" w:rsidRPr="00465F79">
        <w:rPr>
          <w:lang w:eastAsia="es-MX"/>
        </w:rPr>
        <w:t xml:space="preserve">, </w:t>
      </w:r>
      <w:r w:rsidR="00A84835" w:rsidRPr="00465F79">
        <w:rPr>
          <w:lang w:eastAsia="es-MX"/>
        </w:rPr>
        <w:t>el vacío provocado por la ausencia de su madre fue cada vez “más fuerte e intenso”, lo cual le provocó “síntomas depresivos”</w:t>
      </w:r>
      <w:r w:rsidR="00A84835" w:rsidRPr="00465F79">
        <w:rPr>
          <w:rStyle w:val="Refdenotaalpie"/>
          <w:lang w:eastAsia="es-MX"/>
        </w:rPr>
        <w:footnoteReference w:id="158"/>
      </w:r>
      <w:r w:rsidR="00A84835" w:rsidRPr="00465F79">
        <w:rPr>
          <w:lang w:eastAsia="es-MX"/>
        </w:rPr>
        <w:t>. Lo mismo fue señalado por su hermano Javier Ernesto</w:t>
      </w:r>
      <w:r w:rsidR="00466027">
        <w:rPr>
          <w:lang w:eastAsia="es-MX"/>
        </w:rPr>
        <w:t>,</w:t>
      </w:r>
      <w:r w:rsidR="00A84835" w:rsidRPr="00465F79">
        <w:rPr>
          <w:lang w:eastAsia="es-MX"/>
        </w:rPr>
        <w:t xml:space="preserve"> </w:t>
      </w:r>
      <w:r w:rsidR="00A84835" w:rsidRPr="0029228F">
        <w:rPr>
          <w:lang w:eastAsia="es-MX"/>
        </w:rPr>
        <w:t>quien</w:t>
      </w:r>
      <w:r w:rsidR="00C25D51" w:rsidRPr="0029228F">
        <w:rPr>
          <w:lang w:eastAsia="es-MX"/>
        </w:rPr>
        <w:t xml:space="preserve"> al momento de los hechos tenía </w:t>
      </w:r>
      <w:r w:rsidR="00782AC5" w:rsidRPr="0029228F">
        <w:rPr>
          <w:lang w:eastAsia="es-MX"/>
        </w:rPr>
        <w:t>un año de edad</w:t>
      </w:r>
      <w:r w:rsidR="00C25D51" w:rsidRPr="0029228F">
        <w:rPr>
          <w:lang w:eastAsia="es-MX"/>
        </w:rPr>
        <w:t>,</w:t>
      </w:r>
      <w:r w:rsidR="0006149F">
        <w:rPr>
          <w:lang w:eastAsia="es-MX"/>
        </w:rPr>
        <w:t xml:space="preserve"> y </w:t>
      </w:r>
      <w:r w:rsidR="00A84835" w:rsidRPr="0029228F">
        <w:rPr>
          <w:lang w:eastAsia="es-MX"/>
        </w:rPr>
        <w:t>que “</w:t>
      </w:r>
      <w:proofErr w:type="spellStart"/>
      <w:r w:rsidR="00A84835" w:rsidRPr="0029228F">
        <w:rPr>
          <w:lang w:eastAsia="es-MX"/>
        </w:rPr>
        <w:t>sufr</w:t>
      </w:r>
      <w:proofErr w:type="spellEnd"/>
      <w:r w:rsidR="0006149F">
        <w:rPr>
          <w:lang w:eastAsia="es-MX"/>
        </w:rPr>
        <w:t>[</w:t>
      </w:r>
      <w:r w:rsidR="00A84835" w:rsidRPr="0029228F">
        <w:rPr>
          <w:lang w:eastAsia="es-MX"/>
        </w:rPr>
        <w:t>e</w:t>
      </w:r>
      <w:r w:rsidR="0006149F">
        <w:rPr>
          <w:lang w:eastAsia="es-MX"/>
        </w:rPr>
        <w:t>]</w:t>
      </w:r>
      <w:r w:rsidR="00A84835" w:rsidRPr="0029228F">
        <w:rPr>
          <w:lang w:eastAsia="es-MX"/>
        </w:rPr>
        <w:t xml:space="preserve"> emocionalmente </w:t>
      </w:r>
      <w:r w:rsidR="00A84835" w:rsidRPr="00CA104D">
        <w:rPr>
          <w:lang w:eastAsia="es-MX"/>
        </w:rPr>
        <w:t>en fechas con un significado personal</w:t>
      </w:r>
      <w:r w:rsidR="00A84835" w:rsidRPr="00465F79">
        <w:rPr>
          <w:lang w:eastAsia="es-MX"/>
        </w:rPr>
        <w:t>, como el de su cumpleaños o la fecha del aniversario de su captura y desaparición</w:t>
      </w:r>
      <w:r w:rsidR="00A84835" w:rsidRPr="00465F79">
        <w:rPr>
          <w:rStyle w:val="Refdenotaalpie"/>
          <w:lang w:eastAsia="es-MX"/>
        </w:rPr>
        <w:footnoteReference w:id="159"/>
      </w:r>
      <w:r w:rsidR="00A84835" w:rsidRPr="00465F79">
        <w:rPr>
          <w:lang w:eastAsia="es-MX"/>
        </w:rPr>
        <w:t xml:space="preserve">. </w:t>
      </w:r>
      <w:r w:rsidR="00466027">
        <w:rPr>
          <w:lang w:eastAsia="es-MX"/>
        </w:rPr>
        <w:t>Especific</w:t>
      </w:r>
      <w:r w:rsidR="00A84835" w:rsidRPr="00465F79">
        <w:rPr>
          <w:lang w:eastAsia="es-MX"/>
        </w:rPr>
        <w:t>ó que, s</w:t>
      </w:r>
      <w:r w:rsidR="00323E13" w:rsidRPr="00465F79">
        <w:rPr>
          <w:lang w:eastAsia="es-MX"/>
        </w:rPr>
        <w:t>i bien no posee recuerdos de dichos familiares, todos estos años ha</w:t>
      </w:r>
      <w:r w:rsidR="00466027">
        <w:rPr>
          <w:lang w:eastAsia="es-MX"/>
        </w:rPr>
        <w:t>bían</w:t>
      </w:r>
      <w:r w:rsidR="00323E13" w:rsidRPr="00465F79">
        <w:rPr>
          <w:lang w:eastAsia="es-MX"/>
        </w:rPr>
        <w:t xml:space="preserve"> sido “muy </w:t>
      </w:r>
      <w:r w:rsidR="00323E13" w:rsidRPr="00465F79">
        <w:rPr>
          <w:lang w:eastAsia="es-MX"/>
        </w:rPr>
        <w:lastRenderedPageBreak/>
        <w:t>dolorosos” por no saber “qué fue de [su] madre y de [su] abuelo”</w:t>
      </w:r>
      <w:r w:rsidR="00323E13" w:rsidRPr="00465F79">
        <w:rPr>
          <w:rStyle w:val="Refdenotaalpie"/>
          <w:lang w:eastAsia="es-MX"/>
        </w:rPr>
        <w:footnoteReference w:id="160"/>
      </w:r>
      <w:r w:rsidR="00323E13" w:rsidRPr="00465F79">
        <w:rPr>
          <w:lang w:eastAsia="es-MX"/>
        </w:rPr>
        <w:t>.</w:t>
      </w:r>
      <w:r w:rsidR="00BE2DC6" w:rsidRPr="00465F79">
        <w:rPr>
          <w:lang w:eastAsia="es-MX"/>
        </w:rPr>
        <w:t xml:space="preserve"> Señaló que sus primeros recuerdos de la infancia fueron “de ser consciente de tener un gran vacío, de no sentir la presencia y el amor de [su] madre</w:t>
      </w:r>
      <w:r w:rsidR="006724C7" w:rsidRPr="00465F79">
        <w:rPr>
          <w:lang w:eastAsia="es-MX"/>
        </w:rPr>
        <w:t>”</w:t>
      </w:r>
      <w:r w:rsidR="00BE2DC6" w:rsidRPr="00465F79">
        <w:rPr>
          <w:rStyle w:val="Refdenotaalpie"/>
          <w:lang w:eastAsia="es-MX"/>
        </w:rPr>
        <w:footnoteReference w:id="161"/>
      </w:r>
      <w:r w:rsidR="00BE2DC6" w:rsidRPr="00465F79">
        <w:rPr>
          <w:lang w:eastAsia="es-MX"/>
        </w:rPr>
        <w:t>. Indicó</w:t>
      </w:r>
      <w:r w:rsidR="00466027">
        <w:rPr>
          <w:lang w:eastAsia="es-MX"/>
        </w:rPr>
        <w:t>,</w:t>
      </w:r>
      <w:r w:rsidR="00BE2DC6" w:rsidRPr="00465F79">
        <w:rPr>
          <w:lang w:eastAsia="es-MX"/>
        </w:rPr>
        <w:t xml:space="preserve"> </w:t>
      </w:r>
      <w:r w:rsidR="006724C7" w:rsidRPr="00465F79">
        <w:rPr>
          <w:lang w:eastAsia="es-MX"/>
        </w:rPr>
        <w:t>además</w:t>
      </w:r>
      <w:r w:rsidR="00466027">
        <w:rPr>
          <w:lang w:eastAsia="es-MX"/>
        </w:rPr>
        <w:t>,</w:t>
      </w:r>
      <w:r w:rsidR="006724C7" w:rsidRPr="00465F79">
        <w:rPr>
          <w:lang w:eastAsia="es-MX"/>
        </w:rPr>
        <w:t xml:space="preserve"> </w:t>
      </w:r>
      <w:r w:rsidR="00BE2DC6" w:rsidRPr="00465F79">
        <w:rPr>
          <w:lang w:eastAsia="es-MX"/>
        </w:rPr>
        <w:t xml:space="preserve">que en la escuela tuvo “problemas de ‘conducta’” </w:t>
      </w:r>
      <w:r w:rsidR="0006149F">
        <w:rPr>
          <w:lang w:eastAsia="es-MX"/>
        </w:rPr>
        <w:t xml:space="preserve">y </w:t>
      </w:r>
      <w:r w:rsidR="00BE2DC6" w:rsidRPr="00465F79">
        <w:rPr>
          <w:lang w:eastAsia="es-MX"/>
        </w:rPr>
        <w:t>que no “era capaz de concentrar[se] ni de cumplir con las tareas escolares” y que los profesores y psicólogos escolares identificaron que sufría un “desorden de deficiencia de atención”</w:t>
      </w:r>
      <w:r w:rsidR="00BE2DC6" w:rsidRPr="00465F79">
        <w:rPr>
          <w:rStyle w:val="Refdenotaalpie"/>
          <w:lang w:eastAsia="es-MX"/>
        </w:rPr>
        <w:footnoteReference w:id="162"/>
      </w:r>
      <w:r w:rsidR="00BE2DC6" w:rsidRPr="00465F79">
        <w:rPr>
          <w:lang w:eastAsia="es-MX"/>
        </w:rPr>
        <w:t>.</w:t>
      </w:r>
      <w:r w:rsidR="00ED1B1A">
        <w:rPr>
          <w:lang w:eastAsia="es-MX"/>
        </w:rPr>
        <w:t xml:space="preserve"> </w:t>
      </w:r>
    </w:p>
    <w:p w14:paraId="5A0BE59C" w14:textId="77777777" w:rsidR="00A84835" w:rsidRPr="00465F79" w:rsidRDefault="00A84835" w:rsidP="00A84835">
      <w:pPr>
        <w:tabs>
          <w:tab w:val="left" w:pos="567"/>
        </w:tabs>
        <w:spacing w:line="240" w:lineRule="auto"/>
        <w:rPr>
          <w:lang w:eastAsia="es-MX"/>
        </w:rPr>
      </w:pPr>
    </w:p>
    <w:p w14:paraId="0E6DF34D" w14:textId="49BB3A81" w:rsidR="00A84835" w:rsidRPr="00465F79" w:rsidRDefault="00A84835" w:rsidP="009E27E1">
      <w:pPr>
        <w:numPr>
          <w:ilvl w:val="0"/>
          <w:numId w:val="7"/>
        </w:numPr>
        <w:tabs>
          <w:tab w:val="left" w:pos="567"/>
          <w:tab w:val="num" w:pos="1569"/>
          <w:tab w:val="num" w:pos="12305"/>
        </w:tabs>
        <w:spacing w:line="240" w:lineRule="auto"/>
        <w:ind w:left="0" w:firstLine="0"/>
        <w:rPr>
          <w:lang w:eastAsia="es-MX"/>
        </w:rPr>
      </w:pPr>
      <w:r w:rsidRPr="00465F79">
        <w:rPr>
          <w:lang w:eastAsia="es-MX"/>
        </w:rPr>
        <w:t xml:space="preserve">En vista de lo anterior, </w:t>
      </w:r>
      <w:r w:rsidR="006724C7" w:rsidRPr="00465F79">
        <w:rPr>
          <w:lang w:eastAsia="es-MX"/>
        </w:rPr>
        <w:t xml:space="preserve">la Corte concluye que la desaparición forzada de </w:t>
      </w:r>
      <w:r w:rsidR="006724C7" w:rsidRPr="00465F79">
        <w:t>Patricia Emilie Cuéllar Sandoval</w:t>
      </w:r>
      <w:r w:rsidR="006724C7" w:rsidRPr="00465F79">
        <w:rPr>
          <w:lang w:eastAsia="es-MX"/>
        </w:rPr>
        <w:t xml:space="preserve"> </w:t>
      </w:r>
      <w:r w:rsidR="00A941AA">
        <w:rPr>
          <w:lang w:eastAsia="es-MX"/>
        </w:rPr>
        <w:t xml:space="preserve">imputable al Estado </w:t>
      </w:r>
      <w:r w:rsidR="006724C7" w:rsidRPr="00465F79">
        <w:rPr>
          <w:lang w:eastAsia="es-MX"/>
        </w:rPr>
        <w:t>tuvo un impacto diferenciado en sus tres hijos, causándoles un particular dolor debido a la ausencia de su madre desde muy temprana edad</w:t>
      </w:r>
      <w:r w:rsidR="00466027">
        <w:rPr>
          <w:lang w:eastAsia="es-MX"/>
        </w:rPr>
        <w:t xml:space="preserve"> y las consecuencias que ello tuvo en su posterior desarrollo personal</w:t>
      </w:r>
      <w:r w:rsidR="006724C7" w:rsidRPr="00465F79">
        <w:rPr>
          <w:lang w:eastAsia="es-MX"/>
        </w:rPr>
        <w:t>, lo cual vulneró su derecho a la protección de la familia y de la niñez.</w:t>
      </w:r>
    </w:p>
    <w:p w14:paraId="7BBD6AC4" w14:textId="4572C160" w:rsidR="0038027D" w:rsidRPr="008066D5" w:rsidRDefault="008066D5" w:rsidP="008066D5">
      <w:pPr>
        <w:pStyle w:val="Ttulo3"/>
        <w:spacing w:before="240" w:after="240"/>
        <w:ind w:left="992"/>
        <w:contextualSpacing w:val="0"/>
        <w:rPr>
          <w:b w:val="0"/>
          <w:bCs/>
          <w:lang w:val="es-ES"/>
        </w:rPr>
      </w:pPr>
      <w:bookmarkStart w:id="149" w:name="_Toc165022633"/>
      <w:r>
        <w:rPr>
          <w:b w:val="0"/>
          <w:bCs/>
          <w:lang w:val="es-ES"/>
        </w:rPr>
        <w:t xml:space="preserve">B.2. </w:t>
      </w:r>
      <w:r w:rsidR="0038027D" w:rsidRPr="008066D5">
        <w:rPr>
          <w:b w:val="0"/>
          <w:bCs/>
          <w:lang w:val="es-ES"/>
        </w:rPr>
        <w:t>Conclusión</w:t>
      </w:r>
      <w:bookmarkEnd w:id="149"/>
    </w:p>
    <w:p w14:paraId="54D2E4BF" w14:textId="477410FF" w:rsidR="00B019E0" w:rsidRPr="00465F79" w:rsidRDefault="00B019E0" w:rsidP="00B019E0">
      <w:pPr>
        <w:numPr>
          <w:ilvl w:val="0"/>
          <w:numId w:val="7"/>
        </w:numPr>
        <w:tabs>
          <w:tab w:val="left" w:pos="567"/>
          <w:tab w:val="num" w:pos="1569"/>
          <w:tab w:val="num" w:pos="12305"/>
        </w:tabs>
        <w:spacing w:line="240" w:lineRule="auto"/>
        <w:ind w:left="0" w:firstLine="0"/>
        <w:rPr>
          <w:lang w:eastAsia="es-MX"/>
        </w:rPr>
      </w:pPr>
      <w:r w:rsidRPr="00465F79">
        <w:t xml:space="preserve">Por todo lo </w:t>
      </w:r>
      <w:r w:rsidRPr="0029228F">
        <w:t xml:space="preserve">anterior, </w:t>
      </w:r>
      <w:r w:rsidR="00A70916" w:rsidRPr="0029228F">
        <w:t xml:space="preserve">con base en el reconocimiento realizado por el Estado, </w:t>
      </w:r>
      <w:r w:rsidRPr="0029228F">
        <w:t>este</w:t>
      </w:r>
      <w:r w:rsidRPr="00465F79">
        <w:t xml:space="preserve"> Tribunal encuentra que el Estado violó el derecho a la integridad personal reconocido en el artículo 5.1 de la Convención Americana, en relación con el artículo 1.1 del mismo instrumento, en perjuicio de </w:t>
      </w:r>
      <w:r w:rsidRPr="00465F79">
        <w:rPr>
          <w:lang w:eastAsia="es-ES_tradnl"/>
        </w:rPr>
        <w:t xml:space="preserve">Maite María Álvarez Cuéllar, Javier Ernesto Álvarez Cuéllar, Ana Gabriela Álvarez Cuéllar, Francisco </w:t>
      </w:r>
      <w:r w:rsidR="00495015">
        <w:rPr>
          <w:lang w:eastAsia="es-ES_tradnl"/>
        </w:rPr>
        <w:t xml:space="preserve">Alfredo </w:t>
      </w:r>
      <w:r w:rsidRPr="00465F79">
        <w:rPr>
          <w:lang w:eastAsia="es-ES_tradnl"/>
        </w:rPr>
        <w:t>Álvarez Solís, María Consuelo Cuéllar Cuéllar,</w:t>
      </w:r>
      <w:r w:rsidR="00880D3D">
        <w:rPr>
          <w:lang w:eastAsia="es-ES_tradnl"/>
        </w:rPr>
        <w:t xml:space="preserve"> Leon</w:t>
      </w:r>
      <w:r w:rsidRPr="00465F79">
        <w:rPr>
          <w:lang w:eastAsia="es-ES_tradnl"/>
        </w:rPr>
        <w:t xml:space="preserve"> Enrique Cuéllar Cuéllar, Mauricio Cuéllar Sandoval, Ana</w:t>
      </w:r>
      <w:r w:rsidR="00444E5F">
        <w:rPr>
          <w:lang w:eastAsia="es-ES_tradnl"/>
        </w:rPr>
        <w:t xml:space="preserve"> </w:t>
      </w:r>
      <w:r w:rsidR="00F01B69">
        <w:rPr>
          <w:lang w:eastAsia="es-ES_tradnl"/>
        </w:rPr>
        <w:t>Gladis</w:t>
      </w:r>
      <w:r w:rsidRPr="00465F79">
        <w:rPr>
          <w:lang w:eastAsia="es-ES_tradnl"/>
        </w:rPr>
        <w:t xml:space="preserve"> </w:t>
      </w:r>
      <w:r w:rsidR="000B7B3C">
        <w:rPr>
          <w:lang w:eastAsia="es-ES_tradnl"/>
        </w:rPr>
        <w:t>Pérez de Castro</w:t>
      </w:r>
      <w:r w:rsidRPr="00465F79">
        <w:rPr>
          <w:lang w:eastAsia="es-ES_tradnl"/>
        </w:rPr>
        <w:t xml:space="preserve"> y Teresa Pérez de Ramos</w:t>
      </w:r>
      <w:r w:rsidRPr="00465F79">
        <w:t xml:space="preserve">. </w:t>
      </w:r>
    </w:p>
    <w:p w14:paraId="108E444A" w14:textId="77777777" w:rsidR="006724C7" w:rsidRPr="00465F79" w:rsidRDefault="006724C7" w:rsidP="006724C7">
      <w:pPr>
        <w:tabs>
          <w:tab w:val="left" w:pos="567"/>
        </w:tabs>
        <w:spacing w:line="240" w:lineRule="auto"/>
        <w:rPr>
          <w:lang w:eastAsia="es-MX"/>
        </w:rPr>
      </w:pPr>
    </w:p>
    <w:p w14:paraId="191F00AB" w14:textId="79F8AA15" w:rsidR="006724C7" w:rsidRPr="00465F79" w:rsidRDefault="006724C7" w:rsidP="00B019E0">
      <w:pPr>
        <w:numPr>
          <w:ilvl w:val="0"/>
          <w:numId w:val="7"/>
        </w:numPr>
        <w:tabs>
          <w:tab w:val="left" w:pos="567"/>
          <w:tab w:val="num" w:pos="1569"/>
          <w:tab w:val="num" w:pos="12305"/>
        </w:tabs>
        <w:spacing w:line="240" w:lineRule="auto"/>
        <w:ind w:left="0" w:firstLine="0"/>
        <w:rPr>
          <w:lang w:eastAsia="es-MX"/>
        </w:rPr>
      </w:pPr>
      <w:r w:rsidRPr="00465F79">
        <w:t>Asimismo</w:t>
      </w:r>
      <w:r w:rsidRPr="0029228F">
        <w:t xml:space="preserve">, </w:t>
      </w:r>
      <w:r w:rsidR="00A70916" w:rsidRPr="0029228F">
        <w:t xml:space="preserve">en aplicación del principio </w:t>
      </w:r>
      <w:r w:rsidR="00A70916" w:rsidRPr="0029228F">
        <w:rPr>
          <w:i/>
          <w:iCs/>
        </w:rPr>
        <w:t>iura novit curia</w:t>
      </w:r>
      <w:r w:rsidR="00A70916" w:rsidRPr="0029228F">
        <w:t xml:space="preserve">, </w:t>
      </w:r>
      <w:r w:rsidRPr="0029228F">
        <w:t>el</w:t>
      </w:r>
      <w:r w:rsidRPr="00465F79">
        <w:t xml:space="preserve"> Estado también es responsable internacionalmente por la violación del derecho a la protección de la familia y de los derechos de la niñez amparados por los artículos 17 y 19 de la Convención Americana, respectivamente, en relación con el artículo 1.1 del mismo instrumento, en perjuicio de </w:t>
      </w:r>
      <w:r w:rsidRPr="00465F79">
        <w:rPr>
          <w:lang w:eastAsia="es-ES_tradnl"/>
        </w:rPr>
        <w:t>Maite María Álvarez Cuéllar, Javier Ernesto Álvarez Cuéllar y Ana Gabriela Álvarez Cuéllar.</w:t>
      </w:r>
    </w:p>
    <w:p w14:paraId="10DDC6B7" w14:textId="0C2E055C" w:rsidR="001F4D31" w:rsidRPr="00465F79" w:rsidRDefault="000423F9" w:rsidP="00465F79">
      <w:pPr>
        <w:pStyle w:val="Ttulo1"/>
      </w:pPr>
      <w:bookmarkStart w:id="150" w:name="_Toc165022634"/>
      <w:r w:rsidRPr="00465F79">
        <w:t>VIII</w:t>
      </w:r>
      <w:r w:rsidR="001F4D31" w:rsidRPr="00465F79">
        <w:br/>
      </w:r>
      <w:r w:rsidR="007243BC" w:rsidRPr="00465F79">
        <w:t>REPARACIONES</w:t>
      </w:r>
      <w:bookmarkEnd w:id="150"/>
      <w:r w:rsidR="001F4D31" w:rsidRPr="00465F79">
        <w:t xml:space="preserve"> </w:t>
      </w:r>
    </w:p>
    <w:p w14:paraId="52E613C5" w14:textId="77777777" w:rsidR="003A7436" w:rsidRPr="00465F79" w:rsidRDefault="003A7436">
      <w:pPr>
        <w:numPr>
          <w:ilvl w:val="0"/>
          <w:numId w:val="7"/>
        </w:numPr>
        <w:tabs>
          <w:tab w:val="left" w:pos="567"/>
          <w:tab w:val="num" w:pos="1569"/>
          <w:tab w:val="num" w:pos="12305"/>
        </w:tabs>
        <w:spacing w:line="240" w:lineRule="auto"/>
        <w:ind w:left="0" w:firstLine="0"/>
        <w:rPr>
          <w:lang w:val="es-ES" w:bidi="en-US"/>
        </w:rPr>
      </w:pPr>
      <w:r w:rsidRPr="00465F79">
        <w:rPr>
          <w:lang w:val="es-ES" w:eastAsia="es-ES" w:bidi="en-US"/>
        </w:rPr>
        <w:t>Sobre</w:t>
      </w:r>
      <w:r w:rsidRPr="00465F79">
        <w:rPr>
          <w:lang w:val="es-ES" w:bidi="en-US"/>
        </w:rPr>
        <w:t xml:space="preserve"> </w:t>
      </w:r>
      <w:r w:rsidRPr="00465F79">
        <w:rPr>
          <w:bCs/>
          <w:lang w:val="es-ES" w:bidi="en-US"/>
        </w:rPr>
        <w:t>la</w:t>
      </w:r>
      <w:r w:rsidRPr="00465F79">
        <w:rPr>
          <w:lang w:val="es-ES" w:bidi="en-US"/>
        </w:rPr>
        <w:t xml:space="preserve"> base </w:t>
      </w:r>
      <w:r w:rsidRPr="00465F79">
        <w:rPr>
          <w:lang w:val="es-ES"/>
        </w:rPr>
        <w:t>de</w:t>
      </w:r>
      <w:r w:rsidRPr="00465F79">
        <w:rPr>
          <w:lang w:val="es-ES" w:bidi="en-US"/>
        </w:rPr>
        <w:t xml:space="preserve"> lo dispuesto en el artículo 63.1 de la Convención Americana, la Corte ha indicado que toda violación de una obligación internacional que haya producido daño comporta el deber de repararlo </w:t>
      </w:r>
      <w:r w:rsidRPr="00465F79">
        <w:rPr>
          <w:lang w:val="es-ES"/>
        </w:rPr>
        <w:t>adecuadamente</w:t>
      </w:r>
      <w:r w:rsidRPr="00465F79">
        <w:rPr>
          <w:lang w:val="es-ES" w:bidi="en-US"/>
        </w:rPr>
        <w:t xml:space="preserve"> y que esa disposición recoge una norma consuetudinaria que constituye uno </w:t>
      </w:r>
      <w:r w:rsidRPr="00465F79">
        <w:rPr>
          <w:lang w:val="es-ES"/>
        </w:rPr>
        <w:t>de</w:t>
      </w:r>
      <w:r w:rsidRPr="00465F79">
        <w:rPr>
          <w:lang w:val="es-ES" w:bidi="en-US"/>
        </w:rPr>
        <w:t xml:space="preserve"> los principios fundamentales del Derecho Internacional contemporáneo sobre responsabilidad de un Estado</w:t>
      </w:r>
      <w:r w:rsidRPr="00465F79">
        <w:rPr>
          <w:vertAlign w:val="superscript"/>
          <w:lang w:val="es-ES" w:bidi="en-US"/>
        </w:rPr>
        <w:footnoteReference w:id="163"/>
      </w:r>
      <w:r w:rsidRPr="00465F79">
        <w:rPr>
          <w:lang w:val="es-ES" w:bidi="en-US"/>
        </w:rPr>
        <w:t>.</w:t>
      </w:r>
    </w:p>
    <w:p w14:paraId="5F914641" w14:textId="77777777" w:rsidR="003A7436" w:rsidRPr="00465F79" w:rsidRDefault="003A7436" w:rsidP="003A7436">
      <w:pPr>
        <w:pStyle w:val="Normal1"/>
        <w:widowControl/>
        <w:contextualSpacing/>
        <w:jc w:val="both"/>
        <w:rPr>
          <w:rFonts w:ascii="Verdana" w:hAnsi="Verdana"/>
          <w:sz w:val="20"/>
          <w:szCs w:val="20"/>
          <w:lang w:val="es-ES" w:bidi="en-US"/>
        </w:rPr>
      </w:pPr>
    </w:p>
    <w:p w14:paraId="634115B6" w14:textId="77777777" w:rsidR="003A7436" w:rsidRPr="00465F79" w:rsidRDefault="003A7436">
      <w:pPr>
        <w:numPr>
          <w:ilvl w:val="0"/>
          <w:numId w:val="7"/>
        </w:numPr>
        <w:tabs>
          <w:tab w:val="left" w:pos="567"/>
          <w:tab w:val="num" w:pos="1569"/>
          <w:tab w:val="num" w:pos="12305"/>
        </w:tabs>
        <w:spacing w:line="240" w:lineRule="auto"/>
        <w:ind w:left="0" w:firstLine="0"/>
        <w:rPr>
          <w:lang w:val="es-ES" w:bidi="en-US"/>
        </w:rPr>
      </w:pPr>
      <w:r w:rsidRPr="00465F79">
        <w:rPr>
          <w:bCs/>
          <w:lang w:val="es-ES" w:bidi="en-US"/>
        </w:rPr>
        <w:t xml:space="preserve">La </w:t>
      </w:r>
      <w:r w:rsidRPr="00465F79">
        <w:rPr>
          <w:lang w:val="es-ES" w:eastAsia="es-ES" w:bidi="en-US"/>
        </w:rPr>
        <w:t>reparación</w:t>
      </w:r>
      <w:r w:rsidRPr="00465F79">
        <w:rPr>
          <w:bCs/>
          <w:lang w:val="es-ES" w:bidi="en-US"/>
        </w:rPr>
        <w:t xml:space="preserve"> del daño ocasionado por la infracción de una obligación internacional requiere, </w:t>
      </w:r>
      <w:r w:rsidRPr="00465F79">
        <w:rPr>
          <w:lang w:val="es-ES" w:eastAsia="es-ES_tradnl"/>
        </w:rPr>
        <w:t>siempre</w:t>
      </w:r>
      <w:r w:rsidRPr="00465F79">
        <w:rPr>
          <w:bCs/>
          <w:lang w:val="es-ES" w:bidi="en-US"/>
        </w:rPr>
        <w:t xml:space="preserve"> que sea posible, la plena restitución (</w:t>
      </w:r>
      <w:r w:rsidRPr="00465F79">
        <w:rPr>
          <w:bCs/>
          <w:i/>
          <w:lang w:val="es-ES" w:bidi="en-US"/>
        </w:rPr>
        <w:t>restitutio in integrum</w:t>
      </w:r>
      <w:r w:rsidRPr="00465F79">
        <w:rPr>
          <w:bCs/>
          <w:lang w:val="es-ES" w:bidi="en-US"/>
        </w:rPr>
        <w:t xml:space="preserve">), que </w:t>
      </w:r>
      <w:r w:rsidRPr="00465F79">
        <w:rPr>
          <w:bCs/>
          <w:lang w:val="es-ES" w:bidi="en-US"/>
        </w:rPr>
        <w:lastRenderedPageBreak/>
        <w:t xml:space="preserve">consiste en el restablecimiento de la </w:t>
      </w:r>
      <w:r w:rsidRPr="00465F79">
        <w:rPr>
          <w:lang w:val="es-ES"/>
        </w:rPr>
        <w:t>situación</w:t>
      </w:r>
      <w:r w:rsidRPr="00465F79">
        <w:rPr>
          <w:bCs/>
          <w:lang w:val="es-ES" w:bidi="en-US"/>
        </w:rPr>
        <w:t xml:space="preserve"> anterior. De no ser esto factible, como ocurre en la mayoría de los </w:t>
      </w:r>
      <w:r w:rsidRPr="00465F79">
        <w:t>casos</w:t>
      </w:r>
      <w:r w:rsidRPr="00465F79">
        <w:rPr>
          <w:bCs/>
          <w:lang w:val="es-ES" w:bidi="en-US"/>
        </w:rPr>
        <w:t xml:space="preserve"> de violaciones a derechos humanos, el Tribunal determinará medidas para garantizar los derechos conculcados y reparar las consecuencias que las infracciones produjeron</w:t>
      </w:r>
      <w:r w:rsidRPr="00465F79">
        <w:rPr>
          <w:vertAlign w:val="superscript"/>
          <w:lang w:val="es-ES" w:bidi="en-US"/>
        </w:rPr>
        <w:footnoteReference w:id="164"/>
      </w:r>
      <w:r w:rsidRPr="00465F79">
        <w:rPr>
          <w:bCs/>
          <w:lang w:val="es-ES" w:bidi="en-US"/>
        </w:rPr>
        <w:t xml:space="preserve">. Por tanto, </w:t>
      </w:r>
      <w:r w:rsidRPr="00465F79">
        <w:rPr>
          <w:lang w:val="es-ES" w:bidi="en-US"/>
        </w:rPr>
        <w:t xml:space="preserve">la Corte ha </w:t>
      </w:r>
      <w:r w:rsidRPr="00465F79">
        <w:rPr>
          <w:lang w:val="es-ES"/>
        </w:rPr>
        <w:t>considerado</w:t>
      </w:r>
      <w:r w:rsidRPr="00465F79">
        <w:rPr>
          <w:lang w:val="es-ES" w:bidi="en-US"/>
        </w:rPr>
        <w:t xml:space="preserve"> la necesidad de </w:t>
      </w:r>
      <w:r w:rsidRPr="00465F79">
        <w:rPr>
          <w:lang w:val="es-ES"/>
        </w:rPr>
        <w:t>otorgar</w:t>
      </w:r>
      <w:r w:rsidRPr="00465F79">
        <w:rPr>
          <w:lang w:val="es-ES" w:bidi="en-US"/>
        </w:rPr>
        <w:t xml:space="preserve">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Pr="00465F79">
        <w:rPr>
          <w:vertAlign w:val="superscript"/>
          <w:lang w:val="es-ES" w:bidi="en-US"/>
        </w:rPr>
        <w:footnoteReference w:id="165"/>
      </w:r>
      <w:r w:rsidRPr="00465F79">
        <w:rPr>
          <w:lang w:val="es-ES" w:bidi="en-US"/>
        </w:rPr>
        <w:t>.</w:t>
      </w:r>
    </w:p>
    <w:p w14:paraId="52EAC8BF" w14:textId="77777777" w:rsidR="003A7436" w:rsidRPr="00465F79" w:rsidRDefault="003A7436" w:rsidP="003A7436">
      <w:pPr>
        <w:pStyle w:val="Normal1"/>
        <w:widowControl/>
        <w:contextualSpacing/>
        <w:jc w:val="both"/>
        <w:rPr>
          <w:rFonts w:ascii="Verdana" w:hAnsi="Verdana"/>
          <w:sz w:val="20"/>
          <w:szCs w:val="20"/>
          <w:lang w:val="es-ES" w:bidi="en-US"/>
        </w:rPr>
      </w:pPr>
    </w:p>
    <w:p w14:paraId="14243B3B" w14:textId="77777777" w:rsidR="003A7436" w:rsidRPr="00465F79" w:rsidRDefault="003A7436">
      <w:pPr>
        <w:numPr>
          <w:ilvl w:val="0"/>
          <w:numId w:val="7"/>
        </w:numPr>
        <w:tabs>
          <w:tab w:val="left" w:pos="567"/>
          <w:tab w:val="num" w:pos="1569"/>
          <w:tab w:val="num" w:pos="12305"/>
        </w:tabs>
        <w:spacing w:line="240" w:lineRule="auto"/>
        <w:ind w:left="0" w:firstLine="0"/>
        <w:rPr>
          <w:lang w:val="es-ES" w:bidi="en-US"/>
        </w:rPr>
      </w:pPr>
      <w:r w:rsidRPr="00465F79">
        <w:rPr>
          <w:lang w:val="es-ES" w:bidi="en-US"/>
        </w:rPr>
        <w:t xml:space="preserve">La </w:t>
      </w:r>
      <w:r w:rsidRPr="00465F79">
        <w:rPr>
          <w:bCs/>
          <w:lang w:val="es-ES" w:bidi="en-US"/>
        </w:rPr>
        <w:t>Corte</w:t>
      </w:r>
      <w:r w:rsidRPr="00465F79">
        <w:rPr>
          <w:lang w:val="es-ES" w:bidi="en-US"/>
        </w:rPr>
        <w:t xml:space="preserve"> ha </w:t>
      </w:r>
      <w:r w:rsidRPr="00465F79">
        <w:rPr>
          <w:lang w:val="es-ES"/>
        </w:rPr>
        <w:t>establecido</w:t>
      </w:r>
      <w:r w:rsidRPr="00465F79">
        <w:rPr>
          <w:lang w:val="es-ES" w:bidi="en-US"/>
        </w:rPr>
        <w:t xml:space="preserve"> que las reparaciones deben tener un nexo causal con los hechos del caso, las violaciones declaradas, los daños acreditados, así como las medidas solicitadas para reparar los daños respectivos. </w:t>
      </w:r>
      <w:r w:rsidRPr="00465F79">
        <w:rPr>
          <w:lang w:val="es-ES"/>
        </w:rPr>
        <w:t>Por</w:t>
      </w:r>
      <w:r w:rsidRPr="00465F79">
        <w:rPr>
          <w:lang w:val="es-ES" w:bidi="en-US"/>
        </w:rPr>
        <w:t xml:space="preserve"> lo tanto, la Corte deberá observar dicha concurrencia para pronunciarse debidamente y conforme a derecho</w:t>
      </w:r>
      <w:r w:rsidRPr="00465F79">
        <w:rPr>
          <w:vertAlign w:val="superscript"/>
          <w:lang w:val="es-ES" w:bidi="en-US"/>
        </w:rPr>
        <w:footnoteReference w:id="166"/>
      </w:r>
      <w:r w:rsidRPr="00465F79">
        <w:rPr>
          <w:lang w:val="es-ES" w:bidi="en-US"/>
        </w:rPr>
        <w:t>.</w:t>
      </w:r>
    </w:p>
    <w:p w14:paraId="4D00F2DE" w14:textId="77777777" w:rsidR="003A7436" w:rsidRPr="00465F79" w:rsidRDefault="003A7436" w:rsidP="003A7436">
      <w:pPr>
        <w:pStyle w:val="Normal1"/>
        <w:widowControl/>
        <w:contextualSpacing/>
        <w:jc w:val="both"/>
        <w:rPr>
          <w:rFonts w:ascii="Verdana" w:hAnsi="Verdana"/>
          <w:sz w:val="20"/>
          <w:szCs w:val="20"/>
          <w:lang w:val="es-ES" w:bidi="en-US"/>
        </w:rPr>
      </w:pPr>
    </w:p>
    <w:p w14:paraId="03DAFBE4" w14:textId="742FF149" w:rsidR="00637F3B" w:rsidRPr="00465F79" w:rsidRDefault="003A7436" w:rsidP="008413A9">
      <w:pPr>
        <w:numPr>
          <w:ilvl w:val="0"/>
          <w:numId w:val="7"/>
        </w:numPr>
        <w:tabs>
          <w:tab w:val="left" w:pos="567"/>
          <w:tab w:val="num" w:pos="1569"/>
          <w:tab w:val="num" w:pos="12305"/>
        </w:tabs>
        <w:spacing w:line="240" w:lineRule="auto"/>
        <w:ind w:left="0" w:firstLine="0"/>
        <w:rPr>
          <w:lang w:val="es-ES" w:bidi="en-US"/>
        </w:rPr>
      </w:pPr>
      <w:r w:rsidRPr="00465F79">
        <w:rPr>
          <w:lang w:val="es-ES"/>
        </w:rPr>
        <w:t>Tomando en cuenta las violaciones a la Convención Americana declaradas en el capítulo anterior, a la luz de los criterios fijados en la jurisprudencia del Tribunal en relación con la naturaleza y alcances de la obligación de reparar</w:t>
      </w:r>
      <w:r w:rsidRPr="00465F79">
        <w:rPr>
          <w:rFonts w:eastAsia="Calibri"/>
          <w:vertAlign w:val="superscript"/>
          <w:lang w:val="es-ES"/>
        </w:rPr>
        <w:footnoteReference w:id="167"/>
      </w:r>
      <w:r w:rsidRPr="00465F79">
        <w:rPr>
          <w:lang w:val="es-ES"/>
        </w:rPr>
        <w:t xml:space="preserve">, la Corte analizará las pretensiones presentadas por </w:t>
      </w:r>
      <w:r w:rsidRPr="00465F79">
        <w:t>la</w:t>
      </w:r>
      <w:r w:rsidRPr="00465F79">
        <w:rPr>
          <w:lang w:val="es-ES"/>
        </w:rPr>
        <w:t xml:space="preserve"> Comisión y </w:t>
      </w:r>
      <w:r w:rsidR="003D321B" w:rsidRPr="00465F79">
        <w:rPr>
          <w:lang w:val="es-ES"/>
        </w:rPr>
        <w:t>el representante</w:t>
      </w:r>
      <w:r w:rsidRPr="00465F79">
        <w:rPr>
          <w:lang w:val="es-ES"/>
        </w:rPr>
        <w:t>, así como los argumentos del Estado al respecto, con el objeto de disponer a continuación las medidas tendientes a reparar dichas violaciones</w:t>
      </w:r>
      <w:r w:rsidR="0017279F" w:rsidRPr="00465F79">
        <w:rPr>
          <w:lang w:val="es-ES"/>
        </w:rPr>
        <w:t>.</w:t>
      </w:r>
    </w:p>
    <w:p w14:paraId="31C09AE8" w14:textId="6F0A8F2D" w:rsidR="0017279F" w:rsidRPr="00465F79" w:rsidRDefault="0017279F">
      <w:pPr>
        <w:pStyle w:val="Ttulo2"/>
        <w:numPr>
          <w:ilvl w:val="0"/>
          <w:numId w:val="17"/>
        </w:numPr>
      </w:pPr>
      <w:bookmarkStart w:id="151" w:name="_Toc132731401"/>
      <w:bookmarkStart w:id="152" w:name="_Toc135061338"/>
      <w:bookmarkStart w:id="153" w:name="_Toc165022635"/>
      <w:r w:rsidRPr="00465F79">
        <w:t>Parte lesionada</w:t>
      </w:r>
      <w:bookmarkEnd w:id="151"/>
      <w:bookmarkEnd w:id="152"/>
      <w:bookmarkEnd w:id="153"/>
    </w:p>
    <w:p w14:paraId="4E43A023" w14:textId="3612670B" w:rsidR="000844A7" w:rsidRPr="00465F79" w:rsidRDefault="0017279F" w:rsidP="00E94DD4">
      <w:pPr>
        <w:widowControl/>
        <w:numPr>
          <w:ilvl w:val="0"/>
          <w:numId w:val="7"/>
        </w:numPr>
        <w:tabs>
          <w:tab w:val="left" w:pos="567"/>
          <w:tab w:val="num" w:pos="1569"/>
          <w:tab w:val="num" w:pos="12305"/>
        </w:tabs>
        <w:autoSpaceDE w:val="0"/>
        <w:autoSpaceDN w:val="0"/>
        <w:spacing w:line="240" w:lineRule="auto"/>
        <w:ind w:left="0" w:firstLine="0"/>
        <w:textAlignment w:val="baseline"/>
        <w:rPr>
          <w:lang w:val="es-ES" w:eastAsia="es-ES_tradnl"/>
        </w:rPr>
      </w:pPr>
      <w:r w:rsidRPr="00465F79">
        <w:rPr>
          <w:lang w:val="es-ES" w:eastAsia="es-ES_tradnl"/>
        </w:rPr>
        <w:t xml:space="preserve">Este Tribunal considera parte lesionada, en los términos del artículo 63.1 de la </w:t>
      </w:r>
      <w:r w:rsidRPr="00465F79">
        <w:rPr>
          <w:lang w:val="es-ES"/>
        </w:rPr>
        <w:t>Convención</w:t>
      </w:r>
      <w:r w:rsidRPr="00465F79">
        <w:rPr>
          <w:lang w:val="es-ES" w:eastAsia="es-ES_tradnl"/>
        </w:rPr>
        <w:t xml:space="preserve">, a </w:t>
      </w:r>
      <w:r w:rsidRPr="00465F79">
        <w:t>quien</w:t>
      </w:r>
      <w:r w:rsidR="00662A44" w:rsidRPr="00465F79">
        <w:t>es</w:t>
      </w:r>
      <w:r w:rsidRPr="00465F79">
        <w:rPr>
          <w:lang w:val="es-ES" w:eastAsia="es-ES_tradnl"/>
        </w:rPr>
        <w:t xml:space="preserve"> ha</w:t>
      </w:r>
      <w:r w:rsidR="00662A44" w:rsidRPr="00465F79">
        <w:rPr>
          <w:lang w:val="es-ES" w:eastAsia="es-ES_tradnl"/>
        </w:rPr>
        <w:t>n</w:t>
      </w:r>
      <w:r w:rsidRPr="00465F79">
        <w:rPr>
          <w:lang w:val="es-ES" w:eastAsia="es-ES_tradnl"/>
        </w:rPr>
        <w:t xml:space="preserve"> sido </w:t>
      </w:r>
      <w:r w:rsidRPr="00465F79">
        <w:rPr>
          <w:lang w:val="es-ES" w:eastAsia="es-ES" w:bidi="en-US"/>
        </w:rPr>
        <w:t>declarad</w:t>
      </w:r>
      <w:r w:rsidR="00662A44" w:rsidRPr="00465F79">
        <w:rPr>
          <w:lang w:val="es-ES" w:eastAsia="es-ES" w:bidi="en-US"/>
        </w:rPr>
        <w:t>os</w:t>
      </w:r>
      <w:r w:rsidRPr="00465F79">
        <w:rPr>
          <w:lang w:val="es-ES" w:eastAsia="es-ES_tradnl"/>
        </w:rPr>
        <w:t xml:space="preserve"> víctima</w:t>
      </w:r>
      <w:r w:rsidR="00662A44" w:rsidRPr="00465F79">
        <w:rPr>
          <w:lang w:val="es-ES" w:eastAsia="es-ES_tradnl"/>
        </w:rPr>
        <w:t>s</w:t>
      </w:r>
      <w:r w:rsidRPr="00465F79">
        <w:rPr>
          <w:lang w:val="es-ES" w:eastAsia="es-ES_tradnl"/>
        </w:rPr>
        <w:t xml:space="preserve"> de la violación de algún derecho reconocido en la </w:t>
      </w:r>
      <w:r w:rsidRPr="00465F79">
        <w:rPr>
          <w:lang w:val="es-ES"/>
        </w:rPr>
        <w:t>misma</w:t>
      </w:r>
      <w:r w:rsidRPr="00465F79">
        <w:rPr>
          <w:lang w:val="es-ES" w:eastAsia="es-ES_tradnl"/>
        </w:rPr>
        <w:t xml:space="preserve">. </w:t>
      </w:r>
      <w:r w:rsidR="0064499C" w:rsidRPr="00465F79">
        <w:rPr>
          <w:lang w:val="es-ES" w:eastAsia="es-ES_tradnl"/>
        </w:rPr>
        <w:t xml:space="preserve">Por </w:t>
      </w:r>
      <w:r w:rsidRPr="00465F79">
        <w:rPr>
          <w:lang w:val="es-ES" w:eastAsia="es-ES_tradnl"/>
        </w:rPr>
        <w:t>lo tanto, esta Corte considera como “</w:t>
      </w:r>
      <w:r w:rsidRPr="00465F79">
        <w:rPr>
          <w:lang w:val="es-ES"/>
        </w:rPr>
        <w:t>parte</w:t>
      </w:r>
      <w:r w:rsidRPr="00465F79">
        <w:rPr>
          <w:lang w:val="es-ES" w:eastAsia="es-ES_tradnl"/>
        </w:rPr>
        <w:t xml:space="preserve"> lesionada” a </w:t>
      </w:r>
      <w:r w:rsidR="00662A44" w:rsidRPr="00465F79">
        <w:rPr>
          <w:lang w:val="es-ES" w:eastAsia="es-ES_tradnl"/>
        </w:rPr>
        <w:t>los señores y señoras Patricia Emilie Cuéllar Sandoval, Mauricio Cuéllar Cuéllar y</w:t>
      </w:r>
      <w:r w:rsidRPr="00465F79">
        <w:rPr>
          <w:lang w:val="es-ES" w:eastAsia="es-ES_tradnl"/>
        </w:rPr>
        <w:t xml:space="preserve"> </w:t>
      </w:r>
      <w:r w:rsidR="00662A44" w:rsidRPr="00465F79">
        <w:rPr>
          <w:lang w:val="es-ES" w:eastAsia="es-ES_tradnl"/>
        </w:rPr>
        <w:t xml:space="preserve">Julia Orbelina Pérez, así como </w:t>
      </w:r>
      <w:r w:rsidR="000B7B3C">
        <w:rPr>
          <w:lang w:val="es-ES" w:eastAsia="es-ES_tradnl"/>
        </w:rPr>
        <w:t>a los siguientes</w:t>
      </w:r>
      <w:r w:rsidR="00662A44" w:rsidRPr="00465F79">
        <w:rPr>
          <w:lang w:val="es-ES" w:eastAsia="es-ES_tradnl"/>
        </w:rPr>
        <w:t xml:space="preserve"> familiares</w:t>
      </w:r>
      <w:r w:rsidR="000844A7" w:rsidRPr="00465F79">
        <w:rPr>
          <w:lang w:val="es-ES" w:eastAsia="es-ES_tradnl"/>
        </w:rPr>
        <w:t xml:space="preserve">: </w:t>
      </w:r>
    </w:p>
    <w:p w14:paraId="0C20EA55" w14:textId="77777777" w:rsidR="000844A7" w:rsidRPr="00465F79" w:rsidRDefault="000844A7" w:rsidP="000844A7">
      <w:pPr>
        <w:widowControl/>
        <w:tabs>
          <w:tab w:val="left" w:pos="567"/>
          <w:tab w:val="num" w:pos="12305"/>
        </w:tabs>
        <w:autoSpaceDE w:val="0"/>
        <w:autoSpaceDN w:val="0"/>
        <w:spacing w:line="240" w:lineRule="auto"/>
        <w:textAlignment w:val="baseline"/>
        <w:rPr>
          <w:lang w:val="es-ES" w:eastAsia="es-ES_tradnl"/>
        </w:rPr>
      </w:pPr>
    </w:p>
    <w:p w14:paraId="3CA8929C" w14:textId="5D6C7777" w:rsidR="000844A7" w:rsidRPr="00465F79" w:rsidRDefault="00662A44">
      <w:pPr>
        <w:pStyle w:val="Prrafodelista"/>
        <w:widowControl/>
        <w:numPr>
          <w:ilvl w:val="0"/>
          <w:numId w:val="14"/>
        </w:numPr>
        <w:tabs>
          <w:tab w:val="left" w:pos="567"/>
          <w:tab w:val="num" w:pos="12305"/>
        </w:tabs>
        <w:autoSpaceDE w:val="0"/>
        <w:autoSpaceDN w:val="0"/>
        <w:spacing w:line="240" w:lineRule="auto"/>
        <w:textAlignment w:val="baseline"/>
        <w:rPr>
          <w:lang w:val="es-ES" w:eastAsia="es-ES_tradnl"/>
        </w:rPr>
      </w:pPr>
      <w:r w:rsidRPr="00465F79">
        <w:rPr>
          <w:lang w:eastAsia="es-ES_tradnl"/>
        </w:rPr>
        <w:t xml:space="preserve">Maite María Álvarez Cuéllar, Javier Ernesto Álvarez Cuéllar, Ana Gabriela Álvarez Cuéllar, </w:t>
      </w:r>
      <w:r w:rsidR="000844A7" w:rsidRPr="00465F79">
        <w:rPr>
          <w:lang w:eastAsia="es-ES_tradnl"/>
        </w:rPr>
        <w:t xml:space="preserve">hijos de </w:t>
      </w:r>
      <w:r w:rsidR="000844A7" w:rsidRPr="00465F79">
        <w:rPr>
          <w:lang w:val="es-ES" w:eastAsia="es-ES_tradnl"/>
        </w:rPr>
        <w:t>Patricia Emilie Cuéllar Sandoval y nietos de Mauricio Cuéllar Cuéllar</w:t>
      </w:r>
      <w:r w:rsidR="00465F79" w:rsidRPr="00465F79">
        <w:rPr>
          <w:lang w:val="es-ES" w:eastAsia="es-ES_tradnl"/>
        </w:rPr>
        <w:t>;</w:t>
      </w:r>
    </w:p>
    <w:p w14:paraId="2698CE39" w14:textId="77777777" w:rsidR="000844A7" w:rsidRPr="00465F79" w:rsidRDefault="000844A7" w:rsidP="000844A7">
      <w:pPr>
        <w:pStyle w:val="Prrafodelista"/>
        <w:widowControl/>
        <w:tabs>
          <w:tab w:val="left" w:pos="567"/>
        </w:tabs>
        <w:autoSpaceDE w:val="0"/>
        <w:autoSpaceDN w:val="0"/>
        <w:spacing w:line="240" w:lineRule="auto"/>
        <w:ind w:left="1080"/>
        <w:textAlignment w:val="baseline"/>
        <w:rPr>
          <w:lang w:val="es-ES" w:eastAsia="es-ES_tradnl"/>
        </w:rPr>
      </w:pPr>
    </w:p>
    <w:p w14:paraId="2AC135B3" w14:textId="67779445" w:rsidR="00A12976" w:rsidRDefault="00662A44">
      <w:pPr>
        <w:pStyle w:val="Prrafodelista"/>
        <w:widowControl/>
        <w:numPr>
          <w:ilvl w:val="0"/>
          <w:numId w:val="14"/>
        </w:numPr>
        <w:tabs>
          <w:tab w:val="left" w:pos="567"/>
          <w:tab w:val="num" w:pos="12305"/>
        </w:tabs>
        <w:autoSpaceDE w:val="0"/>
        <w:autoSpaceDN w:val="0"/>
        <w:spacing w:line="240" w:lineRule="auto"/>
        <w:textAlignment w:val="baseline"/>
        <w:rPr>
          <w:lang w:val="es-ES" w:eastAsia="es-ES_tradnl"/>
        </w:rPr>
      </w:pPr>
      <w:r w:rsidRPr="00A12976">
        <w:rPr>
          <w:lang w:val="pt-BR" w:eastAsia="es-ES_tradnl"/>
        </w:rPr>
        <w:t xml:space="preserve">Francisco </w:t>
      </w:r>
      <w:r w:rsidR="00465F79" w:rsidRPr="00A12976">
        <w:rPr>
          <w:lang w:val="pt-BR" w:eastAsia="es-ES_tradnl"/>
        </w:rPr>
        <w:t xml:space="preserve">Alfredo </w:t>
      </w:r>
      <w:r w:rsidRPr="00A12976">
        <w:rPr>
          <w:lang w:val="pt-BR" w:eastAsia="es-ES_tradnl"/>
        </w:rPr>
        <w:t xml:space="preserve">Álvarez Solís, </w:t>
      </w:r>
      <w:r w:rsidR="000844A7" w:rsidRPr="00A12976">
        <w:rPr>
          <w:lang w:val="pt-BR" w:eastAsia="es-ES_tradnl"/>
        </w:rPr>
        <w:t xml:space="preserve">exesposo de </w:t>
      </w:r>
      <w:r w:rsidR="000844A7" w:rsidRPr="00A12976">
        <w:rPr>
          <w:lang w:val="es-ES" w:eastAsia="es-ES_tradnl"/>
        </w:rPr>
        <w:t>Patricia Emilie Cuéllar Sandoval</w:t>
      </w:r>
      <w:r w:rsidR="00465F79" w:rsidRPr="00A12976">
        <w:rPr>
          <w:lang w:val="es-ES" w:eastAsia="es-ES_tradnl"/>
        </w:rPr>
        <w:t>;</w:t>
      </w:r>
    </w:p>
    <w:p w14:paraId="71A18398" w14:textId="77777777" w:rsidR="006760AE" w:rsidRPr="006760AE" w:rsidRDefault="006760AE" w:rsidP="006760AE">
      <w:pPr>
        <w:pStyle w:val="Prrafodelista"/>
        <w:widowControl/>
        <w:tabs>
          <w:tab w:val="left" w:pos="567"/>
        </w:tabs>
        <w:autoSpaceDE w:val="0"/>
        <w:autoSpaceDN w:val="0"/>
        <w:spacing w:line="240" w:lineRule="auto"/>
        <w:ind w:left="1080"/>
        <w:textAlignment w:val="baseline"/>
        <w:rPr>
          <w:lang w:val="es-ES" w:eastAsia="es-ES_tradnl"/>
        </w:rPr>
      </w:pPr>
    </w:p>
    <w:p w14:paraId="35C9DF65" w14:textId="711FF25B" w:rsidR="00465F79" w:rsidRPr="00A12976" w:rsidRDefault="00465F79">
      <w:pPr>
        <w:pStyle w:val="Prrafodelista"/>
        <w:widowControl/>
        <w:numPr>
          <w:ilvl w:val="0"/>
          <w:numId w:val="14"/>
        </w:numPr>
        <w:tabs>
          <w:tab w:val="left" w:pos="567"/>
          <w:tab w:val="num" w:pos="12305"/>
        </w:tabs>
        <w:autoSpaceDE w:val="0"/>
        <w:autoSpaceDN w:val="0"/>
        <w:spacing w:line="240" w:lineRule="auto"/>
        <w:textAlignment w:val="baseline"/>
        <w:rPr>
          <w:lang w:val="es-ES" w:eastAsia="es-ES_tradnl"/>
        </w:rPr>
      </w:pPr>
      <w:r w:rsidRPr="00465F79">
        <w:rPr>
          <w:lang w:eastAsia="es-ES_tradnl"/>
        </w:rPr>
        <w:t xml:space="preserve">Mauricio Cuéllar Sandoval, hijo de </w:t>
      </w:r>
      <w:r w:rsidRPr="00A12976">
        <w:rPr>
          <w:lang w:val="es-ES" w:eastAsia="es-ES_tradnl"/>
        </w:rPr>
        <w:t>Mauricio Cuéllar Cuéllar y hermano de Patricia Emilie Cuéllar Sandoval;</w:t>
      </w:r>
    </w:p>
    <w:p w14:paraId="1F21D7D9" w14:textId="77777777" w:rsidR="00A12976" w:rsidRPr="00A12976" w:rsidRDefault="00A12976" w:rsidP="00A12976">
      <w:pPr>
        <w:pStyle w:val="Prrafodelista"/>
        <w:widowControl/>
        <w:tabs>
          <w:tab w:val="left" w:pos="567"/>
        </w:tabs>
        <w:autoSpaceDE w:val="0"/>
        <w:autoSpaceDN w:val="0"/>
        <w:spacing w:line="240" w:lineRule="auto"/>
        <w:ind w:left="1080"/>
        <w:textAlignment w:val="baseline"/>
        <w:rPr>
          <w:lang w:val="es-ES" w:eastAsia="es-ES_tradnl"/>
        </w:rPr>
      </w:pPr>
    </w:p>
    <w:p w14:paraId="08911EB9" w14:textId="3C6B633C" w:rsidR="00465F79" w:rsidRPr="00465F79" w:rsidRDefault="00662A44">
      <w:pPr>
        <w:pStyle w:val="Prrafodelista"/>
        <w:widowControl/>
        <w:numPr>
          <w:ilvl w:val="0"/>
          <w:numId w:val="14"/>
        </w:numPr>
        <w:tabs>
          <w:tab w:val="left" w:pos="567"/>
          <w:tab w:val="num" w:pos="12305"/>
        </w:tabs>
        <w:autoSpaceDE w:val="0"/>
        <w:autoSpaceDN w:val="0"/>
        <w:spacing w:line="240" w:lineRule="auto"/>
        <w:textAlignment w:val="baseline"/>
        <w:rPr>
          <w:lang w:val="es-ES" w:eastAsia="es-ES_tradnl"/>
        </w:rPr>
      </w:pPr>
      <w:r w:rsidRPr="00465F79">
        <w:rPr>
          <w:lang w:eastAsia="es-ES_tradnl"/>
        </w:rPr>
        <w:t>María Consuelo Cuéllar Cuélla</w:t>
      </w:r>
      <w:r w:rsidR="00465F79" w:rsidRPr="00465F79">
        <w:rPr>
          <w:lang w:eastAsia="es-ES_tradnl"/>
        </w:rPr>
        <w:t xml:space="preserve">r y </w:t>
      </w:r>
      <w:r w:rsidR="00791651">
        <w:rPr>
          <w:lang w:eastAsia="es-ES_tradnl"/>
        </w:rPr>
        <w:t xml:space="preserve">León </w:t>
      </w:r>
      <w:r w:rsidRPr="00465F79">
        <w:rPr>
          <w:lang w:eastAsia="es-ES_tradnl"/>
        </w:rPr>
        <w:t>Enrique Cuéllar Cuéllar,</w:t>
      </w:r>
      <w:r w:rsidR="00465F79" w:rsidRPr="00465F79">
        <w:rPr>
          <w:lang w:eastAsia="es-ES_tradnl"/>
        </w:rPr>
        <w:t xml:space="preserve"> hermanos de </w:t>
      </w:r>
      <w:r w:rsidR="00465F79" w:rsidRPr="00465F79">
        <w:rPr>
          <w:lang w:val="es-ES" w:eastAsia="es-ES_tradnl"/>
        </w:rPr>
        <w:t>Mauricio Cuéllar Cuéllar;</w:t>
      </w:r>
    </w:p>
    <w:p w14:paraId="16F49282" w14:textId="77777777" w:rsidR="00A12976" w:rsidRPr="00A12976" w:rsidRDefault="00A12976" w:rsidP="00A12976">
      <w:pPr>
        <w:pStyle w:val="Prrafodelista"/>
        <w:widowControl/>
        <w:tabs>
          <w:tab w:val="left" w:pos="567"/>
        </w:tabs>
        <w:autoSpaceDE w:val="0"/>
        <w:autoSpaceDN w:val="0"/>
        <w:spacing w:line="240" w:lineRule="auto"/>
        <w:ind w:left="1080"/>
        <w:textAlignment w:val="baseline"/>
        <w:rPr>
          <w:lang w:val="es-ES" w:eastAsia="es-ES_tradnl"/>
        </w:rPr>
      </w:pPr>
    </w:p>
    <w:p w14:paraId="20C02934" w14:textId="30B35460" w:rsidR="00465F79" w:rsidRPr="00465F79" w:rsidRDefault="00662A44">
      <w:pPr>
        <w:pStyle w:val="Prrafodelista"/>
        <w:widowControl/>
        <w:numPr>
          <w:ilvl w:val="0"/>
          <w:numId w:val="14"/>
        </w:numPr>
        <w:tabs>
          <w:tab w:val="left" w:pos="567"/>
          <w:tab w:val="num" w:pos="12305"/>
        </w:tabs>
        <w:autoSpaceDE w:val="0"/>
        <w:autoSpaceDN w:val="0"/>
        <w:spacing w:line="240" w:lineRule="auto"/>
        <w:textAlignment w:val="baseline"/>
        <w:rPr>
          <w:lang w:val="es-ES" w:eastAsia="es-ES_tradnl"/>
        </w:rPr>
      </w:pPr>
      <w:r w:rsidRPr="00465F79">
        <w:rPr>
          <w:lang w:eastAsia="es-ES_tradnl"/>
        </w:rPr>
        <w:lastRenderedPageBreak/>
        <w:t xml:space="preserve">Ana </w:t>
      </w:r>
      <w:r w:rsidR="00F01B69">
        <w:rPr>
          <w:lang w:eastAsia="es-ES_tradnl"/>
        </w:rPr>
        <w:t>Gladis</w:t>
      </w:r>
      <w:r w:rsidRPr="00465F79">
        <w:rPr>
          <w:lang w:eastAsia="es-ES_tradnl"/>
        </w:rPr>
        <w:t xml:space="preserve"> Pérez </w:t>
      </w:r>
      <w:r w:rsidR="000B7B3C">
        <w:rPr>
          <w:lang w:eastAsia="es-ES_tradnl"/>
        </w:rPr>
        <w:t xml:space="preserve">de </w:t>
      </w:r>
      <w:r w:rsidRPr="00465F79">
        <w:rPr>
          <w:lang w:eastAsia="es-ES_tradnl"/>
        </w:rPr>
        <w:t>Castro</w:t>
      </w:r>
      <w:r w:rsidR="00465F79" w:rsidRPr="00465F79">
        <w:rPr>
          <w:lang w:eastAsia="es-ES_tradnl"/>
        </w:rPr>
        <w:t xml:space="preserve">, hija de </w:t>
      </w:r>
      <w:r w:rsidR="00465F79" w:rsidRPr="00465F79">
        <w:rPr>
          <w:lang w:val="es-ES" w:eastAsia="es-ES_tradnl"/>
        </w:rPr>
        <w:t>Julia Orbelina Pérez</w:t>
      </w:r>
      <w:r w:rsidR="002B66AB">
        <w:rPr>
          <w:lang w:val="es-ES" w:eastAsia="es-ES_tradnl"/>
        </w:rPr>
        <w:t>, y</w:t>
      </w:r>
    </w:p>
    <w:p w14:paraId="0E104681" w14:textId="77777777" w:rsidR="00A12976" w:rsidRPr="00157564" w:rsidRDefault="00A12976" w:rsidP="00A12976">
      <w:pPr>
        <w:pStyle w:val="Prrafodelista"/>
        <w:widowControl/>
        <w:tabs>
          <w:tab w:val="left" w:pos="567"/>
        </w:tabs>
        <w:autoSpaceDE w:val="0"/>
        <w:autoSpaceDN w:val="0"/>
        <w:spacing w:line="240" w:lineRule="auto"/>
        <w:ind w:left="1080"/>
        <w:textAlignment w:val="baseline"/>
        <w:rPr>
          <w:lang w:eastAsia="es-ES_tradnl"/>
        </w:rPr>
      </w:pPr>
    </w:p>
    <w:p w14:paraId="576DD015" w14:textId="050E3B94" w:rsidR="00465F79" w:rsidRPr="00465F79" w:rsidRDefault="00662A44">
      <w:pPr>
        <w:pStyle w:val="Prrafodelista"/>
        <w:widowControl/>
        <w:numPr>
          <w:ilvl w:val="0"/>
          <w:numId w:val="14"/>
        </w:numPr>
        <w:tabs>
          <w:tab w:val="left" w:pos="567"/>
          <w:tab w:val="num" w:pos="12305"/>
        </w:tabs>
        <w:autoSpaceDE w:val="0"/>
        <w:autoSpaceDN w:val="0"/>
        <w:spacing w:line="240" w:lineRule="auto"/>
        <w:textAlignment w:val="baseline"/>
        <w:rPr>
          <w:lang w:val="pt-BR" w:eastAsia="es-ES_tradnl"/>
        </w:rPr>
      </w:pPr>
      <w:r w:rsidRPr="00465F79">
        <w:rPr>
          <w:lang w:val="pt-BR" w:eastAsia="es-ES_tradnl"/>
        </w:rPr>
        <w:t xml:space="preserve">Teresa Pérez de Ramos, </w:t>
      </w:r>
      <w:r w:rsidR="00465F79" w:rsidRPr="00465F79">
        <w:rPr>
          <w:lang w:val="pt-BR" w:eastAsia="es-ES_tradnl"/>
        </w:rPr>
        <w:t xml:space="preserve">hermana de </w:t>
      </w:r>
      <w:r w:rsidR="00465F79" w:rsidRPr="00465F79">
        <w:rPr>
          <w:lang w:val="es-ES" w:eastAsia="es-ES_tradnl"/>
        </w:rPr>
        <w:t>Julia Orbelina Pérez.</w:t>
      </w:r>
    </w:p>
    <w:p w14:paraId="70233DF4" w14:textId="77777777" w:rsidR="00552327" w:rsidRDefault="00552327" w:rsidP="00552327">
      <w:pPr>
        <w:widowControl/>
        <w:tabs>
          <w:tab w:val="left" w:pos="567"/>
        </w:tabs>
        <w:autoSpaceDE w:val="0"/>
        <w:autoSpaceDN w:val="0"/>
        <w:spacing w:line="240" w:lineRule="auto"/>
        <w:textAlignment w:val="baseline"/>
        <w:rPr>
          <w:lang w:val="es-ES" w:eastAsia="es-ES_tradnl"/>
        </w:rPr>
      </w:pPr>
    </w:p>
    <w:p w14:paraId="6CD11A3E" w14:textId="1A713722" w:rsidR="00CE13D0" w:rsidRPr="00465F79" w:rsidRDefault="00465F79" w:rsidP="001C251A">
      <w:pPr>
        <w:widowControl/>
        <w:numPr>
          <w:ilvl w:val="0"/>
          <w:numId w:val="7"/>
        </w:numPr>
        <w:tabs>
          <w:tab w:val="left" w:pos="567"/>
          <w:tab w:val="num" w:pos="1569"/>
          <w:tab w:val="num" w:pos="12305"/>
        </w:tabs>
        <w:autoSpaceDE w:val="0"/>
        <w:autoSpaceDN w:val="0"/>
        <w:spacing w:line="240" w:lineRule="auto"/>
        <w:ind w:left="0" w:firstLine="0"/>
        <w:textAlignment w:val="baseline"/>
        <w:rPr>
          <w:lang w:val="es-ES" w:eastAsia="es-ES_tradnl"/>
        </w:rPr>
      </w:pPr>
      <w:r w:rsidRPr="00465F79">
        <w:rPr>
          <w:lang w:val="es-ES" w:eastAsia="es-ES_tradnl"/>
        </w:rPr>
        <w:t>Las señaladas personas</w:t>
      </w:r>
      <w:r w:rsidR="0017279F" w:rsidRPr="00465F79">
        <w:rPr>
          <w:lang w:val="es-ES" w:eastAsia="es-ES_tradnl"/>
        </w:rPr>
        <w:t xml:space="preserve">, en su carácter de víctimas de las violaciones declaradas en el capítulo </w:t>
      </w:r>
      <w:r w:rsidR="00A4754E" w:rsidRPr="00465F79">
        <w:rPr>
          <w:lang w:val="es-ES" w:eastAsia="es-ES_tradnl"/>
        </w:rPr>
        <w:t>VII</w:t>
      </w:r>
      <w:r w:rsidR="0017279F" w:rsidRPr="00465F79">
        <w:rPr>
          <w:lang w:val="es-ES" w:eastAsia="es-ES_tradnl"/>
        </w:rPr>
        <w:t xml:space="preserve"> de la presente Sentencia, serán beneficiarias de las reparaciones que la Corte ordene. </w:t>
      </w:r>
      <w:r w:rsidRPr="00465F79">
        <w:rPr>
          <w:lang w:val="es-ES" w:eastAsia="es-ES_tradnl"/>
        </w:rPr>
        <w:t>Por último, l</w:t>
      </w:r>
      <w:r w:rsidR="00A4754E" w:rsidRPr="00465F79">
        <w:rPr>
          <w:lang w:val="es-ES" w:eastAsia="es-ES_tradnl"/>
        </w:rPr>
        <w:t xml:space="preserve">a Corte advierte que, según lo señalado por el representante en su comunicación de </w:t>
      </w:r>
      <w:r w:rsidR="00E50A3A" w:rsidRPr="00465F79">
        <w:rPr>
          <w:lang w:val="es-ES" w:eastAsia="es-ES_tradnl"/>
        </w:rPr>
        <w:t>23 de junio de 2022</w:t>
      </w:r>
      <w:r w:rsidRPr="00465F79">
        <w:rPr>
          <w:lang w:val="es-ES" w:eastAsia="es-ES_tradnl"/>
        </w:rPr>
        <w:t>,</w:t>
      </w:r>
      <w:r w:rsidR="00E50A3A" w:rsidRPr="00465F79">
        <w:rPr>
          <w:lang w:val="es-ES" w:eastAsia="es-ES_tradnl"/>
        </w:rPr>
        <w:t xml:space="preserve"> </w:t>
      </w:r>
      <w:r w:rsidR="00E50A3A" w:rsidRPr="00465F79">
        <w:rPr>
          <w:rFonts w:eastAsiaTheme="minorHAnsi" w:cs="Verdana"/>
          <w:lang w:eastAsia="en-US"/>
        </w:rPr>
        <w:t>María Consuelo Cuéllar Cuéllar</w:t>
      </w:r>
      <w:r w:rsidRPr="00465F79">
        <w:rPr>
          <w:rFonts w:eastAsiaTheme="minorHAnsi" w:cs="Verdana"/>
          <w:lang w:eastAsia="en-US"/>
        </w:rPr>
        <w:t>,</w:t>
      </w:r>
      <w:r w:rsidR="00E50A3A" w:rsidRPr="00465F79">
        <w:rPr>
          <w:rFonts w:eastAsiaTheme="minorHAnsi" w:cs="Verdana"/>
          <w:lang w:eastAsia="en-US"/>
        </w:rPr>
        <w:t xml:space="preserve"> </w:t>
      </w:r>
      <w:r w:rsidR="00791651">
        <w:rPr>
          <w:rFonts w:eastAsiaTheme="minorHAnsi" w:cs="Verdana"/>
          <w:lang w:eastAsia="en-US"/>
        </w:rPr>
        <w:t xml:space="preserve">León </w:t>
      </w:r>
      <w:r w:rsidRPr="00465F79">
        <w:rPr>
          <w:rFonts w:eastAsiaTheme="minorHAnsi" w:cs="Verdana"/>
          <w:lang w:eastAsia="en-US"/>
        </w:rPr>
        <w:t xml:space="preserve">Enrique Cuéllar Cuéllar </w:t>
      </w:r>
      <w:r w:rsidR="00E50A3A" w:rsidRPr="00465F79">
        <w:rPr>
          <w:rFonts w:eastAsiaTheme="minorHAnsi" w:cs="Verdana"/>
          <w:lang w:eastAsia="en-US"/>
        </w:rPr>
        <w:t xml:space="preserve">y Teresa Pérez </w:t>
      </w:r>
      <w:r w:rsidRPr="00465F79">
        <w:rPr>
          <w:rFonts w:eastAsiaTheme="minorHAnsi" w:cs="Verdana"/>
          <w:lang w:eastAsia="en-US"/>
        </w:rPr>
        <w:t xml:space="preserve">de Ramos </w:t>
      </w:r>
      <w:r w:rsidR="00E50A3A" w:rsidRPr="00465F79">
        <w:rPr>
          <w:rFonts w:eastAsiaTheme="minorHAnsi" w:cs="Verdana"/>
          <w:lang w:eastAsia="en-US"/>
        </w:rPr>
        <w:t>ya fallecieron</w:t>
      </w:r>
      <w:r w:rsidR="00E50A3A" w:rsidRPr="00465F79">
        <w:rPr>
          <w:rStyle w:val="Refdenotaalpie"/>
          <w:rFonts w:eastAsiaTheme="minorHAnsi" w:cs="Verdana"/>
          <w:lang w:eastAsia="en-US"/>
        </w:rPr>
        <w:footnoteReference w:id="168"/>
      </w:r>
      <w:r w:rsidR="00E50A3A" w:rsidRPr="00465F79">
        <w:rPr>
          <w:rFonts w:eastAsiaTheme="minorHAnsi" w:cs="Verdana"/>
          <w:lang w:eastAsia="en-US"/>
        </w:rPr>
        <w:t xml:space="preserve">. </w:t>
      </w:r>
    </w:p>
    <w:p w14:paraId="24310ED1" w14:textId="21EAF987" w:rsidR="003D423C" w:rsidRPr="00926F27" w:rsidRDefault="0017279F" w:rsidP="00926F27">
      <w:pPr>
        <w:pStyle w:val="Ttulo2"/>
      </w:pPr>
      <w:bookmarkStart w:id="154" w:name="_Toc135061339"/>
      <w:bookmarkStart w:id="155" w:name="_Toc165022636"/>
      <w:r w:rsidRPr="00465F79">
        <w:t>Obligación de investigar</w:t>
      </w:r>
      <w:bookmarkEnd w:id="154"/>
      <w:bookmarkEnd w:id="155"/>
      <w:r w:rsidR="00662A44" w:rsidRPr="00465F79">
        <w:t xml:space="preserve"> </w:t>
      </w:r>
    </w:p>
    <w:p w14:paraId="09122033" w14:textId="202A07F5" w:rsidR="003D423C" w:rsidRPr="00465F79" w:rsidRDefault="00926F27" w:rsidP="003D423C">
      <w:pPr>
        <w:widowControl/>
        <w:numPr>
          <w:ilvl w:val="0"/>
          <w:numId w:val="7"/>
        </w:numPr>
        <w:tabs>
          <w:tab w:val="left" w:pos="567"/>
          <w:tab w:val="num" w:pos="1569"/>
          <w:tab w:val="num" w:pos="12305"/>
        </w:tabs>
        <w:autoSpaceDE w:val="0"/>
        <w:autoSpaceDN w:val="0"/>
        <w:spacing w:line="240" w:lineRule="auto"/>
        <w:ind w:left="0" w:firstLine="0"/>
        <w:textAlignment w:val="baseline"/>
        <w:rPr>
          <w:rFonts w:cs="Arial"/>
          <w:bCs/>
        </w:rPr>
      </w:pPr>
      <w:r>
        <w:rPr>
          <w:rFonts w:cs="Arial"/>
          <w:bCs/>
        </w:rPr>
        <w:t xml:space="preserve">La </w:t>
      </w:r>
      <w:r w:rsidRPr="00926F27">
        <w:rPr>
          <w:rFonts w:cs="Arial"/>
          <w:b/>
          <w:i/>
          <w:iCs/>
        </w:rPr>
        <w:t>Comisión</w:t>
      </w:r>
      <w:r w:rsidR="003D423C" w:rsidRPr="00465F79">
        <w:rPr>
          <w:rFonts w:cs="Arial"/>
          <w:bCs/>
        </w:rPr>
        <w:t xml:space="preserve"> recomendó continuar la investigación penal por desaparición forzada de manera diligente, efectiva, y dentro de un plazo razonable con el objetivo de esclarecer los hechos de forma completa, identificar todas las </w:t>
      </w:r>
      <w:r w:rsidR="002B66AB">
        <w:rPr>
          <w:rFonts w:cs="Arial"/>
          <w:bCs/>
        </w:rPr>
        <w:t>posibles</w:t>
      </w:r>
      <w:r w:rsidR="003D423C" w:rsidRPr="00465F79">
        <w:rPr>
          <w:rFonts w:cs="Arial"/>
          <w:bCs/>
        </w:rPr>
        <w:t xml:space="preserve"> responsabilidades e imponer las sanciones correspondientes. Solicitó que dicha investigación incluyera la línea de investigación relacionada con la participación de agentes estatales en los hechos y la persecución contra la organización Socorro Jurídico Cristiano en el conflicto armado. Indicó que dicha investigación deberá abordar un posible contexto que describa las violencias a las que pudieron ser sometidas las mujeres en el marco del conflicto armado y adoptar una perspectiva de género en la investigación de las desapariciones forzadas de Patricia E</w:t>
      </w:r>
      <w:r w:rsidR="00157564">
        <w:rPr>
          <w:rFonts w:cs="Arial"/>
          <w:bCs/>
        </w:rPr>
        <w:t>milie</w:t>
      </w:r>
      <w:r w:rsidR="003D423C" w:rsidRPr="00465F79">
        <w:rPr>
          <w:rFonts w:cs="Arial"/>
          <w:bCs/>
        </w:rPr>
        <w:t xml:space="preserve"> Cuéllar Sandoval y Julia Orbelina Pérez. </w:t>
      </w:r>
    </w:p>
    <w:p w14:paraId="176A07D1" w14:textId="77777777" w:rsidR="003D423C" w:rsidRPr="00465F79" w:rsidRDefault="003D423C" w:rsidP="003D423C">
      <w:pPr>
        <w:spacing w:line="240" w:lineRule="auto"/>
        <w:rPr>
          <w:rFonts w:cs="Arial"/>
          <w:bCs/>
        </w:rPr>
      </w:pPr>
    </w:p>
    <w:p w14:paraId="41B8F667" w14:textId="077FF4BC" w:rsidR="003D423C" w:rsidRPr="00465F79" w:rsidRDefault="00926F27" w:rsidP="003D423C">
      <w:pPr>
        <w:widowControl/>
        <w:numPr>
          <w:ilvl w:val="0"/>
          <w:numId w:val="7"/>
        </w:numPr>
        <w:tabs>
          <w:tab w:val="left" w:pos="567"/>
          <w:tab w:val="num" w:pos="1569"/>
          <w:tab w:val="num" w:pos="12305"/>
        </w:tabs>
        <w:autoSpaceDE w:val="0"/>
        <w:autoSpaceDN w:val="0"/>
        <w:spacing w:line="240" w:lineRule="auto"/>
        <w:ind w:left="0" w:firstLine="0"/>
        <w:textAlignment w:val="baseline"/>
        <w:rPr>
          <w:rFonts w:eastAsia="Arial" w:cs="Arial"/>
          <w:lang w:val="es-ES"/>
        </w:rPr>
      </w:pPr>
      <w:r>
        <w:rPr>
          <w:rFonts w:eastAsia="Arial" w:cs="Arial"/>
          <w:lang w:val="es-ES"/>
        </w:rPr>
        <w:t>E</w:t>
      </w:r>
      <w:r w:rsidR="003D423C" w:rsidRPr="00465F79">
        <w:rPr>
          <w:rFonts w:eastAsia="Arial" w:cs="Arial"/>
          <w:lang w:val="es-ES"/>
        </w:rPr>
        <w:t xml:space="preserve">l </w:t>
      </w:r>
      <w:r w:rsidR="003D423C" w:rsidRPr="00926F27">
        <w:rPr>
          <w:rFonts w:eastAsia="Arial" w:cs="Arial"/>
          <w:b/>
          <w:bCs/>
          <w:i/>
          <w:iCs/>
          <w:lang w:val="es-ES"/>
        </w:rPr>
        <w:t>representante</w:t>
      </w:r>
      <w:r w:rsidR="003D423C" w:rsidRPr="00465F79">
        <w:rPr>
          <w:rFonts w:eastAsia="Arial" w:cs="Arial"/>
          <w:lang w:val="es-ES"/>
        </w:rPr>
        <w:t xml:space="preserve"> se adhirió a lo señalado por la Comisión Interamericana</w:t>
      </w:r>
      <w:r w:rsidR="00080BE8">
        <w:rPr>
          <w:rFonts w:eastAsia="Arial" w:cs="Arial"/>
          <w:lang w:val="es-ES"/>
        </w:rPr>
        <w:t xml:space="preserve"> a este</w:t>
      </w:r>
      <w:r w:rsidR="003D423C" w:rsidRPr="00465F79">
        <w:rPr>
          <w:rFonts w:eastAsia="Arial" w:cs="Arial"/>
          <w:lang w:val="es-ES"/>
        </w:rPr>
        <w:t xml:space="preserve"> respecto. </w:t>
      </w:r>
    </w:p>
    <w:p w14:paraId="6FD1B15F" w14:textId="77777777" w:rsidR="003D423C" w:rsidRPr="00465F79" w:rsidRDefault="003D423C" w:rsidP="003D423C">
      <w:pPr>
        <w:autoSpaceDE w:val="0"/>
        <w:autoSpaceDN w:val="0"/>
        <w:spacing w:line="240" w:lineRule="auto"/>
        <w:rPr>
          <w:rFonts w:cs="Arial"/>
          <w:b/>
        </w:rPr>
      </w:pPr>
    </w:p>
    <w:p w14:paraId="00983B23" w14:textId="52DC82A6" w:rsidR="003D423C" w:rsidRPr="00157564" w:rsidRDefault="00926F27" w:rsidP="003D423C">
      <w:pPr>
        <w:widowControl/>
        <w:numPr>
          <w:ilvl w:val="0"/>
          <w:numId w:val="7"/>
        </w:numPr>
        <w:tabs>
          <w:tab w:val="left" w:pos="567"/>
          <w:tab w:val="num" w:pos="1569"/>
          <w:tab w:val="num" w:pos="12305"/>
        </w:tabs>
        <w:autoSpaceDE w:val="0"/>
        <w:autoSpaceDN w:val="0"/>
        <w:spacing w:line="240" w:lineRule="auto"/>
        <w:ind w:left="0" w:firstLine="0"/>
        <w:textAlignment w:val="baseline"/>
        <w:rPr>
          <w:rFonts w:eastAsia="Arial" w:cs="Arial"/>
          <w:lang w:val="es-ES"/>
        </w:rPr>
      </w:pPr>
      <w:r>
        <w:rPr>
          <w:rFonts w:eastAsia="Arial" w:cs="Arial"/>
          <w:lang w:val="es-ES"/>
        </w:rPr>
        <w:t>E</w:t>
      </w:r>
      <w:r w:rsidR="003D423C" w:rsidRPr="00465F79">
        <w:rPr>
          <w:rFonts w:eastAsia="Arial" w:cs="Arial"/>
          <w:lang w:val="es-ES"/>
        </w:rPr>
        <w:t xml:space="preserve">l </w:t>
      </w:r>
      <w:r w:rsidR="003D423C" w:rsidRPr="00926F27">
        <w:rPr>
          <w:rFonts w:eastAsia="Arial" w:cs="Arial"/>
          <w:b/>
          <w:bCs/>
          <w:i/>
          <w:iCs/>
          <w:lang w:val="es-ES"/>
        </w:rPr>
        <w:t>Estado</w:t>
      </w:r>
      <w:r w:rsidR="003D423C" w:rsidRPr="00465F79">
        <w:rPr>
          <w:rFonts w:eastAsia="Arial" w:cs="Arial"/>
          <w:lang w:val="es-ES"/>
        </w:rPr>
        <w:t xml:space="preserve"> informó </w:t>
      </w:r>
      <w:r w:rsidR="00157564">
        <w:rPr>
          <w:rFonts w:eastAsia="Arial" w:cs="Arial"/>
          <w:lang w:val="es-ES"/>
        </w:rPr>
        <w:t>que</w:t>
      </w:r>
      <w:r w:rsidR="00080BE8">
        <w:rPr>
          <w:rFonts w:eastAsia="Arial" w:cs="Arial"/>
          <w:lang w:val="es-ES"/>
        </w:rPr>
        <w:t>,</w:t>
      </w:r>
      <w:r w:rsidR="00157564">
        <w:rPr>
          <w:rFonts w:eastAsia="Arial" w:cs="Arial"/>
          <w:lang w:val="es-ES"/>
        </w:rPr>
        <w:t xml:space="preserve"> a</w:t>
      </w:r>
      <w:r w:rsidR="003D423C" w:rsidRPr="00465F79">
        <w:rPr>
          <w:rFonts w:eastAsia="Arial" w:cs="Arial"/>
          <w:lang w:val="es-ES"/>
        </w:rPr>
        <w:t>ctualmente</w:t>
      </w:r>
      <w:r w:rsidR="00080BE8">
        <w:rPr>
          <w:rFonts w:eastAsia="Arial" w:cs="Arial"/>
          <w:lang w:val="es-ES"/>
        </w:rPr>
        <w:t>,</w:t>
      </w:r>
      <w:r w:rsidR="00157564">
        <w:rPr>
          <w:rFonts w:eastAsia="Arial" w:cs="Arial"/>
          <w:lang w:val="es-ES"/>
        </w:rPr>
        <w:t xml:space="preserve"> la </w:t>
      </w:r>
      <w:r w:rsidR="00080BE8">
        <w:rPr>
          <w:rFonts w:eastAsia="Arial" w:cs="Arial"/>
          <w:lang w:val="es-ES"/>
        </w:rPr>
        <w:t>investigación penal</w:t>
      </w:r>
      <w:r w:rsidR="003D423C" w:rsidRPr="00465F79">
        <w:rPr>
          <w:rFonts w:eastAsia="Arial" w:cs="Arial"/>
          <w:lang w:val="es-ES"/>
        </w:rPr>
        <w:t xml:space="preserve"> se encuentra bajo la responsabilidad de la Unidad Fiscal de Delitos cometidos en el Conflicto Armado Interno, bajo el expediente 45-GIDCAI-2017. El Estado </w:t>
      </w:r>
      <w:r w:rsidR="00157564">
        <w:rPr>
          <w:rFonts w:eastAsia="Arial" w:cs="Arial"/>
          <w:lang w:val="es-ES"/>
        </w:rPr>
        <w:t>añadió</w:t>
      </w:r>
      <w:r w:rsidR="003D423C" w:rsidRPr="00465F79">
        <w:rPr>
          <w:rFonts w:eastAsia="Arial" w:cs="Arial"/>
          <w:lang w:val="es-ES"/>
        </w:rPr>
        <w:t xml:space="preserve"> que la causa se investiga con “perspectiva de género”, en cumplimiento de la Política de Persecución Penal de Crímenes de Guerra y de Lesa Humanidad Ocurridos en el Contexto del Conflicto Armado Inter</w:t>
      </w:r>
      <w:r w:rsidR="003C4FC2">
        <w:rPr>
          <w:rFonts w:eastAsia="Arial" w:cs="Arial"/>
          <w:lang w:val="es-ES"/>
        </w:rPr>
        <w:t>n</w:t>
      </w:r>
      <w:r w:rsidR="000B7B3C">
        <w:rPr>
          <w:rFonts w:eastAsia="Arial" w:cs="Arial"/>
          <w:lang w:val="es-ES"/>
        </w:rPr>
        <w:t>o.</w:t>
      </w:r>
      <w:r w:rsidR="003D423C" w:rsidRPr="00465F79">
        <w:rPr>
          <w:rFonts w:eastAsia="Arial" w:cs="Arial"/>
          <w:lang w:val="es-ES"/>
        </w:rPr>
        <w:t xml:space="preserve"> </w:t>
      </w:r>
    </w:p>
    <w:p w14:paraId="61502AFB" w14:textId="77777777" w:rsidR="003F5FCF" w:rsidRPr="003F5FCF" w:rsidRDefault="003F5FCF" w:rsidP="003F5FCF">
      <w:pPr>
        <w:widowControl/>
        <w:tabs>
          <w:tab w:val="left" w:pos="567"/>
        </w:tabs>
        <w:autoSpaceDE w:val="0"/>
        <w:autoSpaceDN w:val="0"/>
        <w:spacing w:line="240" w:lineRule="auto"/>
        <w:textAlignment w:val="baseline"/>
      </w:pPr>
    </w:p>
    <w:p w14:paraId="3CE4BAA1" w14:textId="2F0F6A20" w:rsidR="00F822DB" w:rsidRPr="00926F27" w:rsidRDefault="00926F27" w:rsidP="00F822DB">
      <w:pPr>
        <w:widowControl/>
        <w:numPr>
          <w:ilvl w:val="0"/>
          <w:numId w:val="7"/>
        </w:numPr>
        <w:tabs>
          <w:tab w:val="left" w:pos="567"/>
          <w:tab w:val="num" w:pos="1569"/>
          <w:tab w:val="num" w:pos="12305"/>
        </w:tabs>
        <w:autoSpaceDE w:val="0"/>
        <w:autoSpaceDN w:val="0"/>
        <w:spacing w:line="240" w:lineRule="auto"/>
        <w:ind w:left="0" w:firstLine="0"/>
        <w:textAlignment w:val="baseline"/>
      </w:pPr>
      <w:r w:rsidRPr="00926F27">
        <w:rPr>
          <w:rFonts w:eastAsia="Arial" w:cs="Arial"/>
          <w:bCs/>
          <w:lang w:val="es-ES"/>
        </w:rPr>
        <w:t>L</w:t>
      </w:r>
      <w:r w:rsidR="0023020F" w:rsidRPr="00926F27">
        <w:rPr>
          <w:rFonts w:eastAsia="Arial" w:cs="Arial"/>
          <w:bCs/>
          <w:lang w:val="es-ES"/>
        </w:rPr>
        <w:t xml:space="preserve">a </w:t>
      </w:r>
      <w:r w:rsidR="0023020F" w:rsidRPr="00926F27">
        <w:rPr>
          <w:rFonts w:eastAsia="Arial" w:cs="Arial"/>
          <w:b/>
          <w:i/>
          <w:iCs/>
          <w:lang w:val="es-ES"/>
        </w:rPr>
        <w:t>Corte</w:t>
      </w:r>
      <w:r w:rsidR="0023020F" w:rsidRPr="00926F27">
        <w:rPr>
          <w:rFonts w:eastAsia="Arial" w:cs="Arial"/>
          <w:bCs/>
          <w:lang w:val="es-ES"/>
        </w:rPr>
        <w:t xml:space="preserve"> dispone, conforme a su jurisprudencia</w:t>
      </w:r>
      <w:r w:rsidR="0023020F" w:rsidRPr="00926F27">
        <w:rPr>
          <w:rStyle w:val="Refdenotaalpie"/>
          <w:rFonts w:eastAsia="Arial" w:cs="Arial"/>
          <w:bCs/>
        </w:rPr>
        <w:footnoteReference w:id="169"/>
      </w:r>
      <w:r w:rsidR="0023020F" w:rsidRPr="00926F27">
        <w:rPr>
          <w:rFonts w:eastAsia="Arial" w:cs="Arial"/>
          <w:bCs/>
          <w:lang w:val="es-ES"/>
        </w:rPr>
        <w:t>, que el Estado debe continuar, eficazmente y con la mayor diligencia, las investigaciones penales en curso a fin de esclarecer plenamente lo ocurrido e individualizar, juzgar y, en su caso, sancionar a todos los autores y partícipes de los hechos denunciados para los efectos penales correspondientes, en un plazo razonable. La debida diligencia en la investigación implica que todas las autoridades estatales están obligadas a colaborar en la recolección de la prueba, por lo que deberán brindar al organismo judicial intervinientes, la Fiscalía o a la autoridad competente que intervenga en las actuaciones, toda la información que requiera y abstenerse de ejecutar actos que impliquen la obstrucción del proceso investigativo</w:t>
      </w:r>
      <w:r w:rsidR="0023020F" w:rsidRPr="00926F27">
        <w:rPr>
          <w:rStyle w:val="Refdenotaalpie"/>
          <w:rFonts w:eastAsia="Arial" w:cs="Arial"/>
          <w:bCs/>
        </w:rPr>
        <w:footnoteReference w:id="170"/>
      </w:r>
      <w:r w:rsidR="0023020F" w:rsidRPr="00926F27">
        <w:rPr>
          <w:rFonts w:eastAsia="Arial" w:cs="Arial"/>
          <w:bCs/>
          <w:lang w:val="es-ES"/>
        </w:rPr>
        <w:t xml:space="preserve">. </w:t>
      </w:r>
      <w:r w:rsidR="000004C2">
        <w:t xml:space="preserve">Conforme a su jurisprudencia constante, la Corte reitera que el Estado debe asegurar la participación de las víctimas o sus familiares en la investigación y juzgamiento de los responsables. Dicha participación deberá tener como finalidad el </w:t>
      </w:r>
      <w:r w:rsidR="000004C2">
        <w:lastRenderedPageBreak/>
        <w:t>acceso a la justicia y el conocimiento de la verdad de lo ocurrido</w:t>
      </w:r>
      <w:r w:rsidR="000004C2">
        <w:rPr>
          <w:rStyle w:val="Refdenotaalpie"/>
        </w:rPr>
        <w:footnoteReference w:id="171"/>
      </w:r>
      <w:r w:rsidR="000004C2">
        <w:rPr>
          <w:rFonts w:eastAsia="Arial" w:cs="Arial"/>
          <w:bCs/>
          <w:lang w:val="es-ES"/>
        </w:rPr>
        <w:t xml:space="preserve">. </w:t>
      </w:r>
      <w:r w:rsidR="0023020F" w:rsidRPr="00926F27">
        <w:rPr>
          <w:rFonts w:eastAsia="Arial" w:cs="Arial"/>
          <w:bCs/>
          <w:lang w:val="es-ES"/>
        </w:rPr>
        <w:t>Además, el Estado deberá velar porque se observe</w:t>
      </w:r>
      <w:r w:rsidR="00AF4E6A" w:rsidRPr="00926F27">
        <w:rPr>
          <w:rFonts w:eastAsia="Arial" w:cs="Arial"/>
          <w:bCs/>
          <w:lang w:val="es-ES"/>
        </w:rPr>
        <w:t xml:space="preserve"> una perspectiva de género </w:t>
      </w:r>
      <w:r w:rsidR="00157564" w:rsidRPr="00926F27">
        <w:rPr>
          <w:rFonts w:eastAsia="Arial" w:cs="Arial"/>
          <w:bCs/>
          <w:lang w:val="es-ES"/>
        </w:rPr>
        <w:t xml:space="preserve">y un enfoque interseccional </w:t>
      </w:r>
      <w:r w:rsidR="00AF4E6A" w:rsidRPr="00926F27">
        <w:rPr>
          <w:rFonts w:eastAsia="Arial" w:cs="Arial"/>
          <w:bCs/>
          <w:lang w:val="es-ES"/>
        </w:rPr>
        <w:t>en la sustanciación de los procesos penales adelantados</w:t>
      </w:r>
      <w:r w:rsidR="00080BE8">
        <w:rPr>
          <w:rFonts w:eastAsia="Arial" w:cs="Arial"/>
          <w:bCs/>
          <w:lang w:val="es-ES"/>
        </w:rPr>
        <w:t>, todo ello</w:t>
      </w:r>
      <w:r w:rsidR="00AF4E6A" w:rsidRPr="00926F27">
        <w:rPr>
          <w:rFonts w:eastAsia="Arial" w:cs="Arial"/>
          <w:bCs/>
          <w:lang w:val="es-ES"/>
        </w:rPr>
        <w:t xml:space="preserve"> conforme a los estándares </w:t>
      </w:r>
      <w:r w:rsidR="00992937">
        <w:rPr>
          <w:rFonts w:eastAsia="Arial" w:cs="Arial"/>
          <w:bCs/>
          <w:lang w:val="es-ES"/>
        </w:rPr>
        <w:t>interamericanos desarrollados en la materia</w:t>
      </w:r>
      <w:r w:rsidR="00AF4E6A" w:rsidRPr="00926F27">
        <w:rPr>
          <w:rFonts w:eastAsia="Arial" w:cs="Arial"/>
          <w:bCs/>
          <w:lang w:val="es-ES"/>
        </w:rPr>
        <w:t>.</w:t>
      </w:r>
    </w:p>
    <w:p w14:paraId="69573AE7" w14:textId="7C681443" w:rsidR="00926F27" w:rsidRDefault="00926F27" w:rsidP="00926F27">
      <w:pPr>
        <w:pStyle w:val="Ttulo2"/>
        <w:rPr>
          <w:lang w:eastAsia="es-ES_tradnl"/>
        </w:rPr>
      </w:pPr>
      <w:bookmarkStart w:id="156" w:name="_Toc165022637"/>
      <w:r>
        <w:t xml:space="preserve">Determinación del paradero de </w:t>
      </w:r>
      <w:r w:rsidRPr="00465F79">
        <w:rPr>
          <w:lang w:eastAsia="es-ES_tradnl"/>
        </w:rPr>
        <w:t>Patricia Emilie Cuéllar Sandoval, Mauricio Cuéllar Cuéllar y Julia Orbelina Pérez</w:t>
      </w:r>
      <w:bookmarkEnd w:id="156"/>
    </w:p>
    <w:p w14:paraId="72635241" w14:textId="643321D3" w:rsidR="00926F27" w:rsidRDefault="00926F27" w:rsidP="00B9796C">
      <w:pPr>
        <w:widowControl/>
        <w:numPr>
          <w:ilvl w:val="0"/>
          <w:numId w:val="7"/>
        </w:numPr>
        <w:tabs>
          <w:tab w:val="left" w:pos="567"/>
          <w:tab w:val="num" w:pos="1569"/>
          <w:tab w:val="num" w:pos="12305"/>
        </w:tabs>
        <w:autoSpaceDE w:val="0"/>
        <w:autoSpaceDN w:val="0"/>
        <w:spacing w:line="240" w:lineRule="auto"/>
        <w:ind w:left="0" w:firstLine="0"/>
        <w:textAlignment w:val="baseline"/>
        <w:rPr>
          <w:rFonts w:cs="Arial"/>
          <w:b/>
        </w:rPr>
      </w:pPr>
      <w:r w:rsidRPr="002214E1">
        <w:rPr>
          <w:rFonts w:cs="Arial"/>
        </w:rPr>
        <w:t xml:space="preserve">La </w:t>
      </w:r>
      <w:r w:rsidRPr="002214E1">
        <w:rPr>
          <w:rFonts w:cs="Arial"/>
          <w:b/>
          <w:i/>
        </w:rPr>
        <w:t>Comisión</w:t>
      </w:r>
      <w:r w:rsidRPr="002214E1">
        <w:rPr>
          <w:rFonts w:cs="Arial"/>
        </w:rPr>
        <w:t xml:space="preserve"> recomendó en su Informe de Fondo investigar el destino o paradero de Patricia Cuéllar Sandoval, Mauricio Cuéllar Cuéllar y Julia Orbelina Pérez, y, de ser el </w:t>
      </w:r>
      <w:r w:rsidRPr="002214E1">
        <w:rPr>
          <w:lang w:val="es-ES" w:eastAsia="es-ES_tradnl"/>
        </w:rPr>
        <w:t>caso</w:t>
      </w:r>
      <w:r w:rsidRPr="002214E1">
        <w:rPr>
          <w:rFonts w:cs="Arial"/>
        </w:rPr>
        <w:t xml:space="preserve">, adoptar las medidas necesarias para identificar y entregar a sus familiares los restos mortales. Para ello, señaló que se debía realizar un plan de búsqueda de las presuntas víctimas que debe ser concertado previamente con los familiares. Asimismo, indicó que debían activarse los mecanismos creados por la </w:t>
      </w:r>
      <w:r w:rsidR="008A4BCD">
        <w:rPr>
          <w:rFonts w:cs="Arial"/>
        </w:rPr>
        <w:t>CONABÚSQUEDA</w:t>
      </w:r>
      <w:r w:rsidRPr="002214E1">
        <w:rPr>
          <w:rFonts w:cs="Arial"/>
        </w:rPr>
        <w:t xml:space="preserve"> a estos efectos. </w:t>
      </w:r>
    </w:p>
    <w:p w14:paraId="48B43EB4" w14:textId="77777777" w:rsidR="002214E1" w:rsidRPr="002214E1" w:rsidRDefault="002214E1" w:rsidP="002214E1">
      <w:pPr>
        <w:widowControl/>
        <w:tabs>
          <w:tab w:val="left" w:pos="567"/>
          <w:tab w:val="num" w:pos="12305"/>
        </w:tabs>
        <w:autoSpaceDE w:val="0"/>
        <w:autoSpaceDN w:val="0"/>
        <w:spacing w:line="240" w:lineRule="auto"/>
        <w:textAlignment w:val="baseline"/>
        <w:rPr>
          <w:rFonts w:cs="Arial"/>
          <w:b/>
        </w:rPr>
      </w:pPr>
    </w:p>
    <w:p w14:paraId="7454B273" w14:textId="76B27E94" w:rsidR="00C42E2A" w:rsidRPr="002214E1" w:rsidRDefault="00926F27" w:rsidP="00710697">
      <w:pPr>
        <w:widowControl/>
        <w:numPr>
          <w:ilvl w:val="0"/>
          <w:numId w:val="7"/>
        </w:numPr>
        <w:tabs>
          <w:tab w:val="left" w:pos="567"/>
          <w:tab w:val="num" w:pos="1569"/>
          <w:tab w:val="num" w:pos="12305"/>
        </w:tabs>
        <w:autoSpaceDE w:val="0"/>
        <w:autoSpaceDN w:val="0"/>
        <w:spacing w:line="240" w:lineRule="auto"/>
        <w:ind w:left="0" w:firstLine="0"/>
        <w:textAlignment w:val="baseline"/>
        <w:rPr>
          <w:rFonts w:eastAsia="Arial" w:cs="Arial"/>
          <w:lang w:val="es-ES"/>
        </w:rPr>
      </w:pPr>
      <w:r w:rsidRPr="002214E1">
        <w:rPr>
          <w:rFonts w:cs="Arial"/>
          <w:lang w:val="es-ES"/>
        </w:rPr>
        <w:t xml:space="preserve">El </w:t>
      </w:r>
      <w:r w:rsidRPr="002214E1">
        <w:rPr>
          <w:rFonts w:cs="Arial"/>
          <w:b/>
          <w:i/>
          <w:lang w:val="es-ES"/>
        </w:rPr>
        <w:t>representante</w:t>
      </w:r>
      <w:r w:rsidRPr="002214E1">
        <w:rPr>
          <w:rFonts w:eastAsia="Arial" w:cs="Arial"/>
          <w:lang w:val="es-ES"/>
        </w:rPr>
        <w:t xml:space="preserve"> señaló que valoraba positivamente los esfuerzos que ha venido realizando la CONAB</w:t>
      </w:r>
      <w:r w:rsidR="00992937">
        <w:rPr>
          <w:rFonts w:eastAsia="Arial" w:cs="Arial"/>
          <w:lang w:val="es-ES"/>
        </w:rPr>
        <w:t>Ú</w:t>
      </w:r>
      <w:r w:rsidRPr="002214E1">
        <w:rPr>
          <w:rFonts w:eastAsia="Arial" w:cs="Arial"/>
          <w:lang w:val="es-ES"/>
        </w:rPr>
        <w:t xml:space="preserve">SQUEDA para establecer el paradero de los restos humanos de las </w:t>
      </w:r>
      <w:r w:rsidRPr="002214E1">
        <w:rPr>
          <w:rFonts w:cs="Arial"/>
          <w:bCs/>
        </w:rPr>
        <w:t>presuntas</w:t>
      </w:r>
      <w:r w:rsidRPr="002214E1">
        <w:rPr>
          <w:rFonts w:eastAsia="Arial" w:cs="Arial"/>
          <w:lang w:val="es-ES"/>
        </w:rPr>
        <w:t xml:space="preserve"> víctimas. No obstante lo anterior, solicitó, con base en la jurisprudencia de la Corte, que el Estado </w:t>
      </w:r>
      <w:r w:rsidRPr="002214E1">
        <w:rPr>
          <w:rFonts w:cs="Arial"/>
        </w:rPr>
        <w:t>adopte las medidas necesarias para identificar y entregar a los familiares los restos mortales de las presuntas víctimas, llegando a cubrir los gastos fúnebres, de ser necesario, en común acuerdo con los familiares.</w:t>
      </w:r>
      <w:r w:rsidRPr="002214E1">
        <w:rPr>
          <w:rFonts w:eastAsia="Arial" w:cs="Arial"/>
          <w:lang w:val="es-ES"/>
        </w:rPr>
        <w:t xml:space="preserve"> </w:t>
      </w:r>
    </w:p>
    <w:p w14:paraId="0329F430" w14:textId="77777777" w:rsidR="002214E1" w:rsidRDefault="002214E1" w:rsidP="002214E1">
      <w:pPr>
        <w:pStyle w:val="Prrafodelista"/>
        <w:rPr>
          <w:rFonts w:eastAsia="Arial" w:cs="Arial"/>
          <w:lang w:val="es-ES"/>
        </w:rPr>
      </w:pPr>
    </w:p>
    <w:p w14:paraId="22A6E20A" w14:textId="18F919FF" w:rsidR="00926F27" w:rsidRPr="009D26E9" w:rsidRDefault="00926F27" w:rsidP="009D26E9">
      <w:pPr>
        <w:widowControl/>
        <w:numPr>
          <w:ilvl w:val="0"/>
          <w:numId w:val="7"/>
        </w:numPr>
        <w:tabs>
          <w:tab w:val="left" w:pos="567"/>
          <w:tab w:val="num" w:pos="1569"/>
          <w:tab w:val="num" w:pos="12305"/>
        </w:tabs>
        <w:autoSpaceDE w:val="0"/>
        <w:autoSpaceDN w:val="0"/>
        <w:spacing w:line="240" w:lineRule="auto"/>
        <w:ind w:left="0" w:firstLine="0"/>
        <w:textAlignment w:val="baseline"/>
        <w:rPr>
          <w:rFonts w:eastAsia="Arial" w:cs="Arial"/>
          <w:lang w:val="es-ES"/>
        </w:rPr>
      </w:pPr>
      <w:r w:rsidRPr="00157564">
        <w:t xml:space="preserve">El </w:t>
      </w:r>
      <w:r w:rsidRPr="009D26E9">
        <w:rPr>
          <w:b/>
          <w:bCs/>
          <w:i/>
          <w:iCs/>
        </w:rPr>
        <w:t>Estado</w:t>
      </w:r>
      <w:r w:rsidRPr="00157564">
        <w:t xml:space="preserve"> reconoció “su obligación de investigar el destino o paradero de Patricia Emilie Cuellar Sandoval, Mauricio Cuellar y Julia Orbelina Pérez. </w:t>
      </w:r>
      <w:r w:rsidRPr="009D26E9">
        <w:rPr>
          <w:rFonts w:cs="Arial"/>
          <w:bCs/>
        </w:rPr>
        <w:t>Asimismo,</w:t>
      </w:r>
      <w:r w:rsidRPr="009D26E9">
        <w:rPr>
          <w:rFonts w:cs="Arial"/>
          <w:b/>
          <w:i/>
          <w:iCs/>
        </w:rPr>
        <w:t xml:space="preserve"> </w:t>
      </w:r>
      <w:r w:rsidRPr="009D26E9">
        <w:rPr>
          <w:rFonts w:eastAsia="Arial" w:cs="Arial"/>
          <w:lang w:val="es-ES"/>
        </w:rPr>
        <w:t>señaló que en el 2017 se creó la Comisión Nacional de Búsqueda El Salvador (en adelante “</w:t>
      </w:r>
      <w:r w:rsidR="008A4BCD">
        <w:rPr>
          <w:rFonts w:eastAsia="Arial" w:cs="Arial"/>
          <w:lang w:val="es-ES"/>
        </w:rPr>
        <w:t>CONABÚSQUEDA</w:t>
      </w:r>
      <w:r w:rsidRPr="009D26E9">
        <w:rPr>
          <w:rFonts w:eastAsia="Arial" w:cs="Arial"/>
          <w:lang w:val="es-ES"/>
        </w:rPr>
        <w:t xml:space="preserve">”) con la finalidad de “investigar y determinar el paradero y situación de las víctimas adultas de la desaparición forzada durante el conflicto armado en El Salvador”. </w:t>
      </w:r>
      <w:r w:rsidR="002B66AB" w:rsidRPr="006760AE">
        <w:rPr>
          <w:rFonts w:eastAsia="Arial" w:cs="Arial"/>
          <w:lang w:val="es-ES"/>
        </w:rPr>
        <w:t>Adicionalmente,</w:t>
      </w:r>
      <w:r w:rsidRPr="006760AE">
        <w:rPr>
          <w:rFonts w:eastAsia="Arial" w:cs="Arial"/>
          <w:lang w:val="es-ES"/>
        </w:rPr>
        <w:t xml:space="preserve"> indicó que actualmente se encontraba realizando esfuerzos para </w:t>
      </w:r>
      <w:r w:rsidR="00BE52E7" w:rsidRPr="006760AE">
        <w:rPr>
          <w:rFonts w:eastAsia="Arial" w:cs="Arial"/>
          <w:lang w:val="es-ES"/>
        </w:rPr>
        <w:t xml:space="preserve">ubicar </w:t>
      </w:r>
      <w:r w:rsidRPr="006760AE">
        <w:rPr>
          <w:rFonts w:eastAsia="Arial" w:cs="Arial"/>
          <w:lang w:val="es-ES"/>
        </w:rPr>
        <w:t>los restos de las</w:t>
      </w:r>
      <w:r w:rsidRPr="009D26E9">
        <w:rPr>
          <w:rFonts w:eastAsia="Arial" w:cs="Arial"/>
          <w:lang w:val="es-ES"/>
        </w:rPr>
        <w:t xml:space="preserve"> presuntas víctimas, los cuales, “una vez localizados serán entregados a sus familiares”. En concreto, refirió que </w:t>
      </w:r>
      <w:r w:rsidR="008A4BCD">
        <w:rPr>
          <w:rFonts w:eastAsia="Arial" w:cs="Arial"/>
          <w:lang w:val="es-ES"/>
        </w:rPr>
        <w:t>CONABÚSQUEDA</w:t>
      </w:r>
      <w:r w:rsidRPr="009D26E9">
        <w:rPr>
          <w:rFonts w:eastAsia="Arial" w:cs="Arial"/>
          <w:lang w:val="es-ES"/>
        </w:rPr>
        <w:t xml:space="preserve"> ha liderado acciones investigativas tales como: (i) un levantamiento masivo de información sobre las personas no identificadas por muerte violenta e inhumanas durante el conflicto armado en los cementerios de San Salvador y Santa Ana; (ii) la </w:t>
      </w:r>
      <w:r w:rsidRPr="009D26E9">
        <w:rPr>
          <w:rFonts w:eastAsia="Arial" w:cs="Arial"/>
          <w:bCs/>
          <w:lang w:val="es-ES"/>
        </w:rPr>
        <w:t>toma</w:t>
      </w:r>
      <w:r w:rsidRPr="009D26E9">
        <w:rPr>
          <w:rFonts w:eastAsia="Arial" w:cs="Arial"/>
          <w:lang w:val="es-ES"/>
        </w:rPr>
        <w:t xml:space="preserve"> de muestras de sangre de los familiares de las presuntas víctimas; </w:t>
      </w:r>
      <w:r w:rsidR="009D26E9" w:rsidRPr="009D26E9">
        <w:rPr>
          <w:rFonts w:eastAsia="Arial" w:cs="Arial"/>
          <w:lang w:val="es-ES"/>
        </w:rPr>
        <w:t xml:space="preserve">(iii) </w:t>
      </w:r>
      <w:r w:rsidR="009D26E9">
        <w:rPr>
          <w:rFonts w:eastAsia="Arial" w:cs="Arial"/>
          <w:lang w:val="es-ES"/>
        </w:rPr>
        <w:t>firma</w:t>
      </w:r>
      <w:r w:rsidR="009D26E9" w:rsidRPr="009D26E9">
        <w:rPr>
          <w:rFonts w:eastAsia="Arial" w:cs="Arial"/>
          <w:lang w:val="es-ES"/>
        </w:rPr>
        <w:t xml:space="preserve"> </w:t>
      </w:r>
      <w:r w:rsidR="009D26E9">
        <w:rPr>
          <w:rFonts w:eastAsia="Arial" w:cs="Arial"/>
          <w:lang w:val="es-ES"/>
        </w:rPr>
        <w:t xml:space="preserve">de </w:t>
      </w:r>
      <w:r w:rsidR="009D26E9" w:rsidRPr="009D26E9">
        <w:rPr>
          <w:rFonts w:eastAsia="Arial" w:cs="Arial"/>
          <w:lang w:val="es-ES"/>
        </w:rPr>
        <w:t>Convenios en materia de identificación (mediante arqueología, antropología y genética) con el Equipo Argentino de Antropología Forense (EAAF) y con la Fundación de Antropología Forense de Guatemala (FAFG)</w:t>
      </w:r>
      <w:r w:rsidR="009D26E9">
        <w:rPr>
          <w:rFonts w:eastAsia="Arial" w:cs="Arial"/>
          <w:lang w:val="es-ES"/>
        </w:rPr>
        <w:t>, así como</w:t>
      </w:r>
      <w:r w:rsidR="009D26E9" w:rsidRPr="009D26E9">
        <w:rPr>
          <w:rFonts w:eastAsia="Arial" w:cs="Arial"/>
          <w:lang w:val="es-ES"/>
        </w:rPr>
        <w:t xml:space="preserve"> </w:t>
      </w:r>
      <w:r w:rsidRPr="009D26E9">
        <w:rPr>
          <w:rFonts w:eastAsia="Arial" w:cs="Arial"/>
          <w:lang w:val="es-ES"/>
        </w:rPr>
        <w:t>(</w:t>
      </w:r>
      <w:r w:rsidR="009D26E9">
        <w:rPr>
          <w:rFonts w:eastAsia="Arial" w:cs="Arial"/>
          <w:lang w:val="es-ES"/>
        </w:rPr>
        <w:t>iv</w:t>
      </w:r>
      <w:r w:rsidRPr="009D26E9">
        <w:rPr>
          <w:rFonts w:eastAsia="Arial" w:cs="Arial"/>
          <w:lang w:val="es-ES"/>
        </w:rPr>
        <w:t>) el requerimiento de la Universidad Centroamericana José Simeón Cañas de toda la información de denuncias de desaparición forzada que recibió la CONABÚQUEDA.</w:t>
      </w:r>
      <w:r w:rsidR="009D26E9" w:rsidRPr="009D26E9">
        <w:rPr>
          <w:rFonts w:eastAsia="Arial" w:cs="Arial"/>
          <w:lang w:val="es-ES"/>
        </w:rPr>
        <w:t xml:space="preserve"> </w:t>
      </w:r>
    </w:p>
    <w:p w14:paraId="2C5DAA6B" w14:textId="77777777" w:rsidR="006760AE" w:rsidRDefault="006760AE" w:rsidP="006760AE">
      <w:pPr>
        <w:widowControl/>
        <w:tabs>
          <w:tab w:val="left" w:pos="567"/>
        </w:tabs>
        <w:autoSpaceDE w:val="0"/>
        <w:autoSpaceDN w:val="0"/>
        <w:spacing w:line="240" w:lineRule="auto"/>
        <w:textAlignment w:val="baseline"/>
      </w:pPr>
    </w:p>
    <w:p w14:paraId="5E5E467D" w14:textId="01741886" w:rsidR="00C42E2A" w:rsidRPr="00C42E2A" w:rsidRDefault="00992937" w:rsidP="00926F27">
      <w:pPr>
        <w:widowControl/>
        <w:numPr>
          <w:ilvl w:val="0"/>
          <w:numId w:val="7"/>
        </w:numPr>
        <w:tabs>
          <w:tab w:val="left" w:pos="567"/>
          <w:tab w:val="num" w:pos="1569"/>
          <w:tab w:val="num" w:pos="12305"/>
        </w:tabs>
        <w:autoSpaceDE w:val="0"/>
        <w:autoSpaceDN w:val="0"/>
        <w:spacing w:line="240" w:lineRule="auto"/>
        <w:ind w:left="0" w:firstLine="0"/>
        <w:textAlignment w:val="baseline"/>
      </w:pPr>
      <w:r>
        <w:t xml:space="preserve">La </w:t>
      </w:r>
      <w:r w:rsidRPr="002A4B2B">
        <w:rPr>
          <w:b/>
          <w:bCs/>
          <w:i/>
          <w:iCs/>
        </w:rPr>
        <w:t>Corte</w:t>
      </w:r>
      <w:r>
        <w:t xml:space="preserve"> advierte que, e</w:t>
      </w:r>
      <w:r w:rsidR="00080BE8">
        <w:t>n el presente caso</w:t>
      </w:r>
      <w:r>
        <w:t>,</w:t>
      </w:r>
      <w:r w:rsidR="00080BE8">
        <w:t xml:space="preserve"> aún se desconoce el paradero de </w:t>
      </w:r>
      <w:r w:rsidR="00080BE8" w:rsidRPr="00080BE8">
        <w:t>Patricia Emilie Cuéllar Sandoval, Mauricio Cuéllar Cuéllar y Julia Orbelina Pérez</w:t>
      </w:r>
      <w:r w:rsidR="00080BE8">
        <w:t xml:space="preserve">, quienes fueron víctimas de una desaparición forzada que tuvo lugar hace más de 41 años, por lo que una expectativa justa de sus familiares es que se determine su paradero, lo cual constituye una medida de reparación que genera el deber correlativo para el Estado de </w:t>
      </w:r>
      <w:r w:rsidR="00080BE8">
        <w:lastRenderedPageBreak/>
        <w:t>satisfacerla</w:t>
      </w:r>
      <w:r w:rsidR="00F62556">
        <w:rPr>
          <w:rStyle w:val="Refdenotaalpie"/>
        </w:rPr>
        <w:footnoteReference w:id="172"/>
      </w:r>
      <w:r w:rsidR="00080BE8">
        <w:t xml:space="preserve"> a fin de aliviar la angustia y sufrimiento causados por esa incertidumbre a sus familiares</w:t>
      </w:r>
      <w:r w:rsidR="00F62556">
        <w:rPr>
          <w:rStyle w:val="Refdenotaalpie"/>
        </w:rPr>
        <w:footnoteReference w:id="173"/>
      </w:r>
      <w:r w:rsidR="00926F27" w:rsidRPr="00465F79">
        <w:rPr>
          <w:rFonts w:eastAsia="Arial" w:cs="Arial"/>
          <w:bCs/>
          <w:lang w:val="es-ES"/>
        </w:rPr>
        <w:t>.</w:t>
      </w:r>
    </w:p>
    <w:p w14:paraId="104C37D8" w14:textId="77777777" w:rsidR="00C42E2A" w:rsidRPr="00C42E2A" w:rsidRDefault="00C42E2A" w:rsidP="00C42E2A">
      <w:pPr>
        <w:widowControl/>
        <w:tabs>
          <w:tab w:val="left" w:pos="567"/>
        </w:tabs>
        <w:autoSpaceDE w:val="0"/>
        <w:autoSpaceDN w:val="0"/>
        <w:spacing w:line="240" w:lineRule="auto"/>
        <w:textAlignment w:val="baseline"/>
      </w:pPr>
    </w:p>
    <w:p w14:paraId="5486945D" w14:textId="67C6F4EB" w:rsidR="00926F27" w:rsidRPr="00465F79" w:rsidRDefault="00926F27" w:rsidP="00926F27">
      <w:pPr>
        <w:widowControl/>
        <w:numPr>
          <w:ilvl w:val="0"/>
          <w:numId w:val="7"/>
        </w:numPr>
        <w:tabs>
          <w:tab w:val="left" w:pos="567"/>
          <w:tab w:val="num" w:pos="1569"/>
          <w:tab w:val="num" w:pos="12305"/>
        </w:tabs>
        <w:autoSpaceDE w:val="0"/>
        <w:autoSpaceDN w:val="0"/>
        <w:spacing w:line="240" w:lineRule="auto"/>
        <w:ind w:left="0" w:firstLine="0"/>
        <w:textAlignment w:val="baseline"/>
      </w:pPr>
      <w:r w:rsidRPr="00465F79">
        <w:rPr>
          <w:rFonts w:eastAsia="Arial" w:cs="Arial"/>
          <w:bCs/>
          <w:lang w:val="es-ES"/>
        </w:rPr>
        <w:t>Teniendo en cuenta que las investigaciones penales por los delitos de desaparición forzada continúan abiertas y que, a pesar de las diligencias investigativas adelantadas por CONABÚSQUEDA, no ha sido posible establecer el paradero de las víctimas o su</w:t>
      </w:r>
      <w:r>
        <w:rPr>
          <w:rFonts w:eastAsia="Arial" w:cs="Arial"/>
          <w:bCs/>
          <w:lang w:val="es-ES"/>
        </w:rPr>
        <w:t>s</w:t>
      </w:r>
      <w:r w:rsidRPr="00465F79">
        <w:rPr>
          <w:rFonts w:eastAsia="Arial" w:cs="Arial"/>
          <w:bCs/>
          <w:lang w:val="es-ES"/>
        </w:rPr>
        <w:t xml:space="preserve"> restos humanos</w:t>
      </w:r>
      <w:r w:rsidRPr="000A57C6">
        <w:rPr>
          <w:rFonts w:eastAsia="Arial" w:cs="Arial"/>
          <w:bCs/>
          <w:lang w:val="es-ES"/>
        </w:rPr>
        <w:t>,</w:t>
      </w:r>
      <w:r w:rsidRPr="00465F79">
        <w:rPr>
          <w:rFonts w:eastAsia="Arial" w:cs="Arial"/>
          <w:bCs/>
          <w:lang w:val="es-ES"/>
        </w:rPr>
        <w:t xml:space="preserve"> la Corte estim</w:t>
      </w:r>
      <w:r w:rsidR="00FE30EE">
        <w:rPr>
          <w:rFonts w:eastAsia="Arial" w:cs="Arial"/>
          <w:bCs/>
          <w:lang w:val="es-ES"/>
        </w:rPr>
        <w:t>a</w:t>
      </w:r>
      <w:r w:rsidRPr="00465F79">
        <w:rPr>
          <w:rFonts w:eastAsia="Arial" w:cs="Arial"/>
          <w:bCs/>
          <w:lang w:val="es-ES"/>
        </w:rPr>
        <w:t xml:space="preserve"> pertinente ordenar al Estado que continúe, de forma inmediata, con las acciones de búsqueda de Patricia Emilie Cuéllar Sandoval, Mauricio Cuéllar Cuéllar y Julia Orbelina Pérez. Estas acciones deben realizarse de forma rigurosa, por las vías judiciales y/o administrativas que resulten pertinentes, realizándose todos los esfuerzos para determinar, a la mayor brevedad posible, el paradero de las víctimas o la identificación de sus restos mortales. Para ello, el Estado deberá contar con los recursos humanos, técnicos y científicos adecuados e idóneos y desarrollar las acciones de articulación institucional que resulten necesarias o convenientes, incluyendo la participación de las autoridades de gestión de riesgos que resulten pertinentes. En el marco de las referidas diligencias se debe mantener comunicación con los familiares y garantizar su participación, conocimiento y presencia, conforme a las directrices y protocolos en la materia. En caso de que se establezca que las víctimas fallecieron, los restos mortales deben ser entregados a sus familiares, previa comprobación fehaciente de identidad, a la mayor brevedad posible y sin costo alguno para ellos. Además, el Estado deberá cubrir los gastos fúnebres, en su caso, de común acuerdo con sus familiares</w:t>
      </w:r>
      <w:r w:rsidRPr="00465F79">
        <w:rPr>
          <w:rStyle w:val="Refdenotaalpie"/>
          <w:rFonts w:eastAsia="Arial" w:cs="Arial"/>
          <w:bCs/>
        </w:rPr>
        <w:footnoteReference w:id="174"/>
      </w:r>
      <w:r w:rsidRPr="00465F79">
        <w:rPr>
          <w:rFonts w:eastAsia="Arial" w:cs="Arial"/>
          <w:bCs/>
          <w:lang w:val="es-ES"/>
        </w:rPr>
        <w:t>.</w:t>
      </w:r>
    </w:p>
    <w:p w14:paraId="3A92D2AF" w14:textId="03F1FBC0" w:rsidR="00823A71" w:rsidRPr="00465F79" w:rsidRDefault="00823A71" w:rsidP="00A12976">
      <w:pPr>
        <w:pStyle w:val="Ttulo2"/>
      </w:pPr>
      <w:bookmarkStart w:id="157" w:name="_Toc165022638"/>
      <w:r w:rsidRPr="00465F79">
        <w:t>Medida de rehabilitación</w:t>
      </w:r>
      <w:bookmarkEnd w:id="157"/>
      <w:r w:rsidRPr="00465F79">
        <w:t xml:space="preserve"> </w:t>
      </w:r>
    </w:p>
    <w:p w14:paraId="0D5C22CF" w14:textId="62C3F73C" w:rsidR="00823A71" w:rsidRPr="00465F79" w:rsidRDefault="00823A71" w:rsidP="00823A71">
      <w:pPr>
        <w:widowControl/>
        <w:numPr>
          <w:ilvl w:val="0"/>
          <w:numId w:val="7"/>
        </w:numPr>
        <w:tabs>
          <w:tab w:val="left" w:pos="567"/>
          <w:tab w:val="num" w:pos="1569"/>
          <w:tab w:val="num" w:pos="12305"/>
        </w:tabs>
        <w:autoSpaceDE w:val="0"/>
        <w:autoSpaceDN w:val="0"/>
        <w:spacing w:line="240" w:lineRule="auto"/>
        <w:ind w:left="0" w:firstLine="0"/>
        <w:textAlignment w:val="baseline"/>
        <w:rPr>
          <w:rFonts w:cs="Arial"/>
          <w:bCs/>
        </w:rPr>
      </w:pPr>
      <w:r w:rsidRPr="00465F79">
        <w:rPr>
          <w:rFonts w:cs="Arial"/>
          <w:bCs/>
        </w:rPr>
        <w:t>La</w:t>
      </w:r>
      <w:r w:rsidRPr="00465F79">
        <w:rPr>
          <w:rFonts w:cs="Arial"/>
          <w:b/>
        </w:rPr>
        <w:t xml:space="preserve"> </w:t>
      </w:r>
      <w:r w:rsidRPr="00465F79">
        <w:rPr>
          <w:rFonts w:cs="Arial"/>
          <w:b/>
          <w:i/>
          <w:iCs/>
        </w:rPr>
        <w:t>Comisión</w:t>
      </w:r>
      <w:r w:rsidRPr="00465F79">
        <w:rPr>
          <w:rFonts w:cs="Arial"/>
          <w:b/>
        </w:rPr>
        <w:t xml:space="preserve"> </w:t>
      </w:r>
      <w:r w:rsidRPr="00465F79">
        <w:rPr>
          <w:rFonts w:cs="Arial"/>
          <w:bCs/>
        </w:rPr>
        <w:t>recomendó</w:t>
      </w:r>
      <w:r w:rsidRPr="00465F79">
        <w:rPr>
          <w:rFonts w:cs="Arial"/>
          <w:b/>
        </w:rPr>
        <w:t xml:space="preserve"> </w:t>
      </w:r>
      <w:r w:rsidRPr="00465F79">
        <w:rPr>
          <w:rFonts w:cs="Arial"/>
          <w:bCs/>
        </w:rPr>
        <w:t xml:space="preserve">disponer las medidas de atención en salud física y mental </w:t>
      </w:r>
      <w:r w:rsidRPr="00465F79">
        <w:rPr>
          <w:rFonts w:eastAsia="MS Mincho"/>
          <w:lang w:val="es-ES" w:bidi="en-US"/>
        </w:rPr>
        <w:t>necesarias</w:t>
      </w:r>
      <w:r w:rsidRPr="00465F79">
        <w:rPr>
          <w:rFonts w:cs="Arial"/>
          <w:bCs/>
        </w:rPr>
        <w:t xml:space="preserve"> para la rehabilitación de los familiares de las víctimas de desaparición forzada del presente caso, de ser su voluntad y de manera concertada. </w:t>
      </w:r>
    </w:p>
    <w:p w14:paraId="09B098C9" w14:textId="77777777" w:rsidR="00472AFC" w:rsidRPr="00472AFC" w:rsidRDefault="00472AFC" w:rsidP="00472AFC">
      <w:pPr>
        <w:widowControl/>
        <w:tabs>
          <w:tab w:val="left" w:pos="567"/>
        </w:tabs>
        <w:autoSpaceDE w:val="0"/>
        <w:autoSpaceDN w:val="0"/>
        <w:spacing w:line="240" w:lineRule="auto"/>
        <w:textAlignment w:val="baseline"/>
        <w:rPr>
          <w:rFonts w:cs="Arial"/>
          <w:b/>
          <w:bCs/>
        </w:rPr>
      </w:pPr>
    </w:p>
    <w:p w14:paraId="590B3A09" w14:textId="62EAACBF" w:rsidR="00823A71" w:rsidRPr="00465F79" w:rsidRDefault="00823A71" w:rsidP="00823A71">
      <w:pPr>
        <w:widowControl/>
        <w:numPr>
          <w:ilvl w:val="0"/>
          <w:numId w:val="7"/>
        </w:numPr>
        <w:tabs>
          <w:tab w:val="left" w:pos="567"/>
          <w:tab w:val="num" w:pos="1569"/>
          <w:tab w:val="num" w:pos="12305"/>
        </w:tabs>
        <w:autoSpaceDE w:val="0"/>
        <w:autoSpaceDN w:val="0"/>
        <w:spacing w:line="240" w:lineRule="auto"/>
        <w:ind w:left="0" w:firstLine="0"/>
        <w:textAlignment w:val="baseline"/>
        <w:rPr>
          <w:rFonts w:cs="Arial"/>
          <w:b/>
          <w:bCs/>
        </w:rPr>
      </w:pPr>
      <w:r w:rsidRPr="00465F79">
        <w:rPr>
          <w:rFonts w:cs="Arial"/>
        </w:rPr>
        <w:t xml:space="preserve">El </w:t>
      </w:r>
      <w:r w:rsidRPr="00465F79">
        <w:rPr>
          <w:rFonts w:cs="Arial"/>
          <w:b/>
          <w:i/>
        </w:rPr>
        <w:t>representante</w:t>
      </w:r>
      <w:r w:rsidRPr="00465F79">
        <w:rPr>
          <w:rFonts w:cs="Arial"/>
        </w:rPr>
        <w:t xml:space="preserve"> solicitó brindar atención únicamente respecto de Ana </w:t>
      </w:r>
      <w:r w:rsidR="00F01B69">
        <w:rPr>
          <w:rFonts w:cs="Arial"/>
        </w:rPr>
        <w:t>Gladis</w:t>
      </w:r>
      <w:r w:rsidRPr="00465F79">
        <w:rPr>
          <w:rFonts w:cs="Arial"/>
        </w:rPr>
        <w:t xml:space="preserve"> Pérez</w:t>
      </w:r>
      <w:r w:rsidR="00157564">
        <w:rPr>
          <w:rFonts w:cs="Arial"/>
        </w:rPr>
        <w:t xml:space="preserve"> de Castro</w:t>
      </w:r>
      <w:r w:rsidRPr="00465F79">
        <w:rPr>
          <w:rFonts w:cs="Arial"/>
        </w:rPr>
        <w:t>.</w:t>
      </w:r>
      <w:r w:rsidR="00C654DA">
        <w:rPr>
          <w:rFonts w:cs="Arial"/>
        </w:rPr>
        <w:t xml:space="preserve"> </w:t>
      </w:r>
      <w:r w:rsidR="00C654DA" w:rsidRPr="00465F79">
        <w:rPr>
          <w:rFonts w:cs="Arial"/>
        </w:rPr>
        <w:t>Asimismo solicitó, con base en la jurisprudencia de la Corte, que el tratamiento brindado incluya el suministro gratuito de los medicamentos que se requieran, que sea ofrecido en los centros más cercanos a sus lugares de residencia, y por el tiempo que sea necesario</w:t>
      </w:r>
      <w:r w:rsidR="00651628">
        <w:rPr>
          <w:rFonts w:cs="Arial"/>
        </w:rPr>
        <w:t xml:space="preserve"> y que dicho tratamiento sea evaluado periódicamente con la participación “decisiva” de su beneficiaria</w:t>
      </w:r>
      <w:r w:rsidR="00C654DA" w:rsidRPr="00465F79">
        <w:rPr>
          <w:rFonts w:cs="Arial"/>
        </w:rPr>
        <w:t>.</w:t>
      </w:r>
      <w:r w:rsidR="00C654DA">
        <w:rPr>
          <w:rFonts w:cs="Arial"/>
          <w:b/>
          <w:bCs/>
        </w:rPr>
        <w:t xml:space="preserve"> </w:t>
      </w:r>
      <w:r w:rsidRPr="00465F79">
        <w:rPr>
          <w:rFonts w:cs="Arial"/>
        </w:rPr>
        <w:t>En cuanto al resto de los familiares de las presuntas víctimas, señaló que estos “viven en otros países” por lo que “resulta[ría] complicado proporcionar[les] [tratamiento físico y psicológico]”.</w:t>
      </w:r>
      <w:r w:rsidR="00ED1B1A">
        <w:rPr>
          <w:rFonts w:cs="Arial"/>
        </w:rPr>
        <w:t xml:space="preserve"> </w:t>
      </w:r>
    </w:p>
    <w:p w14:paraId="1EBE4376" w14:textId="77777777" w:rsidR="00823A71" w:rsidRPr="00465F79" w:rsidRDefault="00823A71" w:rsidP="00823A71">
      <w:pPr>
        <w:autoSpaceDE w:val="0"/>
        <w:autoSpaceDN w:val="0"/>
        <w:spacing w:line="240" w:lineRule="auto"/>
        <w:rPr>
          <w:rFonts w:cs="Arial"/>
          <w:b/>
        </w:rPr>
      </w:pPr>
    </w:p>
    <w:p w14:paraId="6729E26B" w14:textId="77777777" w:rsidR="00992937" w:rsidRPr="00465F79" w:rsidRDefault="00992937" w:rsidP="00992937">
      <w:pPr>
        <w:widowControl/>
        <w:numPr>
          <w:ilvl w:val="0"/>
          <w:numId w:val="7"/>
        </w:numPr>
        <w:tabs>
          <w:tab w:val="left" w:pos="567"/>
          <w:tab w:val="num" w:pos="1569"/>
          <w:tab w:val="num" w:pos="12305"/>
        </w:tabs>
        <w:autoSpaceDE w:val="0"/>
        <w:autoSpaceDN w:val="0"/>
        <w:spacing w:line="240" w:lineRule="auto"/>
        <w:ind w:left="0" w:firstLine="0"/>
        <w:textAlignment w:val="baseline"/>
        <w:rPr>
          <w:rFonts w:eastAsia="Arial" w:cs="Arial"/>
          <w:b/>
          <w:bCs/>
          <w:lang w:val="es-ES"/>
        </w:rPr>
      </w:pPr>
      <w:r w:rsidRPr="00465F79">
        <w:rPr>
          <w:rFonts w:cs="Arial"/>
          <w:bCs/>
        </w:rPr>
        <w:t>El</w:t>
      </w:r>
      <w:r w:rsidRPr="00465F79">
        <w:rPr>
          <w:rFonts w:cs="Arial"/>
          <w:b/>
        </w:rPr>
        <w:t xml:space="preserve"> </w:t>
      </w:r>
      <w:r w:rsidRPr="00465F79">
        <w:rPr>
          <w:rFonts w:cs="Arial"/>
          <w:b/>
          <w:i/>
          <w:iCs/>
        </w:rPr>
        <w:t xml:space="preserve">Estado </w:t>
      </w:r>
      <w:r w:rsidRPr="00465F79">
        <w:rPr>
          <w:rFonts w:eastAsia="Arial" w:cs="Arial"/>
          <w:lang w:val="es-ES"/>
        </w:rPr>
        <w:t xml:space="preserve">expresó </w:t>
      </w:r>
      <w:r>
        <w:rPr>
          <w:rFonts w:eastAsia="Arial" w:cs="Arial"/>
          <w:lang w:val="es-ES"/>
        </w:rPr>
        <w:t>“</w:t>
      </w:r>
      <w:r w:rsidRPr="00465F79">
        <w:rPr>
          <w:rFonts w:eastAsia="Arial" w:cs="Arial"/>
          <w:lang w:val="es-ES"/>
        </w:rPr>
        <w:t xml:space="preserve">su disposición, en caso de ser ordenado por </w:t>
      </w:r>
      <w:r>
        <w:rPr>
          <w:rFonts w:eastAsia="Arial" w:cs="Arial"/>
          <w:lang w:val="es-ES"/>
        </w:rPr>
        <w:t>[</w:t>
      </w:r>
      <w:r w:rsidRPr="00465F79">
        <w:rPr>
          <w:rFonts w:eastAsia="Arial" w:cs="Arial"/>
          <w:lang w:val="es-ES"/>
        </w:rPr>
        <w:t>la Corte</w:t>
      </w:r>
      <w:r>
        <w:rPr>
          <w:rFonts w:eastAsia="Arial" w:cs="Arial"/>
          <w:lang w:val="es-ES"/>
        </w:rPr>
        <w:t>]</w:t>
      </w:r>
      <w:r w:rsidRPr="00465F79">
        <w:rPr>
          <w:rFonts w:eastAsia="Arial" w:cs="Arial"/>
          <w:lang w:val="es-ES"/>
        </w:rPr>
        <w:t xml:space="preserve">, de proveer atención en salud y atención psicosocial para la señora </w:t>
      </w:r>
      <w:r>
        <w:rPr>
          <w:rFonts w:eastAsia="Arial" w:cs="Arial"/>
          <w:lang w:val="es-ES"/>
        </w:rPr>
        <w:t xml:space="preserve">Ana </w:t>
      </w:r>
      <w:proofErr w:type="spellStart"/>
      <w:r>
        <w:rPr>
          <w:rFonts w:eastAsia="Arial" w:cs="Arial"/>
          <w:lang w:val="es-ES"/>
        </w:rPr>
        <w:t>Glad</w:t>
      </w:r>
      <w:proofErr w:type="spellEnd"/>
      <w:r>
        <w:rPr>
          <w:rFonts w:eastAsia="Arial" w:cs="Arial"/>
          <w:lang w:val="es-ES"/>
        </w:rPr>
        <w:t xml:space="preserve">[i]s </w:t>
      </w:r>
      <w:r w:rsidRPr="00465F79">
        <w:rPr>
          <w:rFonts w:eastAsia="Arial" w:cs="Arial"/>
          <w:lang w:val="es-ES"/>
        </w:rPr>
        <w:t xml:space="preserve">Pérez de Castro, a partir de una evaluación </w:t>
      </w:r>
      <w:r w:rsidRPr="00465F79">
        <w:rPr>
          <w:rFonts w:cs="Arial"/>
        </w:rPr>
        <w:t>inicial</w:t>
      </w:r>
      <w:r w:rsidRPr="00465F79">
        <w:rPr>
          <w:rFonts w:eastAsia="Arial" w:cs="Arial"/>
          <w:lang w:val="es-ES"/>
        </w:rPr>
        <w:t xml:space="preserve">, integral, para determinar sus necesidades individuales” la cual sería brindada a través del Sistema Público de Salud con una atención primaria en los centros de salud más cercanos a su lugar de residencia. </w:t>
      </w:r>
    </w:p>
    <w:p w14:paraId="2A9DE47D" w14:textId="77777777" w:rsidR="00823A71" w:rsidRPr="00465F79" w:rsidRDefault="00823A71" w:rsidP="00823A71">
      <w:pPr>
        <w:widowControl/>
        <w:tabs>
          <w:tab w:val="left" w:pos="567"/>
        </w:tabs>
        <w:autoSpaceDE w:val="0"/>
        <w:autoSpaceDN w:val="0"/>
        <w:spacing w:line="240" w:lineRule="auto"/>
        <w:textAlignment w:val="baseline"/>
        <w:rPr>
          <w:rFonts w:eastAsia="Arial" w:cs="Arial"/>
          <w:b/>
          <w:bCs/>
          <w:lang w:val="es-ES"/>
        </w:rPr>
      </w:pPr>
    </w:p>
    <w:p w14:paraId="1A8464F2" w14:textId="0516D636" w:rsidR="00BE52E7" w:rsidRPr="00EB465B" w:rsidRDefault="00823A71" w:rsidP="00437A72">
      <w:pPr>
        <w:widowControl/>
        <w:numPr>
          <w:ilvl w:val="0"/>
          <w:numId w:val="7"/>
        </w:numPr>
        <w:tabs>
          <w:tab w:val="left" w:pos="567"/>
          <w:tab w:val="num" w:pos="1569"/>
          <w:tab w:val="num" w:pos="12305"/>
        </w:tabs>
        <w:autoSpaceDE w:val="0"/>
        <w:autoSpaceDN w:val="0"/>
        <w:spacing w:line="240" w:lineRule="auto"/>
        <w:ind w:left="0" w:firstLine="0"/>
        <w:textAlignment w:val="baseline"/>
        <w:rPr>
          <w:rFonts w:eastAsia="Arial" w:cs="Arial"/>
          <w:b/>
          <w:bCs/>
          <w:lang w:val="es-ES"/>
        </w:rPr>
      </w:pPr>
      <w:r w:rsidRPr="00EB465B">
        <w:rPr>
          <w:rFonts w:eastAsia="Arial" w:cs="Arial"/>
          <w:lang w:val="es-ES"/>
        </w:rPr>
        <w:lastRenderedPageBreak/>
        <w:t>La</w:t>
      </w:r>
      <w:r w:rsidRPr="00EB465B">
        <w:rPr>
          <w:rFonts w:eastAsia="Arial" w:cs="Arial"/>
          <w:b/>
          <w:bCs/>
          <w:lang w:val="es-ES"/>
        </w:rPr>
        <w:t xml:space="preserve"> </w:t>
      </w:r>
      <w:r w:rsidRPr="00EB465B">
        <w:rPr>
          <w:rFonts w:eastAsia="Arial" w:cs="Arial"/>
          <w:b/>
          <w:bCs/>
          <w:i/>
          <w:iCs/>
          <w:lang w:val="es-ES"/>
        </w:rPr>
        <w:t xml:space="preserve">Corte </w:t>
      </w:r>
      <w:r w:rsidR="00971AC4" w:rsidRPr="00EB465B">
        <w:rPr>
          <w:rFonts w:eastAsia="Arial" w:cs="Arial"/>
          <w:lang w:val="es-ES"/>
        </w:rPr>
        <w:t xml:space="preserve">constata que los familiares de Patricia Emilie Cuéllar Sandoval, Mauricio Cuéllar Cuéllar y </w:t>
      </w:r>
      <w:r w:rsidR="00066D12" w:rsidRPr="00EB465B">
        <w:rPr>
          <w:rFonts w:eastAsia="Arial" w:cs="Arial"/>
          <w:lang w:val="es-ES"/>
        </w:rPr>
        <w:t>Julia Orbelina Pérez</w:t>
      </w:r>
      <w:r w:rsidR="00971AC4" w:rsidRPr="00EB465B">
        <w:rPr>
          <w:rFonts w:eastAsia="Arial" w:cs="Arial"/>
          <w:lang w:val="es-ES"/>
        </w:rPr>
        <w:t xml:space="preserve"> han padecido un profundo sufrimiento y angustia en detrimento de su integridad psíquica y mora</w:t>
      </w:r>
      <w:r w:rsidR="00C654DA" w:rsidRPr="00EB465B">
        <w:rPr>
          <w:rFonts w:eastAsia="Arial" w:cs="Arial"/>
          <w:lang w:val="es-ES"/>
        </w:rPr>
        <w:t>l</w:t>
      </w:r>
      <w:r w:rsidR="00971AC4" w:rsidRPr="00EB465B">
        <w:rPr>
          <w:rFonts w:eastAsia="Arial" w:cs="Arial"/>
          <w:lang w:val="es-ES"/>
        </w:rPr>
        <w:t>, como consecuencia de las afectaciones a las garantías y protección judiciales, a conocer la verdad</w:t>
      </w:r>
      <w:r w:rsidR="00157564" w:rsidRPr="00EB465B">
        <w:rPr>
          <w:rFonts w:eastAsia="Arial" w:cs="Arial"/>
          <w:lang w:val="es-ES"/>
        </w:rPr>
        <w:t>, a</w:t>
      </w:r>
      <w:r w:rsidR="00C654DA" w:rsidRPr="00EB465B">
        <w:rPr>
          <w:rFonts w:eastAsia="Arial" w:cs="Arial"/>
          <w:lang w:val="es-ES"/>
        </w:rPr>
        <w:t xml:space="preserve">l derecho a la protección a </w:t>
      </w:r>
      <w:r w:rsidR="00C654DA" w:rsidRPr="00614D58">
        <w:rPr>
          <w:rFonts w:eastAsia="Arial" w:cs="Arial"/>
          <w:lang w:val="es-ES"/>
        </w:rPr>
        <w:t>la familia</w:t>
      </w:r>
      <w:r w:rsidR="00971AC4" w:rsidRPr="00614D58">
        <w:rPr>
          <w:rFonts w:eastAsia="Arial" w:cs="Arial"/>
          <w:lang w:val="es-ES"/>
        </w:rPr>
        <w:t xml:space="preserve"> y a la niñez, en los términos analizados en la presente Sentencia</w:t>
      </w:r>
      <w:r w:rsidR="00614D58">
        <w:rPr>
          <w:rFonts w:eastAsia="Arial" w:cs="Arial"/>
          <w:lang w:val="es-ES"/>
        </w:rPr>
        <w:t>.</w:t>
      </w:r>
      <w:r w:rsidR="00971AC4" w:rsidRPr="00EB465B">
        <w:rPr>
          <w:rFonts w:eastAsia="Arial" w:cs="Arial"/>
          <w:lang w:val="es-ES"/>
        </w:rPr>
        <w:t xml:space="preserve"> </w:t>
      </w:r>
      <w:r w:rsidR="00F213A8" w:rsidRPr="00EB465B">
        <w:rPr>
          <w:rFonts w:eastAsia="Arial" w:cs="Arial"/>
          <w:lang w:val="es-ES"/>
        </w:rPr>
        <w:t>En lo que respecta a la atención de salud</w:t>
      </w:r>
      <w:r w:rsidR="00971AC4" w:rsidRPr="00EB465B">
        <w:rPr>
          <w:rFonts w:eastAsia="Arial" w:cs="Arial"/>
          <w:lang w:val="es-ES"/>
        </w:rPr>
        <w:t xml:space="preserve">, la señora </w:t>
      </w:r>
      <w:r w:rsidR="00D87A1D" w:rsidRPr="00EB465B">
        <w:rPr>
          <w:rFonts w:eastAsia="Arial" w:cs="Arial"/>
          <w:lang w:val="es-ES"/>
        </w:rPr>
        <w:t xml:space="preserve">Ana </w:t>
      </w:r>
      <w:r w:rsidR="00F01B69" w:rsidRPr="00EB465B">
        <w:rPr>
          <w:rFonts w:eastAsia="Arial" w:cs="Arial"/>
          <w:lang w:val="es-ES"/>
        </w:rPr>
        <w:t>Gladis</w:t>
      </w:r>
      <w:r w:rsidR="00D87A1D" w:rsidRPr="00EB465B">
        <w:rPr>
          <w:rFonts w:eastAsia="Arial" w:cs="Arial"/>
          <w:lang w:val="es-ES"/>
        </w:rPr>
        <w:t xml:space="preserve"> Pérez </w:t>
      </w:r>
      <w:r w:rsidR="00791651" w:rsidRPr="00EB465B">
        <w:rPr>
          <w:rFonts w:eastAsia="Arial" w:cs="Arial"/>
          <w:lang w:val="es-ES"/>
        </w:rPr>
        <w:t xml:space="preserve">de Castro </w:t>
      </w:r>
      <w:r w:rsidR="00D87A1D" w:rsidRPr="00EB465B">
        <w:rPr>
          <w:rFonts w:eastAsia="Arial" w:cs="Arial"/>
          <w:lang w:val="es-ES"/>
        </w:rPr>
        <w:t>declaró en la audiencia pública del presente caso que</w:t>
      </w:r>
      <w:r w:rsidR="00C654DA" w:rsidRPr="00EB465B">
        <w:rPr>
          <w:rFonts w:eastAsia="Arial" w:cs="Arial"/>
          <w:lang w:val="es-ES"/>
        </w:rPr>
        <w:t>, tras</w:t>
      </w:r>
      <w:r w:rsidR="001972DF" w:rsidRPr="00EB465B">
        <w:rPr>
          <w:rFonts w:eastAsia="Arial" w:cs="Arial"/>
          <w:lang w:val="es-ES"/>
        </w:rPr>
        <w:t xml:space="preserve"> doce años de tratamiento psiquiátrico a través del seguro público, tuvo que </w:t>
      </w:r>
      <w:r w:rsidR="00BE52E7" w:rsidRPr="00EB465B">
        <w:rPr>
          <w:rFonts w:eastAsia="Arial" w:cs="Arial"/>
          <w:lang w:val="es-ES"/>
        </w:rPr>
        <w:t>recurrir a atención privada</w:t>
      </w:r>
      <w:r w:rsidR="00C654DA" w:rsidRPr="00EB465B">
        <w:rPr>
          <w:rFonts w:eastAsia="Arial" w:cs="Arial"/>
          <w:lang w:val="es-ES"/>
        </w:rPr>
        <w:t>, toda vez que</w:t>
      </w:r>
      <w:r w:rsidR="001972DF" w:rsidRPr="00EB465B">
        <w:rPr>
          <w:rFonts w:eastAsia="Arial" w:cs="Arial"/>
          <w:lang w:val="es-ES"/>
        </w:rPr>
        <w:t xml:space="preserve"> le dieron el alta en contra de su voluntad</w:t>
      </w:r>
      <w:r w:rsidR="00C654DA" w:rsidRPr="00EB465B">
        <w:rPr>
          <w:rFonts w:eastAsia="Arial" w:cs="Arial"/>
          <w:lang w:val="es-ES"/>
        </w:rPr>
        <w:t xml:space="preserve"> y que, d</w:t>
      </w:r>
      <w:r w:rsidR="001972DF" w:rsidRPr="00EB465B">
        <w:rPr>
          <w:rFonts w:eastAsia="Arial" w:cs="Arial"/>
          <w:lang w:val="es-ES"/>
        </w:rPr>
        <w:t>esde entonces</w:t>
      </w:r>
      <w:r w:rsidR="00C654DA" w:rsidRPr="00EB465B">
        <w:rPr>
          <w:rFonts w:eastAsia="Arial" w:cs="Arial"/>
          <w:lang w:val="es-ES"/>
        </w:rPr>
        <w:t xml:space="preserve">, </w:t>
      </w:r>
      <w:r w:rsidR="001972DF" w:rsidRPr="00EB465B">
        <w:rPr>
          <w:rFonts w:eastAsia="Arial" w:cs="Arial"/>
          <w:lang w:val="es-ES"/>
        </w:rPr>
        <w:t xml:space="preserve">ha tenido que </w:t>
      </w:r>
      <w:r w:rsidR="00C654DA" w:rsidRPr="00EB465B">
        <w:rPr>
          <w:rFonts w:eastAsia="Arial" w:cs="Arial"/>
          <w:lang w:val="es-ES"/>
        </w:rPr>
        <w:t>sufragar</w:t>
      </w:r>
      <w:r w:rsidR="001972DF" w:rsidRPr="00EB465B">
        <w:rPr>
          <w:rFonts w:eastAsia="Arial" w:cs="Arial"/>
          <w:lang w:val="es-ES"/>
        </w:rPr>
        <w:t xml:space="preserve"> los costos tanto de la consulta como de los medicamentos</w:t>
      </w:r>
      <w:r w:rsidR="001972DF" w:rsidRPr="00EB465B">
        <w:rPr>
          <w:rStyle w:val="Refdenotaalpie"/>
          <w:rFonts w:eastAsia="Arial" w:cs="Arial"/>
        </w:rPr>
        <w:footnoteReference w:id="175"/>
      </w:r>
      <w:r w:rsidR="001972DF" w:rsidRPr="00EB465B">
        <w:rPr>
          <w:rFonts w:eastAsia="Arial" w:cs="Arial"/>
          <w:lang w:val="es-ES"/>
        </w:rPr>
        <w:t xml:space="preserve">. </w:t>
      </w:r>
      <w:r w:rsidR="00F213A8" w:rsidRPr="00EB465B">
        <w:rPr>
          <w:rFonts w:eastAsia="Arial" w:cs="Arial"/>
          <w:lang w:val="es-ES"/>
        </w:rPr>
        <w:t>El Estado, por su parte, ha mostrado su disposición para otorgar el tratamiento de salud adecuado a las necesidades individuales de la señora Pérez de Castro</w:t>
      </w:r>
      <w:r w:rsidR="00437A72" w:rsidRPr="00EB465B">
        <w:rPr>
          <w:rFonts w:eastAsia="Arial" w:cs="Arial"/>
          <w:lang w:val="es-ES"/>
        </w:rPr>
        <w:t>.</w:t>
      </w:r>
      <w:r w:rsidR="00B453BE" w:rsidRPr="00EB465B">
        <w:rPr>
          <w:rFonts w:eastAsia="Arial" w:cs="Arial"/>
          <w:lang w:val="es-ES"/>
        </w:rPr>
        <w:t xml:space="preserve"> </w:t>
      </w:r>
    </w:p>
    <w:p w14:paraId="525CEFE8" w14:textId="77777777" w:rsidR="00580A52" w:rsidRPr="00465F79" w:rsidRDefault="00580A52" w:rsidP="00580A52">
      <w:pPr>
        <w:widowControl/>
        <w:tabs>
          <w:tab w:val="left" w:pos="567"/>
        </w:tabs>
        <w:autoSpaceDE w:val="0"/>
        <w:autoSpaceDN w:val="0"/>
        <w:spacing w:line="240" w:lineRule="auto"/>
        <w:textAlignment w:val="baseline"/>
        <w:rPr>
          <w:rFonts w:eastAsia="Arial" w:cs="Arial"/>
          <w:b/>
          <w:bCs/>
          <w:lang w:val="es-ES"/>
        </w:rPr>
      </w:pPr>
    </w:p>
    <w:p w14:paraId="5A82DFD3" w14:textId="7E7CCF15" w:rsidR="00580A52" w:rsidRPr="00465F79" w:rsidRDefault="004568A8" w:rsidP="00580A52">
      <w:pPr>
        <w:widowControl/>
        <w:numPr>
          <w:ilvl w:val="0"/>
          <w:numId w:val="7"/>
        </w:numPr>
        <w:tabs>
          <w:tab w:val="left" w:pos="567"/>
          <w:tab w:val="num" w:pos="1569"/>
          <w:tab w:val="num" w:pos="12305"/>
        </w:tabs>
        <w:autoSpaceDE w:val="0"/>
        <w:autoSpaceDN w:val="0"/>
        <w:spacing w:line="240" w:lineRule="auto"/>
        <w:ind w:left="0" w:firstLine="0"/>
        <w:textAlignment w:val="baseline"/>
        <w:rPr>
          <w:rFonts w:eastAsia="Arial" w:cs="Arial"/>
          <w:b/>
          <w:bCs/>
          <w:lang w:val="es-ES"/>
        </w:rPr>
      </w:pPr>
      <w:r w:rsidRPr="00465F79">
        <w:rPr>
          <w:rFonts w:eastAsia="Arial" w:cs="Arial"/>
          <w:lang w:val="es-ES"/>
        </w:rPr>
        <w:t>En vista de lo anterior, la Corte ordena que el Estado brinde gratuitamente, de forma prioritaria</w:t>
      </w:r>
      <w:r w:rsidR="008D276C">
        <w:rPr>
          <w:rFonts w:eastAsia="Arial" w:cs="Arial"/>
          <w:lang w:val="es-ES"/>
        </w:rPr>
        <w:t xml:space="preserve"> </w:t>
      </w:r>
      <w:r w:rsidRPr="00465F79">
        <w:rPr>
          <w:rFonts w:eastAsia="Arial" w:cs="Arial"/>
          <w:lang w:val="es-ES"/>
        </w:rPr>
        <w:t xml:space="preserve">y por el tiempo que sea necesario, tratamiento psicológico y/o psiquiátrico, según corresponda, para la señora Ana </w:t>
      </w:r>
      <w:r w:rsidR="00F01B69">
        <w:rPr>
          <w:rFonts w:eastAsia="Arial" w:cs="Arial"/>
          <w:lang w:val="es-ES"/>
        </w:rPr>
        <w:t>Gladis</w:t>
      </w:r>
      <w:r w:rsidRPr="00465F79">
        <w:rPr>
          <w:rFonts w:eastAsia="Arial" w:cs="Arial"/>
          <w:lang w:val="es-ES"/>
        </w:rPr>
        <w:t xml:space="preserve"> </w:t>
      </w:r>
      <w:r w:rsidR="000B7B3C">
        <w:rPr>
          <w:rFonts w:eastAsia="Arial" w:cs="Arial"/>
          <w:lang w:val="es-ES"/>
        </w:rPr>
        <w:t>Pérez de Castro</w:t>
      </w:r>
      <w:r w:rsidRPr="00465F79">
        <w:rPr>
          <w:rFonts w:eastAsia="Arial" w:cs="Arial"/>
          <w:lang w:val="es-ES"/>
        </w:rPr>
        <w:t>, el cual deberá incluir la provisión de medicamentos, y, en su caso, transporte y otros gastos directamente relacionados y necesarios</w:t>
      </w:r>
      <w:r w:rsidRPr="00465F79">
        <w:rPr>
          <w:rStyle w:val="Refdenotaalpie"/>
          <w:rFonts w:eastAsia="Arial" w:cs="Arial"/>
        </w:rPr>
        <w:footnoteReference w:id="176"/>
      </w:r>
      <w:r w:rsidRPr="00465F79">
        <w:rPr>
          <w:rFonts w:eastAsia="Arial" w:cs="Arial"/>
          <w:lang w:val="es-ES"/>
        </w:rPr>
        <w:t>. Dicho tratamiento psicológico y/o psiquiátrico deberá ser prestado por psicólogos o psiquiatras debiendo considerar las circunstancias y necesidades particulares de la víctima, según lo que se acuerde con ella y después de una evaluación individual</w:t>
      </w:r>
      <w:r w:rsidRPr="00465F79">
        <w:rPr>
          <w:rStyle w:val="Refdenotaalpie"/>
          <w:rFonts w:eastAsia="Arial" w:cs="Arial"/>
        </w:rPr>
        <w:footnoteReference w:id="177"/>
      </w:r>
      <w:r w:rsidRPr="00465F79">
        <w:rPr>
          <w:rFonts w:eastAsia="Arial" w:cs="Arial"/>
          <w:lang w:val="es-ES"/>
        </w:rPr>
        <w:t>.</w:t>
      </w:r>
      <w:r w:rsidR="00C654DA">
        <w:rPr>
          <w:rFonts w:eastAsia="Arial" w:cs="Arial"/>
          <w:lang w:val="es-ES"/>
        </w:rPr>
        <w:t xml:space="preserve"> El</w:t>
      </w:r>
      <w:r w:rsidRPr="00465F79">
        <w:rPr>
          <w:rFonts w:eastAsia="Arial" w:cs="Arial"/>
          <w:lang w:val="es-ES"/>
        </w:rPr>
        <w:t xml:space="preserve"> Estado dispondrá del plazo de </w:t>
      </w:r>
      <w:r w:rsidR="00C654DA">
        <w:rPr>
          <w:rFonts w:eastAsia="Arial" w:cs="Arial"/>
          <w:lang w:val="es-ES"/>
        </w:rPr>
        <w:t>un mes</w:t>
      </w:r>
      <w:r w:rsidRPr="00465F79">
        <w:rPr>
          <w:rFonts w:eastAsia="Arial" w:cs="Arial"/>
          <w:lang w:val="es-ES"/>
        </w:rPr>
        <w:t xml:space="preserve">, contado a partir de la </w:t>
      </w:r>
      <w:r w:rsidR="00C654DA">
        <w:rPr>
          <w:rFonts w:eastAsia="Arial" w:cs="Arial"/>
          <w:lang w:val="es-ES"/>
        </w:rPr>
        <w:t>notificación de la presente Sentencia</w:t>
      </w:r>
      <w:r w:rsidRPr="00465F79">
        <w:rPr>
          <w:rFonts w:eastAsia="Arial" w:cs="Arial"/>
          <w:lang w:val="es-ES"/>
        </w:rPr>
        <w:t>, para brindar de manera efectiva la atención psicológica y/o psiquiátrica solicitada.</w:t>
      </w:r>
      <w:r w:rsidR="00BE52E7">
        <w:rPr>
          <w:rFonts w:eastAsia="Arial" w:cs="Arial"/>
          <w:lang w:val="es-ES"/>
        </w:rPr>
        <w:t xml:space="preserve"> </w:t>
      </w:r>
      <w:r w:rsidR="00EB465B">
        <w:rPr>
          <w:rFonts w:eastAsia="Arial" w:cs="Arial"/>
          <w:lang w:val="es-ES"/>
        </w:rPr>
        <w:t>Asimismo, el Tribunal tendrá en cuenta los gastos incurridos en medicinas por la señora Pérez de Castro a la hora de determinar la correspondiente indemnización por daño material y, en particular, por daño emergente.</w:t>
      </w:r>
    </w:p>
    <w:p w14:paraId="0CD17195" w14:textId="77777777" w:rsidR="004568A8" w:rsidRPr="00465F79" w:rsidRDefault="004568A8" w:rsidP="004568A8">
      <w:pPr>
        <w:widowControl/>
        <w:tabs>
          <w:tab w:val="left" w:pos="567"/>
        </w:tabs>
        <w:autoSpaceDE w:val="0"/>
        <w:autoSpaceDN w:val="0"/>
        <w:spacing w:line="240" w:lineRule="auto"/>
        <w:textAlignment w:val="baseline"/>
        <w:rPr>
          <w:rFonts w:eastAsia="Arial" w:cs="Arial"/>
          <w:b/>
          <w:bCs/>
          <w:lang w:val="es-ES"/>
        </w:rPr>
      </w:pPr>
    </w:p>
    <w:p w14:paraId="28E1248F" w14:textId="79073DD1" w:rsidR="00F822DB" w:rsidRPr="00816697" w:rsidRDefault="00992937" w:rsidP="006760AE">
      <w:pPr>
        <w:widowControl/>
        <w:numPr>
          <w:ilvl w:val="0"/>
          <w:numId w:val="7"/>
        </w:numPr>
        <w:tabs>
          <w:tab w:val="left" w:pos="567"/>
          <w:tab w:val="num" w:pos="1569"/>
          <w:tab w:val="num" w:pos="12305"/>
        </w:tabs>
        <w:autoSpaceDE w:val="0"/>
        <w:autoSpaceDN w:val="0"/>
        <w:spacing w:line="240" w:lineRule="auto"/>
        <w:ind w:left="0" w:firstLine="0"/>
        <w:textAlignment w:val="baseline"/>
        <w:rPr>
          <w:rFonts w:eastAsia="Arial" w:cs="Arial"/>
          <w:b/>
          <w:bCs/>
        </w:rPr>
      </w:pPr>
      <w:r>
        <w:rPr>
          <w:rFonts w:eastAsia="Arial" w:cs="Arial"/>
          <w:lang w:val="es-ES"/>
        </w:rPr>
        <w:t>Además</w:t>
      </w:r>
      <w:r w:rsidR="004568A8" w:rsidRPr="00465F79">
        <w:rPr>
          <w:rFonts w:eastAsia="Arial" w:cs="Arial"/>
          <w:lang w:val="es-ES"/>
        </w:rPr>
        <w:t xml:space="preserve">, </w:t>
      </w:r>
      <w:r w:rsidR="00C654DA">
        <w:rPr>
          <w:rFonts w:eastAsia="Arial" w:cs="Arial"/>
          <w:lang w:val="es-ES"/>
        </w:rPr>
        <w:t xml:space="preserve">en lo que respecta a las restantes víctimas, </w:t>
      </w:r>
      <w:r w:rsidR="00A71AD6" w:rsidRPr="00465F79">
        <w:rPr>
          <w:rFonts w:eastAsia="Arial" w:cs="Arial"/>
          <w:lang w:val="es-ES"/>
        </w:rPr>
        <w:t xml:space="preserve">la Corte estima que es necesario disponer de una medida de reparación que brinde una atención adecuada a los padecimientos psicológicos y físicos de los familiares </w:t>
      </w:r>
      <w:r w:rsidR="004568A8" w:rsidRPr="00465F79">
        <w:rPr>
          <w:rFonts w:eastAsia="Arial" w:cs="Arial"/>
          <w:lang w:val="es-ES"/>
        </w:rPr>
        <w:t xml:space="preserve">de </w:t>
      </w:r>
      <w:r w:rsidR="00C654DA">
        <w:rPr>
          <w:rFonts w:eastAsia="Arial" w:cs="Arial"/>
          <w:lang w:val="es-ES"/>
        </w:rPr>
        <w:t>las víctimas desaparecidas</w:t>
      </w:r>
      <w:r w:rsidR="00F213A8">
        <w:rPr>
          <w:rFonts w:eastAsia="Arial" w:cs="Arial"/>
          <w:lang w:val="es-ES"/>
        </w:rPr>
        <w:t>.</w:t>
      </w:r>
      <w:r w:rsidR="00444E5F">
        <w:rPr>
          <w:rFonts w:eastAsia="Arial" w:cs="Arial"/>
          <w:lang w:val="es-ES"/>
        </w:rPr>
        <w:t xml:space="preserve"> </w:t>
      </w:r>
      <w:r w:rsidR="00F213A8" w:rsidRPr="006760AE">
        <w:rPr>
          <w:rFonts w:eastAsia="Arial" w:cs="Arial"/>
          <w:lang w:val="es-ES"/>
        </w:rPr>
        <w:t>T</w:t>
      </w:r>
      <w:r w:rsidR="00A71AD6" w:rsidRPr="006760AE">
        <w:rPr>
          <w:rFonts w:eastAsia="Arial" w:cs="Arial"/>
          <w:lang w:val="es-ES"/>
        </w:rPr>
        <w:t xml:space="preserve">eniendo en cuenta que </w:t>
      </w:r>
      <w:r w:rsidR="00F8344D" w:rsidRPr="006760AE">
        <w:rPr>
          <w:rFonts w:eastAsia="Arial" w:cs="Arial"/>
          <w:lang w:val="es-ES"/>
        </w:rPr>
        <w:t>estas</w:t>
      </w:r>
      <w:r w:rsidR="00A71AD6" w:rsidRPr="006760AE">
        <w:rPr>
          <w:rFonts w:eastAsia="Arial" w:cs="Arial"/>
          <w:lang w:val="es-ES"/>
        </w:rPr>
        <w:t xml:space="preserve"> no residen en El Salvador, este Tribunal dispone, como ha hecho en otros casos</w:t>
      </w:r>
      <w:r w:rsidR="00A71AD6" w:rsidRPr="006760AE">
        <w:rPr>
          <w:rStyle w:val="Refdenotaalpie"/>
          <w:rFonts w:eastAsia="Arial" w:cs="Arial"/>
        </w:rPr>
        <w:footnoteReference w:id="178"/>
      </w:r>
      <w:r w:rsidR="00A71AD6" w:rsidRPr="006760AE">
        <w:rPr>
          <w:rFonts w:eastAsia="Arial" w:cs="Arial"/>
          <w:lang w:val="es-ES"/>
        </w:rPr>
        <w:t>,</w:t>
      </w:r>
      <w:r w:rsidR="004E0487" w:rsidRPr="006760AE">
        <w:rPr>
          <w:rFonts w:eastAsia="Arial" w:cs="Arial"/>
          <w:lang w:val="es-ES"/>
        </w:rPr>
        <w:t xml:space="preserve"> </w:t>
      </w:r>
      <w:r w:rsidR="00A71AD6" w:rsidRPr="006760AE">
        <w:rPr>
          <w:rFonts w:eastAsia="Arial" w:cs="Arial"/>
          <w:lang w:val="es-ES"/>
        </w:rPr>
        <w:t>la obligación a cargo del Estado de pagar, por una vez, la suma de UDS</w:t>
      </w:r>
      <w:r w:rsidR="00E16C4C" w:rsidRPr="006760AE">
        <w:rPr>
          <w:rFonts w:eastAsia="Arial" w:cs="Arial"/>
          <w:lang w:val="es-ES"/>
        </w:rPr>
        <w:t xml:space="preserve"> </w:t>
      </w:r>
      <w:r w:rsidR="00A71AD6" w:rsidRPr="006760AE">
        <w:rPr>
          <w:rFonts w:eastAsia="Arial" w:cs="Arial"/>
          <w:lang w:val="es-ES"/>
        </w:rPr>
        <w:t xml:space="preserve">$ </w:t>
      </w:r>
      <w:r w:rsidR="00C654DA" w:rsidRPr="006760AE">
        <w:rPr>
          <w:rFonts w:eastAsia="Arial" w:cs="Arial"/>
          <w:lang w:val="es-ES"/>
        </w:rPr>
        <w:t>20</w:t>
      </w:r>
      <w:r w:rsidR="00A71AD6" w:rsidRPr="006760AE">
        <w:rPr>
          <w:rFonts w:eastAsia="Arial" w:cs="Arial"/>
          <w:lang w:val="es-ES"/>
        </w:rPr>
        <w:t>.000,00 (</w:t>
      </w:r>
      <w:r w:rsidR="00C654DA" w:rsidRPr="006760AE">
        <w:rPr>
          <w:rFonts w:eastAsia="Arial" w:cs="Arial"/>
          <w:lang w:val="es-ES"/>
        </w:rPr>
        <w:t>veinte</w:t>
      </w:r>
      <w:r w:rsidR="00A71AD6" w:rsidRPr="006760AE">
        <w:rPr>
          <w:rFonts w:eastAsia="Arial" w:cs="Arial"/>
          <w:lang w:val="es-ES"/>
        </w:rPr>
        <w:t xml:space="preserve"> mil dólares de los Estados Unidos de América) </w:t>
      </w:r>
      <w:r w:rsidR="00C654DA" w:rsidRPr="006760AE">
        <w:rPr>
          <w:rFonts w:eastAsia="Arial" w:cs="Arial"/>
          <w:lang w:val="es-ES"/>
        </w:rPr>
        <w:t>para</w:t>
      </w:r>
      <w:r w:rsidR="00005785" w:rsidRPr="006760AE">
        <w:rPr>
          <w:rFonts w:eastAsia="Arial" w:cs="Arial"/>
          <w:lang w:val="es-ES"/>
        </w:rPr>
        <w:t xml:space="preserve"> </w:t>
      </w:r>
      <w:r w:rsidR="000004C2" w:rsidRPr="006760AE">
        <w:rPr>
          <w:rFonts w:eastAsia="Arial" w:cs="Arial"/>
          <w:lang w:val="es-ES"/>
        </w:rPr>
        <w:t xml:space="preserve">cada una </w:t>
      </w:r>
      <w:r>
        <w:rPr>
          <w:rFonts w:eastAsia="Arial" w:cs="Arial"/>
          <w:lang w:val="es-ES"/>
        </w:rPr>
        <w:t>d</w:t>
      </w:r>
      <w:r w:rsidR="000004C2" w:rsidRPr="006760AE">
        <w:rPr>
          <w:rFonts w:eastAsia="Arial" w:cs="Arial"/>
          <w:lang w:val="es-ES"/>
        </w:rPr>
        <w:t xml:space="preserve">e las siguientes personas: </w:t>
      </w:r>
      <w:r w:rsidR="00C654DA" w:rsidRPr="006760AE">
        <w:rPr>
          <w:rFonts w:eastAsia="Arial" w:cs="Arial"/>
          <w:lang w:val="es-ES"/>
        </w:rPr>
        <w:t xml:space="preserve">Maite María Álvarez Cuéllar, Javier </w:t>
      </w:r>
      <w:r w:rsidR="00495015" w:rsidRPr="006760AE">
        <w:rPr>
          <w:rFonts w:eastAsia="Arial" w:cs="Arial"/>
          <w:lang w:val="es-ES"/>
        </w:rPr>
        <w:t>Ernesto</w:t>
      </w:r>
      <w:r w:rsidR="00C654DA" w:rsidRPr="006760AE">
        <w:rPr>
          <w:rFonts w:eastAsia="Arial" w:cs="Arial"/>
          <w:lang w:val="es-ES"/>
        </w:rPr>
        <w:t xml:space="preserve"> Álvarez Cuéllar</w:t>
      </w:r>
      <w:r>
        <w:rPr>
          <w:rFonts w:eastAsia="Arial" w:cs="Arial"/>
          <w:lang w:val="es-ES"/>
        </w:rPr>
        <w:t xml:space="preserve">, </w:t>
      </w:r>
      <w:r w:rsidR="00C654DA" w:rsidRPr="006760AE">
        <w:rPr>
          <w:rFonts w:eastAsia="Arial" w:cs="Arial"/>
          <w:lang w:val="es-ES"/>
        </w:rPr>
        <w:t xml:space="preserve">Ana Gabriela Álvarez Cuéllar, </w:t>
      </w:r>
      <w:r w:rsidR="00A71AD6" w:rsidRPr="006760AE">
        <w:rPr>
          <w:rFonts w:eastAsia="Arial" w:cs="Arial"/>
          <w:lang w:val="es-ES"/>
        </w:rPr>
        <w:t xml:space="preserve">Francisco </w:t>
      </w:r>
      <w:r w:rsidR="00495015" w:rsidRPr="006760AE">
        <w:rPr>
          <w:rFonts w:eastAsia="Arial" w:cs="Arial"/>
          <w:lang w:val="es-ES"/>
        </w:rPr>
        <w:t xml:space="preserve">Alfredo </w:t>
      </w:r>
      <w:r w:rsidR="00A71AD6" w:rsidRPr="006760AE">
        <w:rPr>
          <w:rFonts w:eastAsia="Arial" w:cs="Arial"/>
          <w:lang w:val="es-ES"/>
        </w:rPr>
        <w:t xml:space="preserve">Álvarez </w:t>
      </w:r>
      <w:r w:rsidR="00495015" w:rsidRPr="006760AE">
        <w:rPr>
          <w:rFonts w:eastAsia="Arial" w:cs="Arial"/>
          <w:lang w:val="es-ES"/>
        </w:rPr>
        <w:t>Solís</w:t>
      </w:r>
      <w:r w:rsidR="00C654DA" w:rsidRPr="006760AE">
        <w:rPr>
          <w:rFonts w:eastAsia="Arial" w:cs="Arial"/>
          <w:lang w:val="es-ES"/>
        </w:rPr>
        <w:t xml:space="preserve"> y Mauricio Cuéllar</w:t>
      </w:r>
      <w:r w:rsidR="00C654DA">
        <w:rPr>
          <w:rFonts w:eastAsia="Arial" w:cs="Arial"/>
          <w:lang w:val="es-ES"/>
        </w:rPr>
        <w:t xml:space="preserve"> Sandoval, </w:t>
      </w:r>
      <w:r w:rsidR="00C654DA">
        <w:t>por concepto de gastos por tratamiento médico, psicológico y/o psiquiátrico, así como por medicamentos y otros gastos conexos, para que puedan recibir dicha atención en el lugar donde residan. El Estado dispondrá del plazo de un año, contado a partir de la notificación de la presente Sentencia, para realizar este pago.</w:t>
      </w:r>
      <w:r w:rsidR="00C654DA">
        <w:rPr>
          <w:rFonts w:eastAsia="Arial" w:cs="Arial"/>
          <w:lang w:val="es-ES"/>
        </w:rPr>
        <w:t xml:space="preserve"> </w:t>
      </w:r>
    </w:p>
    <w:p w14:paraId="383FEAD2" w14:textId="4B61828F" w:rsidR="00F822DB" w:rsidRPr="00465F79" w:rsidRDefault="00F822DB" w:rsidP="00A12976">
      <w:pPr>
        <w:pStyle w:val="Ttulo2"/>
      </w:pPr>
      <w:bookmarkStart w:id="158" w:name="_Toc165022639"/>
      <w:r w:rsidRPr="00465F79">
        <w:lastRenderedPageBreak/>
        <w:t>Medidas de satisfacción</w:t>
      </w:r>
      <w:bookmarkEnd w:id="158"/>
      <w:r w:rsidRPr="00465F79">
        <w:t xml:space="preserve"> </w:t>
      </w:r>
    </w:p>
    <w:p w14:paraId="07205076" w14:textId="698309DA" w:rsidR="00F822DB" w:rsidRPr="00465F79" w:rsidRDefault="00F822DB" w:rsidP="00F822DB">
      <w:pPr>
        <w:widowControl/>
        <w:numPr>
          <w:ilvl w:val="0"/>
          <w:numId w:val="7"/>
        </w:numPr>
        <w:tabs>
          <w:tab w:val="left" w:pos="567"/>
          <w:tab w:val="num" w:pos="1569"/>
          <w:tab w:val="num" w:pos="12305"/>
        </w:tabs>
        <w:autoSpaceDE w:val="0"/>
        <w:autoSpaceDN w:val="0"/>
        <w:spacing w:line="240" w:lineRule="auto"/>
        <w:ind w:left="0" w:firstLine="0"/>
        <w:textAlignment w:val="baseline"/>
        <w:rPr>
          <w:b/>
          <w:bCs/>
        </w:rPr>
      </w:pPr>
      <w:r w:rsidRPr="00465F79">
        <w:rPr>
          <w:rFonts w:eastAsia="Arial" w:cs="Arial"/>
          <w:lang w:val="es-ES"/>
        </w:rPr>
        <w:t>La</w:t>
      </w:r>
      <w:r w:rsidRPr="00465F79">
        <w:t xml:space="preserve"> </w:t>
      </w:r>
      <w:r w:rsidRPr="00465F79">
        <w:rPr>
          <w:b/>
          <w:bCs/>
          <w:i/>
          <w:iCs/>
        </w:rPr>
        <w:t>Comisión</w:t>
      </w:r>
      <w:r w:rsidRPr="00465F79">
        <w:t xml:space="preserve"> recomendó “reparar </w:t>
      </w:r>
      <w:r w:rsidRPr="00465F79">
        <w:rPr>
          <w:rFonts w:cs="Arial"/>
          <w:bCs/>
          <w:lang w:val="es-ES"/>
        </w:rPr>
        <w:t>integralmente</w:t>
      </w:r>
      <w:r w:rsidRPr="00465F79">
        <w:t xml:space="preserve"> las violaciones de derechos humanos” declaradas en el Informe de Fondo. </w:t>
      </w:r>
    </w:p>
    <w:p w14:paraId="7DBB6DFE" w14:textId="77777777" w:rsidR="00F822DB" w:rsidRPr="00465F79" w:rsidRDefault="00F822DB" w:rsidP="00F822DB">
      <w:pPr>
        <w:autoSpaceDE w:val="0"/>
        <w:autoSpaceDN w:val="0"/>
        <w:spacing w:line="240" w:lineRule="auto"/>
      </w:pPr>
    </w:p>
    <w:p w14:paraId="1A77B325" w14:textId="0E2F0FA5" w:rsidR="00F822DB" w:rsidRPr="00881416" w:rsidRDefault="00F822DB" w:rsidP="00881416">
      <w:pPr>
        <w:widowControl/>
        <w:numPr>
          <w:ilvl w:val="0"/>
          <w:numId w:val="7"/>
        </w:numPr>
        <w:tabs>
          <w:tab w:val="left" w:pos="567"/>
          <w:tab w:val="num" w:pos="1569"/>
          <w:tab w:val="num" w:pos="12305"/>
        </w:tabs>
        <w:autoSpaceDE w:val="0"/>
        <w:autoSpaceDN w:val="0"/>
        <w:spacing w:line="240" w:lineRule="auto"/>
        <w:ind w:left="0" w:firstLine="0"/>
        <w:textAlignment w:val="baseline"/>
        <w:rPr>
          <w:rFonts w:eastAsia="Arial" w:cs="Arial"/>
          <w:lang w:val="es-ES"/>
        </w:rPr>
      </w:pPr>
      <w:r w:rsidRPr="00881416">
        <w:rPr>
          <w:rFonts w:eastAsia="Arial" w:cs="Arial"/>
          <w:lang w:val="es-ES"/>
        </w:rPr>
        <w:t xml:space="preserve">El </w:t>
      </w:r>
      <w:r w:rsidRPr="00881416">
        <w:rPr>
          <w:rFonts w:eastAsia="Arial" w:cs="Arial"/>
          <w:b/>
          <w:bCs/>
          <w:i/>
          <w:iCs/>
          <w:lang w:val="es-ES"/>
        </w:rPr>
        <w:t>representante</w:t>
      </w:r>
      <w:r w:rsidRPr="00881416">
        <w:rPr>
          <w:rFonts w:eastAsia="Arial" w:cs="Arial"/>
          <w:lang w:val="es-ES"/>
        </w:rPr>
        <w:t xml:space="preserve"> solicitó que la Corte obligara al Estado a implementar medidas de satisfacción tales como: (i) realizar de un acto público de reconocimiento de responsabilidad internacional, en el cual se “ofrezca disculpas púbicas a las familias victimizadas en el presente caso con la desaparición forzada de sus parientes”; (ii) denominar a un espacio público en la capital con los nombres de Patricia E</w:t>
      </w:r>
      <w:r w:rsidR="00086CC9">
        <w:rPr>
          <w:rFonts w:eastAsia="Arial" w:cs="Arial"/>
          <w:lang w:val="es-ES"/>
        </w:rPr>
        <w:t>milie</w:t>
      </w:r>
      <w:r w:rsidRPr="00881416">
        <w:rPr>
          <w:rFonts w:eastAsia="Arial" w:cs="Arial"/>
          <w:lang w:val="es-ES"/>
        </w:rPr>
        <w:t xml:space="preserve"> Cuéllar Sandoval, Mauricio Cuéllar Cuéllar y Julia Orbelina Pérez,</w:t>
      </w:r>
      <w:r w:rsidR="002D7251" w:rsidRPr="00881416">
        <w:rPr>
          <w:rFonts w:eastAsia="Arial" w:cs="Arial"/>
          <w:lang w:val="es-ES"/>
        </w:rPr>
        <w:t xml:space="preserve"> construyendo en el mismo “un </w:t>
      </w:r>
      <w:r w:rsidR="002D7251" w:rsidRPr="00881416">
        <w:rPr>
          <w:rFonts w:cs="Arial"/>
          <w:bCs/>
        </w:rPr>
        <w:t>memorial</w:t>
      </w:r>
      <w:r w:rsidR="002D7251" w:rsidRPr="00881416">
        <w:rPr>
          <w:rFonts w:eastAsia="Arial" w:cs="Arial"/>
          <w:lang w:val="es-ES"/>
        </w:rPr>
        <w:t xml:space="preserve"> en homenaje y reconocimiento de todas las personas detenidas y desaparecidas por la fuerza” en el marco del conflicto armado</w:t>
      </w:r>
      <w:r w:rsidRPr="00881416">
        <w:rPr>
          <w:rFonts w:eastAsia="Arial" w:cs="Arial"/>
          <w:lang w:val="es-ES"/>
        </w:rPr>
        <w:t xml:space="preserve"> y (iii) </w:t>
      </w:r>
      <w:r w:rsidR="00881416" w:rsidRPr="00881416">
        <w:rPr>
          <w:rFonts w:eastAsia="Arial" w:cs="Arial"/>
          <w:lang w:val="es-ES"/>
        </w:rPr>
        <w:t>aprobar un Decreto Legislativo mediante el cual sea declarado el 30 de agosto como el Día Nacional de la persona detenida desaparecida</w:t>
      </w:r>
      <w:r w:rsidR="002214E1">
        <w:rPr>
          <w:rFonts w:eastAsia="Arial" w:cs="Arial"/>
          <w:lang w:val="es-ES"/>
        </w:rPr>
        <w:t>.</w:t>
      </w:r>
    </w:p>
    <w:p w14:paraId="47CE2BF1" w14:textId="77777777" w:rsidR="006917B7" w:rsidRPr="006917B7" w:rsidRDefault="006917B7" w:rsidP="006917B7">
      <w:pPr>
        <w:widowControl/>
        <w:tabs>
          <w:tab w:val="left" w:pos="567"/>
        </w:tabs>
        <w:autoSpaceDE w:val="0"/>
        <w:autoSpaceDN w:val="0"/>
        <w:spacing w:line="240" w:lineRule="auto"/>
        <w:textAlignment w:val="baseline"/>
        <w:rPr>
          <w:rFonts w:cs="Arial"/>
          <w:b/>
          <w:bCs/>
        </w:rPr>
      </w:pPr>
    </w:p>
    <w:p w14:paraId="6E2AECD3" w14:textId="60DDBDCB" w:rsidR="00754B0B" w:rsidRPr="002C6F8F" w:rsidRDefault="00754B0B" w:rsidP="00754B0B">
      <w:pPr>
        <w:widowControl/>
        <w:numPr>
          <w:ilvl w:val="0"/>
          <w:numId w:val="7"/>
        </w:numPr>
        <w:tabs>
          <w:tab w:val="left" w:pos="567"/>
          <w:tab w:val="num" w:pos="1569"/>
          <w:tab w:val="num" w:pos="12305"/>
        </w:tabs>
        <w:autoSpaceDE w:val="0"/>
        <w:autoSpaceDN w:val="0"/>
        <w:spacing w:line="240" w:lineRule="auto"/>
        <w:ind w:left="0" w:firstLine="0"/>
        <w:textAlignment w:val="baseline"/>
        <w:rPr>
          <w:rFonts w:eastAsia="Arial" w:cs="Arial"/>
          <w:lang w:val="es-ES"/>
        </w:rPr>
      </w:pPr>
      <w:r w:rsidRPr="002C6F8F">
        <w:rPr>
          <w:rFonts w:cs="Arial"/>
          <w:bCs/>
        </w:rPr>
        <w:t>El</w:t>
      </w:r>
      <w:r w:rsidRPr="002C6F8F">
        <w:rPr>
          <w:rFonts w:cs="Arial"/>
          <w:b/>
        </w:rPr>
        <w:t xml:space="preserve"> </w:t>
      </w:r>
      <w:r w:rsidRPr="002C6F8F">
        <w:rPr>
          <w:rFonts w:cs="Arial"/>
          <w:b/>
          <w:i/>
          <w:iCs/>
        </w:rPr>
        <w:t xml:space="preserve">Estado </w:t>
      </w:r>
      <w:r w:rsidRPr="002C6F8F">
        <w:rPr>
          <w:rFonts w:eastAsia="Arial" w:cs="Arial"/>
          <w:lang w:val="es-ES"/>
        </w:rPr>
        <w:t>señaló en su escrito de contestación que ya existe en El Salvador un monumento a las víctimas civiles del conflicto, denominado “Monumento a la memoria y la verdad”</w:t>
      </w:r>
      <w:r>
        <w:rPr>
          <w:rFonts w:eastAsia="Arial" w:cs="Arial"/>
          <w:lang w:val="es-ES"/>
        </w:rPr>
        <w:t xml:space="preserve">, </w:t>
      </w:r>
      <w:r w:rsidRPr="002C6F8F">
        <w:rPr>
          <w:rFonts w:eastAsia="Arial" w:cs="Arial"/>
          <w:lang w:val="es-ES"/>
        </w:rPr>
        <w:t xml:space="preserve">el cual se encuentra en el parque de Cuscatlán en San Salvador, y posee los nombres de Patricia E. Cuéllar Sandoval, Mauricio </w:t>
      </w:r>
      <w:r w:rsidRPr="006760AE">
        <w:rPr>
          <w:rFonts w:eastAsia="Arial" w:cs="Arial"/>
          <w:lang w:val="es-ES"/>
        </w:rPr>
        <w:t>Cuéllar Cuéllar y Julia Orbelina Pérez. A pesar de que dicho monumento fue construido “como una iniciativa gestada</w:t>
      </w:r>
      <w:r w:rsidRPr="002C6F8F">
        <w:rPr>
          <w:rFonts w:eastAsia="Arial" w:cs="Arial"/>
          <w:lang w:val="es-ES"/>
        </w:rPr>
        <w:t xml:space="preserve"> desde las organizaciones de sociedad civil”, el Estado precisó que este ha procurado los fondos para su “revitalización, mejoramiento y conservación”. </w:t>
      </w:r>
      <w:r w:rsidRPr="00E90862">
        <w:rPr>
          <w:rFonts w:eastAsia="Arial" w:cs="Arial"/>
          <w:lang w:val="es-ES"/>
        </w:rPr>
        <w:t>C</w:t>
      </w:r>
      <w:r w:rsidRPr="002C6F8F">
        <w:rPr>
          <w:rFonts w:eastAsia="Arial" w:cs="Arial"/>
          <w:lang w:val="es-ES"/>
        </w:rPr>
        <w:t xml:space="preserve">onsideró, además, que “el objetivo de una medida de esta naturaleza, de reconocer la memoria de las víctimas, ya estaría cumplida en el presente caso”, por lo que </w:t>
      </w:r>
      <w:r>
        <w:rPr>
          <w:rFonts w:eastAsia="Arial" w:cs="Arial"/>
          <w:lang w:val="es-ES"/>
        </w:rPr>
        <w:t>el Tribunal</w:t>
      </w:r>
      <w:r w:rsidRPr="002C6F8F">
        <w:rPr>
          <w:rFonts w:eastAsia="Arial" w:cs="Arial"/>
          <w:lang w:val="es-ES"/>
        </w:rPr>
        <w:t xml:space="preserve"> no debería ordenar esta medida adicional. Añadió que, si bien el presente constituye un caso individual ante </w:t>
      </w:r>
      <w:r>
        <w:rPr>
          <w:rFonts w:eastAsia="Arial" w:cs="Arial"/>
          <w:lang w:val="es-ES"/>
        </w:rPr>
        <w:t>la Corte</w:t>
      </w:r>
      <w:r w:rsidRPr="002C6F8F">
        <w:rPr>
          <w:rFonts w:eastAsia="Arial" w:cs="Arial"/>
          <w:lang w:val="es-ES"/>
        </w:rPr>
        <w:t xml:space="preserve">, el Estado ha reconocido </w:t>
      </w:r>
      <w:r>
        <w:rPr>
          <w:rFonts w:eastAsia="Arial" w:cs="Arial"/>
          <w:lang w:val="es-ES"/>
        </w:rPr>
        <w:t>la existencia de “</w:t>
      </w:r>
      <w:r w:rsidRPr="002C6F8F">
        <w:rPr>
          <w:rFonts w:eastAsia="Arial" w:cs="Arial"/>
          <w:lang w:val="es-ES"/>
        </w:rPr>
        <w:t>un patrón de desapariciones forzadas ocurridas en el contexto del conflicto armado</w:t>
      </w:r>
      <w:r>
        <w:rPr>
          <w:rFonts w:eastAsia="Arial" w:cs="Arial"/>
          <w:lang w:val="es-ES"/>
        </w:rPr>
        <w:t>”</w:t>
      </w:r>
      <w:r w:rsidRPr="002C6F8F">
        <w:rPr>
          <w:rFonts w:eastAsia="Arial" w:cs="Arial"/>
          <w:lang w:val="es-ES"/>
        </w:rPr>
        <w:t xml:space="preserve"> y </w:t>
      </w:r>
      <w:r>
        <w:rPr>
          <w:rFonts w:eastAsia="Arial" w:cs="Arial"/>
          <w:lang w:val="es-ES"/>
        </w:rPr>
        <w:t>de</w:t>
      </w:r>
      <w:r w:rsidRPr="002C6F8F">
        <w:rPr>
          <w:rFonts w:eastAsia="Arial" w:cs="Arial"/>
          <w:lang w:val="es-ES"/>
        </w:rPr>
        <w:t xml:space="preserve"> </w:t>
      </w:r>
      <w:r>
        <w:rPr>
          <w:rFonts w:eastAsia="Arial" w:cs="Arial"/>
          <w:lang w:val="es-ES"/>
        </w:rPr>
        <w:t>“</w:t>
      </w:r>
      <w:r w:rsidRPr="002C6F8F">
        <w:rPr>
          <w:rFonts w:eastAsia="Arial" w:cs="Arial"/>
          <w:lang w:val="es-ES"/>
        </w:rPr>
        <w:t>registros que dan cuenta de miles de víctimas de esta violación de derechos humanos</w:t>
      </w:r>
      <w:r>
        <w:rPr>
          <w:rFonts w:eastAsia="Arial" w:cs="Arial"/>
          <w:lang w:val="es-ES"/>
        </w:rPr>
        <w:t>”</w:t>
      </w:r>
      <w:r w:rsidRPr="002C6F8F">
        <w:rPr>
          <w:rFonts w:eastAsia="Arial" w:cs="Arial"/>
          <w:lang w:val="es-ES"/>
        </w:rPr>
        <w:t xml:space="preserve">, por lo que </w:t>
      </w:r>
      <w:r>
        <w:rPr>
          <w:rFonts w:eastAsia="Arial" w:cs="Arial"/>
          <w:lang w:val="es-ES"/>
        </w:rPr>
        <w:t>valoró que debe</w:t>
      </w:r>
      <w:r w:rsidRPr="002C6F8F">
        <w:rPr>
          <w:rFonts w:eastAsia="Arial" w:cs="Arial"/>
          <w:lang w:val="es-ES"/>
        </w:rPr>
        <w:t xml:space="preserve"> </w:t>
      </w:r>
      <w:r>
        <w:rPr>
          <w:rFonts w:eastAsia="Arial" w:cs="Arial"/>
          <w:lang w:val="es-ES"/>
        </w:rPr>
        <w:t>“</w:t>
      </w:r>
      <w:r w:rsidRPr="002C6F8F">
        <w:rPr>
          <w:rFonts w:eastAsia="Arial" w:cs="Arial"/>
          <w:lang w:val="es-ES"/>
        </w:rPr>
        <w:t>potenciarse medidas que tengan también un carácter colectivo, ya que esto permite además visibilizar la magnitud que tuvo este fenómeno”.</w:t>
      </w:r>
      <w:r w:rsidR="00ED1B1A">
        <w:rPr>
          <w:rFonts w:eastAsia="Arial" w:cs="Arial"/>
          <w:lang w:val="es-ES"/>
        </w:rPr>
        <w:t xml:space="preserve"> </w:t>
      </w:r>
    </w:p>
    <w:p w14:paraId="175FF4F5" w14:textId="77777777" w:rsidR="002C6F8F" w:rsidRPr="002C6F8F" w:rsidRDefault="002C6F8F" w:rsidP="002C6F8F">
      <w:pPr>
        <w:widowControl/>
        <w:tabs>
          <w:tab w:val="left" w:pos="567"/>
          <w:tab w:val="num" w:pos="12305"/>
        </w:tabs>
        <w:autoSpaceDE w:val="0"/>
        <w:autoSpaceDN w:val="0"/>
        <w:spacing w:line="240" w:lineRule="auto"/>
        <w:textAlignment w:val="baseline"/>
        <w:rPr>
          <w:rFonts w:eastAsia="Arial" w:cs="Arial"/>
          <w:lang w:val="es-ES"/>
        </w:rPr>
      </w:pPr>
    </w:p>
    <w:p w14:paraId="23A47199" w14:textId="28C47CFE" w:rsidR="002C6F8F" w:rsidRPr="002C6F8F" w:rsidRDefault="002C6F8F" w:rsidP="009658DC">
      <w:pPr>
        <w:widowControl/>
        <w:numPr>
          <w:ilvl w:val="0"/>
          <w:numId w:val="7"/>
        </w:numPr>
        <w:tabs>
          <w:tab w:val="left" w:pos="567"/>
          <w:tab w:val="num" w:pos="1569"/>
          <w:tab w:val="num" w:pos="12305"/>
        </w:tabs>
        <w:autoSpaceDE w:val="0"/>
        <w:autoSpaceDN w:val="0"/>
        <w:spacing w:line="240" w:lineRule="auto"/>
        <w:ind w:left="0" w:firstLine="0"/>
        <w:textAlignment w:val="baseline"/>
        <w:rPr>
          <w:rFonts w:eastAsia="Arial" w:cs="Arial"/>
          <w:lang w:val="es-ES"/>
        </w:rPr>
      </w:pPr>
      <w:r>
        <w:rPr>
          <w:rFonts w:eastAsia="Arial" w:cs="Arial"/>
          <w:lang w:val="es-ES"/>
        </w:rPr>
        <w:t>Por último</w:t>
      </w:r>
      <w:r w:rsidR="00E90862">
        <w:rPr>
          <w:rFonts w:eastAsia="Arial" w:cs="Arial"/>
          <w:lang w:val="es-ES"/>
        </w:rPr>
        <w:t>,</w:t>
      </w:r>
      <w:r>
        <w:rPr>
          <w:rFonts w:eastAsia="Arial" w:cs="Arial"/>
          <w:lang w:val="es-ES"/>
        </w:rPr>
        <w:t xml:space="preserve"> c</w:t>
      </w:r>
      <w:r w:rsidRPr="002C6F8F">
        <w:rPr>
          <w:rFonts w:eastAsia="Arial" w:cs="Arial"/>
          <w:lang w:val="es-ES"/>
        </w:rPr>
        <w:t xml:space="preserve">on respecto a la declaración del 30 de agosto como Día Nacional de la persona detenida desparecida, el </w:t>
      </w:r>
      <w:r w:rsidRPr="002A4B2B">
        <w:rPr>
          <w:rFonts w:eastAsia="Arial" w:cs="Arial"/>
          <w:lang w:val="es-ES"/>
        </w:rPr>
        <w:t>Estado</w:t>
      </w:r>
      <w:r w:rsidRPr="002C6F8F">
        <w:rPr>
          <w:rFonts w:eastAsia="Arial" w:cs="Arial"/>
          <w:lang w:val="es-ES"/>
        </w:rPr>
        <w:t xml:space="preserve"> </w:t>
      </w:r>
      <w:r>
        <w:rPr>
          <w:rFonts w:eastAsia="Arial" w:cs="Arial"/>
          <w:lang w:val="es-ES"/>
        </w:rPr>
        <w:t xml:space="preserve">informó </w:t>
      </w:r>
      <w:r w:rsidRPr="002C6F8F">
        <w:rPr>
          <w:rFonts w:eastAsia="Arial" w:cs="Arial"/>
          <w:lang w:val="es-ES"/>
        </w:rPr>
        <w:t>que la Asamblea Legislativa de El Salvador declaró el 16 de enero como “Día Nacional de las Víctimas del Conflicto Armado”, a través del Decreto Legislativo n°. 267, del 11 de enero de 2022, publicado en el Diario Oficial n°. 10, Tomo n°. 434, del 14 de enero de 2022.</w:t>
      </w:r>
      <w:r>
        <w:rPr>
          <w:rFonts w:eastAsia="Arial" w:cs="Arial"/>
          <w:lang w:val="es-ES"/>
        </w:rPr>
        <w:t xml:space="preserve"> </w:t>
      </w:r>
    </w:p>
    <w:p w14:paraId="0AB9840F" w14:textId="77777777" w:rsidR="00CD6E88" w:rsidRPr="00465F79" w:rsidRDefault="00CD6E88" w:rsidP="00CD6E88">
      <w:pPr>
        <w:widowControl/>
        <w:tabs>
          <w:tab w:val="left" w:pos="567"/>
        </w:tabs>
        <w:autoSpaceDE w:val="0"/>
        <w:autoSpaceDN w:val="0"/>
        <w:spacing w:line="240" w:lineRule="auto"/>
        <w:textAlignment w:val="baseline"/>
        <w:rPr>
          <w:rFonts w:eastAsia="Arial" w:cs="Arial"/>
        </w:rPr>
      </w:pPr>
    </w:p>
    <w:p w14:paraId="39653C45" w14:textId="77777777" w:rsidR="00AE6966" w:rsidRDefault="00F822DB" w:rsidP="00F822DB">
      <w:pPr>
        <w:widowControl/>
        <w:numPr>
          <w:ilvl w:val="0"/>
          <w:numId w:val="7"/>
        </w:numPr>
        <w:tabs>
          <w:tab w:val="left" w:pos="567"/>
          <w:tab w:val="num" w:pos="1569"/>
          <w:tab w:val="num" w:pos="12305"/>
        </w:tabs>
        <w:autoSpaceDE w:val="0"/>
        <w:autoSpaceDN w:val="0"/>
        <w:spacing w:line="240" w:lineRule="auto"/>
        <w:ind w:left="0" w:firstLine="0"/>
        <w:textAlignment w:val="baseline"/>
      </w:pPr>
      <w:r w:rsidRPr="00465F79">
        <w:rPr>
          <w:rFonts w:eastAsia="MS Mincho"/>
          <w:lang w:val="es-ES" w:bidi="en-US"/>
        </w:rPr>
        <w:t xml:space="preserve">La </w:t>
      </w:r>
      <w:r w:rsidRPr="00465F79">
        <w:rPr>
          <w:rFonts w:eastAsia="MS Mincho"/>
          <w:b/>
          <w:bCs/>
          <w:i/>
          <w:iCs/>
          <w:lang w:val="es-ES" w:bidi="en-US"/>
        </w:rPr>
        <w:t>Corte</w:t>
      </w:r>
      <w:r w:rsidRPr="00465F79">
        <w:rPr>
          <w:rFonts w:eastAsia="MS Mincho"/>
          <w:lang w:val="es-ES" w:bidi="en-US"/>
        </w:rPr>
        <w:t xml:space="preserve"> dispone, como lo ha hecho en otros casos, que el Estado publique, en el plazo de seis meses, contado a partir de la notificación de la presente Sentencia, en un tamaño de letra legible y adecuado: a) el resumen oficial de la presente Sentencia elaborado</w:t>
      </w:r>
      <w:r w:rsidR="004E0487" w:rsidRPr="00465F79">
        <w:rPr>
          <w:rFonts w:eastAsia="MS Mincho"/>
          <w:lang w:val="es-ES" w:bidi="en-US"/>
        </w:rPr>
        <w:t xml:space="preserve"> </w:t>
      </w:r>
      <w:r w:rsidRPr="00465F79">
        <w:rPr>
          <w:rFonts w:eastAsia="MS Mincho"/>
          <w:lang w:val="es-ES" w:bidi="en-US"/>
        </w:rPr>
        <w:t>por la Corte, por una sola vez, en el Diario Oficial en un tamaño de letra legible y adecuado; b) el resumen oficial de la presente Sentencia elaborado por la Corte, por una sola vez, en un medio de comunicación de amplia circulación nacional en un tamaño de letra legible y adecuado; c) la presente Sentencia en su integridad, disponible por un período de un año, en un sitio web oficial del Gobierno, de una manera accesible al público y desde la página de inicio del sitio web</w:t>
      </w:r>
      <w:r w:rsidR="00AE6966">
        <w:t xml:space="preserve">, y d) dar difusión a la Sentencia en las cuentas de redes sociales oficiales del Gobierno de El Salvador. Las publicaciones deberán indicar que la Corte Interamericana ha emitido Sentencia en el presente caso declarando la responsabilidad internacional del Estado, así como el enlace en el cual se </w:t>
      </w:r>
      <w:r w:rsidR="00AE6966">
        <w:lastRenderedPageBreak/>
        <w:t xml:space="preserve">puede acceder de manera directa al texto completo de la misma. Esta publicación deberá realizarse por al menos cinco veces por parte de cada institución, en un horario hábil, así como permanecer publicada en sus perfiles de las redes sociales. </w:t>
      </w:r>
    </w:p>
    <w:p w14:paraId="67813BDF" w14:textId="77777777" w:rsidR="00AE6966" w:rsidRDefault="00AE6966" w:rsidP="00AE6966">
      <w:pPr>
        <w:widowControl/>
        <w:tabs>
          <w:tab w:val="left" w:pos="567"/>
        </w:tabs>
        <w:autoSpaceDE w:val="0"/>
        <w:autoSpaceDN w:val="0"/>
        <w:spacing w:line="240" w:lineRule="auto"/>
        <w:textAlignment w:val="baseline"/>
      </w:pPr>
    </w:p>
    <w:p w14:paraId="4BA5297D" w14:textId="61FDC268" w:rsidR="00F822DB" w:rsidRPr="002A4B2B" w:rsidRDefault="00F822DB" w:rsidP="00F822DB">
      <w:pPr>
        <w:widowControl/>
        <w:numPr>
          <w:ilvl w:val="0"/>
          <w:numId w:val="7"/>
        </w:numPr>
        <w:tabs>
          <w:tab w:val="left" w:pos="567"/>
          <w:tab w:val="num" w:pos="1569"/>
          <w:tab w:val="num" w:pos="12305"/>
        </w:tabs>
        <w:autoSpaceDE w:val="0"/>
        <w:autoSpaceDN w:val="0"/>
        <w:spacing w:line="240" w:lineRule="auto"/>
        <w:ind w:left="0" w:firstLine="0"/>
        <w:textAlignment w:val="baseline"/>
      </w:pPr>
      <w:r w:rsidRPr="002A4B2B">
        <w:rPr>
          <w:rFonts w:eastAsia="MS Mincho"/>
          <w:lang w:val="es-ES" w:bidi="en-US"/>
        </w:rPr>
        <w:t xml:space="preserve">El Estado deberá informar de manera inmediata a este Tribunal una vez que proceda a realizar cada una de las publicaciones dispuestas, independientemente del plazo de un año para presentar su primer informe dispuesto en el punto resolutivo </w:t>
      </w:r>
      <w:r w:rsidR="00821569">
        <w:rPr>
          <w:rFonts w:eastAsia="MS Mincho"/>
          <w:lang w:val="es-ES" w:bidi="en-US"/>
        </w:rPr>
        <w:t>20</w:t>
      </w:r>
      <w:r w:rsidRPr="002A4B2B">
        <w:rPr>
          <w:rFonts w:eastAsia="MS Mincho"/>
          <w:lang w:val="es-ES" w:bidi="en-US"/>
        </w:rPr>
        <w:t xml:space="preserve"> de la presente Sentencia.</w:t>
      </w:r>
    </w:p>
    <w:p w14:paraId="1A358C3C" w14:textId="77777777" w:rsidR="00F822DB" w:rsidRPr="00465F79" w:rsidRDefault="00F822DB" w:rsidP="00F822DB">
      <w:pPr>
        <w:widowControl/>
        <w:tabs>
          <w:tab w:val="left" w:pos="567"/>
        </w:tabs>
        <w:autoSpaceDE w:val="0"/>
        <w:autoSpaceDN w:val="0"/>
        <w:spacing w:line="240" w:lineRule="auto"/>
        <w:textAlignment w:val="baseline"/>
      </w:pPr>
    </w:p>
    <w:p w14:paraId="13519BE3" w14:textId="77777777" w:rsidR="00F822DB" w:rsidRPr="00465F79" w:rsidRDefault="00F822DB" w:rsidP="00F822DB">
      <w:pPr>
        <w:widowControl/>
        <w:numPr>
          <w:ilvl w:val="0"/>
          <w:numId w:val="7"/>
        </w:numPr>
        <w:tabs>
          <w:tab w:val="left" w:pos="567"/>
          <w:tab w:val="num" w:pos="1569"/>
          <w:tab w:val="num" w:pos="12305"/>
        </w:tabs>
        <w:autoSpaceDE w:val="0"/>
        <w:autoSpaceDN w:val="0"/>
        <w:spacing w:line="240" w:lineRule="auto"/>
        <w:ind w:left="0" w:firstLine="0"/>
        <w:textAlignment w:val="baseline"/>
      </w:pPr>
      <w:r w:rsidRPr="00465F79">
        <w:t>Asimismo, con el fin de reparar el daño causado a las víctimas y de evitar que hechos como los de este caso se repitan, se ordena que el Estado realice un acto público de reconocimiento de responsabilidad internacional en relación con los hechos del presente caso. En dicho acto el Estado deberá hacer referencia a los hechos y violaciones de derechos humanos declaradas en la presente Sentencia. El Estado deberá asegurar la participación de las víctimas declaradas en la presente Sentencia, si estas así lo desean, e invitar al evento a sus representantes en las instancias nacionales e internacionales. El Estado y las víctimas y/o su representante, deberán acordar la modalidad de cumplimento del acto público, así como las particularidades que se requieran, tales como el lugar y la fecha para su realización. Además, el Estado debe difundir dicho acto a través de los medios de comunicación de la manera más amplia posible, incluyendo la difusión por radio, televisión y redes sociales de la Presidencia de la República. Las autoridades estatales que deberán estar presentes o participar en dicho acto deberán ser altos funcionarios del Estado. El Estado cuenta con un plazo de un año a partir de la notificación de la presente Sentencia para cumplir con esta obligación.</w:t>
      </w:r>
    </w:p>
    <w:p w14:paraId="7F5E5223" w14:textId="77777777" w:rsidR="00F822DB" w:rsidRPr="00465F79" w:rsidRDefault="00F822DB" w:rsidP="00F822DB">
      <w:pPr>
        <w:widowControl/>
        <w:tabs>
          <w:tab w:val="left" w:pos="567"/>
        </w:tabs>
        <w:autoSpaceDE w:val="0"/>
        <w:autoSpaceDN w:val="0"/>
        <w:spacing w:line="240" w:lineRule="auto"/>
        <w:textAlignment w:val="baseline"/>
        <w:rPr>
          <w:b/>
          <w:bCs/>
        </w:rPr>
      </w:pPr>
    </w:p>
    <w:p w14:paraId="6BA53D0D" w14:textId="0A835958" w:rsidR="00A7157E" w:rsidRPr="00465F79" w:rsidRDefault="00AE6966" w:rsidP="00A7157E">
      <w:pPr>
        <w:widowControl/>
        <w:numPr>
          <w:ilvl w:val="0"/>
          <w:numId w:val="7"/>
        </w:numPr>
        <w:tabs>
          <w:tab w:val="left" w:pos="567"/>
          <w:tab w:val="num" w:pos="1569"/>
          <w:tab w:val="num" w:pos="12305"/>
        </w:tabs>
        <w:autoSpaceDE w:val="0"/>
        <w:autoSpaceDN w:val="0"/>
        <w:spacing w:line="240" w:lineRule="auto"/>
        <w:ind w:left="0" w:firstLine="0"/>
        <w:textAlignment w:val="baseline"/>
      </w:pPr>
      <w:r>
        <w:rPr>
          <w:rFonts w:eastAsia="Arial" w:cs="Arial"/>
          <w:lang w:val="es-ES"/>
        </w:rPr>
        <w:t>Por último, l</w:t>
      </w:r>
      <w:r w:rsidR="00A7157E" w:rsidRPr="00465F79">
        <w:rPr>
          <w:rFonts w:eastAsia="Arial" w:cs="Arial"/>
          <w:lang w:val="es-ES"/>
        </w:rPr>
        <w:t xml:space="preserve">a Corte observa que el representante solicitó denominar un espacio público en la capital con los nombres de las víctimas desaparecidas del presente caso, y construir un “memorial” en “homenaje y reconocimiento” de las víctimas del conflicto armado salvadoreño. Al respecto, este Tribunal advierte que, de acuerdo con lo informado por las partes, ya existe un “Monumento a la memoria y la verdad” en el parque de Cuscatlán en San Salvador. No obstante, de </w:t>
      </w:r>
      <w:r w:rsidR="00DF4834">
        <w:rPr>
          <w:rFonts w:eastAsia="Arial" w:cs="Arial"/>
          <w:lang w:val="es-ES"/>
        </w:rPr>
        <w:t>conformidad</w:t>
      </w:r>
      <w:r w:rsidR="00A7157E" w:rsidRPr="00465F79">
        <w:rPr>
          <w:rFonts w:eastAsia="Arial" w:cs="Arial"/>
          <w:lang w:val="es-ES"/>
        </w:rPr>
        <w:t xml:space="preserve"> con lo indicado por el representante, dicho monumento fue construido por las víctimas del conflicto armado, no cuenta con los nombres completos de la señora Cuéllar Sandoval y el señor Cuéllar Cuéllar y</w:t>
      </w:r>
      <w:r>
        <w:rPr>
          <w:rFonts w:eastAsia="Arial" w:cs="Arial"/>
          <w:lang w:val="es-ES"/>
        </w:rPr>
        <w:t>,</w:t>
      </w:r>
      <w:r w:rsidR="00A7157E" w:rsidRPr="00465F79">
        <w:rPr>
          <w:rFonts w:eastAsia="Arial" w:cs="Arial"/>
          <w:lang w:val="es-ES"/>
        </w:rPr>
        <w:t xml:space="preserve"> además</w:t>
      </w:r>
      <w:r>
        <w:rPr>
          <w:rFonts w:eastAsia="Arial" w:cs="Arial"/>
          <w:lang w:val="es-ES"/>
        </w:rPr>
        <w:t>,</w:t>
      </w:r>
      <w:r w:rsidR="00A7157E" w:rsidRPr="00465F79">
        <w:rPr>
          <w:rFonts w:eastAsia="Arial" w:cs="Arial"/>
          <w:lang w:val="es-ES"/>
        </w:rPr>
        <w:t xml:space="preserve"> consigna de forma equivocada las fechas de desaparición de </w:t>
      </w:r>
      <w:r w:rsidR="0026671D">
        <w:rPr>
          <w:rFonts w:eastAsia="Arial" w:cs="Arial"/>
          <w:lang w:val="es-ES"/>
        </w:rPr>
        <w:t>las tres</w:t>
      </w:r>
      <w:r w:rsidR="00A7157E" w:rsidRPr="00465F79">
        <w:rPr>
          <w:rFonts w:eastAsia="Arial" w:cs="Arial"/>
          <w:lang w:val="es-ES"/>
        </w:rPr>
        <w:t xml:space="preserve"> víctimas</w:t>
      </w:r>
      <w:r w:rsidR="0026671D">
        <w:rPr>
          <w:rStyle w:val="Refdenotaalpie"/>
          <w:rFonts w:eastAsia="Arial" w:cs="Arial"/>
        </w:rPr>
        <w:footnoteReference w:id="179"/>
      </w:r>
      <w:r w:rsidR="00A7157E" w:rsidRPr="00465F79">
        <w:rPr>
          <w:rFonts w:eastAsia="Arial" w:cs="Arial"/>
          <w:lang w:val="es-ES"/>
        </w:rPr>
        <w:t xml:space="preserve">. </w:t>
      </w:r>
    </w:p>
    <w:p w14:paraId="30F16CB5" w14:textId="77777777" w:rsidR="00A7157E" w:rsidRPr="00465F79" w:rsidRDefault="00A7157E" w:rsidP="00A7157E">
      <w:pPr>
        <w:widowControl/>
        <w:tabs>
          <w:tab w:val="left" w:pos="567"/>
        </w:tabs>
        <w:autoSpaceDE w:val="0"/>
        <w:autoSpaceDN w:val="0"/>
        <w:spacing w:line="240" w:lineRule="auto"/>
        <w:textAlignment w:val="baseline"/>
      </w:pPr>
    </w:p>
    <w:p w14:paraId="3C03329C" w14:textId="2E96205B" w:rsidR="0029228F" w:rsidRDefault="00AE6966" w:rsidP="0029228F">
      <w:pPr>
        <w:widowControl/>
        <w:numPr>
          <w:ilvl w:val="0"/>
          <w:numId w:val="7"/>
        </w:numPr>
        <w:tabs>
          <w:tab w:val="left" w:pos="567"/>
          <w:tab w:val="num" w:pos="1569"/>
          <w:tab w:val="num" w:pos="12305"/>
        </w:tabs>
        <w:autoSpaceDE w:val="0"/>
        <w:autoSpaceDN w:val="0"/>
        <w:spacing w:line="240" w:lineRule="auto"/>
        <w:ind w:left="0" w:firstLine="0"/>
        <w:textAlignment w:val="baseline"/>
      </w:pPr>
      <w:r>
        <w:t>En vista de lo anterior</w:t>
      </w:r>
      <w:r w:rsidR="005B2BD1" w:rsidRPr="00465F79">
        <w:t xml:space="preserve">, la Corte estima necesario ordenar al Estado </w:t>
      </w:r>
      <w:r w:rsidR="00C9566A" w:rsidRPr="00465F79">
        <w:t>que efectúe</w:t>
      </w:r>
      <w:r w:rsidR="00455373" w:rsidRPr="00465F79">
        <w:t>, en un plazo máximo de un año,</w:t>
      </w:r>
      <w:r w:rsidR="00C9566A" w:rsidRPr="00465F79">
        <w:t xml:space="preserve"> las modificaciones necesarias al </w:t>
      </w:r>
      <w:r w:rsidRPr="00465F79">
        <w:rPr>
          <w:rFonts w:eastAsia="Arial" w:cs="Arial"/>
          <w:lang w:val="es-ES"/>
        </w:rPr>
        <w:t>“Monumento a la memoria y la verdad”</w:t>
      </w:r>
      <w:r w:rsidR="00C9566A" w:rsidRPr="00465F79">
        <w:t xml:space="preserve">, </w:t>
      </w:r>
      <w:r w:rsidR="00327CFA" w:rsidRPr="00465F79">
        <w:t xml:space="preserve">de común acuerdo con los familiares de las víctimas del presente caso, a efectos de consignar de forma completa </w:t>
      </w:r>
      <w:r w:rsidR="00E8183C" w:rsidRPr="00465F79">
        <w:t xml:space="preserve">los nombres de Patricia Emilie Cuéllar Sandoval y Mauricio Cuéllar Cuéllar, así como las fechas en las que ocurrieron </w:t>
      </w:r>
      <w:r w:rsidR="00DF4834">
        <w:t>las</w:t>
      </w:r>
      <w:r w:rsidR="00E8183C" w:rsidRPr="00465F79">
        <w:t xml:space="preserve"> desapariciones forzadas</w:t>
      </w:r>
      <w:r w:rsidR="00DF4834">
        <w:t xml:space="preserve"> de </w:t>
      </w:r>
      <w:r w:rsidR="00DF4834" w:rsidRPr="0029228F">
        <w:rPr>
          <w:rFonts w:eastAsia="Arial" w:cs="Arial"/>
        </w:rPr>
        <w:t>Patricia Emilie Cuéllar Sandoval, Mauricio Cuéllar Cuéllar y Julia Orbelina Pérez</w:t>
      </w:r>
      <w:r w:rsidR="00E8183C" w:rsidRPr="00465F79">
        <w:t>.</w:t>
      </w:r>
      <w:r w:rsidR="00455373" w:rsidRPr="00465F79">
        <w:t xml:space="preserve"> </w:t>
      </w:r>
      <w:r w:rsidR="00E90862">
        <w:t>Adicionalmente, e</w:t>
      </w:r>
      <w:r w:rsidR="00642CB6" w:rsidRPr="00465F79">
        <w:t xml:space="preserve">l Estado deberá garantizar los fondos necesarios </w:t>
      </w:r>
      <w:r w:rsidR="00642CB6" w:rsidRPr="00465F79">
        <w:lastRenderedPageBreak/>
        <w:t xml:space="preserve">para la conservación y mejoramiento del monumento. </w:t>
      </w:r>
      <w:r w:rsidR="00F8344D">
        <w:t xml:space="preserve">La Corte supervisará la presente medida durante los cinco años siguientes a la notificación de la presente </w:t>
      </w:r>
      <w:r w:rsidR="00F8344D" w:rsidRPr="0029228F">
        <w:rPr>
          <w:rFonts w:eastAsia="Arial" w:cs="Arial"/>
        </w:rPr>
        <w:t>Sentencia</w:t>
      </w:r>
      <w:r w:rsidR="00F8344D">
        <w:t>.</w:t>
      </w:r>
    </w:p>
    <w:p w14:paraId="3CEBF451" w14:textId="77777777" w:rsidR="0029228F" w:rsidRDefault="0029228F" w:rsidP="0029228F">
      <w:pPr>
        <w:widowControl/>
        <w:tabs>
          <w:tab w:val="left" w:pos="567"/>
        </w:tabs>
        <w:autoSpaceDE w:val="0"/>
        <w:autoSpaceDN w:val="0"/>
        <w:spacing w:line="240" w:lineRule="auto"/>
        <w:textAlignment w:val="baseline"/>
        <w:rPr>
          <w:rFonts w:eastAsia="Arial" w:cs="Arial"/>
        </w:rPr>
      </w:pPr>
    </w:p>
    <w:p w14:paraId="1AFB4BA5" w14:textId="2C00BF10" w:rsidR="00754B0B" w:rsidRDefault="00C9534C" w:rsidP="00754B0B">
      <w:pPr>
        <w:widowControl/>
        <w:numPr>
          <w:ilvl w:val="0"/>
          <w:numId w:val="7"/>
        </w:numPr>
        <w:tabs>
          <w:tab w:val="left" w:pos="567"/>
          <w:tab w:val="num" w:pos="1569"/>
          <w:tab w:val="num" w:pos="12305"/>
        </w:tabs>
        <w:autoSpaceDE w:val="0"/>
        <w:autoSpaceDN w:val="0"/>
        <w:spacing w:line="240" w:lineRule="auto"/>
        <w:ind w:left="0" w:firstLine="0"/>
        <w:textAlignment w:val="baseline"/>
      </w:pPr>
      <w:r w:rsidRPr="0029228F">
        <w:rPr>
          <w:rFonts w:eastAsia="Arial" w:cs="Arial"/>
        </w:rPr>
        <w:t xml:space="preserve">En </w:t>
      </w:r>
      <w:r w:rsidR="00235761" w:rsidRPr="0029228F">
        <w:rPr>
          <w:rFonts w:eastAsia="Arial" w:cs="Arial"/>
        </w:rPr>
        <w:t xml:space="preserve">el </w:t>
      </w:r>
      <w:r w:rsidRPr="0029228F">
        <w:rPr>
          <w:rFonts w:eastAsia="Arial" w:cs="Arial"/>
        </w:rPr>
        <w:t>caso de que, por motivos técnicos, no fuera posible realizar las modificaciones necesarias</w:t>
      </w:r>
      <w:r w:rsidR="00235761" w:rsidRPr="0029228F">
        <w:rPr>
          <w:rFonts w:eastAsia="Arial" w:cs="Arial"/>
        </w:rPr>
        <w:t xml:space="preserve"> en el referido monumento</w:t>
      </w:r>
      <w:r w:rsidRPr="0029228F">
        <w:rPr>
          <w:rFonts w:eastAsia="Arial" w:cs="Arial"/>
        </w:rPr>
        <w:t>, el Estado deberá, alternativamente</w:t>
      </w:r>
      <w:r w:rsidR="00235761" w:rsidRPr="0029228F">
        <w:rPr>
          <w:rFonts w:eastAsia="Arial" w:cs="Arial"/>
        </w:rPr>
        <w:t xml:space="preserve"> y en el plazo de dos años</w:t>
      </w:r>
      <w:r w:rsidR="00754B0B">
        <w:rPr>
          <w:rFonts w:eastAsia="Arial" w:cs="Arial"/>
        </w:rPr>
        <w:t xml:space="preserve"> contados</w:t>
      </w:r>
      <w:r w:rsidR="00235761" w:rsidRPr="0029228F">
        <w:rPr>
          <w:rFonts w:eastAsia="Arial" w:cs="Arial"/>
        </w:rPr>
        <w:t xml:space="preserve"> a partir de la notificación de la presente Sentencia</w:t>
      </w:r>
      <w:r w:rsidRPr="0029228F">
        <w:rPr>
          <w:rFonts w:eastAsia="Arial" w:cs="Arial"/>
        </w:rPr>
        <w:t>,</w:t>
      </w:r>
      <w:r w:rsidR="00235761" w:rsidRPr="0029228F">
        <w:rPr>
          <w:rFonts w:eastAsia="Arial" w:cs="Arial"/>
        </w:rPr>
        <w:t xml:space="preserve"> denominar un espacio público en la capital</w:t>
      </w:r>
      <w:r w:rsidRPr="0029228F">
        <w:rPr>
          <w:rFonts w:eastAsia="Arial" w:cs="Arial"/>
        </w:rPr>
        <w:t xml:space="preserve"> </w:t>
      </w:r>
      <w:r w:rsidR="00235761" w:rsidRPr="0029228F">
        <w:rPr>
          <w:rFonts w:eastAsia="Arial" w:cs="Arial"/>
        </w:rPr>
        <w:t>donde se ubicará</w:t>
      </w:r>
      <w:r w:rsidRPr="0029228F">
        <w:rPr>
          <w:rFonts w:eastAsia="Arial" w:cs="Arial"/>
        </w:rPr>
        <w:t xml:space="preserve"> un monumento en homenaje y reconocimiento de Patricia Emilie Cuéllar Sandoval, Mauricio Cuéllar Cuéllar y Julia Orbelina Pérez, </w:t>
      </w:r>
      <w:r w:rsidR="00235761" w:rsidRPr="0029228F">
        <w:rPr>
          <w:rFonts w:eastAsia="Arial" w:cs="Arial"/>
        </w:rPr>
        <w:t>todo ello de común acuerdo con los familiares de las víctimas del presente caso.</w:t>
      </w:r>
      <w:r w:rsidR="00ED1B1A">
        <w:rPr>
          <w:rFonts w:eastAsia="Arial" w:cs="Arial"/>
        </w:rPr>
        <w:t xml:space="preserve"> </w:t>
      </w:r>
      <w:r w:rsidR="00754B0B">
        <w:t>En tal caso, e</w:t>
      </w:r>
      <w:r w:rsidR="00754B0B" w:rsidRPr="00465F79">
        <w:t>l Estado deberá garantizar los fondos necesarios para la conservación y mejoramiento del monumento.</w:t>
      </w:r>
      <w:r w:rsidR="00754B0B">
        <w:t xml:space="preserve"> La Corte supervisaría la presente medida durante los tres años siguientes a la inauguración del monumento.</w:t>
      </w:r>
    </w:p>
    <w:p w14:paraId="44685F69" w14:textId="77777777" w:rsidR="00AE6966" w:rsidRPr="00AE6966" w:rsidRDefault="00AE6966" w:rsidP="00AE6966">
      <w:pPr>
        <w:pStyle w:val="Prrafodelista"/>
        <w:widowControl/>
        <w:tabs>
          <w:tab w:val="left" w:pos="567"/>
        </w:tabs>
        <w:autoSpaceDE w:val="0"/>
        <w:autoSpaceDN w:val="0"/>
        <w:spacing w:line="240" w:lineRule="auto"/>
        <w:ind w:left="825"/>
        <w:textAlignment w:val="baseline"/>
        <w:rPr>
          <w:b/>
          <w:bCs/>
        </w:rPr>
      </w:pPr>
    </w:p>
    <w:p w14:paraId="473FF024" w14:textId="134DCF7E" w:rsidR="002F1347" w:rsidRDefault="000004C2" w:rsidP="002F1347">
      <w:pPr>
        <w:widowControl/>
        <w:numPr>
          <w:ilvl w:val="0"/>
          <w:numId w:val="7"/>
        </w:numPr>
        <w:tabs>
          <w:tab w:val="left" w:pos="567"/>
          <w:tab w:val="num" w:pos="1569"/>
          <w:tab w:val="num" w:pos="12305"/>
        </w:tabs>
        <w:autoSpaceDE w:val="0"/>
        <w:autoSpaceDN w:val="0"/>
        <w:spacing w:line="240" w:lineRule="auto"/>
        <w:ind w:left="0" w:firstLine="0"/>
        <w:textAlignment w:val="baseline"/>
      </w:pPr>
      <w:r>
        <w:rPr>
          <w:rFonts w:eastAsia="Arial" w:cs="Arial"/>
        </w:rPr>
        <w:t>Finalmente</w:t>
      </w:r>
      <w:r>
        <w:rPr>
          <w:rFonts w:eastAsia="Arial" w:cs="Arial"/>
          <w:lang w:val="es-ES"/>
        </w:rPr>
        <w:t>, e</w:t>
      </w:r>
      <w:r w:rsidR="00E90862" w:rsidRPr="00465F79">
        <w:rPr>
          <w:rFonts w:eastAsia="Arial" w:cs="Arial"/>
          <w:lang w:val="es-ES"/>
        </w:rPr>
        <w:t>n</w:t>
      </w:r>
      <w:r w:rsidR="00E90862" w:rsidRPr="00465F79">
        <w:t xml:space="preserve"> relación con la</w:t>
      </w:r>
      <w:r>
        <w:t>s restantes medidas solicitadas</w:t>
      </w:r>
      <w:r w:rsidR="00E90862" w:rsidRPr="00465F79">
        <w:t>, la Corte estima que la emisión de la presente Sentencia, así como las demás medidas ordenadas, resultan suficientes y adecuadas para remediar las violaciones sufridas por la víctima, por lo que no considera necesario ordenar dicha medida de satisfacción.</w:t>
      </w:r>
    </w:p>
    <w:p w14:paraId="3E246FA1" w14:textId="75810BDB" w:rsidR="0017279F" w:rsidRPr="00465F79" w:rsidRDefault="0017279F" w:rsidP="00A12976">
      <w:pPr>
        <w:pStyle w:val="Ttulo2"/>
      </w:pPr>
      <w:bookmarkStart w:id="159" w:name="_Toc497737921"/>
      <w:bookmarkStart w:id="160" w:name="_Toc135061342"/>
      <w:bookmarkStart w:id="161" w:name="_Toc165022640"/>
      <w:r w:rsidRPr="00465F79">
        <w:t>Garantías de no repetición</w:t>
      </w:r>
      <w:bookmarkEnd w:id="159"/>
      <w:bookmarkEnd w:id="160"/>
      <w:bookmarkEnd w:id="161"/>
      <w:r w:rsidRPr="00465F79">
        <w:t xml:space="preserve"> </w:t>
      </w:r>
    </w:p>
    <w:p w14:paraId="5DE3CD3C" w14:textId="77777777" w:rsidR="00926F27" w:rsidRPr="00926F27" w:rsidRDefault="00823A71" w:rsidP="00823A71">
      <w:pPr>
        <w:widowControl/>
        <w:numPr>
          <w:ilvl w:val="0"/>
          <w:numId w:val="7"/>
        </w:numPr>
        <w:tabs>
          <w:tab w:val="left" w:pos="567"/>
          <w:tab w:val="num" w:pos="1569"/>
          <w:tab w:val="num" w:pos="12305"/>
        </w:tabs>
        <w:autoSpaceDE w:val="0"/>
        <w:autoSpaceDN w:val="0"/>
        <w:spacing w:line="240" w:lineRule="auto"/>
        <w:ind w:left="0" w:firstLine="0"/>
        <w:textAlignment w:val="baseline"/>
        <w:rPr>
          <w:b/>
          <w:bCs/>
        </w:rPr>
      </w:pPr>
      <w:r w:rsidRPr="00465F79">
        <w:rPr>
          <w:rFonts w:cs="Arial"/>
          <w:bCs/>
        </w:rPr>
        <w:t>La</w:t>
      </w:r>
      <w:r w:rsidRPr="00465F79">
        <w:rPr>
          <w:rFonts w:cs="Arial"/>
        </w:rPr>
        <w:t xml:space="preserve"> </w:t>
      </w:r>
      <w:r w:rsidRPr="00465F79">
        <w:rPr>
          <w:rFonts w:cs="Arial"/>
          <w:b/>
          <w:i/>
        </w:rPr>
        <w:t>Comisión</w:t>
      </w:r>
      <w:r w:rsidRPr="00465F79">
        <w:rPr>
          <w:rFonts w:cs="Arial"/>
        </w:rPr>
        <w:t xml:space="preserve"> recomendó que el Estado dispusiera de</w:t>
      </w:r>
      <w:r w:rsidR="00926F27">
        <w:rPr>
          <w:rFonts w:cs="Arial"/>
        </w:rPr>
        <w:t xml:space="preserve"> los siguientes</w:t>
      </w:r>
      <w:r w:rsidRPr="00465F79">
        <w:rPr>
          <w:rFonts w:cs="Arial"/>
        </w:rPr>
        <w:t xml:space="preserve"> mecanismos de no repetición</w:t>
      </w:r>
      <w:r w:rsidRPr="00465F79">
        <w:t xml:space="preserve">: </w:t>
      </w:r>
    </w:p>
    <w:p w14:paraId="54B0233E" w14:textId="77777777" w:rsidR="00926F27" w:rsidRDefault="00926F27" w:rsidP="00926F27">
      <w:pPr>
        <w:widowControl/>
        <w:tabs>
          <w:tab w:val="left" w:pos="567"/>
        </w:tabs>
        <w:autoSpaceDE w:val="0"/>
        <w:autoSpaceDN w:val="0"/>
        <w:spacing w:line="240" w:lineRule="auto"/>
        <w:textAlignment w:val="baseline"/>
      </w:pPr>
    </w:p>
    <w:p w14:paraId="0B87BAE0" w14:textId="446460E9" w:rsidR="00926F27" w:rsidRPr="00DD482A" w:rsidRDefault="00823A71">
      <w:pPr>
        <w:pStyle w:val="Prrafodelista"/>
        <w:widowControl/>
        <w:numPr>
          <w:ilvl w:val="0"/>
          <w:numId w:val="19"/>
        </w:numPr>
        <w:tabs>
          <w:tab w:val="left" w:pos="567"/>
        </w:tabs>
        <w:autoSpaceDE w:val="0"/>
        <w:autoSpaceDN w:val="0"/>
        <w:spacing w:line="240" w:lineRule="auto"/>
        <w:textAlignment w:val="baseline"/>
      </w:pPr>
      <w:r w:rsidRPr="00DD482A">
        <w:t xml:space="preserve">desarrollar una política de reparación integral a las presuntas víctimas del </w:t>
      </w:r>
      <w:r w:rsidRPr="00DD482A">
        <w:rPr>
          <w:rFonts w:eastAsia="Arial" w:cs="Arial"/>
          <w:lang w:val="es-ES"/>
        </w:rPr>
        <w:t>conflicto</w:t>
      </w:r>
      <w:r w:rsidRPr="00DD482A">
        <w:t xml:space="preserve"> armado; </w:t>
      </w:r>
    </w:p>
    <w:p w14:paraId="387783FE" w14:textId="77777777" w:rsidR="00926F27" w:rsidRPr="00DD482A" w:rsidRDefault="00926F27" w:rsidP="00926F27">
      <w:pPr>
        <w:pStyle w:val="Prrafodelista"/>
        <w:widowControl/>
        <w:tabs>
          <w:tab w:val="left" w:pos="567"/>
        </w:tabs>
        <w:autoSpaceDE w:val="0"/>
        <w:autoSpaceDN w:val="0"/>
        <w:spacing w:line="240" w:lineRule="auto"/>
        <w:ind w:left="1440"/>
        <w:textAlignment w:val="baseline"/>
        <w:rPr>
          <w:highlight w:val="yellow"/>
        </w:rPr>
      </w:pPr>
    </w:p>
    <w:p w14:paraId="5F9E5ED3" w14:textId="77777777" w:rsidR="00926F27" w:rsidRPr="00DD482A" w:rsidRDefault="00823A71">
      <w:pPr>
        <w:pStyle w:val="Prrafodelista"/>
        <w:widowControl/>
        <w:numPr>
          <w:ilvl w:val="0"/>
          <w:numId w:val="19"/>
        </w:numPr>
        <w:tabs>
          <w:tab w:val="left" w:pos="567"/>
        </w:tabs>
        <w:autoSpaceDE w:val="0"/>
        <w:autoSpaceDN w:val="0"/>
        <w:spacing w:line="240" w:lineRule="auto"/>
        <w:textAlignment w:val="baseline"/>
        <w:rPr>
          <w:b/>
          <w:bCs/>
        </w:rPr>
      </w:pPr>
      <w:r w:rsidRPr="00DD482A">
        <w:t xml:space="preserve">regular, entre otros aspectos, la búsqueda de personas víctimas de desaparición forzada, la creación de un banco genético, los procesos de exhumación, así como los derechos de los familiares relacionados a la ausencia de las víctimas desaparecidas, y </w:t>
      </w:r>
    </w:p>
    <w:p w14:paraId="7B364072" w14:textId="77777777" w:rsidR="00926F27" w:rsidRPr="00DD482A" w:rsidRDefault="00926F27" w:rsidP="00926F27">
      <w:pPr>
        <w:pStyle w:val="Prrafodelista"/>
        <w:widowControl/>
        <w:tabs>
          <w:tab w:val="left" w:pos="567"/>
        </w:tabs>
        <w:autoSpaceDE w:val="0"/>
        <w:autoSpaceDN w:val="0"/>
        <w:spacing w:line="240" w:lineRule="auto"/>
        <w:ind w:left="1440"/>
        <w:textAlignment w:val="baseline"/>
        <w:rPr>
          <w:b/>
          <w:bCs/>
          <w:highlight w:val="yellow"/>
        </w:rPr>
      </w:pPr>
    </w:p>
    <w:p w14:paraId="4C45B6D6" w14:textId="14FBDC57" w:rsidR="00823A71" w:rsidRPr="00070A9B" w:rsidRDefault="00823A71">
      <w:pPr>
        <w:pStyle w:val="Prrafodelista"/>
        <w:widowControl/>
        <w:numPr>
          <w:ilvl w:val="0"/>
          <w:numId w:val="19"/>
        </w:numPr>
        <w:tabs>
          <w:tab w:val="left" w:pos="567"/>
        </w:tabs>
        <w:autoSpaceDE w:val="0"/>
        <w:autoSpaceDN w:val="0"/>
        <w:spacing w:line="240" w:lineRule="auto"/>
        <w:textAlignment w:val="baseline"/>
        <w:rPr>
          <w:b/>
          <w:bCs/>
        </w:rPr>
      </w:pPr>
      <w:r w:rsidRPr="00070A9B">
        <w:t xml:space="preserve">formar parte de la Convención Interamericana sobre Desaparición Forzada de Personas (en adelante “la CIDFP”). </w:t>
      </w:r>
    </w:p>
    <w:p w14:paraId="4755AF60" w14:textId="77777777" w:rsidR="00881416" w:rsidRDefault="00881416" w:rsidP="00881416">
      <w:pPr>
        <w:widowControl/>
        <w:tabs>
          <w:tab w:val="left" w:pos="567"/>
        </w:tabs>
        <w:autoSpaceDE w:val="0"/>
        <w:autoSpaceDN w:val="0"/>
        <w:spacing w:line="240" w:lineRule="auto"/>
        <w:textAlignment w:val="baseline"/>
        <w:rPr>
          <w:rFonts w:cs="Arial"/>
          <w:bCs/>
        </w:rPr>
      </w:pPr>
    </w:p>
    <w:p w14:paraId="099DE57E" w14:textId="04E23A69" w:rsidR="008D276C" w:rsidRPr="008D276C" w:rsidRDefault="008D276C" w:rsidP="008D276C">
      <w:pPr>
        <w:widowControl/>
        <w:numPr>
          <w:ilvl w:val="0"/>
          <w:numId w:val="7"/>
        </w:numPr>
        <w:tabs>
          <w:tab w:val="left" w:pos="567"/>
          <w:tab w:val="num" w:pos="1569"/>
          <w:tab w:val="num" w:pos="12305"/>
        </w:tabs>
        <w:autoSpaceDE w:val="0"/>
        <w:autoSpaceDN w:val="0"/>
        <w:spacing w:line="240" w:lineRule="auto"/>
        <w:ind w:left="0" w:firstLine="0"/>
        <w:textAlignment w:val="baseline"/>
        <w:rPr>
          <w:rFonts w:cs="Arial"/>
          <w:bCs/>
        </w:rPr>
      </w:pPr>
      <w:r w:rsidRPr="008D276C">
        <w:rPr>
          <w:rFonts w:cs="Arial"/>
          <w:bCs/>
        </w:rPr>
        <w:t xml:space="preserve">En sus observaciones finales escritas, la Comisión destacó la importancia de que el Estado adopte </w:t>
      </w:r>
      <w:r>
        <w:rPr>
          <w:rFonts w:cs="Arial"/>
          <w:bCs/>
        </w:rPr>
        <w:t>“</w:t>
      </w:r>
      <w:r w:rsidRPr="008D276C">
        <w:rPr>
          <w:rFonts w:cs="Arial"/>
          <w:bCs/>
        </w:rPr>
        <w:t>una legislación que regule la política nacional de búsqueda de personas víctimas de desaparición forzada y que desarrolle la reparación integral a las víctimas del conflicto armado, que incluya las diferentes dimensiones de los daños</w:t>
      </w:r>
      <w:r>
        <w:rPr>
          <w:rFonts w:cs="Arial"/>
          <w:bCs/>
        </w:rPr>
        <w:t>”</w:t>
      </w:r>
      <w:r w:rsidRPr="008D276C">
        <w:rPr>
          <w:rFonts w:cs="Arial"/>
          <w:bCs/>
        </w:rPr>
        <w:t>.</w:t>
      </w:r>
      <w:r>
        <w:rPr>
          <w:rFonts w:cs="Arial"/>
          <w:bCs/>
        </w:rPr>
        <w:t xml:space="preserve"> </w:t>
      </w:r>
      <w:r w:rsidR="00754B0B">
        <w:rPr>
          <w:rFonts w:cs="Arial"/>
          <w:bCs/>
        </w:rPr>
        <w:t>Asimismo, refirió que la adopción de esta ley debería contar con la participación de la sociedad civil.</w:t>
      </w:r>
    </w:p>
    <w:p w14:paraId="29841532" w14:textId="77777777" w:rsidR="00823A71" w:rsidRPr="00465F79" w:rsidRDefault="00823A71" w:rsidP="00823A71">
      <w:pPr>
        <w:spacing w:line="240" w:lineRule="auto"/>
        <w:rPr>
          <w:rFonts w:cs="Arial"/>
        </w:rPr>
      </w:pPr>
    </w:p>
    <w:p w14:paraId="4B2DF6C1" w14:textId="2EA8320A" w:rsidR="00823A71" w:rsidRPr="00465F79" w:rsidRDefault="00823A71" w:rsidP="00823A71">
      <w:pPr>
        <w:widowControl/>
        <w:numPr>
          <w:ilvl w:val="0"/>
          <w:numId w:val="7"/>
        </w:numPr>
        <w:tabs>
          <w:tab w:val="left" w:pos="567"/>
          <w:tab w:val="num" w:pos="1569"/>
          <w:tab w:val="num" w:pos="12305"/>
        </w:tabs>
        <w:autoSpaceDE w:val="0"/>
        <w:autoSpaceDN w:val="0"/>
        <w:spacing w:line="240" w:lineRule="auto"/>
        <w:ind w:left="0" w:firstLine="0"/>
        <w:textAlignment w:val="baseline"/>
        <w:rPr>
          <w:b/>
          <w:bCs/>
          <w:lang w:val="es-ES"/>
        </w:rPr>
      </w:pPr>
      <w:r w:rsidRPr="00465F79">
        <w:rPr>
          <w:rFonts w:cs="Arial"/>
          <w:bCs/>
        </w:rPr>
        <w:t>El</w:t>
      </w:r>
      <w:r w:rsidRPr="00465F79">
        <w:rPr>
          <w:lang w:val="es-ES"/>
        </w:rPr>
        <w:t xml:space="preserve"> </w:t>
      </w:r>
      <w:r w:rsidRPr="00465F79">
        <w:rPr>
          <w:b/>
          <w:i/>
          <w:lang w:val="es-ES"/>
        </w:rPr>
        <w:t>representante</w:t>
      </w:r>
      <w:r w:rsidRPr="00465F79">
        <w:rPr>
          <w:lang w:val="es-ES"/>
        </w:rPr>
        <w:t xml:space="preserve"> solicitó que la Corte obligara al Estado a implementar mecanismos de no repetición relacionados con la adecuación del marco jurídico interno, y el diseño e implementación de programas y capacitaciones</w:t>
      </w:r>
      <w:r w:rsidR="002214E1">
        <w:rPr>
          <w:lang w:val="es-ES"/>
        </w:rPr>
        <w:t>.</w:t>
      </w:r>
    </w:p>
    <w:p w14:paraId="3D6030EA" w14:textId="77777777" w:rsidR="00823A71" w:rsidRPr="00465F79" w:rsidRDefault="00823A71" w:rsidP="00823A71">
      <w:pPr>
        <w:autoSpaceDE w:val="0"/>
        <w:autoSpaceDN w:val="0"/>
        <w:spacing w:line="240" w:lineRule="auto"/>
        <w:rPr>
          <w:b/>
          <w:bCs/>
          <w:lang w:val="es-ES"/>
        </w:rPr>
      </w:pPr>
    </w:p>
    <w:p w14:paraId="2E4162F1" w14:textId="77777777" w:rsidR="00823A71" w:rsidRPr="00465F79" w:rsidRDefault="00823A71" w:rsidP="00823A71">
      <w:pPr>
        <w:widowControl/>
        <w:numPr>
          <w:ilvl w:val="0"/>
          <w:numId w:val="7"/>
        </w:numPr>
        <w:tabs>
          <w:tab w:val="left" w:pos="567"/>
          <w:tab w:val="num" w:pos="1569"/>
          <w:tab w:val="num" w:pos="12305"/>
        </w:tabs>
        <w:autoSpaceDE w:val="0"/>
        <w:autoSpaceDN w:val="0"/>
        <w:spacing w:line="240" w:lineRule="auto"/>
        <w:ind w:left="0" w:firstLine="0"/>
        <w:textAlignment w:val="baseline"/>
        <w:rPr>
          <w:lang w:val="es-ES"/>
        </w:rPr>
      </w:pPr>
      <w:r w:rsidRPr="00465F79">
        <w:rPr>
          <w:rFonts w:cs="Arial"/>
          <w:bCs/>
        </w:rPr>
        <w:t>Respecto</w:t>
      </w:r>
      <w:r w:rsidRPr="00465F79">
        <w:rPr>
          <w:lang w:val="es-ES"/>
        </w:rPr>
        <w:t xml:space="preserve"> de la adecuación del marco jurídico interno solicitó:</w:t>
      </w:r>
    </w:p>
    <w:p w14:paraId="1D7D7A8A" w14:textId="77777777" w:rsidR="00823A71" w:rsidRPr="00465F79" w:rsidRDefault="00823A71" w:rsidP="00823A71">
      <w:pPr>
        <w:autoSpaceDE w:val="0"/>
        <w:autoSpaceDN w:val="0"/>
        <w:spacing w:line="240" w:lineRule="auto"/>
        <w:rPr>
          <w:lang w:val="es-ES"/>
        </w:rPr>
      </w:pPr>
    </w:p>
    <w:p w14:paraId="71D2C271" w14:textId="30E415D8" w:rsidR="00823A71" w:rsidRPr="00DD482A" w:rsidRDefault="00823A71">
      <w:pPr>
        <w:pStyle w:val="Prrafodelista"/>
        <w:widowControl/>
        <w:numPr>
          <w:ilvl w:val="0"/>
          <w:numId w:val="9"/>
        </w:numPr>
        <w:autoSpaceDE w:val="0"/>
        <w:autoSpaceDN w:val="0"/>
        <w:spacing w:line="240" w:lineRule="auto"/>
        <w:rPr>
          <w:lang w:val="es-ES"/>
        </w:rPr>
      </w:pPr>
      <w:r w:rsidRPr="00DD482A">
        <w:rPr>
          <w:lang w:val="es-ES"/>
        </w:rPr>
        <w:t xml:space="preserve">evaluar el Decreto Ejecutivo </w:t>
      </w:r>
      <w:r w:rsidR="002C6F8F" w:rsidRPr="00DD482A">
        <w:rPr>
          <w:lang w:val="es-ES"/>
        </w:rPr>
        <w:t>n</w:t>
      </w:r>
      <w:r w:rsidR="003C4FC2" w:rsidRPr="00DD482A">
        <w:rPr>
          <w:lang w:val="es-ES"/>
        </w:rPr>
        <w:t>.°</w:t>
      </w:r>
      <w:r w:rsidRPr="00DD482A">
        <w:rPr>
          <w:lang w:val="es-ES"/>
        </w:rPr>
        <w:t xml:space="preserve"> 204 de 23 de octubre de 2023 y su reglamento mediante los cuales se creó el </w:t>
      </w:r>
      <w:r w:rsidR="00881416" w:rsidRPr="00DD482A">
        <w:rPr>
          <w:lang w:val="es-ES"/>
        </w:rPr>
        <w:t>“</w:t>
      </w:r>
      <w:r w:rsidRPr="00DD482A">
        <w:rPr>
          <w:lang w:val="es-ES"/>
        </w:rPr>
        <w:t>Programa de Reparaciones a víctimas de graves violaciones a los derechos humanos ocurridas en el contexto del conflicto armado interno</w:t>
      </w:r>
      <w:r w:rsidR="00881416" w:rsidRPr="00DD482A">
        <w:rPr>
          <w:lang w:val="es-ES"/>
        </w:rPr>
        <w:t xml:space="preserve">”, así como el “Registro de Víctimas </w:t>
      </w:r>
      <w:r w:rsidR="00881416" w:rsidRPr="00DD482A">
        <w:rPr>
          <w:lang w:val="es-ES"/>
        </w:rPr>
        <w:lastRenderedPageBreak/>
        <w:t>de graves violaciones a los derechos humanos ocurridas en el contexto del conflicto armado interno”,</w:t>
      </w:r>
      <w:r w:rsidRPr="00DD482A">
        <w:rPr>
          <w:lang w:val="es-ES"/>
        </w:rPr>
        <w:t xml:space="preserve"> con el objetivo de “hacerle los ajustes necesarios a fin de mejorarlo”; </w:t>
      </w:r>
    </w:p>
    <w:p w14:paraId="3D7A5FBD" w14:textId="77777777" w:rsidR="00823A71" w:rsidRPr="00DD482A" w:rsidRDefault="00823A71" w:rsidP="00823A71">
      <w:pPr>
        <w:pStyle w:val="Prrafodelista"/>
        <w:autoSpaceDE w:val="0"/>
        <w:autoSpaceDN w:val="0"/>
        <w:spacing w:line="240" w:lineRule="auto"/>
        <w:ind w:left="1440"/>
        <w:rPr>
          <w:highlight w:val="yellow"/>
          <w:lang w:val="es-ES"/>
        </w:rPr>
      </w:pPr>
    </w:p>
    <w:p w14:paraId="1AB7A4B6" w14:textId="7720422E" w:rsidR="00823A71" w:rsidRPr="00DD482A" w:rsidRDefault="00823A71">
      <w:pPr>
        <w:pStyle w:val="Prrafodelista"/>
        <w:widowControl/>
        <w:numPr>
          <w:ilvl w:val="0"/>
          <w:numId w:val="9"/>
        </w:numPr>
        <w:autoSpaceDE w:val="0"/>
        <w:autoSpaceDN w:val="0"/>
        <w:spacing w:line="240" w:lineRule="auto"/>
        <w:rPr>
          <w:lang w:val="es-ES"/>
        </w:rPr>
      </w:pPr>
      <w:r w:rsidRPr="00DD482A">
        <w:rPr>
          <w:lang w:val="es-ES"/>
        </w:rPr>
        <w:t xml:space="preserve">diseñar en la Asamblea Legislativa un proceso participativo para </w:t>
      </w:r>
      <w:r w:rsidR="00627CDF" w:rsidRPr="00DD482A">
        <w:rPr>
          <w:lang w:val="es-ES"/>
        </w:rPr>
        <w:t xml:space="preserve">que se </w:t>
      </w:r>
      <w:r w:rsidR="00173579" w:rsidRPr="00DD482A">
        <w:rPr>
          <w:lang w:val="es-ES"/>
        </w:rPr>
        <w:t xml:space="preserve">apruebe una ley que </w:t>
      </w:r>
      <w:r w:rsidR="00627CDF" w:rsidRPr="00DD482A">
        <w:rPr>
          <w:lang w:val="es-ES"/>
        </w:rPr>
        <w:t>dé cumplimiento a lo ordenado en la Sentencia de inconstitucionalidad de 13 de julio de 2016</w:t>
      </w:r>
      <w:r w:rsidR="00627CDF" w:rsidRPr="00DD482A">
        <w:rPr>
          <w:rStyle w:val="Refdenotaalpie"/>
        </w:rPr>
        <w:footnoteReference w:id="180"/>
      </w:r>
      <w:r w:rsidRPr="00DD482A">
        <w:rPr>
          <w:lang w:val="es-ES"/>
        </w:rPr>
        <w:t>;</w:t>
      </w:r>
    </w:p>
    <w:p w14:paraId="1236A5CC" w14:textId="77777777" w:rsidR="00823A71" w:rsidRPr="00DD482A" w:rsidRDefault="00823A71" w:rsidP="00823A71">
      <w:pPr>
        <w:pStyle w:val="Prrafodelista"/>
        <w:autoSpaceDE w:val="0"/>
        <w:autoSpaceDN w:val="0"/>
        <w:spacing w:line="240" w:lineRule="auto"/>
        <w:ind w:left="1440"/>
        <w:rPr>
          <w:highlight w:val="yellow"/>
          <w:lang w:val="es-ES"/>
        </w:rPr>
      </w:pPr>
    </w:p>
    <w:p w14:paraId="5420D600" w14:textId="4A3E9965" w:rsidR="00754B0B" w:rsidRPr="00BC46AD" w:rsidRDefault="00754B0B" w:rsidP="00754B0B">
      <w:pPr>
        <w:pStyle w:val="Prrafodelista"/>
        <w:widowControl/>
        <w:numPr>
          <w:ilvl w:val="0"/>
          <w:numId w:val="9"/>
        </w:numPr>
        <w:autoSpaceDE w:val="0"/>
        <w:autoSpaceDN w:val="0"/>
        <w:spacing w:line="240" w:lineRule="auto"/>
        <w:rPr>
          <w:rFonts w:eastAsia="Arial" w:cs="Arial"/>
          <w:lang w:val="es-ES"/>
        </w:rPr>
      </w:pPr>
      <w:r w:rsidRPr="00BC46AD">
        <w:rPr>
          <w:lang w:val="es-ES"/>
        </w:rPr>
        <w:t>aprobar los Decretos Legislativos necesarios para que se garantice y respalde, a través de una ley, la permanencia de la Comisión Nacional de Búsqueda de Niñas y Niños</w:t>
      </w:r>
      <w:r w:rsidR="00ED1B1A">
        <w:rPr>
          <w:lang w:val="es-ES"/>
        </w:rPr>
        <w:t xml:space="preserve"> </w:t>
      </w:r>
      <w:r>
        <w:rPr>
          <w:lang w:val="es-ES"/>
        </w:rPr>
        <w:t xml:space="preserve">(en adelante la “CNB”) </w:t>
      </w:r>
      <w:r w:rsidRPr="00BC46AD">
        <w:rPr>
          <w:lang w:val="es-ES"/>
        </w:rPr>
        <w:t xml:space="preserve">y </w:t>
      </w:r>
      <w:r>
        <w:rPr>
          <w:lang w:val="es-ES"/>
        </w:rPr>
        <w:t xml:space="preserve">la </w:t>
      </w:r>
      <w:r w:rsidRPr="00BC46AD">
        <w:rPr>
          <w:lang w:val="es-ES"/>
        </w:rPr>
        <w:t>CONAB</w:t>
      </w:r>
      <w:r>
        <w:rPr>
          <w:lang w:val="es-ES"/>
        </w:rPr>
        <w:t>Ú</w:t>
      </w:r>
      <w:r w:rsidRPr="00BC46AD">
        <w:rPr>
          <w:lang w:val="es-ES"/>
        </w:rPr>
        <w:t xml:space="preserve">SQUEDA; </w:t>
      </w:r>
    </w:p>
    <w:p w14:paraId="28728BE7" w14:textId="77777777" w:rsidR="00823A71" w:rsidRPr="00BC46AD" w:rsidRDefault="00823A71" w:rsidP="00823A71">
      <w:pPr>
        <w:autoSpaceDE w:val="0"/>
        <w:autoSpaceDN w:val="0"/>
        <w:spacing w:line="240" w:lineRule="auto"/>
        <w:rPr>
          <w:rFonts w:eastAsia="Arial" w:cs="Arial"/>
          <w:lang w:val="es-ES"/>
        </w:rPr>
      </w:pPr>
    </w:p>
    <w:p w14:paraId="4D6DF110" w14:textId="35D72763" w:rsidR="00823A71" w:rsidRPr="00BC46AD" w:rsidRDefault="00823A71">
      <w:pPr>
        <w:pStyle w:val="Prrafodelista"/>
        <w:widowControl/>
        <w:numPr>
          <w:ilvl w:val="0"/>
          <w:numId w:val="9"/>
        </w:numPr>
        <w:autoSpaceDE w:val="0"/>
        <w:autoSpaceDN w:val="0"/>
        <w:spacing w:line="240" w:lineRule="auto"/>
        <w:rPr>
          <w:rFonts w:eastAsia="Arial" w:cs="Arial"/>
          <w:lang w:val="es-ES"/>
        </w:rPr>
      </w:pPr>
      <w:r w:rsidRPr="00BC46AD">
        <w:rPr>
          <w:lang w:val="es-ES"/>
        </w:rPr>
        <w:t xml:space="preserve">modificar la regulación normativa de </w:t>
      </w:r>
      <w:r w:rsidR="008A4BCD">
        <w:rPr>
          <w:lang w:val="es-ES"/>
        </w:rPr>
        <w:t>CONABÚSQUEDA</w:t>
      </w:r>
      <w:r w:rsidRPr="00BC46AD">
        <w:rPr>
          <w:lang w:val="es-ES"/>
        </w:rPr>
        <w:t xml:space="preserve"> para que se contemple en la definición de la desaparición forzada “la responsabilidad de las desapariciones forzadas atribuibles a ambos bandos enfrentados antes y durante la guerra”;</w:t>
      </w:r>
    </w:p>
    <w:p w14:paraId="57C1F794" w14:textId="77777777" w:rsidR="0026671D" w:rsidRPr="00DD482A" w:rsidRDefault="0026671D" w:rsidP="0026671D">
      <w:pPr>
        <w:pStyle w:val="Prrafodelista"/>
        <w:widowControl/>
        <w:autoSpaceDE w:val="0"/>
        <w:autoSpaceDN w:val="0"/>
        <w:spacing w:line="240" w:lineRule="auto"/>
        <w:ind w:left="1440"/>
        <w:rPr>
          <w:rFonts w:eastAsia="Arial" w:cs="Arial"/>
          <w:highlight w:val="yellow"/>
          <w:lang w:val="es-ES"/>
        </w:rPr>
      </w:pPr>
    </w:p>
    <w:p w14:paraId="782F1580" w14:textId="2BF7530A" w:rsidR="00823A71" w:rsidRPr="00DD482A" w:rsidRDefault="00823A71">
      <w:pPr>
        <w:pStyle w:val="Prrafodelista"/>
        <w:widowControl/>
        <w:numPr>
          <w:ilvl w:val="0"/>
          <w:numId w:val="9"/>
        </w:numPr>
        <w:autoSpaceDE w:val="0"/>
        <w:autoSpaceDN w:val="0"/>
        <w:spacing w:line="240" w:lineRule="auto"/>
        <w:rPr>
          <w:rFonts w:eastAsia="Arial" w:cs="Arial"/>
          <w:lang w:val="es-ES"/>
        </w:rPr>
      </w:pPr>
      <w:r w:rsidRPr="00DD482A">
        <w:rPr>
          <w:rFonts w:eastAsia="Arial" w:cs="Arial"/>
          <w:lang w:val="es-ES"/>
        </w:rPr>
        <w:t>aprobar la normativa pertinente a fin de crear una jurisdicción especial para conocer casos de graves violaciones de derechos humanos, crímenes de guerra y delitos contra la humanidad</w:t>
      </w:r>
      <w:r w:rsidR="00086CC9">
        <w:rPr>
          <w:rFonts w:eastAsia="Arial" w:cs="Arial"/>
          <w:lang w:val="es-ES"/>
        </w:rPr>
        <w:t>, y</w:t>
      </w:r>
    </w:p>
    <w:p w14:paraId="507A4D26" w14:textId="77777777" w:rsidR="00881416" w:rsidRPr="00DD482A" w:rsidRDefault="00881416" w:rsidP="00881416">
      <w:pPr>
        <w:pStyle w:val="Prrafodelista"/>
        <w:widowControl/>
        <w:autoSpaceDE w:val="0"/>
        <w:autoSpaceDN w:val="0"/>
        <w:spacing w:line="240" w:lineRule="auto"/>
        <w:ind w:left="1440"/>
        <w:rPr>
          <w:rFonts w:eastAsia="Arial" w:cs="Arial"/>
          <w:highlight w:val="yellow"/>
          <w:lang w:val="es-ES"/>
        </w:rPr>
      </w:pPr>
    </w:p>
    <w:p w14:paraId="06E2E10A" w14:textId="65F9C9D8" w:rsidR="00823A71" w:rsidRPr="00070A9B" w:rsidRDefault="00823A71">
      <w:pPr>
        <w:pStyle w:val="Prrafodelista"/>
        <w:widowControl/>
        <w:numPr>
          <w:ilvl w:val="0"/>
          <w:numId w:val="9"/>
        </w:numPr>
        <w:autoSpaceDE w:val="0"/>
        <w:autoSpaceDN w:val="0"/>
        <w:spacing w:line="240" w:lineRule="auto"/>
        <w:rPr>
          <w:rFonts w:eastAsia="Arial" w:cs="Arial"/>
          <w:lang w:val="es-ES"/>
        </w:rPr>
      </w:pPr>
      <w:r w:rsidRPr="00070A9B">
        <w:rPr>
          <w:rFonts w:eastAsia="Arial" w:cs="Arial"/>
          <w:lang w:val="es-ES"/>
        </w:rPr>
        <w:t>adoptar las medidas necesarias a fin de ratificar la Convención Interamericana sobre Desaparición Forzada de Personas, y la Convención sobre la Imprescriptibilidad de los Crímenes de Guerra y de Lesa Humanidad</w:t>
      </w:r>
      <w:r w:rsidR="008A4BCD">
        <w:rPr>
          <w:rFonts w:eastAsia="Arial" w:cs="Arial"/>
          <w:lang w:val="es-ES"/>
        </w:rPr>
        <w:t>.</w:t>
      </w:r>
    </w:p>
    <w:p w14:paraId="48E001B7" w14:textId="77777777" w:rsidR="00823A71" w:rsidRPr="00465F79" w:rsidRDefault="00823A71" w:rsidP="00823A71">
      <w:pPr>
        <w:autoSpaceDE w:val="0"/>
        <w:autoSpaceDN w:val="0"/>
        <w:spacing w:line="240" w:lineRule="auto"/>
        <w:rPr>
          <w:rFonts w:eastAsia="Arial" w:cs="Arial"/>
          <w:lang w:val="es-ES"/>
        </w:rPr>
      </w:pPr>
    </w:p>
    <w:p w14:paraId="54AEB574" w14:textId="4156681B" w:rsidR="00823A71" w:rsidRPr="00465F79" w:rsidRDefault="00823A71" w:rsidP="00823A71">
      <w:pPr>
        <w:widowControl/>
        <w:numPr>
          <w:ilvl w:val="0"/>
          <w:numId w:val="7"/>
        </w:numPr>
        <w:tabs>
          <w:tab w:val="left" w:pos="567"/>
          <w:tab w:val="num" w:pos="1569"/>
          <w:tab w:val="num" w:pos="12305"/>
        </w:tabs>
        <w:autoSpaceDE w:val="0"/>
        <w:autoSpaceDN w:val="0"/>
        <w:spacing w:line="240" w:lineRule="auto"/>
        <w:ind w:left="0" w:firstLine="0"/>
        <w:textAlignment w:val="baseline"/>
        <w:rPr>
          <w:rFonts w:eastAsia="Arial" w:cs="Arial"/>
          <w:lang w:val="es-ES"/>
        </w:rPr>
      </w:pPr>
      <w:r w:rsidRPr="00465F79">
        <w:rPr>
          <w:rFonts w:cs="Arial"/>
          <w:bCs/>
        </w:rPr>
        <w:t>En</w:t>
      </w:r>
      <w:r w:rsidRPr="00465F79">
        <w:rPr>
          <w:rFonts w:eastAsia="Arial" w:cs="Arial"/>
          <w:lang w:val="es-ES"/>
        </w:rPr>
        <w:t xml:space="preserve"> cuanto al diseño e implementación de programas </w:t>
      </w:r>
      <w:r w:rsidR="0092296E">
        <w:rPr>
          <w:rFonts w:eastAsia="Arial" w:cs="Arial"/>
          <w:lang w:val="es-ES"/>
        </w:rPr>
        <w:t xml:space="preserve">de </w:t>
      </w:r>
      <w:r w:rsidRPr="00465F79">
        <w:rPr>
          <w:rFonts w:eastAsia="Arial" w:cs="Arial"/>
          <w:lang w:val="es-ES"/>
        </w:rPr>
        <w:t>capacitaciones solicitó:</w:t>
      </w:r>
    </w:p>
    <w:p w14:paraId="6CECFEDD" w14:textId="77777777" w:rsidR="00215182" w:rsidRDefault="00215182" w:rsidP="00215182">
      <w:pPr>
        <w:pStyle w:val="Prrafodelista"/>
        <w:widowControl/>
        <w:autoSpaceDE w:val="0"/>
        <w:autoSpaceDN w:val="0"/>
        <w:spacing w:line="240" w:lineRule="auto"/>
        <w:ind w:left="1440"/>
        <w:rPr>
          <w:rFonts w:eastAsia="Arial" w:cs="Arial"/>
          <w:lang w:val="es-ES"/>
        </w:rPr>
      </w:pPr>
    </w:p>
    <w:p w14:paraId="74446BCB" w14:textId="25B82A93" w:rsidR="00823A71" w:rsidRPr="002C5A98" w:rsidRDefault="00823A71">
      <w:pPr>
        <w:pStyle w:val="Prrafodelista"/>
        <w:widowControl/>
        <w:numPr>
          <w:ilvl w:val="0"/>
          <w:numId w:val="9"/>
        </w:numPr>
        <w:autoSpaceDE w:val="0"/>
        <w:autoSpaceDN w:val="0"/>
        <w:spacing w:line="240" w:lineRule="auto"/>
        <w:rPr>
          <w:rFonts w:eastAsia="Arial" w:cs="Arial"/>
          <w:lang w:val="es-ES"/>
        </w:rPr>
      </w:pPr>
      <w:r w:rsidRPr="002C5A98">
        <w:rPr>
          <w:rFonts w:eastAsia="Arial" w:cs="Arial"/>
          <w:lang w:val="es-ES"/>
        </w:rPr>
        <w:t>diseñar y desarrollar programas de capacitación para agentes policiales, fiscales, y otros funcionarios judiciales pertinentes en materia de derechos humanos y política de género para “mejorar sustancialmente” todo lo relativo a “la investigación y la judicialización de casos de desaparición forzada de mujeres”</w:t>
      </w:r>
      <w:r w:rsidR="008A4BCD">
        <w:rPr>
          <w:rFonts w:eastAsia="Arial" w:cs="Arial"/>
          <w:lang w:val="es-ES"/>
        </w:rPr>
        <w:t>;</w:t>
      </w:r>
    </w:p>
    <w:p w14:paraId="10895077" w14:textId="77777777" w:rsidR="007A124E" w:rsidRPr="002C5A98" w:rsidRDefault="007A124E" w:rsidP="007A124E">
      <w:pPr>
        <w:pStyle w:val="Prrafodelista"/>
        <w:widowControl/>
        <w:autoSpaceDE w:val="0"/>
        <w:autoSpaceDN w:val="0"/>
        <w:spacing w:line="240" w:lineRule="auto"/>
        <w:ind w:left="1440"/>
        <w:rPr>
          <w:rFonts w:eastAsia="Arial" w:cs="Arial"/>
          <w:lang w:val="es-ES"/>
        </w:rPr>
      </w:pPr>
    </w:p>
    <w:p w14:paraId="0DE93A18" w14:textId="75F69A45" w:rsidR="00823A71" w:rsidRPr="002C5A98" w:rsidRDefault="00823A71">
      <w:pPr>
        <w:pStyle w:val="Prrafodelista"/>
        <w:widowControl/>
        <w:numPr>
          <w:ilvl w:val="0"/>
          <w:numId w:val="9"/>
        </w:numPr>
        <w:autoSpaceDE w:val="0"/>
        <w:autoSpaceDN w:val="0"/>
        <w:spacing w:line="240" w:lineRule="auto"/>
        <w:rPr>
          <w:rFonts w:eastAsia="Arial" w:cs="Arial"/>
          <w:lang w:val="es-ES"/>
        </w:rPr>
      </w:pPr>
      <w:r w:rsidRPr="002C5A98">
        <w:rPr>
          <w:rFonts w:eastAsia="Arial" w:cs="Arial"/>
          <w:lang w:val="es-ES"/>
        </w:rPr>
        <w:t>incorporar en el currículo de los niveles educativos medio y superior contenidos sobre las graves violaciones de derechos humanos, crímenes de guerra y delitos contra la humanidad cometidos por ambos bandos antes y durante el conflicto armado;</w:t>
      </w:r>
    </w:p>
    <w:p w14:paraId="7A7C5034" w14:textId="77777777" w:rsidR="00215182" w:rsidRPr="002C5A98" w:rsidRDefault="00215182" w:rsidP="00215182">
      <w:pPr>
        <w:pStyle w:val="Prrafodelista"/>
        <w:widowControl/>
        <w:autoSpaceDE w:val="0"/>
        <w:autoSpaceDN w:val="0"/>
        <w:spacing w:line="240" w:lineRule="auto"/>
        <w:ind w:left="1440"/>
        <w:rPr>
          <w:rFonts w:eastAsia="Arial" w:cs="Arial"/>
          <w:lang w:val="es-ES"/>
        </w:rPr>
      </w:pPr>
    </w:p>
    <w:p w14:paraId="3D5AF449" w14:textId="1007134E" w:rsidR="00823A71" w:rsidRPr="002C5A98" w:rsidRDefault="00823A71">
      <w:pPr>
        <w:pStyle w:val="Prrafodelista"/>
        <w:widowControl/>
        <w:numPr>
          <w:ilvl w:val="0"/>
          <w:numId w:val="9"/>
        </w:numPr>
        <w:autoSpaceDE w:val="0"/>
        <w:autoSpaceDN w:val="0"/>
        <w:spacing w:line="240" w:lineRule="auto"/>
        <w:rPr>
          <w:rFonts w:eastAsia="Arial" w:cs="Arial"/>
          <w:lang w:val="es-ES"/>
        </w:rPr>
      </w:pPr>
      <w:r w:rsidRPr="002C5A98">
        <w:rPr>
          <w:rFonts w:eastAsia="Arial" w:cs="Arial"/>
          <w:lang w:val="es-ES"/>
        </w:rPr>
        <w:t>crear una cátedra y un programa en educación ciudadana integral en todos los niveles del sistema educativa público y privado con base en los instrumentos universales e interamericanos en derechos humanos, tomando en cuenta o sucedido en el país durante el conflicto armado en relación con las desapariciones forzadas, y</w:t>
      </w:r>
    </w:p>
    <w:p w14:paraId="76F631D8" w14:textId="77777777" w:rsidR="00215182" w:rsidRPr="002C5A98" w:rsidRDefault="00215182" w:rsidP="00215182">
      <w:pPr>
        <w:pStyle w:val="Prrafodelista"/>
        <w:widowControl/>
        <w:autoSpaceDE w:val="0"/>
        <w:autoSpaceDN w:val="0"/>
        <w:spacing w:line="240" w:lineRule="auto"/>
        <w:ind w:left="1440"/>
        <w:rPr>
          <w:rFonts w:eastAsia="Arial" w:cs="Arial"/>
          <w:lang w:val="es-ES"/>
        </w:rPr>
      </w:pPr>
    </w:p>
    <w:p w14:paraId="578DE502" w14:textId="76996CF7" w:rsidR="00823A71" w:rsidRPr="002C5A98" w:rsidRDefault="00823A71">
      <w:pPr>
        <w:pStyle w:val="Prrafodelista"/>
        <w:widowControl/>
        <w:numPr>
          <w:ilvl w:val="0"/>
          <w:numId w:val="9"/>
        </w:numPr>
        <w:autoSpaceDE w:val="0"/>
        <w:autoSpaceDN w:val="0"/>
        <w:spacing w:line="240" w:lineRule="auto"/>
        <w:rPr>
          <w:rFonts w:eastAsia="Arial" w:cs="Arial"/>
          <w:lang w:val="es-ES"/>
        </w:rPr>
      </w:pPr>
      <w:r w:rsidRPr="002C5A98">
        <w:rPr>
          <w:rFonts w:eastAsia="Arial" w:cs="Arial"/>
          <w:lang w:val="es-ES"/>
        </w:rPr>
        <w:t xml:space="preserve">diseñar e implementar, a través del Ministerio de Educación, con la participación de organizaciones de derechos humanos nacionales e internacionales, un programa de estudios en el cual se incorpore la materia de Educación Ciudadana y Derechos Humanos o Ciudadanía y Derechos Humanos, como una asignatura oficial con carácter permanente en todos los niveles del sistema educativo. Dicha asignatura sería supervisada por un organismo tripartito en el cual estarían representadas las organizaciones de la sociedad civil especializadas en derechos humanos, el Estado y organismos internacionales. </w:t>
      </w:r>
    </w:p>
    <w:p w14:paraId="79976BF1" w14:textId="77777777" w:rsidR="00823A71" w:rsidRPr="00465F79" w:rsidRDefault="00823A71" w:rsidP="00823A71">
      <w:pPr>
        <w:autoSpaceDE w:val="0"/>
        <w:autoSpaceDN w:val="0"/>
        <w:spacing w:line="240" w:lineRule="auto"/>
        <w:rPr>
          <w:rFonts w:cs="Arial"/>
          <w:b/>
        </w:rPr>
      </w:pPr>
    </w:p>
    <w:p w14:paraId="4115042C" w14:textId="05946BF3" w:rsidR="00823A71" w:rsidRPr="00465F79" w:rsidRDefault="00823A71" w:rsidP="00823A71">
      <w:pPr>
        <w:widowControl/>
        <w:numPr>
          <w:ilvl w:val="0"/>
          <w:numId w:val="7"/>
        </w:numPr>
        <w:tabs>
          <w:tab w:val="left" w:pos="567"/>
          <w:tab w:val="num" w:pos="1569"/>
          <w:tab w:val="num" w:pos="12305"/>
        </w:tabs>
        <w:autoSpaceDE w:val="0"/>
        <w:autoSpaceDN w:val="0"/>
        <w:spacing w:line="240" w:lineRule="auto"/>
        <w:ind w:left="0" w:firstLine="0"/>
        <w:textAlignment w:val="baseline"/>
        <w:rPr>
          <w:rFonts w:eastAsia="Arial" w:cs="Arial"/>
          <w:b/>
          <w:bCs/>
          <w:u w:val="single"/>
          <w:lang w:val="es-ES"/>
        </w:rPr>
      </w:pPr>
      <w:r w:rsidRPr="00465F79">
        <w:rPr>
          <w:rFonts w:cs="Arial"/>
          <w:bCs/>
        </w:rPr>
        <w:t>El</w:t>
      </w:r>
      <w:r w:rsidRPr="00465F79">
        <w:rPr>
          <w:rFonts w:cs="Arial"/>
          <w:b/>
        </w:rPr>
        <w:t xml:space="preserve"> </w:t>
      </w:r>
      <w:r w:rsidRPr="00465F79">
        <w:rPr>
          <w:rFonts w:cs="Arial"/>
          <w:b/>
          <w:i/>
          <w:iCs/>
        </w:rPr>
        <w:t xml:space="preserve">Estado </w:t>
      </w:r>
      <w:r w:rsidRPr="00465F79">
        <w:rPr>
          <w:rFonts w:eastAsia="Arial" w:cs="Arial"/>
          <w:lang w:val="es-ES"/>
        </w:rPr>
        <w:t>por su parte argumentó</w:t>
      </w:r>
      <w:r w:rsidR="002C5A98">
        <w:rPr>
          <w:rFonts w:eastAsia="Arial" w:cs="Arial"/>
          <w:lang w:val="es-ES"/>
        </w:rPr>
        <w:t xml:space="preserve"> lo siguiente</w:t>
      </w:r>
      <w:r w:rsidRPr="00465F79">
        <w:rPr>
          <w:rFonts w:eastAsia="Arial" w:cs="Arial"/>
          <w:lang w:val="es-ES"/>
        </w:rPr>
        <w:t xml:space="preserve">: </w:t>
      </w:r>
    </w:p>
    <w:p w14:paraId="5E4DDD21" w14:textId="77777777" w:rsidR="00823A71" w:rsidRPr="00465F79" w:rsidRDefault="00823A71" w:rsidP="00823A71">
      <w:pPr>
        <w:autoSpaceDE w:val="0"/>
        <w:autoSpaceDN w:val="0"/>
        <w:spacing w:line="240" w:lineRule="auto"/>
        <w:rPr>
          <w:rFonts w:eastAsia="Arial" w:cs="Arial"/>
          <w:b/>
          <w:bCs/>
          <w:u w:val="single"/>
          <w:lang w:val="es-ES"/>
        </w:rPr>
      </w:pPr>
    </w:p>
    <w:p w14:paraId="6C293053" w14:textId="41E09AF7" w:rsidR="00823A71" w:rsidRPr="00465F79" w:rsidRDefault="00823A71">
      <w:pPr>
        <w:pStyle w:val="Prrafodelista"/>
        <w:widowControl/>
        <w:numPr>
          <w:ilvl w:val="0"/>
          <w:numId w:val="10"/>
        </w:numPr>
        <w:autoSpaceDE w:val="0"/>
        <w:autoSpaceDN w:val="0"/>
        <w:spacing w:line="240" w:lineRule="auto"/>
        <w:rPr>
          <w:rFonts w:eastAsia="Arial" w:cs="Arial"/>
          <w:lang w:val="es-ES"/>
        </w:rPr>
      </w:pPr>
      <w:r w:rsidRPr="00465F79">
        <w:rPr>
          <w:rFonts w:eastAsia="Arial" w:cs="Arial"/>
          <w:lang w:val="es-ES"/>
        </w:rPr>
        <w:t xml:space="preserve">En relación con las recomendaciones </w:t>
      </w:r>
      <w:r w:rsidR="003C4FC2">
        <w:rPr>
          <w:rFonts w:eastAsia="Arial" w:cs="Arial"/>
          <w:lang w:val="es-ES"/>
        </w:rPr>
        <w:t>n.°</w:t>
      </w:r>
      <w:r w:rsidR="009D26E9">
        <w:rPr>
          <w:rFonts w:eastAsia="Arial" w:cs="Arial"/>
          <w:lang w:val="es-ES"/>
        </w:rPr>
        <w:t xml:space="preserve"> </w:t>
      </w:r>
      <w:r w:rsidRPr="00465F79">
        <w:rPr>
          <w:rFonts w:eastAsia="Arial" w:cs="Arial"/>
          <w:lang w:val="es-ES"/>
        </w:rPr>
        <w:t xml:space="preserve">1 y 2 de la Comisión y las solicitudes </w:t>
      </w:r>
      <w:r w:rsidR="003C4FC2">
        <w:rPr>
          <w:rFonts w:eastAsia="Arial" w:cs="Arial"/>
          <w:lang w:val="es-ES"/>
        </w:rPr>
        <w:t>n.°</w:t>
      </w:r>
      <w:r w:rsidR="009D26E9">
        <w:rPr>
          <w:rFonts w:eastAsia="Arial" w:cs="Arial"/>
          <w:lang w:val="es-ES"/>
        </w:rPr>
        <w:t xml:space="preserve"> </w:t>
      </w:r>
      <w:r w:rsidRPr="00465F79">
        <w:rPr>
          <w:rFonts w:eastAsia="Arial" w:cs="Arial"/>
          <w:lang w:val="es-ES"/>
        </w:rPr>
        <w:t>1, 2 y 5 del representante señaló que existe un “mandato de la jurisdicción constitucional” derivada de la</w:t>
      </w:r>
      <w:r w:rsidR="00444E5F">
        <w:rPr>
          <w:rFonts w:eastAsia="Arial" w:cs="Arial"/>
          <w:lang w:val="es-ES"/>
        </w:rPr>
        <w:t xml:space="preserve"> </w:t>
      </w:r>
      <w:r w:rsidR="002F316B">
        <w:rPr>
          <w:rFonts w:eastAsia="Arial" w:cs="Arial"/>
          <w:lang w:val="es-ES"/>
        </w:rPr>
        <w:t>Sentencia</w:t>
      </w:r>
      <w:r w:rsidRPr="00465F79">
        <w:rPr>
          <w:rFonts w:eastAsia="Arial" w:cs="Arial"/>
          <w:lang w:val="es-ES"/>
        </w:rPr>
        <w:t xml:space="preserve"> de inconstitucionalidad de la Ley de Amnistía General para que la Asamblea Legislativa “adopte una legislación de justicia transicional” que deberá considerar las “medidas de reparación integral a las víctimas”. En tal sentido, informó que la Asamblea Legislativa vigente, se encuentra realizando “los estudios para la construcción de una </w:t>
      </w:r>
      <w:r w:rsidRPr="009D26E9">
        <w:rPr>
          <w:rFonts w:eastAsia="Arial" w:cs="Arial"/>
          <w:lang w:val="es-ES"/>
        </w:rPr>
        <w:t>Ley de Justicia Restaurativa y Transicional</w:t>
      </w:r>
      <w:r w:rsidRPr="00465F79">
        <w:rPr>
          <w:rFonts w:eastAsia="Arial" w:cs="Arial"/>
          <w:lang w:val="es-ES"/>
        </w:rPr>
        <w:t>” y ha trazado una “hoja de ruta”</w:t>
      </w:r>
      <w:r w:rsidR="002C6F8F">
        <w:rPr>
          <w:rStyle w:val="Refdenotaalpie"/>
          <w:rFonts w:eastAsia="Arial" w:cs="Arial"/>
        </w:rPr>
        <w:footnoteReference w:id="181"/>
      </w:r>
      <w:r w:rsidRPr="00465F79">
        <w:rPr>
          <w:rFonts w:eastAsia="Arial" w:cs="Arial"/>
          <w:lang w:val="es-ES"/>
        </w:rPr>
        <w:t>, proceso al que la Corte ha dado seguimiento en el marco del procedimiento de supervisión de la</w:t>
      </w:r>
      <w:r w:rsidR="00444E5F">
        <w:rPr>
          <w:rFonts w:eastAsia="Arial" w:cs="Arial"/>
          <w:lang w:val="es-ES"/>
        </w:rPr>
        <w:t xml:space="preserve"> </w:t>
      </w:r>
      <w:r w:rsidR="002F316B">
        <w:rPr>
          <w:rFonts w:eastAsia="Arial" w:cs="Arial"/>
          <w:lang w:val="es-ES"/>
        </w:rPr>
        <w:t>Sentencia</w:t>
      </w:r>
      <w:r w:rsidRPr="00465F79">
        <w:rPr>
          <w:rFonts w:eastAsia="Arial" w:cs="Arial"/>
          <w:lang w:val="es-ES"/>
        </w:rPr>
        <w:t xml:space="preserve"> del caso </w:t>
      </w:r>
      <w:r w:rsidRPr="009D26E9">
        <w:rPr>
          <w:rFonts w:eastAsia="Arial" w:cs="Arial"/>
          <w:i/>
          <w:iCs/>
          <w:lang w:val="es-ES"/>
        </w:rPr>
        <w:t>Masacres de El Mozote y lugares aledaños Vs. El Salvador</w:t>
      </w:r>
      <w:r w:rsidRPr="00465F79">
        <w:rPr>
          <w:rStyle w:val="Refdenotaalpie"/>
          <w:rFonts w:eastAsia="Arial" w:cs="Arial"/>
          <w:lang w:val="es-ES"/>
        </w:rPr>
        <w:footnoteReference w:id="182"/>
      </w:r>
      <w:r w:rsidRPr="00465F79">
        <w:rPr>
          <w:rFonts w:eastAsia="Arial" w:cs="Arial"/>
          <w:lang w:val="es-ES"/>
        </w:rPr>
        <w:t>;</w:t>
      </w:r>
    </w:p>
    <w:p w14:paraId="032FCB3B" w14:textId="77777777" w:rsidR="00823A71" w:rsidRPr="00465F79" w:rsidRDefault="00823A71" w:rsidP="00823A71">
      <w:pPr>
        <w:pStyle w:val="Prrafodelista"/>
        <w:autoSpaceDE w:val="0"/>
        <w:autoSpaceDN w:val="0"/>
        <w:spacing w:line="240" w:lineRule="auto"/>
        <w:ind w:left="1440"/>
        <w:rPr>
          <w:rFonts w:eastAsia="Arial" w:cs="Arial"/>
          <w:lang w:val="es-ES"/>
        </w:rPr>
      </w:pPr>
    </w:p>
    <w:p w14:paraId="480BA04D" w14:textId="5BA14675" w:rsidR="002C5A98" w:rsidRDefault="002C5A98">
      <w:pPr>
        <w:pStyle w:val="Prrafodelista"/>
        <w:widowControl/>
        <w:numPr>
          <w:ilvl w:val="0"/>
          <w:numId w:val="10"/>
        </w:numPr>
        <w:autoSpaceDE w:val="0"/>
        <w:autoSpaceDN w:val="0"/>
        <w:spacing w:line="240" w:lineRule="auto"/>
        <w:rPr>
          <w:rFonts w:eastAsia="Arial" w:cs="Arial"/>
          <w:lang w:val="es-ES"/>
        </w:rPr>
      </w:pPr>
      <w:r w:rsidRPr="002C5A98">
        <w:rPr>
          <w:rFonts w:eastAsia="Arial" w:cs="Arial"/>
          <w:lang w:val="es-ES"/>
        </w:rPr>
        <w:t xml:space="preserve">En relación con la recomendación n.°3 de la Comisión y la solicitud n.°6 del representante solicitó a la Corte considerar que la ratificación de </w:t>
      </w:r>
      <w:r w:rsidRPr="002C5A98">
        <w:rPr>
          <w:rFonts w:eastAsia="Arial" w:cs="Arial"/>
          <w:lang w:val="es-ES"/>
        </w:rPr>
        <w:lastRenderedPageBreak/>
        <w:t>instrumentos internacionales en El Salvador está sujeta a un proceso determinado por la Constitución que otorga dicha facultad a la Asamblea Legislativa, lo que “exige la concurrencia de la voluntad de las fuerzas políticas en ella representadas”, todo ello sin perjuicio de que, actualmente</w:t>
      </w:r>
      <w:r w:rsidR="00086CC9">
        <w:rPr>
          <w:rFonts w:eastAsia="Arial" w:cs="Arial"/>
          <w:lang w:val="es-ES"/>
        </w:rPr>
        <w:t xml:space="preserve">, </w:t>
      </w:r>
      <w:r w:rsidRPr="002C5A98">
        <w:rPr>
          <w:rFonts w:eastAsia="Arial" w:cs="Arial"/>
          <w:lang w:val="es-ES"/>
        </w:rPr>
        <w:t>el Estado desarrolla “un análisis del conjunto de recomendaciones derivadas de distintos mecanismos de derechos humanos respecto de El Salvador, en las que se encuentran las relacionadas a la ratificación de instrumentos internacionales de Derechos Humanos</w:t>
      </w:r>
      <w:r w:rsidR="008A4BCD">
        <w:rPr>
          <w:rFonts w:eastAsia="Arial" w:cs="Arial"/>
          <w:lang w:val="es-ES"/>
        </w:rPr>
        <w:t>”</w:t>
      </w:r>
      <w:r w:rsidRPr="002C5A98">
        <w:rPr>
          <w:rFonts w:eastAsia="Arial" w:cs="Arial"/>
          <w:lang w:val="es-ES"/>
        </w:rPr>
        <w:t>;</w:t>
      </w:r>
    </w:p>
    <w:p w14:paraId="6C1BABBB" w14:textId="77777777" w:rsidR="00C32ED2" w:rsidRDefault="00C32ED2" w:rsidP="00C32ED2">
      <w:pPr>
        <w:pStyle w:val="Prrafodelista"/>
        <w:widowControl/>
        <w:autoSpaceDE w:val="0"/>
        <w:autoSpaceDN w:val="0"/>
        <w:spacing w:line="240" w:lineRule="auto"/>
        <w:ind w:left="1440"/>
        <w:rPr>
          <w:rFonts w:eastAsia="Arial" w:cs="Arial"/>
          <w:lang w:val="es-ES"/>
        </w:rPr>
      </w:pPr>
    </w:p>
    <w:p w14:paraId="5FBBDA84" w14:textId="77777777" w:rsidR="008A4BCD" w:rsidRPr="00465F79" w:rsidRDefault="008A4BCD" w:rsidP="008A4BCD">
      <w:pPr>
        <w:pStyle w:val="Prrafodelista"/>
        <w:widowControl/>
        <w:numPr>
          <w:ilvl w:val="0"/>
          <w:numId w:val="10"/>
        </w:numPr>
        <w:autoSpaceDE w:val="0"/>
        <w:autoSpaceDN w:val="0"/>
        <w:spacing w:line="240" w:lineRule="auto"/>
        <w:rPr>
          <w:rFonts w:eastAsia="Arial" w:cs="Arial"/>
          <w:lang w:val="es-ES"/>
        </w:rPr>
      </w:pPr>
      <w:r w:rsidRPr="00465F79">
        <w:rPr>
          <w:rFonts w:eastAsia="Arial" w:cs="Arial"/>
          <w:lang w:val="es-ES"/>
        </w:rPr>
        <w:t xml:space="preserve">En relación con la solicitud </w:t>
      </w:r>
      <w:r>
        <w:rPr>
          <w:rFonts w:eastAsia="Arial" w:cs="Arial"/>
          <w:lang w:val="es-ES"/>
        </w:rPr>
        <w:t>n.°</w:t>
      </w:r>
      <w:r w:rsidRPr="00465F79">
        <w:rPr>
          <w:rFonts w:eastAsia="Arial" w:cs="Arial"/>
          <w:lang w:val="es-ES"/>
        </w:rPr>
        <w:t xml:space="preserve">3 del representante arguyó que “desde su creación en 2010 y 2017” la CNB y la CONABÚSQUEDA ha operado de forma “independiente” por lo que las “garantías de </w:t>
      </w:r>
      <w:r>
        <w:rPr>
          <w:rFonts w:eastAsia="Arial" w:cs="Arial"/>
          <w:lang w:val="es-ES"/>
        </w:rPr>
        <w:t xml:space="preserve">su </w:t>
      </w:r>
      <w:r w:rsidRPr="00465F79">
        <w:rPr>
          <w:rFonts w:eastAsia="Arial" w:cs="Arial"/>
          <w:lang w:val="es-ES"/>
        </w:rPr>
        <w:t>estabilidad no derivan de la naturaleza legislativa o ejecutiva de su creación”;</w:t>
      </w:r>
    </w:p>
    <w:p w14:paraId="7276C4BF" w14:textId="77777777" w:rsidR="007A124E" w:rsidRDefault="007A124E" w:rsidP="007A124E">
      <w:pPr>
        <w:pStyle w:val="Prrafodelista"/>
        <w:widowControl/>
        <w:autoSpaceDE w:val="0"/>
        <w:autoSpaceDN w:val="0"/>
        <w:spacing w:line="240" w:lineRule="auto"/>
        <w:ind w:left="1440"/>
        <w:rPr>
          <w:rFonts w:eastAsia="Arial" w:cs="Arial"/>
          <w:lang w:val="es-ES"/>
        </w:rPr>
      </w:pPr>
    </w:p>
    <w:p w14:paraId="489ADD17" w14:textId="6E297EF7" w:rsidR="00823A71" w:rsidRPr="00465F79" w:rsidRDefault="00823A71">
      <w:pPr>
        <w:pStyle w:val="Prrafodelista"/>
        <w:widowControl/>
        <w:numPr>
          <w:ilvl w:val="0"/>
          <w:numId w:val="10"/>
        </w:numPr>
        <w:autoSpaceDE w:val="0"/>
        <w:autoSpaceDN w:val="0"/>
        <w:spacing w:line="240" w:lineRule="auto"/>
        <w:rPr>
          <w:rFonts w:eastAsia="Arial" w:cs="Arial"/>
          <w:lang w:val="es-ES"/>
        </w:rPr>
      </w:pPr>
      <w:r w:rsidRPr="00465F79">
        <w:rPr>
          <w:rFonts w:eastAsia="Arial" w:cs="Arial"/>
          <w:lang w:val="es-ES"/>
        </w:rPr>
        <w:t xml:space="preserve">En relación con la solicitud </w:t>
      </w:r>
      <w:r w:rsidR="003C4FC2">
        <w:rPr>
          <w:rFonts w:eastAsia="Arial" w:cs="Arial"/>
          <w:lang w:val="es-ES"/>
        </w:rPr>
        <w:t>n.°</w:t>
      </w:r>
      <w:r w:rsidRPr="00465F79">
        <w:rPr>
          <w:rFonts w:eastAsia="Arial" w:cs="Arial"/>
          <w:lang w:val="es-ES"/>
        </w:rPr>
        <w:t>4 del representante indicó que desde el inicio del mandato de las Comisiones de Búsqueda estas han realizado una “interpretación inclusiva y en favor de las víctimas de las desapariciones forzadas” cuyas desapariciones fueran atribuidas a ambos bandos en conflicto</w:t>
      </w:r>
      <w:r w:rsidR="002C5A98">
        <w:rPr>
          <w:rFonts w:eastAsia="Arial" w:cs="Arial"/>
          <w:lang w:val="es-ES"/>
        </w:rPr>
        <w:t xml:space="preserve">, </w:t>
      </w:r>
      <w:r w:rsidR="008A4BCD">
        <w:rPr>
          <w:rFonts w:eastAsia="Arial" w:cs="Arial"/>
          <w:lang w:val="es-ES"/>
        </w:rPr>
        <w:t>y</w:t>
      </w:r>
    </w:p>
    <w:p w14:paraId="7820A06E" w14:textId="77777777" w:rsidR="00823A71" w:rsidRPr="00465F79" w:rsidRDefault="00823A71" w:rsidP="00823A71">
      <w:pPr>
        <w:pStyle w:val="Prrafodelista"/>
        <w:autoSpaceDE w:val="0"/>
        <w:autoSpaceDN w:val="0"/>
        <w:spacing w:line="240" w:lineRule="auto"/>
        <w:ind w:left="1440"/>
        <w:rPr>
          <w:rFonts w:eastAsia="Arial" w:cs="Arial"/>
          <w:lang w:val="es-ES"/>
        </w:rPr>
      </w:pPr>
    </w:p>
    <w:p w14:paraId="39B963FA" w14:textId="55FBCFFC" w:rsidR="00A66AD7" w:rsidRDefault="00823A71">
      <w:pPr>
        <w:pStyle w:val="Prrafodelista"/>
        <w:widowControl/>
        <w:numPr>
          <w:ilvl w:val="0"/>
          <w:numId w:val="10"/>
        </w:numPr>
        <w:autoSpaceDE w:val="0"/>
        <w:autoSpaceDN w:val="0"/>
        <w:spacing w:line="240" w:lineRule="auto"/>
        <w:rPr>
          <w:rFonts w:eastAsia="Arial" w:cs="Arial"/>
          <w:lang w:val="es-ES"/>
        </w:rPr>
      </w:pPr>
      <w:r w:rsidRPr="00215182">
        <w:rPr>
          <w:rFonts w:eastAsia="Arial" w:cs="Arial"/>
          <w:lang w:val="es-ES"/>
        </w:rPr>
        <w:t>En relación con</w:t>
      </w:r>
      <w:r w:rsidR="003C4FC2" w:rsidRPr="00215182">
        <w:rPr>
          <w:rFonts w:eastAsia="Arial" w:cs="Arial"/>
          <w:lang w:val="es-ES"/>
        </w:rPr>
        <w:t xml:space="preserve"> el</w:t>
      </w:r>
      <w:r w:rsidRPr="00215182">
        <w:rPr>
          <w:rFonts w:eastAsia="Arial" w:cs="Arial"/>
          <w:lang w:val="es-ES"/>
        </w:rPr>
        <w:t xml:space="preserve"> </w:t>
      </w:r>
      <w:r w:rsidR="003C4FC2" w:rsidRPr="00215182">
        <w:rPr>
          <w:rFonts w:eastAsia="Arial" w:cs="Arial"/>
          <w:lang w:val="es-ES"/>
        </w:rPr>
        <w:t>diseño e implementación de programas y capacitaciones contenido en las solicitudes</w:t>
      </w:r>
      <w:r w:rsidRPr="00215182">
        <w:rPr>
          <w:rFonts w:eastAsia="Arial" w:cs="Arial"/>
          <w:lang w:val="es-ES"/>
        </w:rPr>
        <w:t xml:space="preserve"> n</w:t>
      </w:r>
      <w:r w:rsidR="003C4FC2" w:rsidRPr="00215182">
        <w:rPr>
          <w:rFonts w:eastAsia="Arial" w:cs="Arial"/>
          <w:lang w:val="es-ES"/>
        </w:rPr>
        <w:t xml:space="preserve">.° </w:t>
      </w:r>
      <w:r w:rsidRPr="00215182">
        <w:rPr>
          <w:rFonts w:eastAsia="Arial" w:cs="Arial"/>
          <w:lang w:val="es-ES"/>
        </w:rPr>
        <w:t>7, 8, 9, y 10 del representante, el Estado señaló su disposición para desarrollar “una revisión de todos los informes de la Comisión Interamericana y</w:t>
      </w:r>
      <w:r w:rsidR="00444E5F">
        <w:rPr>
          <w:rFonts w:eastAsia="Arial" w:cs="Arial"/>
          <w:lang w:val="es-ES"/>
        </w:rPr>
        <w:t xml:space="preserve"> </w:t>
      </w:r>
      <w:r w:rsidR="002F316B">
        <w:rPr>
          <w:rFonts w:eastAsia="Arial" w:cs="Arial"/>
          <w:lang w:val="es-ES"/>
        </w:rPr>
        <w:t>Sentencia</w:t>
      </w:r>
      <w:r w:rsidRPr="00215182">
        <w:rPr>
          <w:rFonts w:eastAsia="Arial" w:cs="Arial"/>
          <w:lang w:val="es-ES"/>
        </w:rPr>
        <w:t xml:space="preserve">s de la Corte Interamericana que comprenden el componente de formación en derechos humanos” con el objetivo de “impulsar una planificación de los procesos formativos en forma articulada y con el apoyo de los mismos órganos del Sistema Interamericano que han suscrito convenios con instituciones como el Consejo Nacional de la Judicatura, la Corte Suprema de Justicia, y la Procuraduría para la Defensa de los Derechos Humanos” para desarrollar “procesos formativos” a funcionarios públicos. </w:t>
      </w:r>
      <w:r w:rsidR="00215182" w:rsidRPr="00215182">
        <w:rPr>
          <w:rFonts w:eastAsia="Arial" w:cs="Arial"/>
          <w:lang w:val="es-ES"/>
        </w:rPr>
        <w:t xml:space="preserve">Asimismo, en sus alegatos finales, el Estado indicó que la Corte ya ha ordenado la creación de programas permanentes de capacitación en materia de derechos humanos dirigidos a funcionarios en los casos Masacres de el Mozote y lugares aledaños, Rochac Hernández y Ruano Torres vs. El Salvador. Añadió que </w:t>
      </w:r>
      <w:r w:rsidR="000356CA">
        <w:rPr>
          <w:rFonts w:eastAsia="Arial" w:cs="Arial"/>
          <w:lang w:val="es-ES"/>
        </w:rPr>
        <w:t>a</w:t>
      </w:r>
      <w:r w:rsidR="00215182" w:rsidRPr="00215182">
        <w:rPr>
          <w:rFonts w:eastAsia="Arial" w:cs="Arial"/>
          <w:lang w:val="es-ES"/>
        </w:rPr>
        <w:t xml:space="preserve">ctualmente el Ministerio de Educación se encuentra </w:t>
      </w:r>
      <w:r w:rsidR="000356CA">
        <w:rPr>
          <w:rFonts w:eastAsia="Arial" w:cs="Arial"/>
          <w:lang w:val="es-ES"/>
        </w:rPr>
        <w:t>“</w:t>
      </w:r>
      <w:r w:rsidR="00215182" w:rsidRPr="00215182">
        <w:rPr>
          <w:rFonts w:eastAsia="Arial" w:cs="Arial"/>
          <w:lang w:val="es-ES"/>
        </w:rPr>
        <w:t>impulsando la</w:t>
      </w:r>
      <w:r w:rsidR="000356CA">
        <w:rPr>
          <w:rFonts w:eastAsia="Arial" w:cs="Arial"/>
          <w:lang w:val="es-ES"/>
        </w:rPr>
        <w:t xml:space="preserve"> </w:t>
      </w:r>
      <w:r w:rsidR="00215182" w:rsidRPr="00215182">
        <w:rPr>
          <w:rFonts w:eastAsia="Arial" w:cs="Arial"/>
          <w:lang w:val="es-ES"/>
        </w:rPr>
        <w:t xml:space="preserve">reforma educativa </w:t>
      </w:r>
      <w:r w:rsidR="000356CA">
        <w:rPr>
          <w:rFonts w:eastAsia="Arial" w:cs="Arial"/>
          <w:lang w:val="es-ES"/>
        </w:rPr>
        <w:t>‘M</w:t>
      </w:r>
      <w:r w:rsidR="00215182" w:rsidRPr="00215182">
        <w:rPr>
          <w:rFonts w:eastAsia="Arial" w:cs="Arial"/>
          <w:lang w:val="es-ES"/>
        </w:rPr>
        <w:t>i nueva escuela: transformando la educación</w:t>
      </w:r>
      <w:r w:rsidR="000356CA">
        <w:rPr>
          <w:rFonts w:eastAsia="Arial" w:cs="Arial"/>
          <w:lang w:val="es-ES"/>
        </w:rPr>
        <w:t>’</w:t>
      </w:r>
      <w:r w:rsidR="00215182" w:rsidRPr="00215182">
        <w:rPr>
          <w:rFonts w:eastAsia="Arial" w:cs="Arial"/>
          <w:lang w:val="es-ES"/>
        </w:rPr>
        <w:t>, que incluye seis pilares, entre estos el currículo renovado, por lo que actualmente se trabaja en una reforma curricular integral, con un modelo pedagógico centrado en la persona, que tome en cuenta la realidad histórica del país y del mundo</w:t>
      </w:r>
      <w:r w:rsidR="000356CA">
        <w:rPr>
          <w:rFonts w:eastAsia="Arial" w:cs="Arial"/>
          <w:lang w:val="es-ES"/>
        </w:rPr>
        <w:t>”.</w:t>
      </w:r>
    </w:p>
    <w:p w14:paraId="2BF069E8" w14:textId="77777777" w:rsidR="000356CA" w:rsidRDefault="000356CA" w:rsidP="000356CA">
      <w:pPr>
        <w:pStyle w:val="Prrafodelista"/>
        <w:widowControl/>
        <w:autoSpaceDE w:val="0"/>
        <w:autoSpaceDN w:val="0"/>
        <w:spacing w:line="240" w:lineRule="auto"/>
        <w:ind w:left="1440"/>
        <w:rPr>
          <w:rFonts w:eastAsia="Arial" w:cs="Arial"/>
          <w:lang w:val="es-ES"/>
        </w:rPr>
      </w:pPr>
    </w:p>
    <w:p w14:paraId="1DD7556E" w14:textId="3382FE7F" w:rsidR="00611F07" w:rsidRDefault="000738D8" w:rsidP="00C5735A">
      <w:pPr>
        <w:widowControl/>
        <w:numPr>
          <w:ilvl w:val="0"/>
          <w:numId w:val="7"/>
        </w:numPr>
        <w:tabs>
          <w:tab w:val="left" w:pos="567"/>
          <w:tab w:val="num" w:pos="1569"/>
          <w:tab w:val="num" w:pos="12305"/>
        </w:tabs>
        <w:autoSpaceDE w:val="0"/>
        <w:autoSpaceDN w:val="0"/>
        <w:spacing w:line="240" w:lineRule="auto"/>
        <w:ind w:left="0" w:firstLine="0"/>
        <w:textAlignment w:val="baseline"/>
        <w:rPr>
          <w:color w:val="FF0000"/>
        </w:rPr>
      </w:pPr>
      <w:r w:rsidRPr="004268A4">
        <w:rPr>
          <w:lang w:val="es-ES"/>
        </w:rPr>
        <w:t xml:space="preserve">En relación con las medidas </w:t>
      </w:r>
      <w:r w:rsidRPr="004268A4">
        <w:rPr>
          <w:rFonts w:eastAsia="Arial" w:cs="Arial"/>
          <w:lang w:val="es-ES"/>
        </w:rPr>
        <w:t xml:space="preserve">con las recomendaciones n.° 1 y 2 de la Comisión y las solicitudes n.° 1, 2 y 5 del representante, la </w:t>
      </w:r>
      <w:r w:rsidRPr="004268A4">
        <w:rPr>
          <w:rFonts w:eastAsia="Arial" w:cs="Arial"/>
          <w:b/>
          <w:bCs/>
          <w:i/>
          <w:iCs/>
          <w:lang w:val="es-ES"/>
        </w:rPr>
        <w:t>Corte</w:t>
      </w:r>
      <w:r w:rsidRPr="004268A4">
        <w:rPr>
          <w:rFonts w:eastAsia="Arial" w:cs="Arial"/>
          <w:lang w:val="es-ES"/>
        </w:rPr>
        <w:t xml:space="preserve"> advierte que, </w:t>
      </w:r>
      <w:r w:rsidR="008A4BCD">
        <w:rPr>
          <w:rFonts w:eastAsia="Arial" w:cs="Arial"/>
          <w:lang w:val="es-ES"/>
        </w:rPr>
        <w:t>al momento de adopción de la presente Sentencia</w:t>
      </w:r>
      <w:r w:rsidRPr="004268A4">
        <w:rPr>
          <w:rFonts w:eastAsia="Arial" w:cs="Arial"/>
          <w:lang w:val="es-ES"/>
        </w:rPr>
        <w:t>, la Asamblea Legislativa se encuentra en trámites para la aprobación de una “Ley de Justicia Restaurativa y Transicional”.</w:t>
      </w:r>
      <w:r w:rsidR="004268A4" w:rsidRPr="004268A4">
        <w:rPr>
          <w:rFonts w:eastAsia="Arial" w:cs="Arial"/>
          <w:lang w:val="es-ES"/>
        </w:rPr>
        <w:t xml:space="preserve"> El Tribunal recuerda que, si bien actualmente dicha ley se encuentra en una etapa inicial, </w:t>
      </w:r>
      <w:r w:rsidR="004268A4">
        <w:t>la misma</w:t>
      </w:r>
      <w:r w:rsidR="00437A72" w:rsidRPr="004268A4">
        <w:rPr>
          <w:rFonts w:eastAsia="Arial" w:cs="Arial"/>
          <w:lang w:val="es-ES"/>
        </w:rPr>
        <w:t xml:space="preserve"> deberá cumplir con los estándares interamericanos en la materia y tomar en cuenta las exigencias del control de convencionalidad</w:t>
      </w:r>
      <w:r w:rsidR="00437A72" w:rsidRPr="004268A4">
        <w:rPr>
          <w:i/>
          <w:iCs/>
        </w:rPr>
        <w:t>.</w:t>
      </w:r>
      <w:r w:rsidR="00437A72" w:rsidRPr="004268A4">
        <w:rPr>
          <w:color w:val="FF0000"/>
        </w:rPr>
        <w:t xml:space="preserve"> </w:t>
      </w:r>
    </w:p>
    <w:p w14:paraId="59AD0206" w14:textId="77777777" w:rsidR="00597454" w:rsidRPr="00C5735A" w:rsidRDefault="00597454" w:rsidP="00597454">
      <w:pPr>
        <w:widowControl/>
        <w:tabs>
          <w:tab w:val="left" w:pos="567"/>
          <w:tab w:val="num" w:pos="12305"/>
        </w:tabs>
        <w:autoSpaceDE w:val="0"/>
        <w:autoSpaceDN w:val="0"/>
        <w:spacing w:line="240" w:lineRule="auto"/>
        <w:textAlignment w:val="baseline"/>
        <w:rPr>
          <w:color w:val="FF0000"/>
        </w:rPr>
      </w:pPr>
    </w:p>
    <w:p w14:paraId="681227F8" w14:textId="77777777" w:rsidR="008A4BCD" w:rsidRPr="00597454" w:rsidRDefault="008A4BCD" w:rsidP="008A4BCD">
      <w:pPr>
        <w:widowControl/>
        <w:numPr>
          <w:ilvl w:val="0"/>
          <w:numId w:val="7"/>
        </w:numPr>
        <w:tabs>
          <w:tab w:val="left" w:pos="567"/>
          <w:tab w:val="num" w:pos="1569"/>
          <w:tab w:val="num" w:pos="12305"/>
        </w:tabs>
        <w:autoSpaceDE w:val="0"/>
        <w:autoSpaceDN w:val="0"/>
        <w:spacing w:line="240" w:lineRule="auto"/>
        <w:ind w:left="0" w:firstLine="0"/>
        <w:textAlignment w:val="baseline"/>
      </w:pPr>
      <w:r w:rsidRPr="00597454">
        <w:t xml:space="preserve">A estos efectos, </w:t>
      </w:r>
      <w:r>
        <w:rPr>
          <w:rFonts w:eastAsia="Arial" w:cs="Arial"/>
          <w:lang w:val="es-ES"/>
        </w:rPr>
        <w:t>la Corte</w:t>
      </w:r>
      <w:r w:rsidRPr="00597454">
        <w:rPr>
          <w:rFonts w:eastAsia="Arial" w:cs="Arial"/>
          <w:lang w:val="es-ES"/>
        </w:rPr>
        <w:t xml:space="preserve"> advierte que, efectivamente, tal y como señaló el Estado, el trámite legislativo de un proyecto de ley de justicia transicional ya ha sido objeto de revisión por parte de este Tribunal en el marco de la supervisión de cumplimiento </w:t>
      </w:r>
      <w:r w:rsidRPr="00597454">
        <w:rPr>
          <w:rFonts w:eastAsia="Arial" w:cs="Arial"/>
          <w:i/>
          <w:iCs/>
          <w:lang w:val="es-ES"/>
        </w:rPr>
        <w:t>del Caso Masacres de El Mozote y lugares aledaños Vs. El Salvador</w:t>
      </w:r>
      <w:r w:rsidRPr="00597454">
        <w:rPr>
          <w:rStyle w:val="Refdenotaalpie"/>
          <w:rFonts w:eastAsia="Arial" w:cs="Arial"/>
        </w:rPr>
        <w:footnoteReference w:id="183"/>
      </w:r>
      <w:r w:rsidRPr="00597454">
        <w:rPr>
          <w:rFonts w:eastAsia="Arial" w:cs="Arial"/>
          <w:i/>
          <w:iCs/>
          <w:lang w:val="es-ES"/>
        </w:rPr>
        <w:t xml:space="preserve">. </w:t>
      </w:r>
      <w:r w:rsidRPr="00597454">
        <w:rPr>
          <w:rFonts w:eastAsia="Arial" w:cs="Arial"/>
          <w:lang w:val="es-ES"/>
        </w:rPr>
        <w:t>En vista de lo anterior,</w:t>
      </w:r>
      <w:r w:rsidRPr="00597454">
        <w:rPr>
          <w:rFonts w:eastAsia="Arial" w:cs="Arial"/>
          <w:i/>
          <w:iCs/>
          <w:lang w:val="es-ES"/>
        </w:rPr>
        <w:t xml:space="preserve"> </w:t>
      </w:r>
      <w:r>
        <w:rPr>
          <w:rFonts w:eastAsia="Arial" w:cs="Arial"/>
          <w:lang w:val="es-ES"/>
        </w:rPr>
        <w:t>la Corte</w:t>
      </w:r>
      <w:r w:rsidRPr="00597454">
        <w:rPr>
          <w:rFonts w:eastAsia="Arial" w:cs="Arial"/>
          <w:lang w:val="es-ES"/>
        </w:rPr>
        <w:t xml:space="preserve"> no considera necesario pronunciarse sobre esta solicitud en el presente caso.</w:t>
      </w:r>
    </w:p>
    <w:p w14:paraId="2EE2CFFC" w14:textId="77777777" w:rsidR="004268A4" w:rsidRPr="00437A72" w:rsidRDefault="004268A4" w:rsidP="004268A4">
      <w:pPr>
        <w:widowControl/>
        <w:tabs>
          <w:tab w:val="left" w:pos="567"/>
          <w:tab w:val="num" w:pos="12305"/>
        </w:tabs>
        <w:autoSpaceDE w:val="0"/>
        <w:autoSpaceDN w:val="0"/>
        <w:spacing w:line="240" w:lineRule="auto"/>
        <w:textAlignment w:val="baseline"/>
      </w:pPr>
    </w:p>
    <w:p w14:paraId="31770239" w14:textId="39D12214" w:rsidR="000C7925" w:rsidRPr="00597454" w:rsidRDefault="00DD482A" w:rsidP="00597454">
      <w:pPr>
        <w:widowControl/>
        <w:numPr>
          <w:ilvl w:val="0"/>
          <w:numId w:val="7"/>
        </w:numPr>
        <w:tabs>
          <w:tab w:val="left" w:pos="567"/>
          <w:tab w:val="num" w:pos="1569"/>
          <w:tab w:val="num" w:pos="12305"/>
        </w:tabs>
        <w:autoSpaceDE w:val="0"/>
        <w:autoSpaceDN w:val="0"/>
        <w:spacing w:line="240" w:lineRule="auto"/>
        <w:ind w:left="0" w:firstLine="0"/>
        <w:textAlignment w:val="baseline"/>
      </w:pPr>
      <w:r w:rsidRPr="00597454">
        <w:t>Asimismo</w:t>
      </w:r>
      <w:r w:rsidR="00437A72" w:rsidRPr="00597454">
        <w:t>,</w:t>
      </w:r>
      <w:r w:rsidRPr="00597454">
        <w:t xml:space="preserve"> la Comisión advirtió que está pendiente la aprobación del reglamento de la Ley del Banco de Datos de ADN, destacando que su reglamentación “es una medida relevante no solo para el caso concreto, sino que podrá beneficiar a muchas más víctimas del conflicto armado”. En </w:t>
      </w:r>
      <w:r w:rsidR="00597454">
        <w:t>consecuencia</w:t>
      </w:r>
      <w:r w:rsidRPr="00597454">
        <w:t xml:space="preserve">, </w:t>
      </w:r>
      <w:r w:rsidR="00E371D3" w:rsidRPr="00597454">
        <w:t xml:space="preserve">el Tribunal </w:t>
      </w:r>
      <w:r w:rsidR="00437A72" w:rsidRPr="00597454">
        <w:t>considera pertinente ordenar al Estado que, dentro del plazo de un año</w:t>
      </w:r>
      <w:r w:rsidR="002A4B2B">
        <w:t xml:space="preserve"> desde la notificación de la presente Sentencia</w:t>
      </w:r>
      <w:r w:rsidR="00437A72" w:rsidRPr="00597454">
        <w:t xml:space="preserve">, dicte el reglamento correspondiente </w:t>
      </w:r>
      <w:r w:rsidR="004268A4" w:rsidRPr="00597454">
        <w:t>de la referida Ley del Banco de Datos de ADN.</w:t>
      </w:r>
    </w:p>
    <w:p w14:paraId="42D1E846" w14:textId="77777777" w:rsidR="000C7925" w:rsidRDefault="000C7925" w:rsidP="000C7925">
      <w:pPr>
        <w:widowControl/>
        <w:tabs>
          <w:tab w:val="left" w:pos="567"/>
        </w:tabs>
        <w:autoSpaceDE w:val="0"/>
        <w:autoSpaceDN w:val="0"/>
        <w:spacing w:line="240" w:lineRule="auto"/>
        <w:textAlignment w:val="baseline"/>
      </w:pPr>
    </w:p>
    <w:p w14:paraId="29391176" w14:textId="474743A0" w:rsidR="00070A9B" w:rsidRDefault="00070A9B" w:rsidP="00070A9B">
      <w:pPr>
        <w:widowControl/>
        <w:numPr>
          <w:ilvl w:val="0"/>
          <w:numId w:val="7"/>
        </w:numPr>
        <w:tabs>
          <w:tab w:val="left" w:pos="567"/>
          <w:tab w:val="num" w:pos="1569"/>
          <w:tab w:val="num" w:pos="12305"/>
        </w:tabs>
        <w:autoSpaceDE w:val="0"/>
        <w:autoSpaceDN w:val="0"/>
        <w:spacing w:line="240" w:lineRule="auto"/>
        <w:ind w:left="0" w:firstLine="0"/>
        <w:textAlignment w:val="baseline"/>
      </w:pPr>
      <w:r>
        <w:t xml:space="preserve">En relación </w:t>
      </w:r>
      <w:r w:rsidRPr="00070A9B">
        <w:rPr>
          <w:lang w:val="es-ES"/>
        </w:rPr>
        <w:t>con</w:t>
      </w:r>
      <w:r>
        <w:t xml:space="preserve"> la solicitud n.° 3 de la Comisión y n.° 6 del representante, la Corte reitera, tal y </w:t>
      </w:r>
      <w:r w:rsidRPr="00070A9B">
        <w:rPr>
          <w:rFonts w:eastAsia="Arial" w:cs="Arial"/>
          <w:lang w:val="es-ES"/>
        </w:rPr>
        <w:t>como</w:t>
      </w:r>
      <w:r>
        <w:t xml:space="preserve"> lo señaló en el </w:t>
      </w:r>
      <w:r w:rsidRPr="00070A9B">
        <w:rPr>
          <w:i/>
          <w:iCs/>
        </w:rPr>
        <w:t>Caso</w:t>
      </w:r>
      <w:r>
        <w:t xml:space="preserve"> </w:t>
      </w:r>
      <w:r w:rsidRPr="00070A9B">
        <w:rPr>
          <w:i/>
          <w:iCs/>
        </w:rPr>
        <w:t>Hermanas Serrano Cruz Vs. El Salvador</w:t>
      </w:r>
      <w:r>
        <w:rPr>
          <w:rStyle w:val="Refdenotaalpie"/>
        </w:rPr>
        <w:footnoteReference w:id="184"/>
      </w:r>
      <w:r>
        <w:t xml:space="preserve"> que</w:t>
      </w:r>
      <w:r w:rsidR="00ED1B1A">
        <w:t xml:space="preserve"> </w:t>
      </w:r>
      <w:r>
        <w:t xml:space="preserve">sería </w:t>
      </w:r>
      <w:r w:rsidRPr="00070A9B">
        <w:rPr>
          <w:lang w:val="es-ES"/>
        </w:rPr>
        <w:t>conveniente</w:t>
      </w:r>
      <w:r>
        <w:t xml:space="preserve"> que El Salvador adopte las medidas que sean necesarias a fin de ratificar la Convención Interamericana sobre Desaparición Forzada de Personas</w:t>
      </w:r>
      <w:r w:rsidR="00E371D3">
        <w:t>.</w:t>
      </w:r>
    </w:p>
    <w:p w14:paraId="5524E39F" w14:textId="0D5FA4C7" w:rsidR="000738D8" w:rsidRPr="00DD482A" w:rsidRDefault="000738D8" w:rsidP="00070A9B">
      <w:pPr>
        <w:widowControl/>
        <w:tabs>
          <w:tab w:val="left" w:pos="567"/>
          <w:tab w:val="num" w:pos="12305"/>
        </w:tabs>
        <w:autoSpaceDE w:val="0"/>
        <w:autoSpaceDN w:val="0"/>
        <w:spacing w:line="240" w:lineRule="auto"/>
        <w:textAlignment w:val="baseline"/>
      </w:pPr>
    </w:p>
    <w:p w14:paraId="6BB08267" w14:textId="77777777" w:rsidR="008A4BCD" w:rsidRDefault="008A4BCD" w:rsidP="008A4BCD">
      <w:pPr>
        <w:widowControl/>
        <w:numPr>
          <w:ilvl w:val="0"/>
          <w:numId w:val="7"/>
        </w:numPr>
        <w:tabs>
          <w:tab w:val="left" w:pos="567"/>
          <w:tab w:val="num" w:pos="1569"/>
          <w:tab w:val="num" w:pos="12305"/>
        </w:tabs>
        <w:autoSpaceDE w:val="0"/>
        <w:autoSpaceDN w:val="0"/>
        <w:spacing w:line="240" w:lineRule="auto"/>
        <w:ind w:left="0" w:firstLine="0"/>
        <w:textAlignment w:val="baseline"/>
      </w:pPr>
      <w:r w:rsidRPr="005E6783">
        <w:t xml:space="preserve">En relación con las capacitaciones solicitadas por el representante a través de sus solicitudes n.° 7 a 10, el Tribunal advierte que, en el </w:t>
      </w:r>
      <w:r w:rsidRPr="006952B0">
        <w:rPr>
          <w:i/>
          <w:iCs/>
        </w:rPr>
        <w:t>caso de las Masacres de El Mozote y lugares aledaños</w:t>
      </w:r>
      <w:r w:rsidRPr="005E6783">
        <w:t xml:space="preserve">, la Corte ordenó </w:t>
      </w:r>
      <w:r>
        <w:t>la implementación de</w:t>
      </w:r>
      <w:r w:rsidRPr="005E6783">
        <w:t xml:space="preserve"> un </w:t>
      </w:r>
      <w:r>
        <w:t>“</w:t>
      </w:r>
      <w:r w:rsidRPr="005E6783">
        <w:t>programa o curso permanente y obligatorio sobre derechos humanos, incluyendo la perspectiva de género y niñez, dirigido a todos los niveles jerárquicos de la Fuerza Armada de la República de El Salvador</w:t>
      </w:r>
      <w:r>
        <w:t>”</w:t>
      </w:r>
      <w:r w:rsidRPr="005E6783">
        <w:t>, la cual debía incluir el contenido de la citada Sentencia y la “jurisprudencia de la Corte Interamericana sobre graves violaciones a los derechos humano”</w:t>
      </w:r>
      <w:r w:rsidRPr="005E6783">
        <w:rPr>
          <w:rStyle w:val="Refdenotaalpie"/>
        </w:rPr>
        <w:footnoteReference w:id="185"/>
      </w:r>
      <w:r w:rsidRPr="005E6783">
        <w:t xml:space="preserve">. Asimismo, en el </w:t>
      </w:r>
      <w:r w:rsidRPr="006952B0">
        <w:rPr>
          <w:i/>
          <w:iCs/>
        </w:rPr>
        <w:t>caso Rochac Hernández y otros Vs. El Salvador</w:t>
      </w:r>
      <w:r w:rsidRPr="005E6783">
        <w:t>, ordenó la implementación de “programas permanentes de derechos humanos dirigidos a policías, fiscales, jueces y militares, así como a funcionarios encargados de la atención a familiares y víctimas de desaparición forzada de personas, en los cuales se incluya el tema de los derechos humanos de niñas y niños desaparecidos durante el conflicto armado interno y del sistema interamericano de protección de los derechos humanos, así como del control de convencionalidad”</w:t>
      </w:r>
      <w:r w:rsidRPr="005E6783">
        <w:rPr>
          <w:rStyle w:val="Refdenotaalpie"/>
        </w:rPr>
        <w:footnoteReference w:id="186"/>
      </w:r>
      <w:r w:rsidRPr="005E6783">
        <w:t xml:space="preserve">. Por último, en el </w:t>
      </w:r>
      <w:r w:rsidRPr="006952B0">
        <w:rPr>
          <w:i/>
          <w:iCs/>
        </w:rPr>
        <w:t>caso Ruano Torres y otros Vs. El Salvador</w:t>
      </w:r>
      <w:r w:rsidRPr="005E6783">
        <w:t xml:space="preserve">, </w:t>
      </w:r>
      <w:r>
        <w:t>el Tribunal</w:t>
      </w:r>
      <w:r w:rsidRPr="005E6783">
        <w:t xml:space="preserve"> ordenó implementar, “programas o cursos obligatorios y permanentes sobre los principios y normas de la protección de los derechos humanos, en particular las normas internacionales establecidas en los principios relativos a la investigación y documentación eficaces de la tortura y otros tratos o penas crueles, inhumanos, o degradantes, como parte de la formación general y continua a personal de la Policía Nacional Civil y de la Fiscalía General de la República”</w:t>
      </w:r>
      <w:r w:rsidRPr="005E6783">
        <w:rPr>
          <w:rStyle w:val="Refdenotaalpie"/>
        </w:rPr>
        <w:footnoteReference w:id="187"/>
      </w:r>
      <w:r w:rsidRPr="005E6783">
        <w:t xml:space="preserve">. </w:t>
      </w:r>
    </w:p>
    <w:p w14:paraId="513844AC" w14:textId="77777777" w:rsidR="006952B0" w:rsidRDefault="006952B0" w:rsidP="006952B0">
      <w:pPr>
        <w:widowControl/>
        <w:tabs>
          <w:tab w:val="left" w:pos="567"/>
        </w:tabs>
        <w:autoSpaceDE w:val="0"/>
        <w:autoSpaceDN w:val="0"/>
        <w:spacing w:line="240" w:lineRule="auto"/>
        <w:textAlignment w:val="baseline"/>
      </w:pPr>
    </w:p>
    <w:p w14:paraId="576EA58C" w14:textId="1FAF2A60" w:rsidR="006952B0" w:rsidRPr="00597454" w:rsidRDefault="006952B0" w:rsidP="00436BC5">
      <w:pPr>
        <w:widowControl/>
        <w:numPr>
          <w:ilvl w:val="0"/>
          <w:numId w:val="7"/>
        </w:numPr>
        <w:tabs>
          <w:tab w:val="left" w:pos="567"/>
          <w:tab w:val="num" w:pos="1569"/>
          <w:tab w:val="num" w:pos="12305"/>
        </w:tabs>
        <w:autoSpaceDE w:val="0"/>
        <w:autoSpaceDN w:val="0"/>
        <w:spacing w:line="240" w:lineRule="auto"/>
        <w:ind w:left="0" w:firstLine="0"/>
        <w:textAlignment w:val="baseline"/>
      </w:pPr>
      <w:r w:rsidRPr="00597454">
        <w:t xml:space="preserve">La Corte advierte, no obstante, que ninguno de esos programas de capacitación contiene expresamente como materia la investigación y judicialización de casos de desapariciones forzadas de mujeres con perspectiva de género. Lo anterior se torna relevante en el presente caso, toda vez que tanto Patricia Emilie Cuéllar Sandoval como </w:t>
      </w:r>
      <w:r w:rsidRPr="00597454">
        <w:rPr>
          <w:rFonts w:cs="Arial"/>
        </w:rPr>
        <w:t>Julia Orbelina Pérez eran mujeres</w:t>
      </w:r>
      <w:r w:rsidR="000D3C7C" w:rsidRPr="00597454">
        <w:rPr>
          <w:rFonts w:cs="Arial"/>
        </w:rPr>
        <w:t xml:space="preserve"> </w:t>
      </w:r>
      <w:r w:rsidR="00F8344D" w:rsidRPr="00597454">
        <w:rPr>
          <w:rFonts w:cs="Arial"/>
        </w:rPr>
        <w:t>a l</w:t>
      </w:r>
      <w:r w:rsidR="00235761" w:rsidRPr="00597454">
        <w:rPr>
          <w:rFonts w:cs="Arial"/>
        </w:rPr>
        <w:t>a</w:t>
      </w:r>
      <w:r w:rsidR="00F8344D" w:rsidRPr="00597454">
        <w:rPr>
          <w:rFonts w:cs="Arial"/>
        </w:rPr>
        <w:t xml:space="preserve">s que </w:t>
      </w:r>
      <w:r w:rsidR="0029228F" w:rsidRPr="00597454">
        <w:rPr>
          <w:rFonts w:cs="Arial"/>
        </w:rPr>
        <w:t xml:space="preserve">les </w:t>
      </w:r>
      <w:r w:rsidR="00F8344D" w:rsidRPr="00597454">
        <w:rPr>
          <w:rFonts w:cs="Arial"/>
        </w:rPr>
        <w:t>podrían atravesar</w:t>
      </w:r>
      <w:r w:rsidR="0029228F" w:rsidRPr="00597454">
        <w:rPr>
          <w:rFonts w:cs="Arial"/>
        </w:rPr>
        <w:t xml:space="preserve"> </w:t>
      </w:r>
      <w:r w:rsidR="000D3C7C" w:rsidRPr="00597454">
        <w:rPr>
          <w:rFonts w:cs="Arial"/>
        </w:rPr>
        <w:t>diversos ejes de inter</w:t>
      </w:r>
      <w:r w:rsidR="00F8344D" w:rsidRPr="00597454">
        <w:rPr>
          <w:rFonts w:cs="Arial"/>
        </w:rPr>
        <w:t>s</w:t>
      </w:r>
      <w:r w:rsidR="000D3C7C" w:rsidRPr="00597454">
        <w:rPr>
          <w:rFonts w:cs="Arial"/>
        </w:rPr>
        <w:t>eccionalidad</w:t>
      </w:r>
      <w:r w:rsidRPr="00597454">
        <w:rPr>
          <w:rFonts w:cs="Arial"/>
        </w:rPr>
        <w:t xml:space="preserve">. Es por ello que </w:t>
      </w:r>
      <w:r w:rsidRPr="00597454">
        <w:t xml:space="preserve">el Tribunal estima pertinente ordenar al Estado crear e implementar, en el plazo de dos años, un plan de capacitación y sensibilización a fuerzas de seguridad y operadores de justicia para garantizar que toda </w:t>
      </w:r>
      <w:r w:rsidRPr="00597454">
        <w:rPr>
          <w:rFonts w:eastAsia="Arial" w:cs="Arial"/>
          <w:lang w:val="es-ES"/>
        </w:rPr>
        <w:t>investigación y eventual judicialización de casos de desaparición forzada de mujeres</w:t>
      </w:r>
      <w:r w:rsidRPr="00597454">
        <w:t xml:space="preserve"> se realice con perspectiva de género y un enfoque interseccional</w:t>
      </w:r>
      <w:r w:rsidR="00436BC5" w:rsidRPr="00597454">
        <w:t>.</w:t>
      </w:r>
      <w:r w:rsidR="00F8344D" w:rsidRPr="00597454">
        <w:t xml:space="preserve"> </w:t>
      </w:r>
      <w:r w:rsidR="00741010" w:rsidRPr="00597454">
        <w:t xml:space="preserve">Dicho plan deberá contener un sistema de indicadores que permitan medir </w:t>
      </w:r>
      <w:r w:rsidR="00AE5FAB" w:rsidRPr="00597454">
        <w:t xml:space="preserve">el impacto y efectividad </w:t>
      </w:r>
      <w:r w:rsidR="004268A4" w:rsidRPr="00597454">
        <w:t xml:space="preserve">de los programas de capacitación. </w:t>
      </w:r>
    </w:p>
    <w:p w14:paraId="7B6D249B" w14:textId="77777777" w:rsidR="006952B0" w:rsidRDefault="006952B0" w:rsidP="00436BC5">
      <w:pPr>
        <w:widowControl/>
        <w:tabs>
          <w:tab w:val="left" w:pos="567"/>
        </w:tabs>
        <w:autoSpaceDE w:val="0"/>
        <w:autoSpaceDN w:val="0"/>
        <w:spacing w:line="240" w:lineRule="auto"/>
        <w:textAlignment w:val="baseline"/>
      </w:pPr>
    </w:p>
    <w:p w14:paraId="475E5B2E" w14:textId="1C3B14EA" w:rsidR="002B0A25" w:rsidRDefault="002B0A25" w:rsidP="00215182">
      <w:pPr>
        <w:widowControl/>
        <w:numPr>
          <w:ilvl w:val="0"/>
          <w:numId w:val="7"/>
        </w:numPr>
        <w:tabs>
          <w:tab w:val="left" w:pos="567"/>
          <w:tab w:val="num" w:pos="1569"/>
          <w:tab w:val="num" w:pos="12305"/>
        </w:tabs>
        <w:autoSpaceDE w:val="0"/>
        <w:autoSpaceDN w:val="0"/>
        <w:spacing w:line="240" w:lineRule="auto"/>
        <w:ind w:left="0" w:firstLine="0"/>
        <w:textAlignment w:val="baseline"/>
      </w:pPr>
      <w:r>
        <w:t xml:space="preserve">Asimismo, y toda vez que la desaparición forzada de </w:t>
      </w:r>
      <w:r w:rsidRPr="00465F79">
        <w:rPr>
          <w:rFonts w:cs="Arial"/>
        </w:rPr>
        <w:t>Patrici</w:t>
      </w:r>
      <w:r w:rsidR="00495015">
        <w:rPr>
          <w:rFonts w:cs="Arial"/>
        </w:rPr>
        <w:t>a</w:t>
      </w:r>
      <w:r w:rsidRPr="00465F79">
        <w:rPr>
          <w:rFonts w:cs="Arial"/>
        </w:rPr>
        <w:t xml:space="preserve"> Emilie Cuéllar Sandoval, Mauricio Cuéllar Cuéllar y Julia Orbelina Pérez</w:t>
      </w:r>
      <w:r>
        <w:rPr>
          <w:rFonts w:cs="Arial"/>
        </w:rPr>
        <w:t xml:space="preserve"> se enmarca en un patrón de violencia exacerbada donde se han registrado más de 22.000 denuncias de graves violaciones a los derechos humanos durante enero de 1980 y julio de 1991</w:t>
      </w:r>
      <w:r>
        <w:rPr>
          <w:rStyle w:val="Refdenotaalpie"/>
          <w:rFonts w:cs="Arial"/>
        </w:rPr>
        <w:footnoteReference w:id="188"/>
      </w:r>
      <w:r>
        <w:rPr>
          <w:rFonts w:cs="Arial"/>
        </w:rPr>
        <w:t xml:space="preserve">, el Tribunal estima necesario </w:t>
      </w:r>
      <w:r>
        <w:t>ordenar al Estado que, en el plazo de dos años, incorpore al currículo del Sistema Educativo Nacional</w:t>
      </w:r>
      <w:r w:rsidRPr="0029228F">
        <w:t>,</w:t>
      </w:r>
      <w:r w:rsidR="00235761" w:rsidRPr="0029228F">
        <w:t xml:space="preserve"> en los</w:t>
      </w:r>
      <w:r w:rsidRPr="0029228F">
        <w:t xml:space="preserve"> </w:t>
      </w:r>
      <w:r w:rsidR="00235761" w:rsidRPr="0029228F">
        <w:rPr>
          <w:rFonts w:eastAsia="Arial" w:cs="Arial"/>
          <w:lang w:val="es-ES"/>
        </w:rPr>
        <w:t>niveles educativos medio y superior</w:t>
      </w:r>
      <w:r w:rsidRPr="00235761">
        <w:t xml:space="preserve">, </w:t>
      </w:r>
      <w:r>
        <w:t xml:space="preserve">un programa de educación permanente </w:t>
      </w:r>
      <w:r w:rsidRPr="002B0A25">
        <w:t xml:space="preserve">sobre </w:t>
      </w:r>
      <w:r>
        <w:t xml:space="preserve">(i) </w:t>
      </w:r>
      <w:r w:rsidRPr="002B0A25">
        <w:t>las graves violaciones de derechos humanos, crímenes de guerra y delitos contra la humanidad cometidos por ambos bandos antes y durante el conflicto armado, y (ii)</w:t>
      </w:r>
      <w:r w:rsidRPr="002B0A25">
        <w:rPr>
          <w:rFonts w:eastAsia="Arial" w:cs="Arial"/>
          <w:lang w:val="es-ES"/>
        </w:rPr>
        <w:t xml:space="preserve"> </w:t>
      </w:r>
      <w:r w:rsidRPr="002B0A25">
        <w:t>la normativa internacional en derechos humanos y la jurisprudencia de este Tribunal al respecto.</w:t>
      </w:r>
      <w:r>
        <w:t xml:space="preserve"> </w:t>
      </w:r>
    </w:p>
    <w:p w14:paraId="774F7AEB" w14:textId="77777777" w:rsidR="002B0A25" w:rsidRDefault="002B0A25" w:rsidP="002B0A25">
      <w:pPr>
        <w:widowControl/>
        <w:tabs>
          <w:tab w:val="left" w:pos="567"/>
        </w:tabs>
        <w:autoSpaceDE w:val="0"/>
        <w:autoSpaceDN w:val="0"/>
        <w:spacing w:line="240" w:lineRule="auto"/>
        <w:textAlignment w:val="baseline"/>
      </w:pPr>
    </w:p>
    <w:p w14:paraId="05F4A4CF" w14:textId="77777777" w:rsidR="008A4BCD" w:rsidRDefault="008A4BCD" w:rsidP="008A4BCD">
      <w:pPr>
        <w:widowControl/>
        <w:numPr>
          <w:ilvl w:val="0"/>
          <w:numId w:val="7"/>
        </w:numPr>
        <w:tabs>
          <w:tab w:val="left" w:pos="567"/>
          <w:tab w:val="num" w:pos="1569"/>
          <w:tab w:val="num" w:pos="12305"/>
        </w:tabs>
        <w:autoSpaceDE w:val="0"/>
        <w:autoSpaceDN w:val="0"/>
        <w:spacing w:line="240" w:lineRule="auto"/>
        <w:ind w:left="0" w:firstLine="0"/>
        <w:textAlignment w:val="baseline"/>
      </w:pPr>
      <w:r>
        <w:t xml:space="preserve">Adicionalmente, en relación con la solicitud n.° 3 y 4 del representante, relativos a la </w:t>
      </w:r>
      <w:r>
        <w:rPr>
          <w:lang w:val="es-ES"/>
        </w:rPr>
        <w:t>CNB</w:t>
      </w:r>
      <w:r w:rsidRPr="00DE09D7">
        <w:rPr>
          <w:lang w:val="es-ES"/>
        </w:rPr>
        <w:t xml:space="preserve"> y CONAB</w:t>
      </w:r>
      <w:r>
        <w:rPr>
          <w:lang w:val="es-ES"/>
        </w:rPr>
        <w:t>Ú</w:t>
      </w:r>
      <w:r w:rsidRPr="00DE09D7">
        <w:rPr>
          <w:lang w:val="es-ES"/>
        </w:rPr>
        <w:t>SQUEDA,</w:t>
      </w:r>
      <w:r>
        <w:t xml:space="preserve"> el Tribunal recuerda que la </w:t>
      </w:r>
      <w:r>
        <w:rPr>
          <w:lang w:val="es-ES"/>
        </w:rPr>
        <w:t>CNB</w:t>
      </w:r>
      <w:r w:rsidRPr="00DE09D7">
        <w:rPr>
          <w:lang w:val="es-ES"/>
        </w:rPr>
        <w:t xml:space="preserve"> </w:t>
      </w:r>
      <w:r>
        <w:t xml:space="preserve">surge a raíz del cumplimiento por parte del Estado de una de las reparaciones ordenada por la Corte en el </w:t>
      </w:r>
      <w:r w:rsidRPr="00DE09D7">
        <w:rPr>
          <w:i/>
          <w:iCs/>
        </w:rPr>
        <w:t>caso Hermanas Serrano Cruz y otras</w:t>
      </w:r>
      <w:r w:rsidRPr="00E371D3">
        <w:rPr>
          <w:rStyle w:val="Refdenotaalpie"/>
        </w:rPr>
        <w:footnoteReference w:id="189"/>
      </w:r>
      <w:r>
        <w:t xml:space="preserve"> y que, actualmente, dicha comisión está siendo objeto de análisis en el marco de la supervisión de cumplimiento de Sentencia de dicho caso. Asimismo, la Corte nota que la CONABÚSQUEDA ha operado con normalidad y continuidad desde el año 2017 hasta la actualidad. A este respecto, Elsy Lourdes Flores Sosa, Coordinadora de las Comisiones Nacionales de Búsqueda de El Salvador, detalló ante esta Corte cómo surgió CONABÚSQUEDA, su funcionamiento, estructura organizativa el espacio de participación otorgado a la sociedad civil y las líneas de acción, entre otros</w:t>
      </w:r>
      <w:r>
        <w:rPr>
          <w:rStyle w:val="Refdenotaalpie"/>
        </w:rPr>
        <w:footnoteReference w:id="190"/>
      </w:r>
      <w:r>
        <w:t xml:space="preserve">. En relación con la definición amplia de desaparición forzada requerida por el representante, el Estado arguyó que la CONABÚSQUEDA ha realizado desde el inicio </w:t>
      </w:r>
      <w:r>
        <w:lastRenderedPageBreak/>
        <w:t xml:space="preserve">de su mandato una “interpretación inclusiva” y gestiona procesos de búsqueda de desapariciones atribuidas a llevadas a cabo por “ambos bandos” del conflicto armado. </w:t>
      </w:r>
    </w:p>
    <w:p w14:paraId="1B627F9F" w14:textId="77777777" w:rsidR="00AF5A4F" w:rsidRDefault="00AF5A4F" w:rsidP="00597454">
      <w:pPr>
        <w:widowControl/>
        <w:tabs>
          <w:tab w:val="left" w:pos="567"/>
          <w:tab w:val="num" w:pos="12305"/>
        </w:tabs>
        <w:autoSpaceDE w:val="0"/>
        <w:autoSpaceDN w:val="0"/>
        <w:spacing w:line="240" w:lineRule="auto"/>
        <w:textAlignment w:val="baseline"/>
        <w:rPr>
          <w:highlight w:val="yellow"/>
        </w:rPr>
      </w:pPr>
    </w:p>
    <w:p w14:paraId="35198B5A" w14:textId="77777777" w:rsidR="008A4BCD" w:rsidRDefault="008A4BCD" w:rsidP="008A4BCD">
      <w:pPr>
        <w:widowControl/>
        <w:numPr>
          <w:ilvl w:val="0"/>
          <w:numId w:val="7"/>
        </w:numPr>
        <w:tabs>
          <w:tab w:val="left" w:pos="567"/>
          <w:tab w:val="num" w:pos="1569"/>
          <w:tab w:val="num" w:pos="12305"/>
        </w:tabs>
        <w:autoSpaceDE w:val="0"/>
        <w:autoSpaceDN w:val="0"/>
        <w:spacing w:line="240" w:lineRule="auto"/>
        <w:ind w:left="0" w:firstLine="0"/>
        <w:textAlignment w:val="baseline"/>
      </w:pPr>
      <w:r w:rsidRPr="00597454">
        <w:t xml:space="preserve">No obstante lo anterior, </w:t>
      </w:r>
      <w:r>
        <w:t>la Corte</w:t>
      </w:r>
      <w:r w:rsidRPr="00597454">
        <w:t xml:space="preserve"> advierte que, en el marco de la audiencia relativa al presente caso, la señora Elsy Lourdes Flores Sosa, Coordinadora de las Comisiones Nacionales de Búsqueda de El Salvador, declaró </w:t>
      </w:r>
      <w:r>
        <w:t>en respuesta a</w:t>
      </w:r>
      <w:r w:rsidRPr="00597454">
        <w:t xml:space="preserve"> preguntas </w:t>
      </w:r>
      <w:r>
        <w:t>formuladas por</w:t>
      </w:r>
      <w:r w:rsidRPr="00597454">
        <w:t xml:space="preserve"> este Tribunal, que el presupuesto de las Comisiones de búsqueda era de</w:t>
      </w:r>
      <w:r>
        <w:t xml:space="preserve"> aproximadamente</w:t>
      </w:r>
      <w:r w:rsidRPr="00597454">
        <w:t xml:space="preserve"> 500</w:t>
      </w:r>
      <w:r>
        <w:t>,</w:t>
      </w:r>
      <w:r w:rsidRPr="00597454">
        <w:t xml:space="preserve">000 dólares anuales y que </w:t>
      </w:r>
      <w:r>
        <w:t>esperaba</w:t>
      </w:r>
      <w:r w:rsidRPr="00597454">
        <w:t xml:space="preserve"> un “fortalecimiento” del mismo</w:t>
      </w:r>
      <w:r>
        <w:rPr>
          <w:rStyle w:val="Refdenotaalpie"/>
        </w:rPr>
        <w:footnoteReference w:id="191"/>
      </w:r>
      <w:r w:rsidRPr="00597454">
        <w:t xml:space="preserve">. En vista de lo anterior, y en aras de garantizar la continuidad, funcionamiento y eficacia de la </w:t>
      </w:r>
      <w:r>
        <w:t>CNB</w:t>
      </w:r>
      <w:r w:rsidRPr="00597454">
        <w:t xml:space="preserve"> y </w:t>
      </w:r>
      <w:r>
        <w:t xml:space="preserve">la </w:t>
      </w:r>
      <w:r w:rsidRPr="00597454">
        <w:t>CONAB</w:t>
      </w:r>
      <w:r>
        <w:t>Ú</w:t>
      </w:r>
      <w:r w:rsidRPr="00597454">
        <w:t xml:space="preserve">SQUEDA, el Estado deberá adoptar las medidas ejecutivas y/o legislativas pertinentes para que se garantice y respalde la permanencia de dichas comisiones, así como su independencia y autonomía financiera. </w:t>
      </w:r>
    </w:p>
    <w:p w14:paraId="3F500F07" w14:textId="77777777" w:rsidR="00AF5A4F" w:rsidRDefault="00AF5A4F" w:rsidP="00F8344D">
      <w:pPr>
        <w:widowControl/>
        <w:tabs>
          <w:tab w:val="left" w:pos="567"/>
        </w:tabs>
        <w:autoSpaceDE w:val="0"/>
        <w:autoSpaceDN w:val="0"/>
        <w:spacing w:line="240" w:lineRule="auto"/>
        <w:textAlignment w:val="baseline"/>
      </w:pPr>
    </w:p>
    <w:p w14:paraId="5E3A7435" w14:textId="4CB10CE8" w:rsidR="00C55C4C" w:rsidRPr="0029228F" w:rsidRDefault="00235761" w:rsidP="00852852">
      <w:pPr>
        <w:widowControl/>
        <w:numPr>
          <w:ilvl w:val="0"/>
          <w:numId w:val="7"/>
        </w:numPr>
        <w:tabs>
          <w:tab w:val="left" w:pos="567"/>
          <w:tab w:val="num" w:pos="1569"/>
          <w:tab w:val="num" w:pos="12305"/>
        </w:tabs>
        <w:autoSpaceDE w:val="0"/>
        <w:autoSpaceDN w:val="0"/>
        <w:spacing w:line="240" w:lineRule="auto"/>
        <w:ind w:left="0" w:firstLine="0"/>
        <w:textAlignment w:val="baseline"/>
      </w:pPr>
      <w:r w:rsidRPr="0029228F">
        <w:rPr>
          <w:rFonts w:eastAsia="Arial" w:cs="Arial"/>
          <w:lang w:val="es-ES"/>
        </w:rPr>
        <w:t>Por último, el Tribunal advierte que, en su escrito de alegatos finales, el Estado propuso una serie de</w:t>
      </w:r>
      <w:r w:rsidR="00444E5F">
        <w:rPr>
          <w:rFonts w:eastAsia="Arial" w:cs="Arial"/>
          <w:lang w:val="es-ES"/>
        </w:rPr>
        <w:t xml:space="preserve"> </w:t>
      </w:r>
      <w:r w:rsidRPr="0029228F">
        <w:rPr>
          <w:rFonts w:eastAsia="Arial" w:cs="Arial"/>
          <w:lang w:val="es-ES"/>
        </w:rPr>
        <w:t>medidas de reparación adicionales</w:t>
      </w:r>
      <w:r w:rsidRPr="0029228F">
        <w:rPr>
          <w:rStyle w:val="Refdenotaalpie"/>
          <w:rFonts w:eastAsia="Arial" w:cs="Arial"/>
        </w:rPr>
        <w:footnoteReference w:id="192"/>
      </w:r>
      <w:r w:rsidRPr="0029228F">
        <w:rPr>
          <w:rFonts w:eastAsia="Arial" w:cs="Arial"/>
          <w:lang w:val="es-ES"/>
        </w:rPr>
        <w:t xml:space="preserve">. </w:t>
      </w:r>
      <w:r w:rsidRPr="0029228F">
        <w:t xml:space="preserve">El Tribunal toma nota de dichas medidas, las </w:t>
      </w:r>
      <w:r w:rsidR="0092296E" w:rsidRPr="0029228F">
        <w:t>valora</w:t>
      </w:r>
      <w:r w:rsidR="002B0A25" w:rsidRPr="0029228F">
        <w:t xml:space="preserve"> muy positivamente</w:t>
      </w:r>
      <w:r w:rsidR="0092296E" w:rsidRPr="0029228F">
        <w:t xml:space="preserve"> y considera que </w:t>
      </w:r>
      <w:r w:rsidR="002B0A25" w:rsidRPr="0029228F">
        <w:t>las mismas coadyuvan</w:t>
      </w:r>
      <w:r w:rsidR="0091349E" w:rsidRPr="0029228F">
        <w:t xml:space="preserve"> a la obtención de verdad, la memoria, la concienciación y educación en materia de derechos humanos y, en suma, a</w:t>
      </w:r>
      <w:r w:rsidR="00444E5F">
        <w:t xml:space="preserve"> </w:t>
      </w:r>
      <w:r w:rsidR="0091349E" w:rsidRPr="0029228F">
        <w:t>la reparación colectiva del daño causado por las graves violaciones que tuvieron lugar en el marco del conflicto armado</w:t>
      </w:r>
      <w:r w:rsidRPr="0029228F">
        <w:t xml:space="preserve">. </w:t>
      </w:r>
      <w:r w:rsidR="0092296E" w:rsidRPr="0029228F">
        <w:t xml:space="preserve">La Corte no supervisará estas medidas de reparación. </w:t>
      </w:r>
    </w:p>
    <w:p w14:paraId="5799206C" w14:textId="015A3FDF" w:rsidR="00823A71" w:rsidRPr="00465F79" w:rsidRDefault="00823A71" w:rsidP="00A12976">
      <w:pPr>
        <w:pStyle w:val="Ttulo2"/>
      </w:pPr>
      <w:bookmarkStart w:id="162" w:name="_Toc165022641"/>
      <w:r w:rsidRPr="00465F79">
        <w:lastRenderedPageBreak/>
        <w:t>Medidas pecuniarias</w:t>
      </w:r>
      <w:bookmarkEnd w:id="162"/>
      <w:r w:rsidR="00ED1B1A">
        <w:t xml:space="preserve"> </w:t>
      </w:r>
    </w:p>
    <w:p w14:paraId="352E7BAE" w14:textId="0E693A36" w:rsidR="00823A71" w:rsidRPr="00465F79" w:rsidRDefault="00823A71" w:rsidP="00823A71">
      <w:pPr>
        <w:widowControl/>
        <w:numPr>
          <w:ilvl w:val="0"/>
          <w:numId w:val="7"/>
        </w:numPr>
        <w:tabs>
          <w:tab w:val="left" w:pos="567"/>
          <w:tab w:val="num" w:pos="1569"/>
          <w:tab w:val="num" w:pos="12305"/>
        </w:tabs>
        <w:autoSpaceDE w:val="0"/>
        <w:autoSpaceDN w:val="0"/>
        <w:spacing w:line="240" w:lineRule="auto"/>
        <w:ind w:left="0" w:firstLine="0"/>
        <w:textAlignment w:val="baseline"/>
        <w:rPr>
          <w:rFonts w:cs="Arial"/>
          <w:b/>
        </w:rPr>
      </w:pPr>
      <w:r w:rsidRPr="00465F79">
        <w:rPr>
          <w:lang w:val="es-ES"/>
        </w:rPr>
        <w:t>La</w:t>
      </w:r>
      <w:r w:rsidRPr="00465F79">
        <w:rPr>
          <w:rFonts w:cs="Arial"/>
        </w:rPr>
        <w:t xml:space="preserve"> </w:t>
      </w:r>
      <w:r w:rsidRPr="00465F79">
        <w:rPr>
          <w:rFonts w:cs="Arial"/>
          <w:b/>
          <w:i/>
        </w:rPr>
        <w:t xml:space="preserve">Comisión </w:t>
      </w:r>
      <w:r w:rsidRPr="00465F79">
        <w:rPr>
          <w:rFonts w:cs="Arial"/>
        </w:rPr>
        <w:t xml:space="preserve">solicitó, en </w:t>
      </w:r>
      <w:r w:rsidRPr="00465F79">
        <w:rPr>
          <w:rFonts w:cs="Arial"/>
          <w:bCs/>
          <w:lang w:val="es-ES"/>
        </w:rPr>
        <w:t>términos</w:t>
      </w:r>
      <w:r w:rsidRPr="00465F79">
        <w:rPr>
          <w:rFonts w:cs="Arial"/>
        </w:rPr>
        <w:t xml:space="preserve"> generales, que se reparara integralmente las violaciones de derechos humanos declaradas en el Informe de Fondo. </w:t>
      </w:r>
    </w:p>
    <w:p w14:paraId="534B9FB8" w14:textId="77777777" w:rsidR="00823A71" w:rsidRPr="00465F79" w:rsidRDefault="00823A71" w:rsidP="00823A71">
      <w:pPr>
        <w:spacing w:line="240" w:lineRule="auto"/>
        <w:rPr>
          <w:rFonts w:cs="Arial"/>
        </w:rPr>
      </w:pPr>
    </w:p>
    <w:p w14:paraId="3D72500C" w14:textId="037F734D" w:rsidR="00BC5638" w:rsidRPr="00320A5F" w:rsidRDefault="00823A71" w:rsidP="00105516">
      <w:pPr>
        <w:widowControl/>
        <w:numPr>
          <w:ilvl w:val="0"/>
          <w:numId w:val="7"/>
        </w:numPr>
        <w:tabs>
          <w:tab w:val="left" w:pos="567"/>
          <w:tab w:val="num" w:pos="1569"/>
          <w:tab w:val="num" w:pos="12305"/>
        </w:tabs>
        <w:autoSpaceDE w:val="0"/>
        <w:autoSpaceDN w:val="0"/>
        <w:spacing w:line="240" w:lineRule="auto"/>
        <w:ind w:left="0" w:firstLine="0"/>
        <w:textAlignment w:val="baseline"/>
        <w:rPr>
          <w:rFonts w:cs="Arial"/>
          <w:b/>
          <w:bCs/>
        </w:rPr>
      </w:pPr>
      <w:r w:rsidRPr="00320A5F">
        <w:rPr>
          <w:rFonts w:cs="Arial"/>
        </w:rPr>
        <w:t xml:space="preserve">El </w:t>
      </w:r>
      <w:r w:rsidRPr="00320A5F">
        <w:rPr>
          <w:rFonts w:cs="Arial"/>
          <w:b/>
          <w:i/>
        </w:rPr>
        <w:t>representante</w:t>
      </w:r>
      <w:r w:rsidRPr="00320A5F">
        <w:rPr>
          <w:rFonts w:cs="Arial"/>
        </w:rPr>
        <w:t xml:space="preserve"> </w:t>
      </w:r>
      <w:r w:rsidR="00BC5638" w:rsidRPr="00320A5F">
        <w:rPr>
          <w:rFonts w:cs="Arial"/>
        </w:rPr>
        <w:t>solicitó que la Corte fije</w:t>
      </w:r>
      <w:r w:rsidR="00320A5F" w:rsidRPr="00320A5F">
        <w:rPr>
          <w:rFonts w:cs="Arial"/>
        </w:rPr>
        <w:t>,</w:t>
      </w:r>
      <w:r w:rsidR="00BC5638" w:rsidRPr="00320A5F">
        <w:rPr>
          <w:rFonts w:cs="Arial"/>
        </w:rPr>
        <w:t xml:space="preserve"> en equidad</w:t>
      </w:r>
      <w:r w:rsidR="00320A5F" w:rsidRPr="00320A5F">
        <w:rPr>
          <w:rFonts w:cs="Arial"/>
        </w:rPr>
        <w:t>,</w:t>
      </w:r>
      <w:r w:rsidR="00BC5638" w:rsidRPr="00320A5F">
        <w:rPr>
          <w:rFonts w:cs="Arial"/>
        </w:rPr>
        <w:t xml:space="preserve"> una suma </w:t>
      </w:r>
      <w:r w:rsidR="00320A5F" w:rsidRPr="00320A5F">
        <w:rPr>
          <w:rFonts w:cs="Arial"/>
        </w:rPr>
        <w:t>en concepto de</w:t>
      </w:r>
      <w:r w:rsidR="00BC5638" w:rsidRPr="00320A5F">
        <w:rPr>
          <w:rFonts w:cs="Arial"/>
        </w:rPr>
        <w:t xml:space="preserve"> daño emergente por </w:t>
      </w:r>
      <w:r w:rsidR="00320A5F" w:rsidRPr="00320A5F">
        <w:rPr>
          <w:rFonts w:cs="Arial"/>
        </w:rPr>
        <w:t>“</w:t>
      </w:r>
      <w:r w:rsidR="00BC5638" w:rsidRPr="00320A5F">
        <w:rPr>
          <w:rFonts w:cs="Arial"/>
        </w:rPr>
        <w:t xml:space="preserve">los </w:t>
      </w:r>
      <w:r w:rsidR="00BC5638" w:rsidRPr="00320A5F">
        <w:rPr>
          <w:rFonts w:cs="Arial"/>
          <w:lang w:val="es-ES"/>
        </w:rPr>
        <w:t>perjuicios</w:t>
      </w:r>
      <w:r w:rsidR="00BC5638" w:rsidRPr="00320A5F">
        <w:rPr>
          <w:rFonts w:cs="Arial"/>
        </w:rPr>
        <w:t xml:space="preserve"> patrimoniales</w:t>
      </w:r>
      <w:r w:rsidR="00320A5F" w:rsidRPr="00320A5F">
        <w:rPr>
          <w:rFonts w:cs="Arial"/>
        </w:rPr>
        <w:t>”</w:t>
      </w:r>
      <w:r w:rsidR="00BC5638" w:rsidRPr="00320A5F">
        <w:rPr>
          <w:rFonts w:cs="Arial"/>
        </w:rPr>
        <w:t xml:space="preserve"> sufridos por los familiares en la búsqueda de justicia, verdad, y reparación durante los años posteriores a la desaparición forzada</w:t>
      </w:r>
      <w:r w:rsidR="00320A5F" w:rsidRPr="00320A5F">
        <w:rPr>
          <w:rFonts w:cs="Arial"/>
        </w:rPr>
        <w:t xml:space="preserve"> de Patricia Emilie Cuéllar Sandoval, Mauricio Cuéllar Cuéllar y Julia Orbelina Pérez</w:t>
      </w:r>
      <w:r w:rsidR="00BC5638" w:rsidRPr="00320A5F">
        <w:rPr>
          <w:rFonts w:cs="Arial"/>
        </w:rPr>
        <w:t xml:space="preserve">. </w:t>
      </w:r>
      <w:r w:rsidR="00320A5F" w:rsidRPr="00320A5F">
        <w:rPr>
          <w:rFonts w:cs="Arial"/>
        </w:rPr>
        <w:t>Asimismo</w:t>
      </w:r>
      <w:r w:rsidR="00BC5638" w:rsidRPr="00320A5F">
        <w:rPr>
          <w:rFonts w:cs="Arial"/>
        </w:rPr>
        <w:t>, pidió que la Corte fije</w:t>
      </w:r>
      <w:r w:rsidR="00320A5F" w:rsidRPr="00320A5F">
        <w:rPr>
          <w:rFonts w:cs="Arial"/>
        </w:rPr>
        <w:t>,</w:t>
      </w:r>
      <w:r w:rsidR="00BC5638" w:rsidRPr="00320A5F">
        <w:rPr>
          <w:rFonts w:cs="Arial"/>
        </w:rPr>
        <w:t xml:space="preserve"> en equidad</w:t>
      </w:r>
      <w:r w:rsidR="00320A5F" w:rsidRPr="00320A5F">
        <w:rPr>
          <w:rFonts w:cs="Arial"/>
        </w:rPr>
        <w:t xml:space="preserve">, un importe en concepto de </w:t>
      </w:r>
      <w:r w:rsidR="00BC5638" w:rsidRPr="00320A5F">
        <w:rPr>
          <w:rFonts w:cs="Arial"/>
        </w:rPr>
        <w:t xml:space="preserve">lucro cesante de las presuntas víctimas con base en “los ingresos que habrían percibido en sus vidas probables, de haberlas vivido”. </w:t>
      </w:r>
    </w:p>
    <w:p w14:paraId="275311A8" w14:textId="77777777" w:rsidR="00BC5638" w:rsidRPr="00BC5638" w:rsidRDefault="00BC5638" w:rsidP="00BC5638">
      <w:pPr>
        <w:widowControl/>
        <w:tabs>
          <w:tab w:val="left" w:pos="567"/>
        </w:tabs>
        <w:autoSpaceDE w:val="0"/>
        <w:autoSpaceDN w:val="0"/>
        <w:spacing w:line="240" w:lineRule="auto"/>
        <w:textAlignment w:val="baseline"/>
        <w:rPr>
          <w:rFonts w:cs="Arial"/>
          <w:b/>
          <w:bCs/>
        </w:rPr>
      </w:pPr>
    </w:p>
    <w:p w14:paraId="64E3C9CA" w14:textId="01770F55" w:rsidR="00823A71" w:rsidRPr="00320A5F" w:rsidRDefault="00BC5638" w:rsidP="008E2FF0">
      <w:pPr>
        <w:widowControl/>
        <w:numPr>
          <w:ilvl w:val="0"/>
          <w:numId w:val="7"/>
        </w:numPr>
        <w:tabs>
          <w:tab w:val="left" w:pos="567"/>
          <w:tab w:val="num" w:pos="1569"/>
          <w:tab w:val="num" w:pos="12305"/>
        </w:tabs>
        <w:autoSpaceDE w:val="0"/>
        <w:autoSpaceDN w:val="0"/>
        <w:spacing w:line="240" w:lineRule="auto"/>
        <w:ind w:left="0" w:firstLine="0"/>
        <w:textAlignment w:val="baseline"/>
        <w:rPr>
          <w:rFonts w:cs="Arial"/>
        </w:rPr>
      </w:pPr>
      <w:r>
        <w:t xml:space="preserve">Asimismo, </w:t>
      </w:r>
      <w:r w:rsidR="00320A5F">
        <w:t>en concepto de daño inmaterial</w:t>
      </w:r>
      <w:r w:rsidR="00086CC9">
        <w:t xml:space="preserve">, solicitó </w:t>
      </w:r>
      <w:r w:rsidR="00823A71" w:rsidRPr="00320A5F">
        <w:rPr>
          <w:rFonts w:cs="Arial"/>
        </w:rPr>
        <w:t>que la Corte otorgue una suma de USD $80.000,00 a favor de Patricia E</w:t>
      </w:r>
      <w:r w:rsidR="00320A5F" w:rsidRPr="00320A5F">
        <w:rPr>
          <w:rFonts w:cs="Arial"/>
        </w:rPr>
        <w:t>milie</w:t>
      </w:r>
      <w:r w:rsidR="00823A71" w:rsidRPr="00320A5F">
        <w:rPr>
          <w:rFonts w:cs="Arial"/>
        </w:rPr>
        <w:t xml:space="preserve"> Cuéllar Sandoval, Mauricio Cuéllar Cuéllar y Julia Orbelina Pérez</w:t>
      </w:r>
      <w:r w:rsidR="00320A5F" w:rsidRPr="00320A5F">
        <w:rPr>
          <w:rFonts w:cs="Arial"/>
        </w:rPr>
        <w:t xml:space="preserve"> por haber sido víctimas de desaparición forzada</w:t>
      </w:r>
      <w:r w:rsidR="00823A71" w:rsidRPr="00320A5F">
        <w:rPr>
          <w:rFonts w:cs="Arial"/>
        </w:rPr>
        <w:t>.</w:t>
      </w:r>
      <w:r w:rsidR="00ED1B1A">
        <w:rPr>
          <w:rFonts w:cs="Arial"/>
        </w:rPr>
        <w:t xml:space="preserve"> </w:t>
      </w:r>
      <w:r w:rsidR="00823A71" w:rsidRPr="00320A5F">
        <w:rPr>
          <w:rFonts w:cs="Arial"/>
        </w:rPr>
        <w:t>Por otro lado, solicitó que la Corte otorgue una suma de USD $45.000,00 a favor de Maite María Álvarez Cuéllar, Javier Ernesto Álvarez Cuéllar, Ana Gabriela Álvarez Cuéllar y Ana</w:t>
      </w:r>
      <w:r w:rsidRPr="00320A5F">
        <w:rPr>
          <w:rFonts w:cs="Arial"/>
        </w:rPr>
        <w:t xml:space="preserve"> </w:t>
      </w:r>
      <w:r w:rsidR="00F01B69">
        <w:rPr>
          <w:rFonts w:cs="Arial"/>
        </w:rPr>
        <w:t>Gladis</w:t>
      </w:r>
      <w:r w:rsidR="00823A71" w:rsidRPr="00320A5F">
        <w:rPr>
          <w:rFonts w:cs="Arial"/>
        </w:rPr>
        <w:t xml:space="preserve"> Pérez de Castro como resultado de las “serias afectaciones derivadas de la desaparición forzada de sus madres”. También solicitó que la Corte otorgue la cantidad de USD $20.000,00 a favor de Francisco </w:t>
      </w:r>
      <w:r w:rsidR="00320A5F">
        <w:rPr>
          <w:rFonts w:cs="Arial"/>
        </w:rPr>
        <w:t xml:space="preserve">Alfredo </w:t>
      </w:r>
      <w:r w:rsidR="00823A71" w:rsidRPr="00320A5F">
        <w:rPr>
          <w:rFonts w:cs="Arial"/>
        </w:rPr>
        <w:t>Álvarez</w:t>
      </w:r>
      <w:r w:rsidR="00320A5F">
        <w:rPr>
          <w:rFonts w:cs="Arial"/>
        </w:rPr>
        <w:t xml:space="preserve"> Solís</w:t>
      </w:r>
      <w:r w:rsidR="00823A71" w:rsidRPr="00320A5F">
        <w:rPr>
          <w:rFonts w:cs="Arial"/>
        </w:rPr>
        <w:t xml:space="preserve">, señalando que este también habría sufrido “serias afectaciones” como resultado de la desaparición de su exesposa, Patricia E. Cuéllar Sandoval. </w:t>
      </w:r>
    </w:p>
    <w:p w14:paraId="11C12965" w14:textId="77777777" w:rsidR="00823A71" w:rsidRPr="00465F79" w:rsidRDefault="00823A71" w:rsidP="00823A71">
      <w:pPr>
        <w:autoSpaceDE w:val="0"/>
        <w:autoSpaceDN w:val="0"/>
        <w:spacing w:line="240" w:lineRule="auto"/>
        <w:rPr>
          <w:rFonts w:cs="Arial"/>
        </w:rPr>
      </w:pPr>
    </w:p>
    <w:p w14:paraId="3F126252" w14:textId="52AD68D9" w:rsidR="00823A71" w:rsidRPr="00465F79" w:rsidRDefault="00823A71" w:rsidP="00823A71">
      <w:pPr>
        <w:widowControl/>
        <w:numPr>
          <w:ilvl w:val="0"/>
          <w:numId w:val="7"/>
        </w:numPr>
        <w:tabs>
          <w:tab w:val="left" w:pos="567"/>
          <w:tab w:val="num" w:pos="1569"/>
          <w:tab w:val="num" w:pos="12305"/>
        </w:tabs>
        <w:autoSpaceDE w:val="0"/>
        <w:autoSpaceDN w:val="0"/>
        <w:spacing w:line="240" w:lineRule="auto"/>
        <w:ind w:left="0" w:firstLine="0"/>
        <w:textAlignment w:val="baseline"/>
        <w:rPr>
          <w:rFonts w:cs="Arial"/>
          <w:b/>
          <w:bCs/>
          <w:lang w:val="es-ES"/>
        </w:rPr>
      </w:pPr>
      <w:r w:rsidRPr="00465F79">
        <w:rPr>
          <w:rFonts w:cs="Arial"/>
        </w:rPr>
        <w:t>El</w:t>
      </w:r>
      <w:r w:rsidRPr="00465F79">
        <w:rPr>
          <w:rFonts w:cs="Arial"/>
          <w:lang w:val="es-ES"/>
        </w:rPr>
        <w:t xml:space="preserve"> </w:t>
      </w:r>
      <w:r w:rsidRPr="00465F79">
        <w:rPr>
          <w:rFonts w:cs="Arial"/>
          <w:b/>
          <w:i/>
          <w:lang w:val="es-ES"/>
        </w:rPr>
        <w:t>Estado</w:t>
      </w:r>
      <w:r w:rsidRPr="00465F79">
        <w:rPr>
          <w:rFonts w:cs="Arial"/>
          <w:lang w:val="es-ES"/>
        </w:rPr>
        <w:t xml:space="preserve"> solicitó que la Corte “valore un monto razonable” y “fije en equidad la indemnización en el presente caso”. </w:t>
      </w:r>
    </w:p>
    <w:p w14:paraId="721D5CFA" w14:textId="77777777" w:rsidR="00644347" w:rsidRPr="00465F79" w:rsidRDefault="00644347" w:rsidP="00644347">
      <w:pPr>
        <w:widowControl/>
        <w:tabs>
          <w:tab w:val="left" w:pos="567"/>
        </w:tabs>
        <w:autoSpaceDE w:val="0"/>
        <w:autoSpaceDN w:val="0"/>
        <w:spacing w:line="240" w:lineRule="auto"/>
        <w:textAlignment w:val="baseline"/>
        <w:rPr>
          <w:rFonts w:cs="Arial"/>
          <w:b/>
          <w:bCs/>
          <w:lang w:val="es-ES"/>
        </w:rPr>
      </w:pPr>
    </w:p>
    <w:p w14:paraId="5400C5F1" w14:textId="5BD69819" w:rsidR="00644347" w:rsidRPr="00465F79" w:rsidRDefault="000423F9" w:rsidP="000423F9">
      <w:pPr>
        <w:pStyle w:val="Ttulo3"/>
      </w:pPr>
      <w:r w:rsidRPr="00465F79">
        <w:tab/>
      </w:r>
      <w:bookmarkStart w:id="163" w:name="_Toc165022642"/>
      <w:r w:rsidR="00A913AE">
        <w:t>G</w:t>
      </w:r>
      <w:r w:rsidR="00644347" w:rsidRPr="00465F79">
        <w:t>.1. Daño material</w:t>
      </w:r>
      <w:bookmarkEnd w:id="163"/>
      <w:r w:rsidR="004E0487" w:rsidRPr="00465F79">
        <w:t xml:space="preserve"> </w:t>
      </w:r>
    </w:p>
    <w:p w14:paraId="6A73280C" w14:textId="77777777" w:rsidR="00823A71" w:rsidRPr="00465F79" w:rsidRDefault="00823A71" w:rsidP="00823A71">
      <w:pPr>
        <w:widowControl/>
        <w:tabs>
          <w:tab w:val="left" w:pos="567"/>
        </w:tabs>
        <w:autoSpaceDE w:val="0"/>
        <w:autoSpaceDN w:val="0"/>
        <w:spacing w:line="240" w:lineRule="auto"/>
        <w:textAlignment w:val="baseline"/>
        <w:rPr>
          <w:rFonts w:cs="Arial"/>
          <w:b/>
          <w:bCs/>
          <w:lang w:val="es-ES"/>
        </w:rPr>
      </w:pPr>
    </w:p>
    <w:p w14:paraId="4CD8A626" w14:textId="5A1C6758" w:rsidR="00644347" w:rsidRPr="00465F79" w:rsidRDefault="00644347" w:rsidP="00644347">
      <w:pPr>
        <w:widowControl/>
        <w:numPr>
          <w:ilvl w:val="0"/>
          <w:numId w:val="7"/>
        </w:numPr>
        <w:tabs>
          <w:tab w:val="left" w:pos="567"/>
          <w:tab w:val="num" w:pos="1569"/>
          <w:tab w:val="num" w:pos="12305"/>
        </w:tabs>
        <w:autoSpaceDE w:val="0"/>
        <w:autoSpaceDN w:val="0"/>
        <w:spacing w:line="240" w:lineRule="auto"/>
        <w:ind w:left="0" w:firstLine="0"/>
        <w:textAlignment w:val="baseline"/>
        <w:rPr>
          <w:rFonts w:cs="Arial"/>
        </w:rPr>
      </w:pPr>
      <w:r w:rsidRPr="00465F79">
        <w:rPr>
          <w:rFonts w:cs="Arial"/>
        </w:rPr>
        <w:t xml:space="preserve">La </w:t>
      </w:r>
      <w:r w:rsidRPr="00465F79">
        <w:rPr>
          <w:rFonts w:cs="Arial"/>
          <w:b/>
          <w:bCs/>
          <w:i/>
          <w:iCs/>
        </w:rPr>
        <w:t>Corte</w:t>
      </w:r>
      <w:r w:rsidRPr="00465F79">
        <w:rPr>
          <w:rFonts w:cs="Arial"/>
        </w:rPr>
        <w:t xml:space="preserve"> ha desarrollado en su jurisprudencia el concepto de daño material y ha establecido que supone la pérdida o detrimento de los ingresos de las víctimas, los gastos efectuados con motivo de los hechos y las consecuencias de carácter pecuniario que tengan un nexo causal con los hechos del caso</w:t>
      </w:r>
      <w:r w:rsidRPr="00465F79">
        <w:rPr>
          <w:rStyle w:val="Refdenotaalpie"/>
          <w:rFonts w:cs="Arial"/>
        </w:rPr>
        <w:footnoteReference w:id="193"/>
      </w:r>
      <w:r w:rsidRPr="00465F79">
        <w:rPr>
          <w:rFonts w:cs="Arial"/>
        </w:rPr>
        <w:t>. Asimismo, la jurisprudencia ha reiterado el carácter ciertamente compensatorio de las indemnizaciones, cuya naturaleza y monto dependen del daño ocasionado, por lo que no pueden significar ni enriquecimiento ni empobrecimiento para las víctimas o sus sucesores</w:t>
      </w:r>
      <w:r w:rsidRPr="00465F79">
        <w:rPr>
          <w:rStyle w:val="Refdenotaalpie"/>
          <w:rFonts w:cs="Arial"/>
        </w:rPr>
        <w:footnoteReference w:id="194"/>
      </w:r>
      <w:r w:rsidRPr="00465F79">
        <w:rPr>
          <w:rFonts w:cs="Arial"/>
        </w:rPr>
        <w:t>.</w:t>
      </w:r>
    </w:p>
    <w:p w14:paraId="07B9D9D1" w14:textId="77777777" w:rsidR="00644347" w:rsidRPr="00465F79" w:rsidRDefault="00644347" w:rsidP="00644347">
      <w:pPr>
        <w:widowControl/>
        <w:tabs>
          <w:tab w:val="left" w:pos="567"/>
        </w:tabs>
        <w:autoSpaceDE w:val="0"/>
        <w:autoSpaceDN w:val="0"/>
        <w:spacing w:line="240" w:lineRule="auto"/>
        <w:textAlignment w:val="baseline"/>
        <w:rPr>
          <w:rFonts w:cs="Arial"/>
        </w:rPr>
      </w:pPr>
    </w:p>
    <w:p w14:paraId="656DA723" w14:textId="587947EE" w:rsidR="005B08CF" w:rsidRPr="00465F79" w:rsidRDefault="00644347" w:rsidP="005B08CF">
      <w:pPr>
        <w:widowControl/>
        <w:numPr>
          <w:ilvl w:val="0"/>
          <w:numId w:val="7"/>
        </w:numPr>
        <w:tabs>
          <w:tab w:val="left" w:pos="567"/>
          <w:tab w:val="num" w:pos="1569"/>
          <w:tab w:val="num" w:pos="12305"/>
        </w:tabs>
        <w:autoSpaceDE w:val="0"/>
        <w:autoSpaceDN w:val="0"/>
        <w:spacing w:line="240" w:lineRule="auto"/>
        <w:ind w:left="0" w:firstLine="0"/>
        <w:textAlignment w:val="baseline"/>
      </w:pPr>
      <w:r w:rsidRPr="00465F79">
        <w:rPr>
          <w:rFonts w:cs="Arial"/>
        </w:rPr>
        <w:t>Aunque no se aportó prueba relativa a los montos correspondientes al daño material, es presumible que los familiares de Patrici</w:t>
      </w:r>
      <w:r w:rsidR="00495015">
        <w:rPr>
          <w:rFonts w:cs="Arial"/>
        </w:rPr>
        <w:t>a</w:t>
      </w:r>
      <w:r w:rsidRPr="00465F79">
        <w:rPr>
          <w:rFonts w:cs="Arial"/>
        </w:rPr>
        <w:t xml:space="preserve"> Emilie Cuéllar Sandoval, Mauricio Cuéllar Cuéllar y Julia Orbelina Pérez incurrieran en diversos gastos con motivo de su desaparición y búsqueda </w:t>
      </w:r>
      <w:r w:rsidR="00C0144C">
        <w:rPr>
          <w:rFonts w:cs="Arial"/>
        </w:rPr>
        <w:t>a lo largo de estos</w:t>
      </w:r>
      <w:r w:rsidRPr="00465F79">
        <w:rPr>
          <w:rFonts w:cs="Arial"/>
        </w:rPr>
        <w:t xml:space="preserve"> 41 años</w:t>
      </w:r>
      <w:r w:rsidR="00C0144C">
        <w:rPr>
          <w:rFonts w:cs="Arial"/>
        </w:rPr>
        <w:t xml:space="preserve"> desde que ocurrieron los hechos</w:t>
      </w:r>
      <w:r w:rsidRPr="00465F79">
        <w:rPr>
          <w:rFonts w:cs="Arial"/>
        </w:rPr>
        <w:t xml:space="preserve">. En vista de lo anterior, la Corte estima que el Estado debe otorgar una indemnización por dichos gastos, </w:t>
      </w:r>
      <w:r w:rsidR="00C0144C">
        <w:rPr>
          <w:rFonts w:cs="Arial"/>
        </w:rPr>
        <w:t>toda vez que poseen</w:t>
      </w:r>
      <w:r w:rsidRPr="00465F79">
        <w:rPr>
          <w:rFonts w:cs="Arial"/>
        </w:rPr>
        <w:t xml:space="preserve"> un nexo causal directo con los hechos violatorios del presente caso. </w:t>
      </w:r>
      <w:r w:rsidR="005B08CF" w:rsidRPr="00465F79">
        <w:rPr>
          <w:rFonts w:cs="Arial"/>
        </w:rPr>
        <w:t xml:space="preserve">En cuanto al lucro cesante, la Corte considera que, como lo ha hecho en otros casos sobre desapariciones forzadas en los que se desconoce el paradero de la </w:t>
      </w:r>
      <w:r w:rsidR="005B08CF" w:rsidRPr="00465F79">
        <w:rPr>
          <w:rFonts w:cs="Arial"/>
        </w:rPr>
        <w:lastRenderedPageBreak/>
        <w:t>víctima</w:t>
      </w:r>
      <w:r w:rsidR="005B08CF" w:rsidRPr="00465F79">
        <w:rPr>
          <w:rStyle w:val="Refdenotaalpie"/>
          <w:rFonts w:cs="Arial"/>
        </w:rPr>
        <w:footnoteReference w:id="195"/>
      </w:r>
      <w:r w:rsidR="005B08CF" w:rsidRPr="00465F79">
        <w:rPr>
          <w:rFonts w:cs="Arial"/>
        </w:rPr>
        <w:t>, es posible aplicar los criterios de compensación por pérdida de ingresos, lo cual comprende los ingresos que habría percibido</w:t>
      </w:r>
      <w:r w:rsidR="00C0144C">
        <w:rPr>
          <w:rFonts w:cs="Arial"/>
        </w:rPr>
        <w:t xml:space="preserve"> la víctima</w:t>
      </w:r>
      <w:r w:rsidR="005B08CF" w:rsidRPr="00465F79">
        <w:rPr>
          <w:rFonts w:cs="Arial"/>
        </w:rPr>
        <w:t xml:space="preserve"> durante su vida probable.</w:t>
      </w:r>
      <w:r w:rsidR="005B08CF" w:rsidRPr="00465F79">
        <w:t xml:space="preserve"> En el caso concreto, </w:t>
      </w:r>
      <w:r w:rsidR="005B08CF" w:rsidRPr="00465F79">
        <w:rPr>
          <w:rFonts w:cs="Arial"/>
        </w:rPr>
        <w:t>este Tribunal advierte que el representante no aportó elementos suficientes que permitan determinar con certeza los ingresos de Patrici</w:t>
      </w:r>
      <w:r w:rsidR="00495015">
        <w:rPr>
          <w:rFonts w:cs="Arial"/>
        </w:rPr>
        <w:t>a</w:t>
      </w:r>
      <w:r w:rsidR="005B08CF" w:rsidRPr="00465F79">
        <w:rPr>
          <w:rFonts w:cs="Arial"/>
        </w:rPr>
        <w:t xml:space="preserve"> Emilie Cuéllar Sandoval, Mauricio Cuéllar Cuéllar y Julia Orbelina Pérez.</w:t>
      </w:r>
    </w:p>
    <w:p w14:paraId="01888D57" w14:textId="77777777" w:rsidR="005B08CF" w:rsidRPr="00465F79" w:rsidRDefault="005B08CF" w:rsidP="005B08CF">
      <w:pPr>
        <w:widowControl/>
        <w:tabs>
          <w:tab w:val="left" w:pos="567"/>
        </w:tabs>
        <w:autoSpaceDE w:val="0"/>
        <w:autoSpaceDN w:val="0"/>
        <w:spacing w:line="240" w:lineRule="auto"/>
        <w:textAlignment w:val="baseline"/>
      </w:pPr>
    </w:p>
    <w:p w14:paraId="23290855" w14:textId="15AFEE49" w:rsidR="00894602" w:rsidRPr="00597454" w:rsidRDefault="006B6568" w:rsidP="00426CD0">
      <w:pPr>
        <w:widowControl/>
        <w:numPr>
          <w:ilvl w:val="0"/>
          <w:numId w:val="7"/>
        </w:numPr>
        <w:tabs>
          <w:tab w:val="left" w:pos="567"/>
          <w:tab w:val="num" w:pos="1569"/>
          <w:tab w:val="num" w:pos="12305"/>
        </w:tabs>
        <w:autoSpaceDE w:val="0"/>
        <w:autoSpaceDN w:val="0"/>
        <w:spacing w:line="240" w:lineRule="auto"/>
        <w:ind w:left="0" w:firstLine="0"/>
        <w:textAlignment w:val="baseline"/>
      </w:pPr>
      <w:r w:rsidRPr="00597454">
        <w:rPr>
          <w:lang w:eastAsia="es-ES_tradnl"/>
        </w:rPr>
        <w:t xml:space="preserve">En vista de lo anterior, este Tribunal estima pertinente fijar, en equidad, la suma de </w:t>
      </w:r>
      <w:r w:rsidRPr="00597454">
        <w:t>USD $</w:t>
      </w:r>
      <w:r w:rsidR="004624F4" w:rsidRPr="00597454">
        <w:t>2</w:t>
      </w:r>
      <w:r w:rsidRPr="00597454">
        <w:t>0.000,00</w:t>
      </w:r>
      <w:r w:rsidRPr="00597454">
        <w:rPr>
          <w:spacing w:val="-10"/>
        </w:rPr>
        <w:t xml:space="preserve"> </w:t>
      </w:r>
      <w:r w:rsidRPr="00597454">
        <w:t>(</w:t>
      </w:r>
      <w:r w:rsidR="004624F4" w:rsidRPr="00597454">
        <w:t>veinte</w:t>
      </w:r>
      <w:r w:rsidRPr="00597454">
        <w:rPr>
          <w:spacing w:val="-12"/>
        </w:rPr>
        <w:t xml:space="preserve"> </w:t>
      </w:r>
      <w:r w:rsidRPr="00597454">
        <w:t>mil</w:t>
      </w:r>
      <w:r w:rsidRPr="00597454">
        <w:rPr>
          <w:spacing w:val="-10"/>
        </w:rPr>
        <w:t xml:space="preserve"> </w:t>
      </w:r>
      <w:r w:rsidRPr="00597454">
        <w:t>dólares</w:t>
      </w:r>
      <w:r w:rsidRPr="00597454">
        <w:rPr>
          <w:spacing w:val="-11"/>
        </w:rPr>
        <w:t xml:space="preserve"> </w:t>
      </w:r>
      <w:r w:rsidRPr="00597454">
        <w:t>de</w:t>
      </w:r>
      <w:r w:rsidRPr="00597454">
        <w:rPr>
          <w:spacing w:val="-12"/>
        </w:rPr>
        <w:t xml:space="preserve"> </w:t>
      </w:r>
      <w:r w:rsidRPr="00597454">
        <w:t>los</w:t>
      </w:r>
      <w:r w:rsidRPr="00597454">
        <w:rPr>
          <w:spacing w:val="-11"/>
        </w:rPr>
        <w:t xml:space="preserve"> </w:t>
      </w:r>
      <w:r w:rsidRPr="00597454">
        <w:t>Estados</w:t>
      </w:r>
      <w:r w:rsidRPr="00597454">
        <w:rPr>
          <w:spacing w:val="-11"/>
        </w:rPr>
        <w:t xml:space="preserve"> </w:t>
      </w:r>
      <w:r w:rsidRPr="00597454">
        <w:t>Unidos</w:t>
      </w:r>
      <w:r w:rsidRPr="00597454">
        <w:rPr>
          <w:spacing w:val="-11"/>
        </w:rPr>
        <w:t xml:space="preserve"> </w:t>
      </w:r>
      <w:r w:rsidRPr="00597454">
        <w:t>de</w:t>
      </w:r>
      <w:r w:rsidRPr="00597454">
        <w:rPr>
          <w:spacing w:val="-12"/>
        </w:rPr>
        <w:t xml:space="preserve"> </w:t>
      </w:r>
      <w:r w:rsidRPr="00597454">
        <w:t>América) por concepto de daño emergente a</w:t>
      </w:r>
      <w:r w:rsidR="005960CC">
        <w:t xml:space="preserve"> favor de</w:t>
      </w:r>
      <w:r w:rsidR="00597454">
        <w:t xml:space="preserve"> </w:t>
      </w:r>
      <w:r w:rsidR="004624F4" w:rsidRPr="00597454">
        <w:t>la señora Ana Gladis Pérez de Casto, así como USD $10.000,00</w:t>
      </w:r>
      <w:r w:rsidR="004624F4" w:rsidRPr="00597454">
        <w:rPr>
          <w:spacing w:val="-10"/>
        </w:rPr>
        <w:t xml:space="preserve"> </w:t>
      </w:r>
      <w:r w:rsidR="004624F4" w:rsidRPr="00597454">
        <w:t>(diez</w:t>
      </w:r>
      <w:r w:rsidR="004624F4" w:rsidRPr="00597454">
        <w:rPr>
          <w:spacing w:val="-12"/>
        </w:rPr>
        <w:t xml:space="preserve"> </w:t>
      </w:r>
      <w:r w:rsidR="004624F4" w:rsidRPr="00597454">
        <w:t>mil</w:t>
      </w:r>
      <w:r w:rsidR="004624F4" w:rsidRPr="00597454">
        <w:rPr>
          <w:spacing w:val="-10"/>
        </w:rPr>
        <w:t xml:space="preserve"> </w:t>
      </w:r>
      <w:r w:rsidR="004624F4" w:rsidRPr="00597454">
        <w:t>dólares</w:t>
      </w:r>
      <w:r w:rsidR="004624F4" w:rsidRPr="00597454">
        <w:rPr>
          <w:spacing w:val="-11"/>
        </w:rPr>
        <w:t xml:space="preserve"> </w:t>
      </w:r>
      <w:r w:rsidR="004624F4" w:rsidRPr="00597454">
        <w:t>de</w:t>
      </w:r>
      <w:r w:rsidR="004624F4" w:rsidRPr="00597454">
        <w:rPr>
          <w:spacing w:val="-12"/>
        </w:rPr>
        <w:t xml:space="preserve"> </w:t>
      </w:r>
      <w:r w:rsidR="004624F4" w:rsidRPr="00597454">
        <w:t>los</w:t>
      </w:r>
      <w:r w:rsidR="004624F4" w:rsidRPr="00597454">
        <w:rPr>
          <w:spacing w:val="-11"/>
        </w:rPr>
        <w:t xml:space="preserve"> </w:t>
      </w:r>
      <w:r w:rsidR="004624F4" w:rsidRPr="00597454">
        <w:t>Estados</w:t>
      </w:r>
      <w:r w:rsidR="004624F4" w:rsidRPr="00597454">
        <w:rPr>
          <w:spacing w:val="-11"/>
        </w:rPr>
        <w:t xml:space="preserve"> </w:t>
      </w:r>
      <w:r w:rsidR="004624F4" w:rsidRPr="00597454">
        <w:t>Unidos</w:t>
      </w:r>
      <w:r w:rsidR="004624F4" w:rsidRPr="00597454">
        <w:rPr>
          <w:spacing w:val="-11"/>
        </w:rPr>
        <w:t xml:space="preserve"> </w:t>
      </w:r>
      <w:r w:rsidR="004624F4" w:rsidRPr="00597454">
        <w:t>de</w:t>
      </w:r>
      <w:r w:rsidR="004624F4" w:rsidRPr="00597454">
        <w:rPr>
          <w:spacing w:val="-12"/>
        </w:rPr>
        <w:t xml:space="preserve"> </w:t>
      </w:r>
      <w:r w:rsidR="004624F4" w:rsidRPr="00597454">
        <w:t>América)</w:t>
      </w:r>
      <w:r w:rsidR="005960CC">
        <w:t>, por el mismo concepto,</w:t>
      </w:r>
      <w:r w:rsidR="004624F4" w:rsidRPr="00597454">
        <w:t xml:space="preserve"> </w:t>
      </w:r>
      <w:r w:rsidR="00EB465B">
        <w:t>a</w:t>
      </w:r>
      <w:r w:rsidRPr="00597454">
        <w:t xml:space="preserve"> favor de cada uno de los</w:t>
      </w:r>
      <w:r w:rsidR="004624F4" w:rsidRPr="00597454">
        <w:t xml:space="preserve"> restantes</w:t>
      </w:r>
      <w:r w:rsidRPr="00597454">
        <w:t xml:space="preserve"> familiares</w:t>
      </w:r>
      <w:r w:rsidR="00EB465B">
        <w:t xml:space="preserve"> </w:t>
      </w:r>
      <w:r w:rsidR="00EB465B" w:rsidRPr="00465F79">
        <w:rPr>
          <w:rFonts w:cs="Arial"/>
        </w:rPr>
        <w:t>de Patrici</w:t>
      </w:r>
      <w:r w:rsidR="00EB465B">
        <w:rPr>
          <w:rFonts w:cs="Arial"/>
        </w:rPr>
        <w:t>a</w:t>
      </w:r>
      <w:r w:rsidR="00EB465B" w:rsidRPr="00465F79">
        <w:rPr>
          <w:rFonts w:cs="Arial"/>
        </w:rPr>
        <w:t xml:space="preserve"> Emilie Cuéllar Sandoval, Mauricio Cuéllar Cuéllar y Julia Orbelina Pérez</w:t>
      </w:r>
      <w:r w:rsidRPr="00597454">
        <w:rPr>
          <w:lang w:eastAsia="es-ES_tradnl"/>
        </w:rPr>
        <w:t>.</w:t>
      </w:r>
      <w:r w:rsidR="00A5730D" w:rsidRPr="00597454">
        <w:rPr>
          <w:lang w:eastAsia="es-ES_tradnl"/>
        </w:rPr>
        <w:t xml:space="preserve"> </w:t>
      </w:r>
    </w:p>
    <w:p w14:paraId="4375E84D" w14:textId="77777777" w:rsidR="00963845" w:rsidRDefault="00963845" w:rsidP="00963845">
      <w:pPr>
        <w:widowControl/>
        <w:tabs>
          <w:tab w:val="left" w:pos="567"/>
        </w:tabs>
        <w:autoSpaceDE w:val="0"/>
        <w:autoSpaceDN w:val="0"/>
        <w:spacing w:line="240" w:lineRule="auto"/>
        <w:textAlignment w:val="baseline"/>
      </w:pPr>
    </w:p>
    <w:p w14:paraId="1738A592" w14:textId="78D35CBA" w:rsidR="006B6568" w:rsidRDefault="006B6568" w:rsidP="007578E6">
      <w:pPr>
        <w:widowControl/>
        <w:numPr>
          <w:ilvl w:val="0"/>
          <w:numId w:val="7"/>
        </w:numPr>
        <w:tabs>
          <w:tab w:val="left" w:pos="567"/>
          <w:tab w:val="num" w:pos="1569"/>
          <w:tab w:val="num" w:pos="12305"/>
        </w:tabs>
        <w:autoSpaceDE w:val="0"/>
        <w:autoSpaceDN w:val="0"/>
        <w:spacing w:line="240" w:lineRule="auto"/>
        <w:ind w:left="0" w:firstLine="0"/>
        <w:textAlignment w:val="baseline"/>
      </w:pPr>
      <w:r>
        <w:t>Asimismo, d</w:t>
      </w:r>
      <w:r w:rsidR="00644347" w:rsidRPr="00465F79">
        <w:t>ado que no constan</w:t>
      </w:r>
      <w:r w:rsidR="00644347" w:rsidRPr="00E67032">
        <w:rPr>
          <w:spacing w:val="-15"/>
        </w:rPr>
        <w:t xml:space="preserve"> </w:t>
      </w:r>
      <w:r w:rsidR="00644347" w:rsidRPr="00465F79">
        <w:t>comprobantes</w:t>
      </w:r>
      <w:r w:rsidR="00644347" w:rsidRPr="00E67032">
        <w:rPr>
          <w:spacing w:val="-17"/>
        </w:rPr>
        <w:t xml:space="preserve"> </w:t>
      </w:r>
      <w:r w:rsidR="005B08CF" w:rsidRPr="00465F79">
        <w:t>que permitan</w:t>
      </w:r>
      <w:r w:rsidR="00644347" w:rsidRPr="00E67032">
        <w:rPr>
          <w:spacing w:val="-16"/>
        </w:rPr>
        <w:t xml:space="preserve"> </w:t>
      </w:r>
      <w:r w:rsidR="00644347" w:rsidRPr="00465F79">
        <w:t>determinar</w:t>
      </w:r>
      <w:r w:rsidR="00644347" w:rsidRPr="00E67032">
        <w:rPr>
          <w:spacing w:val="-17"/>
        </w:rPr>
        <w:t xml:space="preserve"> </w:t>
      </w:r>
      <w:r w:rsidR="00644347" w:rsidRPr="00465F79">
        <w:t>con</w:t>
      </w:r>
      <w:r w:rsidR="00644347" w:rsidRPr="00E67032">
        <w:rPr>
          <w:spacing w:val="-15"/>
        </w:rPr>
        <w:t xml:space="preserve"> </w:t>
      </w:r>
      <w:r w:rsidR="00644347" w:rsidRPr="00465F79">
        <w:t>exactitud</w:t>
      </w:r>
      <w:r w:rsidR="00644347" w:rsidRPr="00E67032">
        <w:rPr>
          <w:spacing w:val="-16"/>
        </w:rPr>
        <w:t xml:space="preserve"> </w:t>
      </w:r>
      <w:r w:rsidR="00644347" w:rsidRPr="00465F79">
        <w:t>el</w:t>
      </w:r>
      <w:r w:rsidR="00644347" w:rsidRPr="00E67032">
        <w:rPr>
          <w:spacing w:val="-16"/>
        </w:rPr>
        <w:t xml:space="preserve"> </w:t>
      </w:r>
      <w:r w:rsidR="00644347" w:rsidRPr="00465F79">
        <w:t>monto</w:t>
      </w:r>
      <w:r w:rsidR="00644347" w:rsidRPr="00E67032">
        <w:rPr>
          <w:spacing w:val="-17"/>
        </w:rPr>
        <w:t xml:space="preserve"> </w:t>
      </w:r>
      <w:r w:rsidR="00644347" w:rsidRPr="00465F79">
        <w:t>de</w:t>
      </w:r>
      <w:r w:rsidR="00644347" w:rsidRPr="00E67032">
        <w:rPr>
          <w:spacing w:val="-17"/>
        </w:rPr>
        <w:t xml:space="preserve"> </w:t>
      </w:r>
      <w:r w:rsidR="00644347" w:rsidRPr="00465F79">
        <w:t>los</w:t>
      </w:r>
      <w:r w:rsidR="00644347" w:rsidRPr="00E67032">
        <w:rPr>
          <w:spacing w:val="-17"/>
        </w:rPr>
        <w:t xml:space="preserve"> </w:t>
      </w:r>
      <w:r w:rsidR="00644347" w:rsidRPr="00465F79">
        <w:t>gastos</w:t>
      </w:r>
      <w:r w:rsidR="00644347" w:rsidRPr="00E67032">
        <w:rPr>
          <w:spacing w:val="-17"/>
        </w:rPr>
        <w:t xml:space="preserve"> </w:t>
      </w:r>
      <w:r w:rsidR="001D1439" w:rsidRPr="00465F79">
        <w:t xml:space="preserve">correspondientes al </w:t>
      </w:r>
      <w:r>
        <w:t>l</w:t>
      </w:r>
      <w:r w:rsidR="001D1439" w:rsidRPr="00465F79">
        <w:t>ucro cesante,</w:t>
      </w:r>
      <w:r w:rsidR="00644347" w:rsidRPr="00E67032">
        <w:rPr>
          <w:spacing w:val="-14"/>
        </w:rPr>
        <w:t xml:space="preserve"> </w:t>
      </w:r>
      <w:r w:rsidR="00644347" w:rsidRPr="00465F79">
        <w:t>en</w:t>
      </w:r>
      <w:r w:rsidR="00644347" w:rsidRPr="00E67032">
        <w:rPr>
          <w:spacing w:val="-15"/>
        </w:rPr>
        <w:t xml:space="preserve"> </w:t>
      </w:r>
      <w:r w:rsidR="00644347" w:rsidRPr="00465F79">
        <w:t>atención</w:t>
      </w:r>
      <w:r w:rsidR="00644347" w:rsidRPr="00E67032">
        <w:rPr>
          <w:spacing w:val="-15"/>
        </w:rPr>
        <w:t xml:space="preserve"> </w:t>
      </w:r>
      <w:r w:rsidR="00644347" w:rsidRPr="00465F79">
        <w:t>a</w:t>
      </w:r>
      <w:r w:rsidR="00644347" w:rsidRPr="00E67032">
        <w:rPr>
          <w:spacing w:val="-16"/>
        </w:rPr>
        <w:t xml:space="preserve"> </w:t>
      </w:r>
      <w:r w:rsidR="00644347" w:rsidRPr="00465F79">
        <w:t>las</w:t>
      </w:r>
      <w:r w:rsidR="00644347" w:rsidRPr="00E67032">
        <w:rPr>
          <w:spacing w:val="-16"/>
        </w:rPr>
        <w:t xml:space="preserve"> </w:t>
      </w:r>
      <w:r w:rsidR="00644347" w:rsidRPr="00465F79">
        <w:t>circunstancias</w:t>
      </w:r>
      <w:r w:rsidR="00644347" w:rsidRPr="00E67032">
        <w:rPr>
          <w:spacing w:val="-17"/>
        </w:rPr>
        <w:t xml:space="preserve"> </w:t>
      </w:r>
      <w:r w:rsidR="00644347" w:rsidRPr="00465F79">
        <w:t>particulares</w:t>
      </w:r>
      <w:r w:rsidR="00644347" w:rsidRPr="00E67032">
        <w:rPr>
          <w:spacing w:val="-17"/>
        </w:rPr>
        <w:t xml:space="preserve"> </w:t>
      </w:r>
      <w:r w:rsidR="00644347" w:rsidRPr="00465F79">
        <w:t>del</w:t>
      </w:r>
      <w:r w:rsidR="00644347" w:rsidRPr="00E67032">
        <w:rPr>
          <w:spacing w:val="-16"/>
        </w:rPr>
        <w:t xml:space="preserve"> </w:t>
      </w:r>
      <w:r w:rsidR="00644347" w:rsidRPr="00465F79">
        <w:t>caso,</w:t>
      </w:r>
      <w:r w:rsidR="00644347" w:rsidRPr="00E67032">
        <w:rPr>
          <w:spacing w:val="-17"/>
        </w:rPr>
        <w:t xml:space="preserve"> </w:t>
      </w:r>
      <w:r w:rsidR="00644347" w:rsidRPr="00465F79">
        <w:t>la</w:t>
      </w:r>
      <w:r w:rsidR="00644347" w:rsidRPr="00E67032">
        <w:rPr>
          <w:spacing w:val="-16"/>
        </w:rPr>
        <w:t xml:space="preserve"> </w:t>
      </w:r>
      <w:r w:rsidR="00644347" w:rsidRPr="00465F79">
        <w:t>Corte</w:t>
      </w:r>
      <w:r w:rsidR="00644347" w:rsidRPr="00E67032">
        <w:rPr>
          <w:spacing w:val="-15"/>
        </w:rPr>
        <w:t xml:space="preserve"> </w:t>
      </w:r>
      <w:r w:rsidR="00644347" w:rsidRPr="00465F79">
        <w:t>estima</w:t>
      </w:r>
      <w:r w:rsidR="00644347" w:rsidRPr="00E67032">
        <w:rPr>
          <w:spacing w:val="-16"/>
        </w:rPr>
        <w:t xml:space="preserve"> </w:t>
      </w:r>
      <w:r w:rsidR="00644347" w:rsidRPr="00465F79">
        <w:t>pertinente</w:t>
      </w:r>
      <w:r w:rsidR="00644347" w:rsidRPr="00E67032">
        <w:rPr>
          <w:spacing w:val="-15"/>
        </w:rPr>
        <w:t xml:space="preserve"> </w:t>
      </w:r>
      <w:r w:rsidR="00644347" w:rsidRPr="00465F79">
        <w:t>fijar, en</w:t>
      </w:r>
      <w:r w:rsidR="00644347" w:rsidRPr="00E67032">
        <w:rPr>
          <w:spacing w:val="-9"/>
        </w:rPr>
        <w:t xml:space="preserve"> </w:t>
      </w:r>
      <w:r w:rsidR="00644347" w:rsidRPr="00465F79">
        <w:t>equidad,</w:t>
      </w:r>
      <w:r w:rsidR="00644347" w:rsidRPr="00E67032">
        <w:rPr>
          <w:spacing w:val="-11"/>
        </w:rPr>
        <w:t xml:space="preserve"> </w:t>
      </w:r>
      <w:r w:rsidR="00644347" w:rsidRPr="00465F79">
        <w:t>la</w:t>
      </w:r>
      <w:r w:rsidR="00644347" w:rsidRPr="00E67032">
        <w:rPr>
          <w:spacing w:val="-10"/>
        </w:rPr>
        <w:t xml:space="preserve"> </w:t>
      </w:r>
      <w:r w:rsidR="00644347" w:rsidRPr="00465F79">
        <w:t>cantidad</w:t>
      </w:r>
      <w:r w:rsidR="00644347" w:rsidRPr="00E67032">
        <w:rPr>
          <w:spacing w:val="-7"/>
        </w:rPr>
        <w:t xml:space="preserve"> </w:t>
      </w:r>
      <w:r w:rsidR="00644347" w:rsidRPr="00465F79">
        <w:t>de</w:t>
      </w:r>
      <w:r w:rsidR="00644347" w:rsidRPr="00E67032">
        <w:rPr>
          <w:spacing w:val="-12"/>
        </w:rPr>
        <w:t xml:space="preserve"> </w:t>
      </w:r>
      <w:r w:rsidR="00644347" w:rsidRPr="00597454">
        <w:t>USD</w:t>
      </w:r>
      <w:r w:rsidR="00644347" w:rsidRPr="00597454">
        <w:rPr>
          <w:spacing w:val="-10"/>
        </w:rPr>
        <w:t xml:space="preserve"> </w:t>
      </w:r>
      <w:r w:rsidR="00644347" w:rsidRPr="00597454">
        <w:t>$</w:t>
      </w:r>
      <w:r w:rsidR="009700FF" w:rsidRPr="00597454">
        <w:t>60</w:t>
      </w:r>
      <w:r w:rsidR="00644347" w:rsidRPr="00597454">
        <w:t>.</w:t>
      </w:r>
      <w:r w:rsidR="00616844" w:rsidRPr="00597454">
        <w:t>000</w:t>
      </w:r>
      <w:r w:rsidR="00644347" w:rsidRPr="00597454">
        <w:t>,00</w:t>
      </w:r>
      <w:r w:rsidR="00644347" w:rsidRPr="00597454">
        <w:rPr>
          <w:spacing w:val="-10"/>
        </w:rPr>
        <w:t xml:space="preserve"> </w:t>
      </w:r>
      <w:r w:rsidR="00644347" w:rsidRPr="00597454">
        <w:t>(</w:t>
      </w:r>
      <w:r w:rsidR="009700FF" w:rsidRPr="00597454">
        <w:t>sesenta</w:t>
      </w:r>
      <w:r w:rsidR="00644347" w:rsidRPr="00597454">
        <w:rPr>
          <w:spacing w:val="-12"/>
        </w:rPr>
        <w:t xml:space="preserve"> </w:t>
      </w:r>
      <w:r w:rsidR="00644347" w:rsidRPr="00597454">
        <w:t>mil</w:t>
      </w:r>
      <w:r w:rsidR="00644347" w:rsidRPr="00597454">
        <w:rPr>
          <w:spacing w:val="-10"/>
        </w:rPr>
        <w:t xml:space="preserve"> </w:t>
      </w:r>
      <w:r w:rsidR="00644347" w:rsidRPr="00597454">
        <w:t>dólares</w:t>
      </w:r>
      <w:r w:rsidR="00644347" w:rsidRPr="00597454">
        <w:rPr>
          <w:spacing w:val="-11"/>
        </w:rPr>
        <w:t xml:space="preserve"> </w:t>
      </w:r>
      <w:r w:rsidR="00644347" w:rsidRPr="00597454">
        <w:t>de</w:t>
      </w:r>
      <w:r w:rsidR="00644347" w:rsidRPr="00597454">
        <w:rPr>
          <w:spacing w:val="-12"/>
        </w:rPr>
        <w:t xml:space="preserve"> </w:t>
      </w:r>
      <w:r w:rsidR="00644347" w:rsidRPr="00597454">
        <w:t>los</w:t>
      </w:r>
      <w:r w:rsidR="00644347" w:rsidRPr="00597454">
        <w:rPr>
          <w:spacing w:val="-11"/>
        </w:rPr>
        <w:t xml:space="preserve"> </w:t>
      </w:r>
      <w:r w:rsidR="00644347" w:rsidRPr="00597454">
        <w:t>Estados</w:t>
      </w:r>
      <w:r w:rsidR="00644347" w:rsidRPr="00597454">
        <w:rPr>
          <w:spacing w:val="-11"/>
        </w:rPr>
        <w:t xml:space="preserve"> </w:t>
      </w:r>
      <w:r w:rsidR="00644347" w:rsidRPr="00597454">
        <w:t>Unidos</w:t>
      </w:r>
      <w:r w:rsidR="00644347" w:rsidRPr="00597454">
        <w:rPr>
          <w:spacing w:val="-11"/>
        </w:rPr>
        <w:t xml:space="preserve"> </w:t>
      </w:r>
      <w:r w:rsidR="00644347" w:rsidRPr="00597454">
        <w:t>de</w:t>
      </w:r>
      <w:r w:rsidR="00644347" w:rsidRPr="00597454">
        <w:rPr>
          <w:spacing w:val="-12"/>
        </w:rPr>
        <w:t xml:space="preserve"> </w:t>
      </w:r>
      <w:r w:rsidR="00644347" w:rsidRPr="00597454">
        <w:t xml:space="preserve">América) </w:t>
      </w:r>
      <w:r w:rsidRPr="00597454">
        <w:t xml:space="preserve">por concepto de pérdida de ingresos </w:t>
      </w:r>
      <w:r w:rsidR="00005785" w:rsidRPr="00597454">
        <w:t xml:space="preserve">a favor </w:t>
      </w:r>
      <w:r w:rsidR="005B08CF" w:rsidRPr="00597454">
        <w:t xml:space="preserve">de la </w:t>
      </w:r>
      <w:r w:rsidR="00C3483B" w:rsidRPr="00597454">
        <w:t>señora Patricia Emilie Cuéllar Sandoval</w:t>
      </w:r>
      <w:r w:rsidR="009700FF">
        <w:t xml:space="preserve">. </w:t>
      </w:r>
      <w:r w:rsidR="00C17CB1">
        <w:t xml:space="preserve">Dicha cantidad deberá dividirse en partes iguales </w:t>
      </w:r>
      <w:r w:rsidR="00C17CB1" w:rsidRPr="00465F79">
        <w:t xml:space="preserve">entre </w:t>
      </w:r>
      <w:r w:rsidR="00E67032" w:rsidRPr="00E67032">
        <w:rPr>
          <w:rFonts w:cs="Arial"/>
          <w:lang w:val="es-MX"/>
        </w:rPr>
        <w:t xml:space="preserve">su </w:t>
      </w:r>
      <w:r w:rsidR="00597454" w:rsidRPr="00E67032">
        <w:rPr>
          <w:rFonts w:cs="Arial"/>
          <w:lang w:val="es-MX"/>
        </w:rPr>
        <w:t>exmarido</w:t>
      </w:r>
      <w:r w:rsidR="00E67032" w:rsidRPr="00E67032">
        <w:rPr>
          <w:rFonts w:cs="Arial"/>
          <w:lang w:val="es-MX"/>
        </w:rPr>
        <w:t xml:space="preserve"> y sus hijos, a saber:</w:t>
      </w:r>
      <w:r w:rsidR="00444E5F">
        <w:rPr>
          <w:rFonts w:cs="Arial"/>
          <w:lang w:val="es-MX"/>
        </w:rPr>
        <w:t xml:space="preserve"> </w:t>
      </w:r>
      <w:r w:rsidR="001D1439" w:rsidRPr="00E67032">
        <w:rPr>
          <w:rFonts w:cs="Arial"/>
          <w:lang w:val="es-MX"/>
        </w:rPr>
        <w:t xml:space="preserve">Francisco </w:t>
      </w:r>
      <w:r w:rsidR="00495015">
        <w:rPr>
          <w:rFonts w:cs="Arial"/>
          <w:lang w:val="es-MX"/>
        </w:rPr>
        <w:t xml:space="preserve">Alfredo </w:t>
      </w:r>
      <w:r w:rsidR="001D1439" w:rsidRPr="00E67032">
        <w:rPr>
          <w:rFonts w:cs="Arial"/>
          <w:lang w:val="es-MX"/>
        </w:rPr>
        <w:t>Álvarez</w:t>
      </w:r>
      <w:r w:rsidR="00495015">
        <w:rPr>
          <w:rFonts w:cs="Arial"/>
          <w:lang w:val="es-MX"/>
        </w:rPr>
        <w:t xml:space="preserve"> Solís</w:t>
      </w:r>
      <w:r w:rsidR="001D1439" w:rsidRPr="00E67032">
        <w:rPr>
          <w:rFonts w:cs="Arial"/>
          <w:lang w:val="es-MX"/>
        </w:rPr>
        <w:t xml:space="preserve">, </w:t>
      </w:r>
      <w:r w:rsidR="001D1439" w:rsidRPr="00465F79">
        <w:rPr>
          <w:lang w:eastAsia="es-ES_tradnl"/>
        </w:rPr>
        <w:t>Maite María Álvarez Cuéllar, Javier Ernesto Álvarez Cuéllar</w:t>
      </w:r>
      <w:r w:rsidR="00483E7E">
        <w:rPr>
          <w:lang w:eastAsia="es-ES_tradnl"/>
        </w:rPr>
        <w:t xml:space="preserve"> y </w:t>
      </w:r>
      <w:r w:rsidR="001D1439" w:rsidRPr="00465F79">
        <w:rPr>
          <w:lang w:eastAsia="es-ES_tradnl"/>
        </w:rPr>
        <w:t>Ana Gabriela Álvarez Cuéllar.</w:t>
      </w:r>
      <w:r w:rsidR="00ED1B1A">
        <w:rPr>
          <w:lang w:eastAsia="es-ES_tradnl"/>
        </w:rPr>
        <w:t xml:space="preserve"> </w:t>
      </w:r>
    </w:p>
    <w:p w14:paraId="6DB90983" w14:textId="77777777" w:rsidR="00963845" w:rsidRDefault="00963845" w:rsidP="00963845">
      <w:pPr>
        <w:widowControl/>
        <w:tabs>
          <w:tab w:val="left" w:pos="567"/>
        </w:tabs>
        <w:autoSpaceDE w:val="0"/>
        <w:autoSpaceDN w:val="0"/>
        <w:spacing w:line="240" w:lineRule="auto"/>
        <w:textAlignment w:val="baseline"/>
        <w:rPr>
          <w:lang w:eastAsia="es-ES_tradnl"/>
        </w:rPr>
      </w:pPr>
    </w:p>
    <w:p w14:paraId="5D276A9A" w14:textId="2DDCC814" w:rsidR="00C0144C" w:rsidRPr="00597454" w:rsidRDefault="00320A5F" w:rsidP="00F22286">
      <w:pPr>
        <w:widowControl/>
        <w:numPr>
          <w:ilvl w:val="0"/>
          <w:numId w:val="7"/>
        </w:numPr>
        <w:tabs>
          <w:tab w:val="left" w:pos="567"/>
          <w:tab w:val="num" w:pos="1569"/>
          <w:tab w:val="num" w:pos="12305"/>
        </w:tabs>
        <w:autoSpaceDE w:val="0"/>
        <w:autoSpaceDN w:val="0"/>
        <w:spacing w:line="240" w:lineRule="auto"/>
        <w:ind w:left="0" w:firstLine="0"/>
        <w:textAlignment w:val="baseline"/>
        <w:rPr>
          <w:lang w:eastAsia="es-ES_tradnl"/>
        </w:rPr>
      </w:pPr>
      <w:r w:rsidRPr="00597454">
        <w:t>Adicionalmente</w:t>
      </w:r>
      <w:r w:rsidR="006B6568" w:rsidRPr="00597454">
        <w:t>, la</w:t>
      </w:r>
      <w:r w:rsidR="006B6568" w:rsidRPr="00597454">
        <w:rPr>
          <w:spacing w:val="-16"/>
        </w:rPr>
        <w:t xml:space="preserve"> </w:t>
      </w:r>
      <w:r w:rsidR="006B6568" w:rsidRPr="00597454">
        <w:t>Corte</w:t>
      </w:r>
      <w:r w:rsidR="006B6568" w:rsidRPr="00597454">
        <w:rPr>
          <w:spacing w:val="-15"/>
        </w:rPr>
        <w:t xml:space="preserve"> </w:t>
      </w:r>
      <w:r w:rsidR="006B6568" w:rsidRPr="00597454">
        <w:t>estima</w:t>
      </w:r>
      <w:r w:rsidR="006B6568" w:rsidRPr="00597454">
        <w:rPr>
          <w:spacing w:val="-16"/>
        </w:rPr>
        <w:t xml:space="preserve"> </w:t>
      </w:r>
      <w:r w:rsidR="006B6568" w:rsidRPr="00597454">
        <w:t>pertinente</w:t>
      </w:r>
      <w:r w:rsidR="006B6568" w:rsidRPr="00597454">
        <w:rPr>
          <w:spacing w:val="-15"/>
        </w:rPr>
        <w:t xml:space="preserve"> </w:t>
      </w:r>
      <w:r w:rsidR="006B6568" w:rsidRPr="00597454">
        <w:t>fijar, en</w:t>
      </w:r>
      <w:r w:rsidR="006B6568" w:rsidRPr="00597454">
        <w:rPr>
          <w:spacing w:val="-9"/>
        </w:rPr>
        <w:t xml:space="preserve"> </w:t>
      </w:r>
      <w:r w:rsidR="006B6568" w:rsidRPr="00597454">
        <w:t>equidad,</w:t>
      </w:r>
      <w:r w:rsidR="006B6568" w:rsidRPr="00597454">
        <w:rPr>
          <w:spacing w:val="-11"/>
        </w:rPr>
        <w:t xml:space="preserve"> </w:t>
      </w:r>
      <w:r w:rsidR="006B6568" w:rsidRPr="00597454">
        <w:t>la</w:t>
      </w:r>
      <w:r w:rsidR="006B6568" w:rsidRPr="00597454">
        <w:rPr>
          <w:spacing w:val="-10"/>
        </w:rPr>
        <w:t xml:space="preserve"> </w:t>
      </w:r>
      <w:r w:rsidR="006B6568" w:rsidRPr="00597454">
        <w:t>cantidad</w:t>
      </w:r>
      <w:r w:rsidR="006B6568" w:rsidRPr="00597454">
        <w:rPr>
          <w:spacing w:val="-7"/>
        </w:rPr>
        <w:t xml:space="preserve"> </w:t>
      </w:r>
      <w:r w:rsidR="006B6568" w:rsidRPr="00597454">
        <w:t>de</w:t>
      </w:r>
      <w:r w:rsidR="006B6568" w:rsidRPr="00597454">
        <w:rPr>
          <w:spacing w:val="-12"/>
        </w:rPr>
        <w:t xml:space="preserve"> </w:t>
      </w:r>
      <w:r w:rsidR="006B6568" w:rsidRPr="00597454">
        <w:t>USD</w:t>
      </w:r>
      <w:r w:rsidR="006B6568" w:rsidRPr="00597454">
        <w:rPr>
          <w:spacing w:val="-10"/>
        </w:rPr>
        <w:t xml:space="preserve"> </w:t>
      </w:r>
      <w:r w:rsidR="006B6568" w:rsidRPr="00597454">
        <w:t>$40.000,00</w:t>
      </w:r>
      <w:r w:rsidR="006B6568" w:rsidRPr="00597454">
        <w:rPr>
          <w:spacing w:val="-10"/>
        </w:rPr>
        <w:t xml:space="preserve"> </w:t>
      </w:r>
      <w:r w:rsidR="006B6568" w:rsidRPr="00597454">
        <w:t>(cuarenta</w:t>
      </w:r>
      <w:r w:rsidR="006B6568" w:rsidRPr="00597454">
        <w:rPr>
          <w:spacing w:val="-12"/>
        </w:rPr>
        <w:t xml:space="preserve"> </w:t>
      </w:r>
      <w:r w:rsidR="006B6568" w:rsidRPr="00597454">
        <w:t>mil</w:t>
      </w:r>
      <w:r w:rsidR="006B6568" w:rsidRPr="00597454">
        <w:rPr>
          <w:spacing w:val="-10"/>
        </w:rPr>
        <w:t xml:space="preserve"> </w:t>
      </w:r>
      <w:r w:rsidR="006B6568" w:rsidRPr="00597454">
        <w:t>dólares</w:t>
      </w:r>
      <w:r w:rsidR="006B6568" w:rsidRPr="00597454">
        <w:rPr>
          <w:spacing w:val="-11"/>
        </w:rPr>
        <w:t xml:space="preserve"> </w:t>
      </w:r>
      <w:r w:rsidR="006B6568" w:rsidRPr="00597454">
        <w:t>de</w:t>
      </w:r>
      <w:r w:rsidR="006B6568" w:rsidRPr="00597454">
        <w:rPr>
          <w:spacing w:val="-12"/>
        </w:rPr>
        <w:t xml:space="preserve"> </w:t>
      </w:r>
      <w:r w:rsidR="006B6568" w:rsidRPr="00597454">
        <w:t>los</w:t>
      </w:r>
      <w:r w:rsidR="006B6568" w:rsidRPr="00597454">
        <w:rPr>
          <w:spacing w:val="-11"/>
        </w:rPr>
        <w:t xml:space="preserve"> </w:t>
      </w:r>
      <w:r w:rsidR="006B6568" w:rsidRPr="00597454">
        <w:t>Estados</w:t>
      </w:r>
      <w:r w:rsidR="006B6568" w:rsidRPr="00597454">
        <w:rPr>
          <w:spacing w:val="-11"/>
        </w:rPr>
        <w:t xml:space="preserve"> </w:t>
      </w:r>
      <w:r w:rsidR="006B6568" w:rsidRPr="00597454">
        <w:t>Unidos</w:t>
      </w:r>
      <w:r w:rsidR="006B6568" w:rsidRPr="00597454">
        <w:rPr>
          <w:spacing w:val="-11"/>
        </w:rPr>
        <w:t xml:space="preserve"> </w:t>
      </w:r>
      <w:r w:rsidR="006B6568" w:rsidRPr="00597454">
        <w:t>de</w:t>
      </w:r>
      <w:r w:rsidR="006B6568" w:rsidRPr="00597454">
        <w:rPr>
          <w:spacing w:val="-12"/>
        </w:rPr>
        <w:t xml:space="preserve"> </w:t>
      </w:r>
      <w:r w:rsidR="006B6568" w:rsidRPr="00597454">
        <w:t>América) por concepto de pérdida de ingresos a favor del señor Mauricio Cuéllar Cuéllar</w:t>
      </w:r>
      <w:r w:rsidR="00413A51" w:rsidRPr="00597454">
        <w:t xml:space="preserve">. </w:t>
      </w:r>
      <w:r w:rsidR="00C17CB1" w:rsidRPr="00597454">
        <w:t xml:space="preserve">Dicha cantidad deberá dividirse en partes iguales entre </w:t>
      </w:r>
      <w:r w:rsidR="006B6568" w:rsidRPr="00597454">
        <w:rPr>
          <w:rFonts w:cs="Arial"/>
          <w:lang w:val="es-MX"/>
        </w:rPr>
        <w:t>entre</w:t>
      </w:r>
      <w:r w:rsidR="00E67032" w:rsidRPr="00597454">
        <w:rPr>
          <w:rFonts w:cs="Arial"/>
          <w:lang w:val="es-MX"/>
        </w:rPr>
        <w:t xml:space="preserve"> sus hermanos</w:t>
      </w:r>
      <w:r w:rsidR="001A58F3" w:rsidRPr="00597454">
        <w:rPr>
          <w:rFonts w:cs="Arial"/>
          <w:lang w:val="es-MX"/>
        </w:rPr>
        <w:t>, hijo</w:t>
      </w:r>
      <w:r w:rsidR="00E67032" w:rsidRPr="00597454">
        <w:rPr>
          <w:rFonts w:cs="Arial"/>
          <w:lang w:val="es-MX"/>
        </w:rPr>
        <w:t xml:space="preserve"> y nietos, a saber: </w:t>
      </w:r>
      <w:r w:rsidR="00E67032" w:rsidRPr="00597454">
        <w:rPr>
          <w:lang w:eastAsia="es-ES_tradnl"/>
        </w:rPr>
        <w:t xml:space="preserve">María Consuelo Cuéllar Cuéllar, </w:t>
      </w:r>
      <w:r w:rsidR="001A58F3" w:rsidRPr="00597454">
        <w:rPr>
          <w:lang w:eastAsia="es-ES_tradnl"/>
        </w:rPr>
        <w:t>Le</w:t>
      </w:r>
      <w:r w:rsidR="00791651" w:rsidRPr="00597454">
        <w:rPr>
          <w:lang w:eastAsia="es-ES_tradnl"/>
        </w:rPr>
        <w:t>ó</w:t>
      </w:r>
      <w:r w:rsidR="001A58F3" w:rsidRPr="00597454">
        <w:rPr>
          <w:lang w:eastAsia="es-ES_tradnl"/>
        </w:rPr>
        <w:t xml:space="preserve">n </w:t>
      </w:r>
      <w:r w:rsidR="00E67032" w:rsidRPr="00597454">
        <w:rPr>
          <w:lang w:eastAsia="es-ES_tradnl"/>
        </w:rPr>
        <w:t xml:space="preserve">Enrique Cuéllar Cuéllar, </w:t>
      </w:r>
      <w:r w:rsidR="001A58F3" w:rsidRPr="00597454">
        <w:rPr>
          <w:lang w:eastAsia="es-ES_tradnl"/>
        </w:rPr>
        <w:t xml:space="preserve">Mauricio Cuéllar Sandoval, </w:t>
      </w:r>
      <w:r w:rsidR="006B6568" w:rsidRPr="00597454">
        <w:rPr>
          <w:lang w:eastAsia="es-ES_tradnl"/>
        </w:rPr>
        <w:t>Maite María Álvarez Cuéllar, Javier Ernesto Álvarez Cuéllar</w:t>
      </w:r>
      <w:r w:rsidR="00E67032" w:rsidRPr="00597454">
        <w:rPr>
          <w:lang w:eastAsia="es-ES_tradnl"/>
        </w:rPr>
        <w:t xml:space="preserve"> y</w:t>
      </w:r>
      <w:r w:rsidR="006B6568" w:rsidRPr="00597454">
        <w:rPr>
          <w:lang w:eastAsia="es-ES_tradnl"/>
        </w:rPr>
        <w:t xml:space="preserve"> Ana Gabriela Álvarez Cuéllar</w:t>
      </w:r>
      <w:r w:rsidR="00E67032" w:rsidRPr="00597454">
        <w:rPr>
          <w:lang w:eastAsia="es-ES_tradnl"/>
        </w:rPr>
        <w:t>.</w:t>
      </w:r>
    </w:p>
    <w:p w14:paraId="5E269726" w14:textId="77777777" w:rsidR="00C0144C" w:rsidRDefault="00C0144C" w:rsidP="00C0144C">
      <w:pPr>
        <w:pStyle w:val="Prrafodelista"/>
        <w:rPr>
          <w:lang w:eastAsia="es-ES_tradnl"/>
        </w:rPr>
      </w:pPr>
    </w:p>
    <w:p w14:paraId="6D6E1993" w14:textId="5873BCC9" w:rsidR="001D1439" w:rsidRPr="00597454" w:rsidRDefault="006B6568" w:rsidP="005B08CF">
      <w:pPr>
        <w:widowControl/>
        <w:numPr>
          <w:ilvl w:val="0"/>
          <w:numId w:val="7"/>
        </w:numPr>
        <w:tabs>
          <w:tab w:val="left" w:pos="567"/>
          <w:tab w:val="num" w:pos="1569"/>
          <w:tab w:val="num" w:pos="12305"/>
        </w:tabs>
        <w:autoSpaceDE w:val="0"/>
        <w:autoSpaceDN w:val="0"/>
        <w:spacing w:line="240" w:lineRule="auto"/>
        <w:ind w:left="0" w:firstLine="0"/>
        <w:textAlignment w:val="baseline"/>
      </w:pPr>
      <w:r w:rsidRPr="00597454">
        <w:rPr>
          <w:lang w:eastAsia="es-ES_tradnl"/>
        </w:rPr>
        <w:t>Por último</w:t>
      </w:r>
      <w:r w:rsidR="001D1439" w:rsidRPr="00597454">
        <w:rPr>
          <w:lang w:eastAsia="es-ES_tradnl"/>
        </w:rPr>
        <w:t xml:space="preserve">, la Corte </w:t>
      </w:r>
      <w:r w:rsidR="00C0144C" w:rsidRPr="00597454">
        <w:rPr>
          <w:lang w:eastAsia="es-ES_tradnl"/>
        </w:rPr>
        <w:t xml:space="preserve">estima pertinente fijar, en equidad, la suma de </w:t>
      </w:r>
      <w:r w:rsidR="00C0144C" w:rsidRPr="00597454">
        <w:t>USD</w:t>
      </w:r>
      <w:r w:rsidR="00C0144C" w:rsidRPr="00597454">
        <w:rPr>
          <w:spacing w:val="-10"/>
        </w:rPr>
        <w:t xml:space="preserve"> </w:t>
      </w:r>
      <w:r w:rsidRPr="00597454">
        <w:t>$</w:t>
      </w:r>
      <w:r w:rsidR="006C0F1D" w:rsidRPr="00597454">
        <w:t>6</w:t>
      </w:r>
      <w:r w:rsidRPr="00597454">
        <w:t>0.000,00</w:t>
      </w:r>
      <w:r w:rsidRPr="00597454">
        <w:rPr>
          <w:spacing w:val="-10"/>
        </w:rPr>
        <w:t xml:space="preserve"> </w:t>
      </w:r>
      <w:r w:rsidRPr="00597454">
        <w:t>(</w:t>
      </w:r>
      <w:r w:rsidR="006C0F1D" w:rsidRPr="00597454">
        <w:t xml:space="preserve">sesenta </w:t>
      </w:r>
      <w:r w:rsidRPr="00597454">
        <w:t>mil</w:t>
      </w:r>
      <w:r w:rsidRPr="00597454">
        <w:rPr>
          <w:spacing w:val="-10"/>
        </w:rPr>
        <w:t xml:space="preserve"> </w:t>
      </w:r>
      <w:r w:rsidRPr="00597454">
        <w:t>dólares</w:t>
      </w:r>
      <w:r w:rsidRPr="00597454">
        <w:rPr>
          <w:spacing w:val="-11"/>
        </w:rPr>
        <w:t xml:space="preserve"> </w:t>
      </w:r>
      <w:r w:rsidRPr="00597454">
        <w:t>de</w:t>
      </w:r>
      <w:r w:rsidRPr="00597454">
        <w:rPr>
          <w:spacing w:val="-12"/>
        </w:rPr>
        <w:t xml:space="preserve"> </w:t>
      </w:r>
      <w:r w:rsidRPr="00597454">
        <w:t>los</w:t>
      </w:r>
      <w:r w:rsidRPr="00597454">
        <w:rPr>
          <w:spacing w:val="-11"/>
        </w:rPr>
        <w:t xml:space="preserve"> </w:t>
      </w:r>
      <w:r w:rsidRPr="00597454">
        <w:t>Estados</w:t>
      </w:r>
      <w:r w:rsidRPr="00597454">
        <w:rPr>
          <w:spacing w:val="-11"/>
        </w:rPr>
        <w:t xml:space="preserve"> </w:t>
      </w:r>
      <w:r w:rsidRPr="00597454">
        <w:t>Unidos</w:t>
      </w:r>
      <w:r w:rsidRPr="00597454">
        <w:rPr>
          <w:spacing w:val="-11"/>
        </w:rPr>
        <w:t xml:space="preserve"> </w:t>
      </w:r>
      <w:r w:rsidRPr="00597454">
        <w:t>de</w:t>
      </w:r>
      <w:r w:rsidRPr="00597454">
        <w:rPr>
          <w:spacing w:val="-12"/>
        </w:rPr>
        <w:t xml:space="preserve"> </w:t>
      </w:r>
      <w:r w:rsidRPr="00597454">
        <w:t>América)</w:t>
      </w:r>
      <w:r w:rsidR="00E67032" w:rsidRPr="00597454">
        <w:t xml:space="preserve"> por concepto de pérdida de ingresos</w:t>
      </w:r>
      <w:r w:rsidRPr="00597454">
        <w:t xml:space="preserve"> </w:t>
      </w:r>
      <w:r w:rsidR="00C3483B" w:rsidRPr="00597454">
        <w:t>a favor de la señora Julia Orbelina Pérez</w:t>
      </w:r>
      <w:r w:rsidR="00413A51" w:rsidRPr="00597454">
        <w:t xml:space="preserve">. </w:t>
      </w:r>
      <w:r w:rsidR="00C17CB1" w:rsidRPr="00597454">
        <w:t xml:space="preserve">Dicha cantidad deberá dividirse en partes iguales </w:t>
      </w:r>
      <w:r w:rsidR="00C3483B" w:rsidRPr="00597454">
        <w:t xml:space="preserve">entre su hermana e hija, </w:t>
      </w:r>
      <w:r w:rsidR="00E67032" w:rsidRPr="00597454">
        <w:t xml:space="preserve">a saber: </w:t>
      </w:r>
      <w:r w:rsidR="00C3483B" w:rsidRPr="00597454">
        <w:t>T</w:t>
      </w:r>
      <w:r w:rsidR="00C3483B" w:rsidRPr="00597454">
        <w:rPr>
          <w:lang w:eastAsia="es-ES_tradnl"/>
        </w:rPr>
        <w:t>eresa Pérez de Ramos y Ana</w:t>
      </w:r>
      <w:r w:rsidR="00157564" w:rsidRPr="00597454">
        <w:rPr>
          <w:lang w:eastAsia="es-ES_tradnl"/>
        </w:rPr>
        <w:t xml:space="preserve"> </w:t>
      </w:r>
      <w:r w:rsidR="00F01B69" w:rsidRPr="00597454">
        <w:rPr>
          <w:lang w:eastAsia="es-ES_tradnl"/>
        </w:rPr>
        <w:t>Gladis</w:t>
      </w:r>
      <w:r w:rsidR="00C3483B" w:rsidRPr="00597454">
        <w:rPr>
          <w:lang w:eastAsia="es-ES_tradnl"/>
        </w:rPr>
        <w:t xml:space="preserve"> </w:t>
      </w:r>
      <w:r w:rsidR="000B7B3C" w:rsidRPr="00597454">
        <w:rPr>
          <w:lang w:eastAsia="es-ES_tradnl"/>
        </w:rPr>
        <w:t>Pérez de Castro</w:t>
      </w:r>
      <w:r w:rsidR="00C3483B" w:rsidRPr="00597454">
        <w:rPr>
          <w:lang w:eastAsia="es-ES_tradnl"/>
        </w:rPr>
        <w:t>.</w:t>
      </w:r>
    </w:p>
    <w:p w14:paraId="3D80E933" w14:textId="77777777" w:rsidR="00616844" w:rsidRPr="00465F79" w:rsidRDefault="00616844" w:rsidP="00616844">
      <w:pPr>
        <w:widowControl/>
        <w:tabs>
          <w:tab w:val="left" w:pos="567"/>
        </w:tabs>
        <w:autoSpaceDE w:val="0"/>
        <w:autoSpaceDN w:val="0"/>
        <w:spacing w:line="240" w:lineRule="auto"/>
        <w:textAlignment w:val="baseline"/>
        <w:rPr>
          <w:rFonts w:cs="Arial"/>
        </w:rPr>
      </w:pPr>
    </w:p>
    <w:p w14:paraId="721849FD" w14:textId="262F1C16" w:rsidR="00644347" w:rsidRPr="00465F79" w:rsidRDefault="00616844" w:rsidP="00644347">
      <w:pPr>
        <w:widowControl/>
        <w:numPr>
          <w:ilvl w:val="0"/>
          <w:numId w:val="7"/>
        </w:numPr>
        <w:tabs>
          <w:tab w:val="left" w:pos="567"/>
          <w:tab w:val="num" w:pos="1569"/>
          <w:tab w:val="num" w:pos="12305"/>
        </w:tabs>
        <w:autoSpaceDE w:val="0"/>
        <w:autoSpaceDN w:val="0"/>
        <w:spacing w:line="240" w:lineRule="auto"/>
        <w:ind w:left="0" w:firstLine="0"/>
        <w:textAlignment w:val="baseline"/>
      </w:pPr>
      <w:r w:rsidRPr="00465F79">
        <w:t xml:space="preserve">En el caso de las víctimas </w:t>
      </w:r>
      <w:r w:rsidRPr="00465F79">
        <w:rPr>
          <w:lang w:eastAsia="es-ES_tradnl"/>
        </w:rPr>
        <w:t>María Consuelo Cuéllar Cuéllar,</w:t>
      </w:r>
      <w:r w:rsidR="00791651">
        <w:rPr>
          <w:lang w:eastAsia="es-ES_tradnl"/>
        </w:rPr>
        <w:t xml:space="preserve"> León </w:t>
      </w:r>
      <w:r w:rsidRPr="00465F79">
        <w:rPr>
          <w:lang w:eastAsia="es-ES_tradnl"/>
        </w:rPr>
        <w:t xml:space="preserve">Enrique Cuéllar Cuéllar y Teresa Pérez de Ramos, quienes han fallecido, </w:t>
      </w:r>
      <w:r w:rsidRPr="00465F79">
        <w:t xml:space="preserve">la suma por daño material deberá ser </w:t>
      </w:r>
      <w:r w:rsidRPr="00465F79">
        <w:rPr>
          <w:bCs/>
          <w:lang w:val="es-ES"/>
        </w:rPr>
        <w:t>entregada a sus derechohabientes en los términos previstos por el régimen legal de sucesiones vigente en El Salvador.</w:t>
      </w:r>
      <w:r w:rsidR="00C3483B" w:rsidRPr="00465F79">
        <w:rPr>
          <w:bCs/>
          <w:lang w:val="es-ES"/>
        </w:rPr>
        <w:t xml:space="preserve"> </w:t>
      </w:r>
    </w:p>
    <w:p w14:paraId="79DB669D" w14:textId="77777777" w:rsidR="00644347" w:rsidRPr="00465F79" w:rsidRDefault="00644347" w:rsidP="0017279F">
      <w:pPr>
        <w:spacing w:line="240" w:lineRule="auto"/>
        <w:rPr>
          <w:b/>
          <w:bCs/>
          <w:highlight w:val="yellow"/>
        </w:rPr>
      </w:pPr>
    </w:p>
    <w:p w14:paraId="377B419E" w14:textId="1BAAA7DD" w:rsidR="00644347" w:rsidRPr="00465F79" w:rsidRDefault="000423F9" w:rsidP="000423F9">
      <w:pPr>
        <w:pStyle w:val="Ttulo3"/>
      </w:pPr>
      <w:r w:rsidRPr="00465F79">
        <w:tab/>
      </w:r>
      <w:bookmarkStart w:id="164" w:name="_Toc165022643"/>
      <w:r w:rsidR="00A913AE">
        <w:t>G</w:t>
      </w:r>
      <w:r w:rsidR="00644347" w:rsidRPr="00465F79">
        <w:t>.</w:t>
      </w:r>
      <w:r w:rsidRPr="00465F79">
        <w:t>2</w:t>
      </w:r>
      <w:r w:rsidR="00644347" w:rsidRPr="00465F79">
        <w:t>. Daño inmaterial</w:t>
      </w:r>
      <w:bookmarkEnd w:id="164"/>
      <w:r w:rsidR="004E0487" w:rsidRPr="00465F79">
        <w:t xml:space="preserve"> </w:t>
      </w:r>
    </w:p>
    <w:p w14:paraId="015AA230" w14:textId="77777777" w:rsidR="00005785" w:rsidRPr="00465F79" w:rsidRDefault="00005785" w:rsidP="0017279F">
      <w:pPr>
        <w:spacing w:line="240" w:lineRule="auto"/>
        <w:rPr>
          <w:b/>
          <w:bCs/>
          <w:highlight w:val="yellow"/>
        </w:rPr>
      </w:pPr>
    </w:p>
    <w:p w14:paraId="241421E9" w14:textId="3E062849" w:rsidR="00C057DD" w:rsidRPr="00465F79" w:rsidRDefault="00005785" w:rsidP="00A50189">
      <w:pPr>
        <w:widowControl/>
        <w:numPr>
          <w:ilvl w:val="0"/>
          <w:numId w:val="7"/>
        </w:numPr>
        <w:tabs>
          <w:tab w:val="left" w:pos="567"/>
          <w:tab w:val="num" w:pos="1569"/>
          <w:tab w:val="num" w:pos="12305"/>
        </w:tabs>
        <w:autoSpaceDE w:val="0"/>
        <w:autoSpaceDN w:val="0"/>
        <w:spacing w:line="240" w:lineRule="auto"/>
        <w:ind w:left="0" w:firstLine="0"/>
        <w:textAlignment w:val="baseline"/>
      </w:pPr>
      <w:r w:rsidRPr="00465F79">
        <w:t xml:space="preserve">La Corte </w:t>
      </w:r>
      <w:r w:rsidR="00C057DD" w:rsidRPr="00465F79">
        <w:t xml:space="preserve">ha establecido en su jurisprudencia que el daño inmaterial “puede comprender tanto los sufrimientos y las aflicciones causados por la violación como el menoscabo de valores muy significativos para las personas y cualquier alteración, de carácter no pecuniario, en las condiciones de existencia de las víctimas”. Por otra parte, dado que no es posible asignar al daño inmaterial un equivalente monetario preciso, sólo </w:t>
      </w:r>
      <w:r w:rsidR="00C057DD" w:rsidRPr="00465F79">
        <w:lastRenderedPageBreak/>
        <w:t>puede ser objeto de compensación, para los fines de la reparación integral a la víctima, mediante el pago de una cantidad de dinero o la entrega de bienes o servicios apreciables en dinero, que el Tribunal determine en aplicación razonable del arbitrio judicial y en términos de equidad</w:t>
      </w:r>
      <w:r w:rsidR="00C057DD" w:rsidRPr="00465F79">
        <w:rPr>
          <w:rStyle w:val="Refdenotaalpie"/>
        </w:rPr>
        <w:footnoteReference w:id="196"/>
      </w:r>
      <w:r w:rsidR="00C057DD" w:rsidRPr="00465F79">
        <w:t>.</w:t>
      </w:r>
      <w:r w:rsidR="004E0487" w:rsidRPr="00465F79">
        <w:t xml:space="preserve"> </w:t>
      </w:r>
    </w:p>
    <w:p w14:paraId="2D59C9BB" w14:textId="77777777" w:rsidR="00C057DD" w:rsidRPr="00465F79" w:rsidRDefault="00C057DD" w:rsidP="00C057DD">
      <w:pPr>
        <w:widowControl/>
        <w:tabs>
          <w:tab w:val="left" w:pos="567"/>
        </w:tabs>
        <w:autoSpaceDE w:val="0"/>
        <w:autoSpaceDN w:val="0"/>
        <w:spacing w:line="240" w:lineRule="auto"/>
        <w:textAlignment w:val="baseline"/>
      </w:pPr>
    </w:p>
    <w:p w14:paraId="7DAB0AC6" w14:textId="245E838C" w:rsidR="00C3483B" w:rsidRPr="00597454" w:rsidRDefault="0021617F" w:rsidP="00C3483B">
      <w:pPr>
        <w:widowControl/>
        <w:numPr>
          <w:ilvl w:val="0"/>
          <w:numId w:val="7"/>
        </w:numPr>
        <w:tabs>
          <w:tab w:val="left" w:pos="567"/>
          <w:tab w:val="num" w:pos="1569"/>
          <w:tab w:val="num" w:pos="12305"/>
        </w:tabs>
        <w:autoSpaceDE w:val="0"/>
        <w:autoSpaceDN w:val="0"/>
        <w:spacing w:line="240" w:lineRule="auto"/>
        <w:ind w:left="0" w:firstLine="0"/>
        <w:textAlignment w:val="baseline"/>
      </w:pPr>
      <w:r w:rsidRPr="00597454">
        <w:t>En primer lugar, tomando en cuenta las indemnizaciones ordenadas por la Corte Interamericana en otros casos sobre desaparición forzada de personas, las circunstancias del presente</w:t>
      </w:r>
      <w:r w:rsidRPr="00597454">
        <w:rPr>
          <w:spacing w:val="-11"/>
        </w:rPr>
        <w:t xml:space="preserve"> </w:t>
      </w:r>
      <w:r w:rsidRPr="00597454">
        <w:t>caso,</w:t>
      </w:r>
      <w:r w:rsidRPr="00597454">
        <w:rPr>
          <w:spacing w:val="-13"/>
        </w:rPr>
        <w:t xml:space="preserve"> </w:t>
      </w:r>
      <w:r w:rsidRPr="00597454">
        <w:t>las</w:t>
      </w:r>
      <w:r w:rsidRPr="00597454">
        <w:rPr>
          <w:spacing w:val="-11"/>
        </w:rPr>
        <w:t xml:space="preserve"> </w:t>
      </w:r>
      <w:r w:rsidRPr="00597454">
        <w:t>violaciones</w:t>
      </w:r>
      <w:r w:rsidRPr="00597454">
        <w:rPr>
          <w:spacing w:val="-11"/>
        </w:rPr>
        <w:t xml:space="preserve"> </w:t>
      </w:r>
      <w:r w:rsidRPr="00597454">
        <w:t>cometidas,</w:t>
      </w:r>
      <w:r w:rsidRPr="00597454">
        <w:rPr>
          <w:spacing w:val="-11"/>
        </w:rPr>
        <w:t xml:space="preserve"> </w:t>
      </w:r>
      <w:r w:rsidRPr="00597454">
        <w:t>los</w:t>
      </w:r>
      <w:r w:rsidRPr="00597454">
        <w:rPr>
          <w:spacing w:val="-11"/>
        </w:rPr>
        <w:t xml:space="preserve"> </w:t>
      </w:r>
      <w:r w:rsidRPr="00597454">
        <w:t>sufrimientos</w:t>
      </w:r>
      <w:r w:rsidRPr="00597454">
        <w:rPr>
          <w:spacing w:val="-11"/>
        </w:rPr>
        <w:t xml:space="preserve"> </w:t>
      </w:r>
      <w:r w:rsidRPr="00597454">
        <w:t>ocasionados</w:t>
      </w:r>
      <w:r w:rsidRPr="00597454">
        <w:rPr>
          <w:spacing w:val="-2"/>
        </w:rPr>
        <w:t xml:space="preserve"> </w:t>
      </w:r>
      <w:r w:rsidRPr="00597454">
        <w:t>y</w:t>
      </w:r>
      <w:r w:rsidRPr="00597454">
        <w:rPr>
          <w:spacing w:val="-10"/>
        </w:rPr>
        <w:t xml:space="preserve"> </w:t>
      </w:r>
      <w:r w:rsidRPr="00597454">
        <w:t>el</w:t>
      </w:r>
      <w:r w:rsidRPr="00597454">
        <w:rPr>
          <w:spacing w:val="-10"/>
        </w:rPr>
        <w:t xml:space="preserve"> </w:t>
      </w:r>
      <w:r w:rsidRPr="00597454">
        <w:t>tiempo</w:t>
      </w:r>
      <w:r w:rsidRPr="00597454">
        <w:rPr>
          <w:spacing w:val="-13"/>
        </w:rPr>
        <w:t xml:space="preserve"> </w:t>
      </w:r>
      <w:r w:rsidRPr="00597454">
        <w:t>transcurrido,</w:t>
      </w:r>
      <w:r w:rsidRPr="00597454">
        <w:rPr>
          <w:spacing w:val="-10"/>
        </w:rPr>
        <w:t xml:space="preserve"> </w:t>
      </w:r>
      <w:r w:rsidRPr="00597454">
        <w:t>la Corte</w:t>
      </w:r>
      <w:r w:rsidRPr="00597454">
        <w:rPr>
          <w:spacing w:val="-4"/>
        </w:rPr>
        <w:t xml:space="preserve"> </w:t>
      </w:r>
      <w:r w:rsidRPr="00597454">
        <w:t>estima</w:t>
      </w:r>
      <w:r w:rsidRPr="00597454">
        <w:rPr>
          <w:spacing w:val="-5"/>
        </w:rPr>
        <w:t xml:space="preserve"> </w:t>
      </w:r>
      <w:r w:rsidRPr="00597454">
        <w:t>pertinente</w:t>
      </w:r>
      <w:r w:rsidRPr="00597454">
        <w:rPr>
          <w:spacing w:val="-2"/>
        </w:rPr>
        <w:t xml:space="preserve"> </w:t>
      </w:r>
      <w:r w:rsidRPr="00597454">
        <w:t>fijar,</w:t>
      </w:r>
      <w:r w:rsidRPr="00597454">
        <w:rPr>
          <w:spacing w:val="-4"/>
        </w:rPr>
        <w:t xml:space="preserve"> </w:t>
      </w:r>
      <w:r w:rsidRPr="00597454">
        <w:t>en</w:t>
      </w:r>
      <w:r w:rsidRPr="00597454">
        <w:rPr>
          <w:spacing w:val="-2"/>
        </w:rPr>
        <w:t xml:space="preserve"> </w:t>
      </w:r>
      <w:r w:rsidRPr="00597454">
        <w:t>equidad,</w:t>
      </w:r>
      <w:r w:rsidRPr="00597454">
        <w:rPr>
          <w:spacing w:val="-6"/>
        </w:rPr>
        <w:t xml:space="preserve"> </w:t>
      </w:r>
      <w:r w:rsidRPr="00597454">
        <w:t>la</w:t>
      </w:r>
      <w:r w:rsidRPr="00597454">
        <w:rPr>
          <w:spacing w:val="-3"/>
        </w:rPr>
        <w:t xml:space="preserve"> </w:t>
      </w:r>
      <w:r w:rsidRPr="00597454">
        <w:t>cantidad</w:t>
      </w:r>
      <w:r w:rsidRPr="00597454">
        <w:rPr>
          <w:spacing w:val="-5"/>
        </w:rPr>
        <w:t xml:space="preserve"> </w:t>
      </w:r>
      <w:r w:rsidRPr="00597454">
        <w:t>de</w:t>
      </w:r>
      <w:r w:rsidRPr="00597454">
        <w:rPr>
          <w:spacing w:val="-7"/>
        </w:rPr>
        <w:t xml:space="preserve"> </w:t>
      </w:r>
      <w:r w:rsidRPr="00597454">
        <w:t>USD</w:t>
      </w:r>
      <w:r w:rsidRPr="00597454">
        <w:rPr>
          <w:spacing w:val="-5"/>
        </w:rPr>
        <w:t xml:space="preserve"> </w:t>
      </w:r>
      <w:r w:rsidRPr="00597454">
        <w:t>$</w:t>
      </w:r>
      <w:r w:rsidR="00320A5F" w:rsidRPr="00597454">
        <w:t>80</w:t>
      </w:r>
      <w:r w:rsidRPr="00597454">
        <w:t>.000,00</w:t>
      </w:r>
      <w:r w:rsidRPr="00597454">
        <w:rPr>
          <w:spacing w:val="-5"/>
        </w:rPr>
        <w:t xml:space="preserve"> </w:t>
      </w:r>
      <w:r w:rsidRPr="00597454">
        <w:t>(</w:t>
      </w:r>
      <w:r w:rsidR="00320A5F" w:rsidRPr="00597454">
        <w:t>ochenta</w:t>
      </w:r>
      <w:r w:rsidRPr="00597454">
        <w:rPr>
          <w:spacing w:val="-4"/>
        </w:rPr>
        <w:t xml:space="preserve"> </w:t>
      </w:r>
      <w:r w:rsidRPr="00597454">
        <w:t>mil</w:t>
      </w:r>
      <w:r w:rsidRPr="00597454">
        <w:rPr>
          <w:spacing w:val="-3"/>
        </w:rPr>
        <w:t xml:space="preserve"> </w:t>
      </w:r>
      <w:r w:rsidRPr="00597454">
        <w:t>dólares</w:t>
      </w:r>
      <w:r w:rsidRPr="00597454">
        <w:rPr>
          <w:spacing w:val="-6"/>
        </w:rPr>
        <w:t xml:space="preserve"> </w:t>
      </w:r>
      <w:r w:rsidRPr="00597454">
        <w:t xml:space="preserve">de los Estados Unidos de América) a favor de cada una de las víctimas desaparecidas, </w:t>
      </w:r>
      <w:r w:rsidRPr="00597454">
        <w:rPr>
          <w:rFonts w:cs="Arial"/>
        </w:rPr>
        <w:t>Patrici</w:t>
      </w:r>
      <w:r w:rsidR="00495015" w:rsidRPr="00597454">
        <w:rPr>
          <w:rFonts w:cs="Arial"/>
        </w:rPr>
        <w:t>a</w:t>
      </w:r>
      <w:r w:rsidRPr="00597454">
        <w:rPr>
          <w:rFonts w:cs="Arial"/>
        </w:rPr>
        <w:t xml:space="preserve"> Emilie Cuéllar Sandoval, Mauricio Cuéllar Cuéllar y Julia Orbelina Pérez</w:t>
      </w:r>
      <w:r w:rsidR="003C2EFF" w:rsidRPr="00597454">
        <w:rPr>
          <w:rFonts w:cs="Arial"/>
        </w:rPr>
        <w:t xml:space="preserve"> por concepto de daño inmaterial</w:t>
      </w:r>
      <w:r w:rsidR="00C3483B" w:rsidRPr="00597454">
        <w:rPr>
          <w:rFonts w:cs="Arial"/>
        </w:rPr>
        <w:t xml:space="preserve">. La suma correspondiente a la señora Cuéllar Sandoval </w:t>
      </w:r>
      <w:r w:rsidR="00C3483B" w:rsidRPr="00597454">
        <w:rPr>
          <w:rFonts w:cs="Arial"/>
          <w:lang w:val="es-MX"/>
        </w:rPr>
        <w:t xml:space="preserve">deberá ser repartida en partes iguales entre </w:t>
      </w:r>
      <w:r w:rsidR="00BD66AD" w:rsidRPr="00597454">
        <w:rPr>
          <w:rFonts w:cs="Arial"/>
          <w:lang w:val="es-MX"/>
        </w:rPr>
        <w:t xml:space="preserve">su exmarido, </w:t>
      </w:r>
      <w:r w:rsidR="00C3483B" w:rsidRPr="00597454">
        <w:rPr>
          <w:rFonts w:cs="Arial"/>
          <w:lang w:val="es-MX"/>
        </w:rPr>
        <w:t>Francisco</w:t>
      </w:r>
      <w:r w:rsidR="00495015" w:rsidRPr="00597454">
        <w:rPr>
          <w:rFonts w:cs="Arial"/>
          <w:lang w:val="es-MX"/>
        </w:rPr>
        <w:t xml:space="preserve"> Alfredo</w:t>
      </w:r>
      <w:r w:rsidR="00C3483B" w:rsidRPr="00597454">
        <w:rPr>
          <w:rFonts w:cs="Arial"/>
          <w:lang w:val="es-MX"/>
        </w:rPr>
        <w:t xml:space="preserve"> Álvarez </w:t>
      </w:r>
      <w:r w:rsidR="00495015" w:rsidRPr="00597454">
        <w:rPr>
          <w:rFonts w:cs="Arial"/>
          <w:lang w:val="es-MX"/>
        </w:rPr>
        <w:t>Solís</w:t>
      </w:r>
      <w:r w:rsidR="00C3483B" w:rsidRPr="00597454">
        <w:rPr>
          <w:rFonts w:cs="Arial"/>
          <w:lang w:val="es-MX"/>
        </w:rPr>
        <w:t>,</w:t>
      </w:r>
      <w:r w:rsidR="00BD66AD" w:rsidRPr="00597454">
        <w:rPr>
          <w:rFonts w:cs="Arial"/>
          <w:lang w:val="es-MX"/>
        </w:rPr>
        <w:t xml:space="preserve"> y sus hijos</w:t>
      </w:r>
      <w:r w:rsidR="00C3483B" w:rsidRPr="00597454">
        <w:rPr>
          <w:rFonts w:cs="Arial"/>
          <w:lang w:val="es-MX"/>
        </w:rPr>
        <w:t xml:space="preserve"> </w:t>
      </w:r>
      <w:r w:rsidR="00C3483B" w:rsidRPr="00597454">
        <w:rPr>
          <w:lang w:eastAsia="es-ES_tradnl"/>
        </w:rPr>
        <w:t xml:space="preserve">Maite María Álvarez Cuéllar, Javier Ernesto Álvarez Cuéllar, Ana Gabriela Álvarez Cuéllar. Asimismo, la suma </w:t>
      </w:r>
      <w:r w:rsidR="00BD66AD" w:rsidRPr="00597454">
        <w:rPr>
          <w:lang w:eastAsia="es-ES_tradnl"/>
        </w:rPr>
        <w:t>correspondiente</w:t>
      </w:r>
      <w:r w:rsidR="00C3483B" w:rsidRPr="00597454">
        <w:rPr>
          <w:lang w:eastAsia="es-ES_tradnl"/>
        </w:rPr>
        <w:t xml:space="preserve"> al señor Mauricio Cuéllar Cuéllar</w:t>
      </w:r>
      <w:r w:rsidR="00495015" w:rsidRPr="00597454">
        <w:rPr>
          <w:lang w:eastAsia="es-ES_tradnl"/>
        </w:rPr>
        <w:t>,</w:t>
      </w:r>
      <w:r w:rsidR="00C3483B" w:rsidRPr="00597454">
        <w:rPr>
          <w:lang w:eastAsia="es-ES_tradnl"/>
        </w:rPr>
        <w:t xml:space="preserve"> </w:t>
      </w:r>
      <w:r w:rsidR="00495015" w:rsidRPr="00597454">
        <w:rPr>
          <w:rFonts w:cs="Arial"/>
          <w:lang w:val="es-MX"/>
        </w:rPr>
        <w:t xml:space="preserve">suma que deberá ser repartida en partes iguales entre sus hermanos, hijo y nietos, a saber: </w:t>
      </w:r>
      <w:r w:rsidR="00495015" w:rsidRPr="00597454">
        <w:rPr>
          <w:lang w:eastAsia="es-ES_tradnl"/>
        </w:rPr>
        <w:t>María Consuelo Cuéllar Cuéllar, Le</w:t>
      </w:r>
      <w:r w:rsidR="00791651" w:rsidRPr="00597454">
        <w:rPr>
          <w:lang w:eastAsia="es-ES_tradnl"/>
        </w:rPr>
        <w:t>ó</w:t>
      </w:r>
      <w:r w:rsidR="00495015" w:rsidRPr="00597454">
        <w:rPr>
          <w:lang w:eastAsia="es-ES_tradnl"/>
        </w:rPr>
        <w:t>n Enrique Cuéllar Cuéllar, Mauricio Cuéllar Sandoval, Maite María Álvarez Cuéllar, Javier Ernesto Álvarez Cuéllar y Ana Gabriela Álvarez Cuéllar</w:t>
      </w:r>
      <w:r w:rsidR="00C3483B" w:rsidRPr="00597454">
        <w:rPr>
          <w:lang w:eastAsia="es-ES_tradnl"/>
        </w:rPr>
        <w:t xml:space="preserve">. Finalmente, la suma correspondiente a </w:t>
      </w:r>
      <w:r w:rsidR="00C3483B" w:rsidRPr="00597454">
        <w:rPr>
          <w:rFonts w:cs="Arial"/>
        </w:rPr>
        <w:t xml:space="preserve">Julia Orbelina Pérez deberá </w:t>
      </w:r>
      <w:r w:rsidR="00C3483B" w:rsidRPr="00597454">
        <w:t>ser repartida en partes iguales entre su hermana e hija, T</w:t>
      </w:r>
      <w:r w:rsidR="00C3483B" w:rsidRPr="00597454">
        <w:rPr>
          <w:lang w:eastAsia="es-ES_tradnl"/>
        </w:rPr>
        <w:t xml:space="preserve">eresa Pérez de Ramos y Ana </w:t>
      </w:r>
      <w:r w:rsidR="00F01B69" w:rsidRPr="00597454">
        <w:rPr>
          <w:lang w:eastAsia="es-ES_tradnl"/>
        </w:rPr>
        <w:t>Gladis</w:t>
      </w:r>
      <w:r w:rsidR="00C3483B" w:rsidRPr="00597454">
        <w:rPr>
          <w:lang w:eastAsia="es-ES_tradnl"/>
        </w:rPr>
        <w:t xml:space="preserve"> </w:t>
      </w:r>
      <w:r w:rsidR="000B7B3C" w:rsidRPr="00597454">
        <w:rPr>
          <w:lang w:eastAsia="es-ES_tradnl"/>
        </w:rPr>
        <w:t>Pérez de Castro</w:t>
      </w:r>
      <w:r w:rsidR="00C3483B" w:rsidRPr="00597454">
        <w:rPr>
          <w:lang w:eastAsia="es-ES_tradnl"/>
        </w:rPr>
        <w:t>.</w:t>
      </w:r>
    </w:p>
    <w:p w14:paraId="30CD2646" w14:textId="77777777" w:rsidR="0021617F" w:rsidRPr="00465F79" w:rsidRDefault="0021617F" w:rsidP="0021617F">
      <w:pPr>
        <w:widowControl/>
        <w:tabs>
          <w:tab w:val="left" w:pos="567"/>
        </w:tabs>
        <w:autoSpaceDE w:val="0"/>
        <w:autoSpaceDN w:val="0"/>
        <w:spacing w:line="240" w:lineRule="auto"/>
        <w:textAlignment w:val="baseline"/>
      </w:pPr>
    </w:p>
    <w:p w14:paraId="4FE5AB68" w14:textId="77777777" w:rsidR="00BD66AD" w:rsidRDefault="00C3483B" w:rsidP="00A50189">
      <w:pPr>
        <w:widowControl/>
        <w:numPr>
          <w:ilvl w:val="0"/>
          <w:numId w:val="7"/>
        </w:numPr>
        <w:tabs>
          <w:tab w:val="left" w:pos="567"/>
          <w:tab w:val="num" w:pos="1569"/>
          <w:tab w:val="num" w:pos="12305"/>
        </w:tabs>
        <w:autoSpaceDE w:val="0"/>
        <w:autoSpaceDN w:val="0"/>
        <w:spacing w:line="240" w:lineRule="auto"/>
        <w:ind w:left="0" w:firstLine="0"/>
        <w:textAlignment w:val="baseline"/>
      </w:pPr>
      <w:r w:rsidRPr="00465F79">
        <w:t>Adicionalmente</w:t>
      </w:r>
      <w:r w:rsidR="0021617F" w:rsidRPr="00465F79">
        <w:t xml:space="preserve">, </w:t>
      </w:r>
      <w:r w:rsidR="00557BA3">
        <w:t xml:space="preserve">la Corte ordena las siguientes indemnizaciones a favor de los familiares de las víctimas de desaparición forzada en concepto de daño inmaterial </w:t>
      </w:r>
      <w:r w:rsidR="00915A64">
        <w:t xml:space="preserve">sufrido directamente </w:t>
      </w:r>
      <w:r w:rsidR="00557BA3">
        <w:t xml:space="preserve">por las violaciones a la Convención Americana declaradas en su perjuicio en el capítulo VII-3 de la presente Sentencia: </w:t>
      </w:r>
    </w:p>
    <w:p w14:paraId="2853C7CB" w14:textId="77777777" w:rsidR="00963845" w:rsidRPr="00963845" w:rsidRDefault="00963845" w:rsidP="00963845">
      <w:pPr>
        <w:pStyle w:val="Prrafodelista"/>
        <w:widowControl/>
        <w:tabs>
          <w:tab w:val="left" w:pos="567"/>
        </w:tabs>
        <w:autoSpaceDE w:val="0"/>
        <w:autoSpaceDN w:val="0"/>
        <w:spacing w:line="240" w:lineRule="auto"/>
        <w:ind w:left="1080"/>
        <w:textAlignment w:val="baseline"/>
        <w:rPr>
          <w:rFonts w:cs="Arial"/>
        </w:rPr>
      </w:pPr>
    </w:p>
    <w:p w14:paraId="594A3002" w14:textId="0B073294" w:rsidR="00DA3CEF" w:rsidRDefault="00557BA3" w:rsidP="00766F26">
      <w:pPr>
        <w:pStyle w:val="Prrafodelista"/>
        <w:widowControl/>
        <w:numPr>
          <w:ilvl w:val="0"/>
          <w:numId w:val="18"/>
        </w:numPr>
        <w:tabs>
          <w:tab w:val="left" w:pos="567"/>
        </w:tabs>
        <w:autoSpaceDE w:val="0"/>
        <w:autoSpaceDN w:val="0"/>
        <w:spacing w:line="240" w:lineRule="auto"/>
        <w:textAlignment w:val="baseline"/>
        <w:rPr>
          <w:rFonts w:cs="Arial"/>
        </w:rPr>
      </w:pPr>
      <w:r>
        <w:t xml:space="preserve">la suma </w:t>
      </w:r>
      <w:r w:rsidRPr="00597454">
        <w:t>de</w:t>
      </w:r>
      <w:r w:rsidR="0021617F" w:rsidRPr="00597454">
        <w:rPr>
          <w:spacing w:val="-7"/>
        </w:rPr>
        <w:t xml:space="preserve"> </w:t>
      </w:r>
      <w:r w:rsidR="0021617F" w:rsidRPr="00597454">
        <w:t>USD</w:t>
      </w:r>
      <w:r w:rsidR="0021617F" w:rsidRPr="00597454">
        <w:rPr>
          <w:spacing w:val="-5"/>
        </w:rPr>
        <w:t xml:space="preserve"> </w:t>
      </w:r>
      <w:r w:rsidR="0021617F" w:rsidRPr="00597454">
        <w:t>$</w:t>
      </w:r>
      <w:r w:rsidR="00320A5F" w:rsidRPr="00597454">
        <w:t>45</w:t>
      </w:r>
      <w:r w:rsidR="0021617F" w:rsidRPr="00597454">
        <w:t>.000,00</w:t>
      </w:r>
      <w:r w:rsidR="0021617F" w:rsidRPr="00597454">
        <w:rPr>
          <w:spacing w:val="-5"/>
        </w:rPr>
        <w:t xml:space="preserve"> </w:t>
      </w:r>
      <w:r w:rsidR="0021617F" w:rsidRPr="00597454">
        <w:t>(</w:t>
      </w:r>
      <w:r w:rsidR="00320A5F" w:rsidRPr="00597454">
        <w:t>cuarenta y cinco</w:t>
      </w:r>
      <w:r w:rsidR="0021617F" w:rsidRPr="00597454">
        <w:rPr>
          <w:spacing w:val="-6"/>
        </w:rPr>
        <w:t xml:space="preserve"> </w:t>
      </w:r>
      <w:r w:rsidR="0021617F" w:rsidRPr="00597454">
        <w:t>mil</w:t>
      </w:r>
      <w:r w:rsidR="0021617F" w:rsidRPr="00597454">
        <w:rPr>
          <w:spacing w:val="-5"/>
        </w:rPr>
        <w:t xml:space="preserve"> </w:t>
      </w:r>
      <w:r w:rsidR="0021617F" w:rsidRPr="00597454">
        <w:t>dólares</w:t>
      </w:r>
      <w:r w:rsidR="0021617F" w:rsidRPr="00597454">
        <w:rPr>
          <w:spacing w:val="-6"/>
        </w:rPr>
        <w:t xml:space="preserve"> </w:t>
      </w:r>
      <w:r w:rsidR="0021617F" w:rsidRPr="00597454">
        <w:t>de</w:t>
      </w:r>
      <w:r w:rsidR="0021617F" w:rsidRPr="00597454">
        <w:rPr>
          <w:spacing w:val="-7"/>
        </w:rPr>
        <w:t xml:space="preserve"> </w:t>
      </w:r>
      <w:r w:rsidR="0021617F" w:rsidRPr="00597454">
        <w:t>los</w:t>
      </w:r>
      <w:r w:rsidR="0021617F" w:rsidRPr="00597454">
        <w:rPr>
          <w:spacing w:val="-6"/>
        </w:rPr>
        <w:t xml:space="preserve"> </w:t>
      </w:r>
      <w:r w:rsidR="0021617F" w:rsidRPr="00597454">
        <w:t>Estados</w:t>
      </w:r>
      <w:r w:rsidR="0021617F" w:rsidRPr="00597454">
        <w:rPr>
          <w:spacing w:val="-4"/>
        </w:rPr>
        <w:t xml:space="preserve"> </w:t>
      </w:r>
      <w:r w:rsidR="0021617F" w:rsidRPr="00597454">
        <w:t>Unidos</w:t>
      </w:r>
      <w:r w:rsidR="0021617F" w:rsidRPr="00597454">
        <w:rPr>
          <w:spacing w:val="-6"/>
        </w:rPr>
        <w:t xml:space="preserve"> </w:t>
      </w:r>
      <w:r w:rsidR="0021617F" w:rsidRPr="00597454">
        <w:t>de</w:t>
      </w:r>
      <w:r w:rsidR="0021617F" w:rsidRPr="00597454">
        <w:rPr>
          <w:spacing w:val="-7"/>
        </w:rPr>
        <w:t xml:space="preserve"> </w:t>
      </w:r>
      <w:r w:rsidR="0021617F" w:rsidRPr="00597454">
        <w:t>América)</w:t>
      </w:r>
      <w:r w:rsidR="0021617F" w:rsidRPr="00597454">
        <w:rPr>
          <w:spacing w:val="-3"/>
        </w:rPr>
        <w:t xml:space="preserve"> </w:t>
      </w:r>
      <w:r w:rsidR="0021617F" w:rsidRPr="00465F79">
        <w:t>para cada</w:t>
      </w:r>
      <w:r w:rsidR="0021617F" w:rsidRPr="00597454">
        <w:rPr>
          <w:spacing w:val="-2"/>
        </w:rPr>
        <w:t xml:space="preserve"> </w:t>
      </w:r>
      <w:r w:rsidR="0021617F" w:rsidRPr="00465F79">
        <w:t>uno</w:t>
      </w:r>
      <w:r w:rsidR="0021617F" w:rsidRPr="00597454">
        <w:rPr>
          <w:spacing w:val="-3"/>
        </w:rPr>
        <w:t xml:space="preserve"> </w:t>
      </w:r>
      <w:r w:rsidR="0021617F" w:rsidRPr="00465F79">
        <w:t>de</w:t>
      </w:r>
      <w:r w:rsidR="0021617F" w:rsidRPr="00597454">
        <w:rPr>
          <w:spacing w:val="-3"/>
        </w:rPr>
        <w:t xml:space="preserve"> </w:t>
      </w:r>
      <w:r w:rsidR="0021617F" w:rsidRPr="00465F79">
        <w:t xml:space="preserve">los </w:t>
      </w:r>
      <w:r w:rsidR="00B8180F" w:rsidRPr="00465F79">
        <w:t>hijos</w:t>
      </w:r>
      <w:r w:rsidR="0021617F" w:rsidRPr="00465F79">
        <w:t xml:space="preserve"> de </w:t>
      </w:r>
      <w:r w:rsidR="0021617F" w:rsidRPr="00597454">
        <w:rPr>
          <w:rFonts w:cs="Arial"/>
        </w:rPr>
        <w:t>Patrici</w:t>
      </w:r>
      <w:r w:rsidR="00BD66AD" w:rsidRPr="00597454">
        <w:rPr>
          <w:rFonts w:cs="Arial"/>
        </w:rPr>
        <w:t>a</w:t>
      </w:r>
      <w:r w:rsidR="0021617F" w:rsidRPr="00597454">
        <w:rPr>
          <w:rFonts w:cs="Arial"/>
        </w:rPr>
        <w:t xml:space="preserve"> Emilie Cuéllar Sandoval, </w:t>
      </w:r>
      <w:r w:rsidR="00B8180F" w:rsidRPr="00597454">
        <w:rPr>
          <w:rFonts w:cs="Arial"/>
        </w:rPr>
        <w:t xml:space="preserve">y para la hija de la señora Julia Orbelina Pérez, </w:t>
      </w:r>
      <w:r w:rsidR="00DA3CEF" w:rsidRPr="00597454">
        <w:rPr>
          <w:rFonts w:cs="Arial"/>
        </w:rPr>
        <w:t>a saber</w:t>
      </w:r>
      <w:r w:rsidR="00B8180F" w:rsidRPr="00597454">
        <w:rPr>
          <w:rFonts w:cs="Arial"/>
        </w:rPr>
        <w:t xml:space="preserve">, </w:t>
      </w:r>
      <w:r w:rsidR="00B8180F" w:rsidRPr="00465F79">
        <w:rPr>
          <w:lang w:eastAsia="es-ES_tradnl"/>
        </w:rPr>
        <w:t xml:space="preserve">Maite María Álvarez Cuéllar, Javier Ernesto Álvarez Cuéllar, Ana Gabriela Álvarez Cuéllar y </w:t>
      </w:r>
      <w:r w:rsidR="00B8180F" w:rsidRPr="00597454">
        <w:rPr>
          <w:rFonts w:cs="Arial"/>
        </w:rPr>
        <w:t xml:space="preserve">Ana </w:t>
      </w:r>
      <w:r w:rsidR="00F01B69" w:rsidRPr="00597454">
        <w:rPr>
          <w:rFonts w:cs="Arial"/>
        </w:rPr>
        <w:t>Gladis</w:t>
      </w:r>
      <w:r w:rsidR="00B8180F" w:rsidRPr="00597454">
        <w:rPr>
          <w:rFonts w:cs="Arial"/>
        </w:rPr>
        <w:t xml:space="preserve"> Pérez de Castro, respectivamente</w:t>
      </w:r>
      <w:r w:rsidRPr="00597454">
        <w:rPr>
          <w:rFonts w:cs="Arial"/>
        </w:rPr>
        <w:t xml:space="preserve">, así como para el hijo de Mauricio Cuéllar Cuéllar y hermano de Patricia </w:t>
      </w:r>
      <w:r w:rsidR="00791651" w:rsidRPr="00597454">
        <w:rPr>
          <w:rFonts w:cs="Arial"/>
        </w:rPr>
        <w:t xml:space="preserve">Emilie </w:t>
      </w:r>
      <w:r w:rsidRPr="00597454">
        <w:rPr>
          <w:rFonts w:cs="Arial"/>
        </w:rPr>
        <w:t xml:space="preserve">Cuéllar Sandoval, Mauricio Cuéllar Sandoval; </w:t>
      </w:r>
    </w:p>
    <w:p w14:paraId="7A5E66D2" w14:textId="77777777" w:rsidR="00597454" w:rsidRPr="00597454" w:rsidRDefault="00597454" w:rsidP="00597454">
      <w:pPr>
        <w:pStyle w:val="Prrafodelista"/>
        <w:widowControl/>
        <w:tabs>
          <w:tab w:val="left" w:pos="567"/>
        </w:tabs>
        <w:autoSpaceDE w:val="0"/>
        <w:autoSpaceDN w:val="0"/>
        <w:spacing w:line="240" w:lineRule="auto"/>
        <w:ind w:left="1080"/>
        <w:textAlignment w:val="baseline"/>
        <w:rPr>
          <w:rFonts w:cs="Arial"/>
        </w:rPr>
      </w:pPr>
    </w:p>
    <w:p w14:paraId="29CE8910" w14:textId="3D184262" w:rsidR="00BD66AD" w:rsidRPr="00597454" w:rsidRDefault="00B8180F" w:rsidP="00C64C63">
      <w:pPr>
        <w:pStyle w:val="Prrafodelista"/>
        <w:widowControl/>
        <w:numPr>
          <w:ilvl w:val="0"/>
          <w:numId w:val="18"/>
        </w:numPr>
        <w:tabs>
          <w:tab w:val="left" w:pos="567"/>
        </w:tabs>
        <w:autoSpaceDE w:val="0"/>
        <w:autoSpaceDN w:val="0"/>
        <w:spacing w:line="240" w:lineRule="auto"/>
        <w:textAlignment w:val="baseline"/>
      </w:pPr>
      <w:r w:rsidRPr="00597454">
        <w:rPr>
          <w:lang w:eastAsia="es-ES_tradnl"/>
        </w:rPr>
        <w:t xml:space="preserve">la suma de </w:t>
      </w:r>
      <w:r w:rsidRPr="00597454">
        <w:t>USD</w:t>
      </w:r>
      <w:r w:rsidRPr="00597454">
        <w:rPr>
          <w:spacing w:val="-5"/>
        </w:rPr>
        <w:t xml:space="preserve"> </w:t>
      </w:r>
      <w:r w:rsidRPr="00597454">
        <w:t>$</w:t>
      </w:r>
      <w:r w:rsidR="00557BA3" w:rsidRPr="00597454">
        <w:t>50</w:t>
      </w:r>
      <w:r w:rsidRPr="00597454">
        <w:t>.000,00</w:t>
      </w:r>
      <w:r w:rsidRPr="00597454">
        <w:rPr>
          <w:spacing w:val="-5"/>
        </w:rPr>
        <w:t xml:space="preserve"> </w:t>
      </w:r>
      <w:r w:rsidRPr="00597454">
        <w:t>(</w:t>
      </w:r>
      <w:r w:rsidR="00557BA3" w:rsidRPr="00597454">
        <w:t>cincuenta</w:t>
      </w:r>
      <w:r w:rsidRPr="00597454">
        <w:rPr>
          <w:spacing w:val="-6"/>
        </w:rPr>
        <w:t xml:space="preserve"> </w:t>
      </w:r>
      <w:r w:rsidRPr="00597454">
        <w:t>mil</w:t>
      </w:r>
      <w:r w:rsidRPr="00597454">
        <w:rPr>
          <w:spacing w:val="-5"/>
        </w:rPr>
        <w:t xml:space="preserve"> </w:t>
      </w:r>
      <w:r w:rsidRPr="00597454">
        <w:t>dólares</w:t>
      </w:r>
      <w:r w:rsidRPr="00597454">
        <w:rPr>
          <w:spacing w:val="-6"/>
        </w:rPr>
        <w:t xml:space="preserve"> </w:t>
      </w:r>
      <w:r w:rsidRPr="00597454">
        <w:t>de</w:t>
      </w:r>
      <w:r w:rsidRPr="00597454">
        <w:rPr>
          <w:spacing w:val="-7"/>
        </w:rPr>
        <w:t xml:space="preserve"> </w:t>
      </w:r>
      <w:r w:rsidRPr="00597454">
        <w:t>los</w:t>
      </w:r>
      <w:r w:rsidRPr="00597454">
        <w:rPr>
          <w:spacing w:val="-6"/>
        </w:rPr>
        <w:t xml:space="preserve"> </w:t>
      </w:r>
      <w:r w:rsidRPr="00597454">
        <w:t>Estados</w:t>
      </w:r>
      <w:r w:rsidRPr="00597454">
        <w:rPr>
          <w:spacing w:val="-4"/>
        </w:rPr>
        <w:t xml:space="preserve"> </w:t>
      </w:r>
      <w:r w:rsidRPr="00597454">
        <w:t>Unidos</w:t>
      </w:r>
      <w:r w:rsidRPr="00597454">
        <w:rPr>
          <w:spacing w:val="-6"/>
        </w:rPr>
        <w:t xml:space="preserve"> </w:t>
      </w:r>
      <w:r w:rsidRPr="00597454">
        <w:t>de</w:t>
      </w:r>
      <w:r w:rsidRPr="00597454">
        <w:rPr>
          <w:spacing w:val="-7"/>
        </w:rPr>
        <w:t xml:space="preserve"> </w:t>
      </w:r>
      <w:r w:rsidRPr="00597454">
        <w:t xml:space="preserve">América) a favor del </w:t>
      </w:r>
      <w:r w:rsidR="00DA3CEF" w:rsidRPr="00597454">
        <w:t xml:space="preserve">exmarido de </w:t>
      </w:r>
      <w:r w:rsidR="00DA3CEF" w:rsidRPr="00597454">
        <w:rPr>
          <w:rFonts w:cs="Arial"/>
        </w:rPr>
        <w:t>Patricia Emilie Cuéllar Sandoval</w:t>
      </w:r>
      <w:r w:rsidR="00DA3CEF" w:rsidRPr="00597454">
        <w:t xml:space="preserve">, </w:t>
      </w:r>
      <w:r w:rsidRPr="00597454">
        <w:t xml:space="preserve">Francisco </w:t>
      </w:r>
      <w:r w:rsidR="00557BA3" w:rsidRPr="00597454">
        <w:t xml:space="preserve">Alfredo </w:t>
      </w:r>
      <w:r w:rsidRPr="00597454">
        <w:t>Álvarez Solís</w:t>
      </w:r>
      <w:r w:rsidR="00086CC9" w:rsidRPr="00597454">
        <w:t>.</w:t>
      </w:r>
      <w:r w:rsidR="00444E5F" w:rsidRPr="00597454">
        <w:t xml:space="preserve"> </w:t>
      </w:r>
    </w:p>
    <w:p w14:paraId="6C080491" w14:textId="77777777" w:rsidR="0021617F" w:rsidRPr="00465F79" w:rsidRDefault="0021617F" w:rsidP="0021617F">
      <w:pPr>
        <w:widowControl/>
        <w:tabs>
          <w:tab w:val="left" w:pos="567"/>
        </w:tabs>
        <w:autoSpaceDE w:val="0"/>
        <w:autoSpaceDN w:val="0"/>
        <w:spacing w:line="240" w:lineRule="auto"/>
        <w:textAlignment w:val="baseline"/>
      </w:pPr>
    </w:p>
    <w:p w14:paraId="3D21C1B3" w14:textId="374E0705" w:rsidR="002D72C8" w:rsidRPr="00597454" w:rsidRDefault="0021617F" w:rsidP="002D72C8">
      <w:pPr>
        <w:widowControl/>
        <w:numPr>
          <w:ilvl w:val="0"/>
          <w:numId w:val="7"/>
        </w:numPr>
        <w:tabs>
          <w:tab w:val="left" w:pos="567"/>
          <w:tab w:val="num" w:pos="1569"/>
          <w:tab w:val="num" w:pos="12305"/>
        </w:tabs>
        <w:autoSpaceDE w:val="0"/>
        <w:autoSpaceDN w:val="0"/>
        <w:spacing w:line="240" w:lineRule="auto"/>
        <w:ind w:left="0" w:firstLine="0"/>
        <w:textAlignment w:val="baseline"/>
      </w:pPr>
      <w:r w:rsidRPr="00465F79">
        <w:t xml:space="preserve">En el caso de </w:t>
      </w:r>
      <w:r w:rsidR="00274D6E">
        <w:t>las</w:t>
      </w:r>
      <w:r w:rsidRPr="00465F79">
        <w:t xml:space="preserve"> víctimas </w:t>
      </w:r>
      <w:r w:rsidRPr="00465F79">
        <w:rPr>
          <w:lang w:eastAsia="es-ES_tradnl"/>
        </w:rPr>
        <w:t xml:space="preserve">María Consuelo Cuéllar Cuéllar, </w:t>
      </w:r>
      <w:r w:rsidR="00791651">
        <w:rPr>
          <w:lang w:eastAsia="es-ES_tradnl"/>
        </w:rPr>
        <w:t xml:space="preserve">León </w:t>
      </w:r>
      <w:r w:rsidRPr="00465F79">
        <w:rPr>
          <w:lang w:eastAsia="es-ES_tradnl"/>
        </w:rPr>
        <w:t xml:space="preserve">Enrique Cuéllar Cuéllar y Teresa Pérez de Ramos, quienes han fallecido, </w:t>
      </w:r>
      <w:r w:rsidRPr="00465F79">
        <w:t xml:space="preserve">la suma por daño </w:t>
      </w:r>
      <w:r w:rsidR="00274D6E">
        <w:t>in</w:t>
      </w:r>
      <w:r w:rsidR="00F8344D">
        <w:t>material</w:t>
      </w:r>
      <w:r w:rsidRPr="00465F79">
        <w:t xml:space="preserve"> </w:t>
      </w:r>
      <w:r w:rsidR="00274D6E">
        <w:t xml:space="preserve">que les corresponda </w:t>
      </w:r>
      <w:r w:rsidRPr="00465F79">
        <w:t xml:space="preserve">deberá ser </w:t>
      </w:r>
      <w:r w:rsidRPr="00465F79">
        <w:rPr>
          <w:bCs/>
          <w:lang w:val="es-ES"/>
        </w:rPr>
        <w:t>entregada a sus derechohabientes en los términos previstos por el régimen legal de sucesiones vigente en El Salvador.</w:t>
      </w:r>
    </w:p>
    <w:p w14:paraId="6715CF6A" w14:textId="17F1D568" w:rsidR="0017279F" w:rsidRDefault="0017279F" w:rsidP="00A12976">
      <w:pPr>
        <w:pStyle w:val="Ttulo2"/>
      </w:pPr>
      <w:bookmarkStart w:id="165" w:name="_Toc135061346"/>
      <w:bookmarkStart w:id="166" w:name="_Toc165022644"/>
      <w:r w:rsidRPr="00465F79">
        <w:lastRenderedPageBreak/>
        <w:t>Costas y Gastos</w:t>
      </w:r>
      <w:bookmarkEnd w:id="165"/>
      <w:bookmarkEnd w:id="166"/>
      <w:r w:rsidRPr="00465F79">
        <w:t xml:space="preserve"> </w:t>
      </w:r>
    </w:p>
    <w:p w14:paraId="6C138D74" w14:textId="32AAC0A0" w:rsidR="00823A71" w:rsidRPr="002214E1" w:rsidRDefault="00823A71" w:rsidP="00EF471D">
      <w:pPr>
        <w:widowControl/>
        <w:numPr>
          <w:ilvl w:val="0"/>
          <w:numId w:val="7"/>
        </w:numPr>
        <w:tabs>
          <w:tab w:val="left" w:pos="567"/>
          <w:tab w:val="num" w:pos="1569"/>
          <w:tab w:val="num" w:pos="12305"/>
        </w:tabs>
        <w:autoSpaceDE w:val="0"/>
        <w:autoSpaceDN w:val="0"/>
        <w:spacing w:line="240" w:lineRule="auto"/>
        <w:ind w:left="0" w:firstLine="0"/>
        <w:textAlignment w:val="baseline"/>
        <w:rPr>
          <w:rFonts w:cs="Arial"/>
          <w:lang w:val="es-ES"/>
        </w:rPr>
      </w:pPr>
      <w:r w:rsidRPr="002214E1">
        <w:rPr>
          <w:rFonts w:cs="Arial"/>
        </w:rPr>
        <w:t>El</w:t>
      </w:r>
      <w:r w:rsidRPr="002214E1">
        <w:rPr>
          <w:rFonts w:cs="Arial"/>
          <w:lang w:val="es-ES"/>
        </w:rPr>
        <w:t xml:space="preserve"> </w:t>
      </w:r>
      <w:r w:rsidRPr="002214E1">
        <w:rPr>
          <w:rFonts w:cs="Arial"/>
          <w:b/>
          <w:i/>
          <w:lang w:val="es-ES"/>
        </w:rPr>
        <w:t>representante</w:t>
      </w:r>
      <w:r w:rsidRPr="002214E1">
        <w:rPr>
          <w:rFonts w:cs="Arial"/>
          <w:lang w:val="es-ES"/>
        </w:rPr>
        <w:t xml:space="preserve"> señaló que el proceso seguido a </w:t>
      </w:r>
      <w:r w:rsidR="007E6A81" w:rsidRPr="002214E1">
        <w:rPr>
          <w:rFonts w:cs="Arial"/>
          <w:lang w:val="es-ES"/>
        </w:rPr>
        <w:t>nivel</w:t>
      </w:r>
      <w:r w:rsidRPr="002214E1">
        <w:rPr>
          <w:rFonts w:cs="Arial"/>
          <w:lang w:val="es-ES"/>
        </w:rPr>
        <w:t xml:space="preserve"> interno </w:t>
      </w:r>
      <w:r w:rsidR="007E6A81" w:rsidRPr="002214E1">
        <w:rPr>
          <w:rFonts w:cs="Arial"/>
          <w:lang w:val="es-ES"/>
        </w:rPr>
        <w:t xml:space="preserve">en </w:t>
      </w:r>
      <w:r w:rsidRPr="002214E1">
        <w:rPr>
          <w:rFonts w:cs="Arial"/>
          <w:lang w:val="es-ES"/>
        </w:rPr>
        <w:t>El Salvador fue conducido por la Oficina del Socorro Jurídico desde el 29 de julio de 1982. Asimismo</w:t>
      </w:r>
      <w:r w:rsidR="007E6A81" w:rsidRPr="002214E1">
        <w:rPr>
          <w:rFonts w:cs="Arial"/>
          <w:lang w:val="es-ES"/>
        </w:rPr>
        <w:t>,</w:t>
      </w:r>
      <w:r w:rsidRPr="002214E1">
        <w:rPr>
          <w:rFonts w:cs="Arial"/>
          <w:lang w:val="es-ES"/>
        </w:rPr>
        <w:t xml:space="preserve"> informó que la referida Oficina “dejó de funcionar pocos años después de la finalización del conflicto armado”. </w:t>
      </w:r>
      <w:r w:rsidR="00F13B6A" w:rsidRPr="002214E1">
        <w:rPr>
          <w:rFonts w:cs="Arial"/>
          <w:lang w:val="es-ES"/>
        </w:rPr>
        <w:t>El representante señaló que, de</w:t>
      </w:r>
      <w:r w:rsidR="002F352D" w:rsidRPr="002214E1">
        <w:rPr>
          <w:rFonts w:cs="Arial"/>
          <w:lang w:val="es-ES"/>
        </w:rPr>
        <w:t xml:space="preserve"> forma </w:t>
      </w:r>
      <w:r w:rsidR="002F352D" w:rsidRPr="002214E1">
        <w:rPr>
          <w:rFonts w:cs="Arial"/>
        </w:rPr>
        <w:t>p</w:t>
      </w:r>
      <w:r w:rsidRPr="002214E1">
        <w:rPr>
          <w:rFonts w:cs="Arial"/>
        </w:rPr>
        <w:t>osterior</w:t>
      </w:r>
      <w:r w:rsidRPr="002214E1">
        <w:rPr>
          <w:rFonts w:cs="Arial"/>
          <w:lang w:val="es-ES"/>
        </w:rPr>
        <w:t xml:space="preserve"> al cierre de la Oficina</w:t>
      </w:r>
      <w:r w:rsidR="002F352D" w:rsidRPr="002214E1">
        <w:rPr>
          <w:rFonts w:cs="Arial"/>
          <w:lang w:val="es-ES"/>
        </w:rPr>
        <w:t xml:space="preserve"> del Socorro Jurídico</w:t>
      </w:r>
      <w:r w:rsidRPr="002214E1">
        <w:rPr>
          <w:rFonts w:cs="Arial"/>
          <w:lang w:val="es-ES"/>
        </w:rPr>
        <w:t xml:space="preserve">, la familia Álvarez Cuéllar solicitó apoyo al Instituto de Derechos Humanos de la Universidad Centroamericana José Simeón Cañas (en adelante “el IDHUCA”) para continuar en los esfuerzos </w:t>
      </w:r>
      <w:r w:rsidR="00F13B6A" w:rsidRPr="002214E1">
        <w:rPr>
          <w:rFonts w:cs="Arial"/>
          <w:lang w:val="es-ES"/>
        </w:rPr>
        <w:t>por</w:t>
      </w:r>
      <w:r w:rsidRPr="002214E1">
        <w:rPr>
          <w:rFonts w:cs="Arial"/>
          <w:lang w:val="es-ES"/>
        </w:rPr>
        <w:t xml:space="preserve"> esclarecer el paradero de las presuntas víctimas</w:t>
      </w:r>
      <w:r w:rsidR="00F13B6A" w:rsidRPr="002214E1">
        <w:rPr>
          <w:rFonts w:cs="Arial"/>
          <w:lang w:val="es-ES"/>
        </w:rPr>
        <w:t xml:space="preserve"> en sede interna y ante el Sistema Interamerica</w:t>
      </w:r>
      <w:r w:rsidR="003C4FC2" w:rsidRPr="002214E1">
        <w:rPr>
          <w:rFonts w:cs="Arial"/>
          <w:lang w:val="es-ES"/>
        </w:rPr>
        <w:t>n</w:t>
      </w:r>
      <w:r w:rsidR="00FA292C" w:rsidRPr="002214E1">
        <w:rPr>
          <w:rFonts w:cs="Arial"/>
          <w:lang w:val="es-ES"/>
        </w:rPr>
        <w:t>o.</w:t>
      </w:r>
      <w:r w:rsidRPr="002214E1">
        <w:rPr>
          <w:rFonts w:cs="Arial"/>
          <w:lang w:val="es-ES"/>
        </w:rPr>
        <w:t xml:space="preserve"> Desde 1992 hasta 2014 el IDHUCA fue dirigido por </w:t>
      </w:r>
      <w:r w:rsidR="00F13B6A" w:rsidRPr="002214E1">
        <w:rPr>
          <w:rFonts w:cs="Arial"/>
          <w:lang w:val="es-ES"/>
        </w:rPr>
        <w:t xml:space="preserve">el señor </w:t>
      </w:r>
      <w:r w:rsidRPr="002214E1">
        <w:rPr>
          <w:rFonts w:cs="Arial"/>
          <w:lang w:val="es-ES"/>
        </w:rPr>
        <w:t xml:space="preserve">José Benjamín Cuéllar Martínez, el representante. </w:t>
      </w:r>
      <w:r w:rsidR="00F13B6A" w:rsidRPr="002214E1">
        <w:rPr>
          <w:rFonts w:cs="Arial"/>
          <w:lang w:val="es-ES"/>
        </w:rPr>
        <w:t>Adicionalmente, indicó que, a</w:t>
      </w:r>
      <w:r w:rsidRPr="002214E1">
        <w:rPr>
          <w:rFonts w:cs="Arial"/>
          <w:lang w:val="es-ES"/>
        </w:rPr>
        <w:t xml:space="preserve"> partir del 2017</w:t>
      </w:r>
      <w:r w:rsidR="00A34F55" w:rsidRPr="002214E1">
        <w:rPr>
          <w:rFonts w:cs="Arial"/>
          <w:lang w:val="es-ES"/>
        </w:rPr>
        <w:t>,</w:t>
      </w:r>
      <w:r w:rsidRPr="002214E1">
        <w:rPr>
          <w:rFonts w:cs="Arial"/>
          <w:lang w:val="es-ES"/>
        </w:rPr>
        <w:t xml:space="preserve"> las gestiones vinculadas al presente caso</w:t>
      </w:r>
      <w:r w:rsidR="00F13B6A" w:rsidRPr="002214E1">
        <w:rPr>
          <w:rFonts w:cs="Arial"/>
          <w:lang w:val="es-ES"/>
        </w:rPr>
        <w:t xml:space="preserve"> ante el Sistema Interamericano</w:t>
      </w:r>
      <w:r w:rsidRPr="002214E1">
        <w:rPr>
          <w:rFonts w:cs="Arial"/>
          <w:lang w:val="es-ES"/>
        </w:rPr>
        <w:t xml:space="preserve"> han sido conducidas por el Laboratorio de Investigación y Acción Social (en adelante “el LIASCI”), también dirigido por el representante. </w:t>
      </w:r>
    </w:p>
    <w:p w14:paraId="030C2691" w14:textId="77777777" w:rsidR="002214E1" w:rsidRPr="002214E1" w:rsidRDefault="002214E1" w:rsidP="002214E1">
      <w:pPr>
        <w:widowControl/>
        <w:tabs>
          <w:tab w:val="left" w:pos="567"/>
          <w:tab w:val="num" w:pos="12305"/>
        </w:tabs>
        <w:autoSpaceDE w:val="0"/>
        <w:autoSpaceDN w:val="0"/>
        <w:spacing w:line="240" w:lineRule="auto"/>
        <w:textAlignment w:val="baseline"/>
        <w:rPr>
          <w:rFonts w:cs="Arial"/>
          <w:lang w:val="es-ES"/>
        </w:rPr>
      </w:pPr>
    </w:p>
    <w:p w14:paraId="45268E15" w14:textId="04303C75" w:rsidR="00823A71" w:rsidRPr="00465F79" w:rsidRDefault="00823A71" w:rsidP="002F352D">
      <w:pPr>
        <w:widowControl/>
        <w:numPr>
          <w:ilvl w:val="0"/>
          <w:numId w:val="7"/>
        </w:numPr>
        <w:tabs>
          <w:tab w:val="left" w:pos="567"/>
          <w:tab w:val="num" w:pos="1569"/>
          <w:tab w:val="num" w:pos="12305"/>
        </w:tabs>
        <w:autoSpaceDE w:val="0"/>
        <w:autoSpaceDN w:val="0"/>
        <w:spacing w:line="240" w:lineRule="auto"/>
        <w:ind w:left="0" w:firstLine="0"/>
        <w:textAlignment w:val="baseline"/>
        <w:rPr>
          <w:rFonts w:cs="Arial"/>
          <w:lang w:val="es-ES"/>
        </w:rPr>
      </w:pPr>
      <w:r w:rsidRPr="00465F79">
        <w:rPr>
          <w:rFonts w:cs="Arial"/>
        </w:rPr>
        <w:t>En</w:t>
      </w:r>
      <w:r w:rsidRPr="00465F79">
        <w:rPr>
          <w:rFonts w:cs="Arial"/>
          <w:lang w:val="es-ES"/>
        </w:rPr>
        <w:t xml:space="preserve"> vista de lo anterior, el representante, considerando “la desaparición de [la Oficina del] Socorro” y el hecho de “que el IDHUCA recibía recursos de la cooperación internacional” solicitó que la Corte fije en equidad</w:t>
      </w:r>
      <w:r w:rsidRPr="00465F79">
        <w:rPr>
          <w:rFonts w:cs="Arial"/>
          <w:b/>
          <w:bCs/>
          <w:lang w:val="es-ES"/>
        </w:rPr>
        <w:t xml:space="preserve"> </w:t>
      </w:r>
      <w:r w:rsidRPr="00465F79">
        <w:rPr>
          <w:rFonts w:cs="Arial"/>
          <w:lang w:val="es-ES"/>
        </w:rPr>
        <w:t xml:space="preserve">el reintegro de las costas </w:t>
      </w:r>
      <w:r w:rsidR="00F13B6A" w:rsidRPr="00465F79">
        <w:rPr>
          <w:rFonts w:cs="Arial"/>
          <w:lang w:val="es-ES"/>
        </w:rPr>
        <w:t xml:space="preserve">y </w:t>
      </w:r>
      <w:r w:rsidRPr="00465F79">
        <w:rPr>
          <w:rFonts w:cs="Arial"/>
          <w:lang w:val="es-ES"/>
        </w:rPr>
        <w:t xml:space="preserve">gastos incurridos por el LIASCI, el cual “no recibe financiación de ningún tipo”. </w:t>
      </w:r>
    </w:p>
    <w:p w14:paraId="732587AE" w14:textId="77777777" w:rsidR="00823A71" w:rsidRPr="00465F79" w:rsidRDefault="00823A71" w:rsidP="00823A71">
      <w:pPr>
        <w:autoSpaceDE w:val="0"/>
        <w:autoSpaceDN w:val="0"/>
        <w:spacing w:line="240" w:lineRule="auto"/>
        <w:rPr>
          <w:rFonts w:eastAsia="Arial" w:cs="Arial"/>
          <w:b/>
          <w:bCs/>
          <w:highlight w:val="yellow"/>
          <w:lang w:val="es-ES"/>
        </w:rPr>
      </w:pPr>
    </w:p>
    <w:p w14:paraId="01D30611" w14:textId="498BF553" w:rsidR="00823A71" w:rsidRPr="00465F79" w:rsidRDefault="00823A71" w:rsidP="002F352D">
      <w:pPr>
        <w:widowControl/>
        <w:numPr>
          <w:ilvl w:val="0"/>
          <w:numId w:val="7"/>
        </w:numPr>
        <w:tabs>
          <w:tab w:val="left" w:pos="567"/>
          <w:tab w:val="num" w:pos="1569"/>
          <w:tab w:val="num" w:pos="12305"/>
        </w:tabs>
        <w:autoSpaceDE w:val="0"/>
        <w:autoSpaceDN w:val="0"/>
        <w:spacing w:line="240" w:lineRule="auto"/>
        <w:ind w:left="0" w:firstLine="0"/>
        <w:textAlignment w:val="baseline"/>
        <w:rPr>
          <w:rFonts w:eastAsia="Arial" w:cs="Arial"/>
          <w:lang w:val="es-ES"/>
        </w:rPr>
      </w:pPr>
      <w:r w:rsidRPr="00465F79">
        <w:rPr>
          <w:rFonts w:cs="Arial"/>
        </w:rPr>
        <w:t>El</w:t>
      </w:r>
      <w:r w:rsidRPr="00465F79">
        <w:rPr>
          <w:rFonts w:eastAsia="Arial" w:cs="Arial"/>
          <w:lang w:val="es-ES"/>
        </w:rPr>
        <w:t xml:space="preserve"> </w:t>
      </w:r>
      <w:r w:rsidRPr="00465F79">
        <w:rPr>
          <w:rFonts w:eastAsia="Arial" w:cs="Arial"/>
          <w:b/>
          <w:i/>
          <w:lang w:val="es-ES"/>
        </w:rPr>
        <w:t>Estado</w:t>
      </w:r>
      <w:r w:rsidRPr="00465F79">
        <w:rPr>
          <w:rFonts w:eastAsia="Arial" w:cs="Arial"/>
          <w:lang w:val="es-ES"/>
        </w:rPr>
        <w:t xml:space="preserve"> señaló que las costas y gastos están comprendidos dentro del concepto de reparación consagrado en el artículo 63.1 de la Convención Americana, por lo que se encuentra integrado dentro de las reclamaciones de “daños emergentes” vinculados a las actividades destinadas a la búsqueda de justicia. Asimismo indicó que, tal y como reconoce el representante, el IDHUCA “observa la gratuidad de sus servicios” y que la representación por el LIASCI ha sido asumida “hasta fecha reciente”. Por lo que </w:t>
      </w:r>
      <w:r w:rsidR="002F352D" w:rsidRPr="00465F79">
        <w:rPr>
          <w:rFonts w:eastAsia="Arial" w:cs="Arial"/>
          <w:lang w:val="es-ES"/>
        </w:rPr>
        <w:t>solicitó</w:t>
      </w:r>
      <w:r w:rsidRPr="00465F79">
        <w:rPr>
          <w:rFonts w:eastAsia="Arial" w:cs="Arial"/>
          <w:lang w:val="es-ES"/>
        </w:rPr>
        <w:t xml:space="preserve"> que, “si es establecida y declarada la responsabilidad internacional del Estado” se determinen únicamente los gastos “claramente relacionados y suficientemente acreditados” </w:t>
      </w:r>
      <w:r w:rsidR="00F13B6A" w:rsidRPr="00465F79">
        <w:rPr>
          <w:rFonts w:eastAsia="Arial" w:cs="Arial"/>
          <w:lang w:val="es-ES"/>
        </w:rPr>
        <w:t>en</w:t>
      </w:r>
      <w:r w:rsidRPr="00465F79">
        <w:rPr>
          <w:rFonts w:eastAsia="Arial" w:cs="Arial"/>
          <w:lang w:val="es-ES"/>
        </w:rPr>
        <w:t xml:space="preserve"> relación </w:t>
      </w:r>
      <w:r w:rsidR="00F13B6A" w:rsidRPr="00465F79">
        <w:rPr>
          <w:rFonts w:eastAsia="Arial" w:cs="Arial"/>
          <w:lang w:val="es-ES"/>
        </w:rPr>
        <w:t>con el</w:t>
      </w:r>
      <w:r w:rsidRPr="00465F79">
        <w:rPr>
          <w:rFonts w:eastAsia="Arial" w:cs="Arial"/>
          <w:lang w:val="es-ES"/>
        </w:rPr>
        <w:t xml:space="preserve"> presente caso. </w:t>
      </w:r>
    </w:p>
    <w:p w14:paraId="3D666AF3" w14:textId="77777777" w:rsidR="00013E80" w:rsidRPr="00465F79" w:rsidRDefault="00013E80" w:rsidP="00013E80">
      <w:pPr>
        <w:tabs>
          <w:tab w:val="left" w:pos="567"/>
        </w:tabs>
        <w:spacing w:line="240" w:lineRule="auto"/>
        <w:textAlignment w:val="baseline"/>
      </w:pPr>
    </w:p>
    <w:p w14:paraId="418E974F" w14:textId="764BD3FA" w:rsidR="0017279F" w:rsidRPr="00465F79" w:rsidRDefault="0017279F" w:rsidP="00532E83">
      <w:pPr>
        <w:numPr>
          <w:ilvl w:val="0"/>
          <w:numId w:val="7"/>
        </w:numPr>
        <w:tabs>
          <w:tab w:val="left" w:pos="567"/>
          <w:tab w:val="num" w:pos="1569"/>
          <w:tab w:val="num" w:pos="12305"/>
        </w:tabs>
        <w:spacing w:line="240" w:lineRule="auto"/>
        <w:ind w:left="0" w:firstLine="0"/>
        <w:textAlignment w:val="baseline"/>
        <w:rPr>
          <w:rFonts w:eastAsia="Arial" w:cs="Arial"/>
          <w:lang w:val="es-ES"/>
        </w:rPr>
      </w:pPr>
      <w:r w:rsidRPr="00465F79">
        <w:t>La</w:t>
      </w:r>
      <w:r w:rsidRPr="00465F79">
        <w:rPr>
          <w:spacing w:val="-18"/>
        </w:rPr>
        <w:t xml:space="preserve"> </w:t>
      </w:r>
      <w:r w:rsidRPr="00465F79">
        <w:rPr>
          <w:b/>
          <w:i/>
        </w:rPr>
        <w:t>Corte</w:t>
      </w:r>
      <w:r w:rsidRPr="00465F79">
        <w:rPr>
          <w:b/>
          <w:i/>
          <w:spacing w:val="-17"/>
        </w:rPr>
        <w:t xml:space="preserve"> </w:t>
      </w:r>
      <w:r w:rsidR="0032598B" w:rsidRPr="00465F79">
        <w:rPr>
          <w:rFonts w:eastAsia="Arial" w:cs="Arial"/>
          <w:lang w:val="es-ES"/>
        </w:rPr>
        <w:t>reitera que, conforme a su jurisprudencia</w:t>
      </w:r>
      <w:r w:rsidR="0032598B" w:rsidRPr="00465F79">
        <w:rPr>
          <w:rStyle w:val="Refdenotaalpie"/>
          <w:rFonts w:eastAsia="Arial" w:cs="Arial"/>
        </w:rPr>
        <w:footnoteReference w:id="197"/>
      </w:r>
      <w:r w:rsidR="0032598B" w:rsidRPr="00465F79">
        <w:rPr>
          <w:rFonts w:eastAsia="Arial" w:cs="Arial"/>
          <w:lang w:val="es-ES"/>
        </w:rPr>
        <w:t>,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derechos humanos. Esta apreciación puede ser realizada con base en el principio de equidad y tomando en cuenta los gastos señalados por las partes, siempre que su quantum sea razonable</w:t>
      </w:r>
      <w:r w:rsidR="005960CC" w:rsidRPr="00465F79">
        <w:rPr>
          <w:rStyle w:val="Refdenotaalpie"/>
          <w:rFonts w:eastAsia="Arial" w:cs="Arial"/>
        </w:rPr>
        <w:footnoteReference w:id="198"/>
      </w:r>
      <w:r w:rsidR="005960CC" w:rsidRPr="00465F79">
        <w:rPr>
          <w:rFonts w:eastAsia="Arial" w:cs="Arial"/>
          <w:lang w:val="es-ES"/>
        </w:rPr>
        <w:t>.</w:t>
      </w:r>
    </w:p>
    <w:p w14:paraId="1969B65C" w14:textId="77777777" w:rsidR="0032598B" w:rsidRPr="00465F79" w:rsidRDefault="0032598B" w:rsidP="0032598B">
      <w:pPr>
        <w:tabs>
          <w:tab w:val="left" w:pos="567"/>
        </w:tabs>
        <w:spacing w:line="240" w:lineRule="auto"/>
        <w:textAlignment w:val="baseline"/>
        <w:rPr>
          <w:rFonts w:eastAsia="Arial" w:cs="Arial"/>
          <w:lang w:val="es-ES"/>
        </w:rPr>
      </w:pPr>
    </w:p>
    <w:p w14:paraId="3BBD8AEF" w14:textId="77777777" w:rsidR="005960CC" w:rsidRPr="00465F79" w:rsidRDefault="005960CC" w:rsidP="005960CC">
      <w:pPr>
        <w:numPr>
          <w:ilvl w:val="0"/>
          <w:numId w:val="7"/>
        </w:numPr>
        <w:tabs>
          <w:tab w:val="left" w:pos="567"/>
          <w:tab w:val="num" w:pos="1569"/>
          <w:tab w:val="num" w:pos="12305"/>
        </w:tabs>
        <w:spacing w:line="240" w:lineRule="auto"/>
        <w:ind w:left="0" w:firstLine="0"/>
        <w:textAlignment w:val="baseline"/>
        <w:rPr>
          <w:rFonts w:eastAsia="Arial" w:cs="Arial"/>
          <w:lang w:val="es-ES"/>
        </w:rPr>
      </w:pPr>
      <w:bookmarkStart w:id="167" w:name="_Toc134087735"/>
      <w:bookmarkStart w:id="168" w:name="_Toc135061348"/>
      <w:bookmarkStart w:id="169" w:name="_Toc165022645"/>
      <w:r w:rsidRPr="00465F79">
        <w:rPr>
          <w:rFonts w:eastAsia="Arial" w:cs="Arial"/>
          <w:lang w:val="es-ES"/>
        </w:rPr>
        <w:t xml:space="preserve">Este Tribunal ha señalado que las pretensiones de las víctimas o sus representantes en materia de costas y gastos y las pruebas que las sustentan, deben presentarse a la Corte en el primer momento procesal que se les concede, esto es, en el escrito de </w:t>
      </w:r>
      <w:r w:rsidRPr="00465F79">
        <w:rPr>
          <w:rFonts w:eastAsia="Arial" w:cs="Arial"/>
          <w:lang w:val="es-ES"/>
        </w:rPr>
        <w:lastRenderedPageBreak/>
        <w:t>solicitudes y argumentos, sin perjuicio de que tales pretensiones se actualicen en un momento posterior, conforme a las nuevas costas y gastos en que se haya incurrido con ocasión del procedimiento ante esta Corte</w:t>
      </w:r>
      <w:r w:rsidRPr="00465F79">
        <w:rPr>
          <w:rStyle w:val="Refdenotaalpie"/>
          <w:rFonts w:eastAsia="Arial" w:cs="Arial"/>
        </w:rPr>
        <w:footnoteReference w:id="199"/>
      </w:r>
      <w:r w:rsidRPr="00465F79">
        <w:rPr>
          <w:rFonts w:eastAsia="Arial" w:cs="Arial"/>
          <w:lang w:val="es-ES"/>
        </w:rPr>
        <w:t>.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su justificación</w:t>
      </w:r>
      <w:r w:rsidRPr="00465F79">
        <w:rPr>
          <w:rStyle w:val="Refdenotaalpie"/>
          <w:rFonts w:eastAsia="Arial" w:cs="Arial"/>
        </w:rPr>
        <w:footnoteReference w:id="200"/>
      </w:r>
      <w:r w:rsidRPr="00465F79">
        <w:rPr>
          <w:rFonts w:eastAsia="Arial" w:cs="Arial"/>
          <w:lang w:val="es-ES"/>
        </w:rPr>
        <w:t>.</w:t>
      </w:r>
    </w:p>
    <w:p w14:paraId="7187CE02" w14:textId="77777777" w:rsidR="005960CC" w:rsidRPr="00465F79" w:rsidRDefault="005960CC" w:rsidP="005960CC">
      <w:pPr>
        <w:tabs>
          <w:tab w:val="left" w:pos="567"/>
        </w:tabs>
        <w:spacing w:line="240" w:lineRule="auto"/>
        <w:textAlignment w:val="baseline"/>
        <w:rPr>
          <w:rFonts w:eastAsia="Arial" w:cs="Arial"/>
          <w:lang w:val="es-ES"/>
        </w:rPr>
      </w:pPr>
    </w:p>
    <w:p w14:paraId="01F7251B" w14:textId="77777777" w:rsidR="005960CC" w:rsidRPr="00597454" w:rsidRDefault="005960CC" w:rsidP="005960CC">
      <w:pPr>
        <w:numPr>
          <w:ilvl w:val="0"/>
          <w:numId w:val="7"/>
        </w:numPr>
        <w:tabs>
          <w:tab w:val="left" w:pos="567"/>
          <w:tab w:val="num" w:pos="1569"/>
          <w:tab w:val="num" w:pos="12305"/>
        </w:tabs>
        <w:spacing w:line="240" w:lineRule="auto"/>
        <w:ind w:left="0" w:firstLine="0"/>
        <w:textAlignment w:val="baseline"/>
        <w:rPr>
          <w:rFonts w:eastAsia="Arial" w:cs="Arial"/>
          <w:lang w:val="es-ES"/>
        </w:rPr>
      </w:pPr>
      <w:r w:rsidRPr="00465F79">
        <w:rPr>
          <w:rFonts w:eastAsia="Arial" w:cs="Arial"/>
          <w:lang w:val="es-ES"/>
        </w:rPr>
        <w:t>En el presente caso</w:t>
      </w:r>
      <w:r>
        <w:rPr>
          <w:rFonts w:eastAsia="Arial" w:cs="Arial"/>
          <w:lang w:val="es-ES"/>
        </w:rPr>
        <w:t xml:space="preserve">, ante la ausencia de soporte probatorio suficiente sobre las erogaciones incurridas en la jurisdicción </w:t>
      </w:r>
      <w:r w:rsidRPr="00597454">
        <w:rPr>
          <w:rFonts w:eastAsia="Arial" w:cs="Arial"/>
          <w:lang w:val="es-ES"/>
        </w:rPr>
        <w:t>interna y ante el litigio del caso a nivel internacional, el Tribunal resuelve ordenar, en equidad, el pago de USD$</w:t>
      </w:r>
      <w:r>
        <w:rPr>
          <w:rFonts w:eastAsia="Arial" w:cs="Arial"/>
          <w:lang w:val="es-ES"/>
        </w:rPr>
        <w:t xml:space="preserve"> </w:t>
      </w:r>
      <w:r w:rsidRPr="00597454">
        <w:rPr>
          <w:rFonts w:eastAsia="Arial" w:cs="Arial"/>
          <w:lang w:val="es-ES"/>
        </w:rPr>
        <w:t>12.000,00 (doce mil dólares de los Estados Unidos de América) por concepto de costas</w:t>
      </w:r>
      <w:r w:rsidRPr="00465F79">
        <w:rPr>
          <w:rFonts w:eastAsia="Arial" w:cs="Arial"/>
          <w:lang w:val="es-ES"/>
        </w:rPr>
        <w:t xml:space="preserve"> y gastos. Dicha cantidad deberá ser entregada directamente al representante. En la etapa de supervisión del cumplimiento de la presente Sentencia, la Corte podrá disponer que el Estado reembolse a la víctima o su representante los gastos razonables en que incurran en dicha etapa procesal</w:t>
      </w:r>
      <w:r w:rsidRPr="00465F79">
        <w:rPr>
          <w:rStyle w:val="Refdenotaalpie"/>
          <w:rFonts w:eastAsia="Arial" w:cs="Arial"/>
        </w:rPr>
        <w:footnoteReference w:id="201"/>
      </w:r>
      <w:r w:rsidRPr="00465F79">
        <w:rPr>
          <w:rFonts w:eastAsia="Arial" w:cs="Arial"/>
          <w:lang w:val="es-ES"/>
        </w:rPr>
        <w:t>.</w:t>
      </w:r>
      <w:r>
        <w:rPr>
          <w:rFonts w:eastAsia="Arial" w:cs="Arial"/>
          <w:lang w:val="es-ES"/>
        </w:rPr>
        <w:t xml:space="preserve"> </w:t>
      </w:r>
    </w:p>
    <w:p w14:paraId="164F8BFE" w14:textId="0118F80F" w:rsidR="0017279F" w:rsidRPr="00465F79" w:rsidRDefault="0017279F" w:rsidP="00A12976">
      <w:pPr>
        <w:pStyle w:val="Ttulo2"/>
      </w:pPr>
      <w:r w:rsidRPr="00465F79">
        <w:t>Modalidad de cumplimiento de los pagos ordenados</w:t>
      </w:r>
      <w:bookmarkEnd w:id="167"/>
      <w:bookmarkEnd w:id="168"/>
      <w:bookmarkEnd w:id="169"/>
      <w:r w:rsidRPr="00465F79">
        <w:t xml:space="preserve"> </w:t>
      </w:r>
    </w:p>
    <w:p w14:paraId="43A7695C" w14:textId="77777777" w:rsidR="005960CC" w:rsidRPr="00465F79" w:rsidRDefault="005960CC" w:rsidP="005960CC">
      <w:pPr>
        <w:numPr>
          <w:ilvl w:val="0"/>
          <w:numId w:val="7"/>
        </w:numPr>
        <w:tabs>
          <w:tab w:val="left" w:pos="567"/>
          <w:tab w:val="num" w:pos="1569"/>
          <w:tab w:val="num" w:pos="12305"/>
        </w:tabs>
        <w:spacing w:line="240" w:lineRule="auto"/>
        <w:ind w:left="0" w:firstLine="0"/>
        <w:textAlignment w:val="baseline"/>
        <w:rPr>
          <w:rFonts w:eastAsia="MS Mincho"/>
          <w:lang w:val="es-ES" w:bidi="en-US"/>
        </w:rPr>
      </w:pPr>
      <w:r w:rsidRPr="00465F79">
        <w:rPr>
          <w:rFonts w:eastAsia="SimSun"/>
          <w:lang w:val="es-ES"/>
        </w:rPr>
        <w:t xml:space="preserve">El Estado deberá efectuar el </w:t>
      </w:r>
      <w:r w:rsidRPr="00465F79">
        <w:rPr>
          <w:rFonts w:eastAsia="MS Mincho"/>
          <w:lang w:val="es-ES" w:bidi="en-US"/>
        </w:rPr>
        <w:t>pago</w:t>
      </w:r>
      <w:r w:rsidRPr="00465F79">
        <w:rPr>
          <w:rFonts w:eastAsia="SimSun"/>
          <w:lang w:val="es-ES"/>
        </w:rPr>
        <w:t xml:space="preserve"> de la indemnización por concepto de rehabilitación, daño material, inmaterial y el reintegro de costas y gastos </w:t>
      </w:r>
      <w:r w:rsidRPr="00465F79">
        <w:rPr>
          <w:rFonts w:eastAsia="MS Mincho" w:cs="Verdana"/>
          <w:snapToGrid w:val="0"/>
          <w:lang w:val="es-ES" w:eastAsia="es-ES" w:bidi="en-US"/>
        </w:rPr>
        <w:t>establecidos</w:t>
      </w:r>
      <w:r w:rsidRPr="00465F79">
        <w:rPr>
          <w:rFonts w:eastAsia="SimSun"/>
          <w:lang w:val="es-ES"/>
        </w:rPr>
        <w:t xml:space="preserve"> en la presente Sentencia directamente a la persona indicada en la misma, dentro del </w:t>
      </w:r>
      <w:r w:rsidRPr="00465F79">
        <w:rPr>
          <w:rFonts w:eastAsia="MS Mincho"/>
          <w:lang w:val="es-ES" w:bidi="en-US"/>
        </w:rPr>
        <w:t>plazo</w:t>
      </w:r>
      <w:r w:rsidRPr="00465F79">
        <w:rPr>
          <w:rFonts w:eastAsia="SimSun"/>
          <w:lang w:val="es-ES"/>
        </w:rPr>
        <w:t xml:space="preserve"> de un año contado a partir de la notificación de la presente Sentencia, sin perjuicio de </w:t>
      </w:r>
      <w:r w:rsidRPr="00465F79">
        <w:rPr>
          <w:rFonts w:eastAsia="Arial" w:cs="Arial"/>
          <w:lang w:val="es-ES"/>
        </w:rPr>
        <w:t>que</w:t>
      </w:r>
      <w:r w:rsidRPr="00465F79">
        <w:rPr>
          <w:rFonts w:eastAsia="SimSun"/>
          <w:lang w:val="es-ES"/>
        </w:rPr>
        <w:t xml:space="preserve"> pueda adelantar el pago completo en un plazo menor, en los términos de los siguientes párrafos</w:t>
      </w:r>
      <w:r w:rsidRPr="00465F79">
        <w:rPr>
          <w:rFonts w:eastAsia="MS Mincho"/>
          <w:lang w:val="es-ES" w:bidi="en-US"/>
        </w:rPr>
        <w:t>.</w:t>
      </w:r>
    </w:p>
    <w:p w14:paraId="0881D5E7" w14:textId="77777777" w:rsidR="005960CC" w:rsidRPr="00465F79" w:rsidRDefault="005960CC" w:rsidP="005960CC">
      <w:pPr>
        <w:tabs>
          <w:tab w:val="left" w:pos="567"/>
        </w:tabs>
        <w:spacing w:line="240" w:lineRule="auto"/>
        <w:textAlignment w:val="baseline"/>
        <w:rPr>
          <w:rFonts w:eastAsia="SimSun"/>
          <w:highlight w:val="yellow"/>
          <w:lang w:val="es-ES"/>
        </w:rPr>
      </w:pPr>
    </w:p>
    <w:p w14:paraId="77F7AC79" w14:textId="77777777" w:rsidR="005960CC" w:rsidRPr="00465F79" w:rsidRDefault="005960CC" w:rsidP="005960CC">
      <w:pPr>
        <w:numPr>
          <w:ilvl w:val="0"/>
          <w:numId w:val="7"/>
        </w:numPr>
        <w:tabs>
          <w:tab w:val="left" w:pos="567"/>
          <w:tab w:val="num" w:pos="1569"/>
          <w:tab w:val="num" w:pos="12305"/>
        </w:tabs>
        <w:spacing w:line="240" w:lineRule="auto"/>
        <w:ind w:left="0" w:firstLine="0"/>
        <w:textAlignment w:val="baseline"/>
        <w:rPr>
          <w:rFonts w:eastAsia="SimSun"/>
          <w:lang w:val="es-ES"/>
        </w:rPr>
      </w:pPr>
      <w:r w:rsidRPr="00465F79">
        <w:rPr>
          <w:rFonts w:eastAsia="SimSun"/>
          <w:lang w:val="es-ES"/>
        </w:rPr>
        <w:t>En caso de que el beneficiario haya fallecido o fallezca antes de que le sea entregada la cantidad respectiva, esta se entregará directamente a sus derechohabientes, conforme al derecho interno aplicable.</w:t>
      </w:r>
    </w:p>
    <w:p w14:paraId="73A08894" w14:textId="77777777" w:rsidR="005960CC" w:rsidRPr="00465F79" w:rsidRDefault="005960CC" w:rsidP="005960CC">
      <w:pPr>
        <w:tabs>
          <w:tab w:val="left" w:pos="567"/>
          <w:tab w:val="num" w:pos="12305"/>
        </w:tabs>
        <w:spacing w:line="240" w:lineRule="auto"/>
        <w:textAlignment w:val="baseline"/>
        <w:rPr>
          <w:rFonts w:eastAsia="SimSun"/>
          <w:highlight w:val="yellow"/>
          <w:lang w:val="es-ES"/>
        </w:rPr>
      </w:pPr>
    </w:p>
    <w:p w14:paraId="70A481E2" w14:textId="77777777" w:rsidR="005960CC" w:rsidRPr="00465F79" w:rsidRDefault="005960CC" w:rsidP="005960CC">
      <w:pPr>
        <w:numPr>
          <w:ilvl w:val="0"/>
          <w:numId w:val="7"/>
        </w:numPr>
        <w:tabs>
          <w:tab w:val="left" w:pos="567"/>
          <w:tab w:val="num" w:pos="1569"/>
          <w:tab w:val="num" w:pos="12305"/>
        </w:tabs>
        <w:spacing w:line="240" w:lineRule="auto"/>
        <w:ind w:left="0" w:firstLine="0"/>
        <w:textAlignment w:val="baseline"/>
        <w:rPr>
          <w:rFonts w:eastAsia="SimSun"/>
          <w:lang w:val="es-ES"/>
        </w:rPr>
      </w:pPr>
      <w:r w:rsidRPr="00465F79">
        <w:rPr>
          <w:rFonts w:eastAsia="SimSun"/>
          <w:lang w:val="es-ES"/>
        </w:rPr>
        <w:t>El Estado deberá cumplir con las obligaciones monetarias mediante el pago en dólares de los Estados Unidos de América o su equivalente en moneda nacional, utilizando para el cálculo respectivo el tipo de cambio de mercado publicado o calculado por una autoridad bancaria o financiera pertinente en la fecha más cercana al día del pago.</w:t>
      </w:r>
    </w:p>
    <w:p w14:paraId="7217BF7F" w14:textId="77777777" w:rsidR="005960CC" w:rsidRPr="00465F79" w:rsidRDefault="005960CC" w:rsidP="005960CC">
      <w:pPr>
        <w:tabs>
          <w:tab w:val="left" w:pos="567"/>
          <w:tab w:val="num" w:pos="12305"/>
        </w:tabs>
        <w:spacing w:line="240" w:lineRule="auto"/>
        <w:textAlignment w:val="baseline"/>
        <w:rPr>
          <w:rFonts w:eastAsia="SimSun"/>
          <w:highlight w:val="yellow"/>
          <w:lang w:val="es-ES"/>
        </w:rPr>
      </w:pPr>
    </w:p>
    <w:p w14:paraId="141A69D8" w14:textId="77777777" w:rsidR="005960CC" w:rsidRPr="00465F79" w:rsidRDefault="005960CC" w:rsidP="005960CC">
      <w:pPr>
        <w:numPr>
          <w:ilvl w:val="0"/>
          <w:numId w:val="7"/>
        </w:numPr>
        <w:tabs>
          <w:tab w:val="left" w:pos="567"/>
          <w:tab w:val="num" w:pos="1569"/>
          <w:tab w:val="num" w:pos="12305"/>
        </w:tabs>
        <w:spacing w:line="240" w:lineRule="auto"/>
        <w:ind w:left="0" w:firstLine="0"/>
        <w:textAlignment w:val="baseline"/>
        <w:rPr>
          <w:rFonts w:eastAsia="SimSun"/>
          <w:lang w:val="es-ES"/>
        </w:rPr>
      </w:pPr>
      <w:r w:rsidRPr="00465F79">
        <w:rPr>
          <w:rFonts w:eastAsia="SimSun"/>
          <w:lang w:val="es-ES"/>
        </w:rPr>
        <w:t xml:space="preserve">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 salvadoreña solvente, en dólares de los Estados Unidos de América, y en las condiciones financieras más favorables que permitan la </w:t>
      </w:r>
      <w:r w:rsidRPr="00465F79">
        <w:rPr>
          <w:rFonts w:eastAsia="SimSun"/>
          <w:lang w:val="es-ES"/>
        </w:rPr>
        <w:lastRenderedPageBreak/>
        <w:t>legislación y la práctica bancaria. Si no se reclama la indemnización correspondiente una vez transcurridos diez años, las cantidades serán devueltas al Estado con los intereses devengados.</w:t>
      </w:r>
      <w:r w:rsidRPr="00904791">
        <w:t xml:space="preserve"> </w:t>
      </w:r>
      <w:r w:rsidRPr="00904791">
        <w:rPr>
          <w:rFonts w:eastAsia="SimSun"/>
          <w:lang w:val="es-ES"/>
        </w:rPr>
        <w:t>En caso de que lo anterior no sea posible, el Estado deberá mantener asegurada la disponibilidad a nivel interno de los fondos por el plazo de diez años.</w:t>
      </w:r>
    </w:p>
    <w:p w14:paraId="545B3CF0" w14:textId="77777777" w:rsidR="005960CC" w:rsidRPr="00465F79" w:rsidRDefault="005960CC" w:rsidP="005960CC">
      <w:pPr>
        <w:tabs>
          <w:tab w:val="left" w:pos="567"/>
          <w:tab w:val="num" w:pos="12305"/>
        </w:tabs>
        <w:spacing w:line="240" w:lineRule="auto"/>
        <w:textAlignment w:val="baseline"/>
        <w:rPr>
          <w:rFonts w:eastAsia="SimSun"/>
          <w:highlight w:val="yellow"/>
          <w:lang w:val="es-ES"/>
        </w:rPr>
      </w:pPr>
    </w:p>
    <w:p w14:paraId="4B3DA93D" w14:textId="77777777" w:rsidR="005960CC" w:rsidRPr="00465F79" w:rsidRDefault="005960CC" w:rsidP="005960CC">
      <w:pPr>
        <w:numPr>
          <w:ilvl w:val="0"/>
          <w:numId w:val="7"/>
        </w:numPr>
        <w:tabs>
          <w:tab w:val="left" w:pos="567"/>
          <w:tab w:val="num" w:pos="1569"/>
          <w:tab w:val="num" w:pos="12305"/>
        </w:tabs>
        <w:spacing w:line="240" w:lineRule="auto"/>
        <w:ind w:left="0" w:firstLine="0"/>
        <w:textAlignment w:val="baseline"/>
        <w:rPr>
          <w:rFonts w:eastAsia="SimSun"/>
          <w:lang w:val="es-ES"/>
        </w:rPr>
      </w:pPr>
      <w:r w:rsidRPr="00465F79">
        <w:rPr>
          <w:rFonts w:eastAsia="SimSun"/>
          <w:lang w:val="es-ES"/>
        </w:rPr>
        <w:t xml:space="preserve">Las cantidades asignadas en la presente Sentencia en concepto de indemnización por rehabilitación, daño material, inmaterial y el reintegro de costas y gastos </w:t>
      </w:r>
      <w:r w:rsidRPr="00465F79">
        <w:rPr>
          <w:rFonts w:eastAsia="MS Mincho" w:cs="Verdana"/>
          <w:snapToGrid w:val="0"/>
          <w:lang w:val="es-ES" w:eastAsia="es-ES" w:bidi="en-US"/>
        </w:rPr>
        <w:t>establecidos</w:t>
      </w:r>
      <w:r w:rsidRPr="00465F79">
        <w:rPr>
          <w:rFonts w:eastAsia="SimSun"/>
          <w:lang w:val="es-ES"/>
        </w:rPr>
        <w:t xml:space="preserve"> deberán ser entregadas a la</w:t>
      </w:r>
      <w:r>
        <w:rPr>
          <w:rFonts w:eastAsia="SimSun"/>
          <w:lang w:val="es-ES"/>
        </w:rPr>
        <w:t>s</w:t>
      </w:r>
      <w:r w:rsidRPr="00465F79">
        <w:rPr>
          <w:rFonts w:eastAsia="SimSun"/>
          <w:lang w:val="es-ES"/>
        </w:rPr>
        <w:t xml:space="preserve"> persona</w:t>
      </w:r>
      <w:r>
        <w:rPr>
          <w:rFonts w:eastAsia="SimSun"/>
          <w:lang w:val="es-ES"/>
        </w:rPr>
        <w:t>s</w:t>
      </w:r>
      <w:r w:rsidRPr="00465F79">
        <w:rPr>
          <w:rFonts w:eastAsia="SimSun"/>
          <w:lang w:val="es-ES"/>
        </w:rPr>
        <w:t xml:space="preserve"> indicada</w:t>
      </w:r>
      <w:r>
        <w:rPr>
          <w:rFonts w:eastAsia="SimSun"/>
          <w:lang w:val="es-ES"/>
        </w:rPr>
        <w:t>s</w:t>
      </w:r>
      <w:r w:rsidRPr="00465F79">
        <w:rPr>
          <w:rFonts w:eastAsia="SimSun"/>
          <w:lang w:val="es-ES"/>
        </w:rPr>
        <w:t xml:space="preserve"> en forma íntegra, conforme a lo establecido en esta Sentencia, sin reducciones derivadas de eventuales cargas fiscales.</w:t>
      </w:r>
    </w:p>
    <w:p w14:paraId="17927223" w14:textId="77777777" w:rsidR="005960CC" w:rsidRPr="00465F79" w:rsidRDefault="005960CC" w:rsidP="005960CC">
      <w:pPr>
        <w:tabs>
          <w:tab w:val="left" w:pos="567"/>
          <w:tab w:val="num" w:pos="12305"/>
        </w:tabs>
        <w:spacing w:line="240" w:lineRule="auto"/>
        <w:textAlignment w:val="baseline"/>
        <w:rPr>
          <w:rFonts w:eastAsia="SimSun"/>
          <w:highlight w:val="yellow"/>
          <w:lang w:val="es-ES"/>
        </w:rPr>
      </w:pPr>
    </w:p>
    <w:p w14:paraId="68316E8C" w14:textId="77777777" w:rsidR="005960CC" w:rsidRDefault="005960CC" w:rsidP="005960CC">
      <w:pPr>
        <w:numPr>
          <w:ilvl w:val="0"/>
          <w:numId w:val="7"/>
        </w:numPr>
        <w:tabs>
          <w:tab w:val="left" w:pos="567"/>
          <w:tab w:val="num" w:pos="1569"/>
          <w:tab w:val="num" w:pos="12305"/>
        </w:tabs>
        <w:spacing w:line="240" w:lineRule="auto"/>
        <w:ind w:left="0" w:firstLine="0"/>
        <w:textAlignment w:val="baseline"/>
        <w:rPr>
          <w:rFonts w:eastAsia="Batang" w:cs="Times"/>
          <w:noProof/>
          <w:lang w:val="es-ES"/>
        </w:rPr>
      </w:pPr>
      <w:r w:rsidRPr="00465F79">
        <w:rPr>
          <w:rFonts w:eastAsia="SimSun"/>
          <w:lang w:val="es-ES"/>
        </w:rPr>
        <w:t xml:space="preserve">En caso de que el Estado incurriera en mora, deberá pagar un interés sobre la cantidad adeudada correspondiente al interés bancario moratorio en </w:t>
      </w:r>
      <w:r>
        <w:rPr>
          <w:rFonts w:eastAsia="SimSun"/>
          <w:lang w:val="es-ES"/>
        </w:rPr>
        <w:t xml:space="preserve">la República de </w:t>
      </w:r>
      <w:r w:rsidRPr="00465F79">
        <w:rPr>
          <w:rFonts w:eastAsia="SimSun"/>
          <w:lang w:val="es-ES"/>
        </w:rPr>
        <w:t>El Salvador.</w:t>
      </w:r>
      <w:r w:rsidRPr="00465F79">
        <w:rPr>
          <w:rFonts w:eastAsia="Batang" w:cs="Times"/>
          <w:noProof/>
          <w:lang w:val="es-ES"/>
        </w:rPr>
        <w:t xml:space="preserve"> </w:t>
      </w:r>
    </w:p>
    <w:p w14:paraId="01620AE5" w14:textId="194F510E" w:rsidR="00C15F2F" w:rsidRPr="00465F79" w:rsidRDefault="00C15F2F" w:rsidP="005B2DB5">
      <w:pPr>
        <w:widowControl/>
        <w:adjustRightInd/>
        <w:spacing w:after="200" w:line="276" w:lineRule="auto"/>
        <w:jc w:val="left"/>
        <w:rPr>
          <w:rFonts w:eastAsia="Batang" w:cs="Times"/>
          <w:noProof/>
          <w:lang w:val="es-ES"/>
        </w:rPr>
      </w:pPr>
    </w:p>
    <w:p w14:paraId="3A0D62C9" w14:textId="1A29A00C" w:rsidR="004E41A4" w:rsidRPr="00465F79" w:rsidRDefault="000423F9" w:rsidP="00465F79">
      <w:pPr>
        <w:pStyle w:val="Ttulo1"/>
      </w:pPr>
      <w:bookmarkStart w:id="170" w:name="_Toc24447115"/>
      <w:bookmarkStart w:id="171" w:name="_Toc108695527"/>
      <w:bookmarkStart w:id="172" w:name="_Toc111623881"/>
      <w:bookmarkStart w:id="173" w:name="_Toc165022646"/>
      <w:r w:rsidRPr="00465F79">
        <w:t>I</w:t>
      </w:r>
      <w:r w:rsidR="002D2425" w:rsidRPr="00465F79">
        <w:t>X</w:t>
      </w:r>
      <w:r w:rsidR="002D2425" w:rsidRPr="00465F79">
        <w:br/>
        <w:t>PUNTOS RESOLUTIVO</w:t>
      </w:r>
      <w:bookmarkEnd w:id="170"/>
      <w:bookmarkEnd w:id="171"/>
      <w:bookmarkEnd w:id="172"/>
      <w:r w:rsidR="004E41A4" w:rsidRPr="00465F79">
        <w:t>S</w:t>
      </w:r>
      <w:bookmarkEnd w:id="173"/>
    </w:p>
    <w:p w14:paraId="7BCCE728" w14:textId="77777777" w:rsidR="000423F9" w:rsidRPr="00465F79" w:rsidRDefault="000423F9" w:rsidP="000423F9">
      <w:pPr>
        <w:pStyle w:val="PrrafodeSentencia"/>
        <w:textAlignment w:val="baseline"/>
        <w:rPr>
          <w:lang w:val="es-CR"/>
        </w:rPr>
      </w:pPr>
      <w:r w:rsidRPr="00465F79">
        <w:rPr>
          <w:lang w:val="es-CR"/>
        </w:rPr>
        <w:t>Por tanto,</w:t>
      </w:r>
    </w:p>
    <w:p w14:paraId="7ECCD62C" w14:textId="77777777" w:rsidR="000423F9" w:rsidRPr="00465F79" w:rsidRDefault="000423F9" w:rsidP="000423F9">
      <w:pPr>
        <w:pStyle w:val="Sinespaciado"/>
        <w:rPr>
          <w:rFonts w:ascii="Verdana" w:hAnsi="Verdana"/>
          <w:sz w:val="20"/>
          <w:szCs w:val="20"/>
        </w:rPr>
      </w:pPr>
    </w:p>
    <w:p w14:paraId="134164E0" w14:textId="77777777" w:rsidR="000423F9" w:rsidRDefault="000423F9" w:rsidP="000423F9">
      <w:pPr>
        <w:pStyle w:val="Sinespaciado"/>
        <w:rPr>
          <w:rFonts w:ascii="Verdana" w:hAnsi="Verdana"/>
          <w:b/>
          <w:sz w:val="20"/>
          <w:szCs w:val="20"/>
        </w:rPr>
      </w:pPr>
      <w:r w:rsidRPr="00465F79">
        <w:rPr>
          <w:rFonts w:ascii="Verdana" w:hAnsi="Verdana"/>
          <w:b/>
          <w:sz w:val="20"/>
          <w:szCs w:val="20"/>
        </w:rPr>
        <w:t>LA CORTE</w:t>
      </w:r>
    </w:p>
    <w:p w14:paraId="540CF9EE" w14:textId="77777777" w:rsidR="0033545D" w:rsidRDefault="0033545D" w:rsidP="000423F9">
      <w:pPr>
        <w:pStyle w:val="Sinespaciado"/>
        <w:rPr>
          <w:rFonts w:ascii="Verdana" w:hAnsi="Verdana"/>
          <w:b/>
          <w:sz w:val="20"/>
          <w:szCs w:val="20"/>
        </w:rPr>
      </w:pPr>
    </w:p>
    <w:p w14:paraId="3552FE76" w14:textId="77777777" w:rsidR="0033545D" w:rsidRPr="0033545D" w:rsidRDefault="0033545D" w:rsidP="0033545D">
      <w:pPr>
        <w:pStyle w:val="Sinespaciado"/>
        <w:rPr>
          <w:rFonts w:ascii="Verdana" w:hAnsi="Verdana"/>
          <w:b/>
          <w:sz w:val="20"/>
          <w:szCs w:val="20"/>
        </w:rPr>
      </w:pPr>
      <w:r w:rsidRPr="0033545D">
        <w:rPr>
          <w:rFonts w:ascii="Verdana" w:hAnsi="Verdana"/>
          <w:b/>
          <w:sz w:val="20"/>
          <w:szCs w:val="20"/>
        </w:rPr>
        <w:t>DECIDE,</w:t>
      </w:r>
    </w:p>
    <w:p w14:paraId="5BEFD719" w14:textId="77777777" w:rsidR="0033545D" w:rsidRDefault="0033545D" w:rsidP="0033545D">
      <w:pPr>
        <w:pStyle w:val="Sinespaciado"/>
        <w:rPr>
          <w:rFonts w:ascii="Verdana" w:hAnsi="Verdana"/>
          <w:b/>
          <w:sz w:val="20"/>
          <w:szCs w:val="20"/>
        </w:rPr>
      </w:pPr>
    </w:p>
    <w:p w14:paraId="4BF8CDE2" w14:textId="1FAA1B8E" w:rsidR="0033545D" w:rsidRPr="0033545D" w:rsidRDefault="0033545D" w:rsidP="0033545D">
      <w:pPr>
        <w:pStyle w:val="Sinespaciado"/>
        <w:rPr>
          <w:rFonts w:ascii="Verdana" w:hAnsi="Verdana"/>
          <w:bCs/>
          <w:sz w:val="20"/>
          <w:szCs w:val="20"/>
        </w:rPr>
      </w:pPr>
      <w:r w:rsidRPr="0033545D">
        <w:rPr>
          <w:rFonts w:ascii="Verdana" w:hAnsi="Verdana"/>
          <w:bCs/>
          <w:sz w:val="20"/>
          <w:szCs w:val="20"/>
        </w:rPr>
        <w:t>Por unanimidad,</w:t>
      </w:r>
    </w:p>
    <w:p w14:paraId="4E8D595D" w14:textId="77777777" w:rsidR="0033545D" w:rsidRPr="0033545D" w:rsidRDefault="0033545D" w:rsidP="0033545D">
      <w:pPr>
        <w:pStyle w:val="Sinespaciado"/>
        <w:rPr>
          <w:rFonts w:ascii="Verdana" w:hAnsi="Verdana"/>
          <w:b/>
          <w:sz w:val="20"/>
          <w:szCs w:val="20"/>
        </w:rPr>
      </w:pPr>
    </w:p>
    <w:p w14:paraId="0A713856" w14:textId="2A52A17E" w:rsidR="0033545D" w:rsidRPr="0033545D" w:rsidRDefault="0033545D" w:rsidP="0033545D">
      <w:pPr>
        <w:numPr>
          <w:ilvl w:val="0"/>
          <w:numId w:val="11"/>
        </w:numPr>
        <w:tabs>
          <w:tab w:val="left" w:pos="567"/>
        </w:tabs>
        <w:spacing w:line="240" w:lineRule="auto"/>
        <w:ind w:left="0" w:firstLine="0"/>
        <w:textAlignment w:val="baseline"/>
      </w:pPr>
      <w:r w:rsidRPr="0033545D">
        <w:t>Aceptar el reconocimiento parcial de responsabilidad internaciona</w:t>
      </w:r>
      <w:r>
        <w:t xml:space="preserve">l al efectuado por el Estado, en los términos de los párrafos </w:t>
      </w:r>
      <w:r w:rsidR="00142EFB">
        <w:t>20</w:t>
      </w:r>
      <w:r>
        <w:t xml:space="preserve"> a </w:t>
      </w:r>
      <w:r w:rsidR="00142EFB">
        <w:t>26</w:t>
      </w:r>
      <w:r>
        <w:t xml:space="preserve"> de la presente Sentencia.</w:t>
      </w:r>
    </w:p>
    <w:p w14:paraId="4EC7A7D6" w14:textId="77777777" w:rsidR="000423F9" w:rsidRPr="00465F79" w:rsidRDefault="000423F9" w:rsidP="000423F9">
      <w:pPr>
        <w:pStyle w:val="Sinespaciado"/>
        <w:rPr>
          <w:rFonts w:ascii="Verdana" w:hAnsi="Verdana"/>
          <w:b/>
          <w:sz w:val="20"/>
          <w:szCs w:val="20"/>
        </w:rPr>
      </w:pPr>
    </w:p>
    <w:p w14:paraId="5C7E9B00" w14:textId="77777777" w:rsidR="000423F9" w:rsidRPr="00465F79" w:rsidRDefault="000423F9" w:rsidP="000423F9">
      <w:pPr>
        <w:pStyle w:val="Sinespaciado"/>
        <w:rPr>
          <w:rFonts w:ascii="Verdana" w:hAnsi="Verdana"/>
          <w:b/>
          <w:sz w:val="20"/>
          <w:szCs w:val="20"/>
        </w:rPr>
      </w:pPr>
      <w:r w:rsidRPr="00465F79">
        <w:rPr>
          <w:rFonts w:ascii="Verdana" w:hAnsi="Verdana"/>
          <w:b/>
          <w:sz w:val="20"/>
          <w:szCs w:val="20"/>
        </w:rPr>
        <w:t>DECLARA,</w:t>
      </w:r>
    </w:p>
    <w:p w14:paraId="000D3C2D" w14:textId="77777777" w:rsidR="000423F9" w:rsidRPr="00465F79" w:rsidRDefault="000423F9" w:rsidP="000423F9">
      <w:pPr>
        <w:pStyle w:val="Sinespaciado"/>
        <w:rPr>
          <w:rFonts w:ascii="Verdana" w:hAnsi="Verdana"/>
          <w:sz w:val="20"/>
          <w:szCs w:val="20"/>
        </w:rPr>
      </w:pPr>
    </w:p>
    <w:p w14:paraId="16CA306A" w14:textId="5AE42750" w:rsidR="000423F9" w:rsidRPr="00465F79" w:rsidRDefault="000423F9" w:rsidP="000423F9">
      <w:pPr>
        <w:pStyle w:val="Sinespaciado"/>
        <w:rPr>
          <w:rFonts w:ascii="Verdana" w:hAnsi="Verdana"/>
          <w:sz w:val="20"/>
          <w:szCs w:val="20"/>
        </w:rPr>
      </w:pPr>
      <w:r w:rsidRPr="00465F79">
        <w:rPr>
          <w:rFonts w:ascii="Verdana" w:hAnsi="Verdana"/>
          <w:sz w:val="20"/>
          <w:szCs w:val="20"/>
        </w:rPr>
        <w:t xml:space="preserve">Por </w:t>
      </w:r>
      <w:r w:rsidR="00A35B19">
        <w:rPr>
          <w:rFonts w:ascii="Verdana" w:hAnsi="Verdana"/>
          <w:sz w:val="20"/>
          <w:szCs w:val="20"/>
        </w:rPr>
        <w:t>unanimidad,</w:t>
      </w:r>
      <w:r w:rsidRPr="00465F79">
        <w:rPr>
          <w:rFonts w:ascii="Verdana" w:hAnsi="Verdana"/>
          <w:sz w:val="20"/>
          <w:szCs w:val="20"/>
        </w:rPr>
        <w:t xml:space="preserve"> que:</w:t>
      </w:r>
    </w:p>
    <w:p w14:paraId="65B01079" w14:textId="77777777" w:rsidR="000423F9" w:rsidRPr="00465F79" w:rsidRDefault="000423F9" w:rsidP="000423F9">
      <w:pPr>
        <w:pStyle w:val="Sinespaciado"/>
        <w:rPr>
          <w:rFonts w:ascii="Verdana" w:hAnsi="Verdana"/>
          <w:sz w:val="20"/>
          <w:szCs w:val="20"/>
        </w:rPr>
      </w:pPr>
    </w:p>
    <w:p w14:paraId="1E5B2A37" w14:textId="637CECFE" w:rsidR="0007531C" w:rsidRDefault="0007531C">
      <w:pPr>
        <w:numPr>
          <w:ilvl w:val="0"/>
          <w:numId w:val="11"/>
        </w:numPr>
        <w:tabs>
          <w:tab w:val="left" w:pos="567"/>
        </w:tabs>
        <w:spacing w:line="240" w:lineRule="auto"/>
        <w:ind w:left="0" w:firstLine="0"/>
        <w:textAlignment w:val="baseline"/>
      </w:pPr>
      <w:r w:rsidRPr="00465F79">
        <w:t xml:space="preserve">El Estado es responsable por la violación de los derechos reconocidos en los artículos 3, 4.1, 5.1, 5.2, 7, 13.1 y 16.1 de la Convención Americana, en relación con lo dispuesto en el artículo 1.1 del mismo instrumento, en </w:t>
      </w:r>
      <w:r w:rsidRPr="00465F79">
        <w:rPr>
          <w:rFonts w:eastAsia="SimSun"/>
          <w:lang w:val="es-ES"/>
        </w:rPr>
        <w:t>perjuicio</w:t>
      </w:r>
      <w:r w:rsidRPr="00465F79">
        <w:t xml:space="preserve"> de Patricia Emilie Cuéllar Sandoval, en los términos de los párrafos </w:t>
      </w:r>
      <w:r w:rsidR="00614D58">
        <w:t>72</w:t>
      </w:r>
      <w:r w:rsidR="005960CC" w:rsidRPr="00465F79">
        <w:t xml:space="preserve"> a </w:t>
      </w:r>
      <w:r w:rsidR="00614D58">
        <w:t>82</w:t>
      </w:r>
      <w:r w:rsidR="005960CC">
        <w:t xml:space="preserve"> </w:t>
      </w:r>
      <w:r w:rsidRPr="00465F79">
        <w:t>de la presente Sentencia.</w:t>
      </w:r>
    </w:p>
    <w:p w14:paraId="60C5241F" w14:textId="77777777" w:rsidR="0007531C" w:rsidRDefault="0007531C" w:rsidP="0007531C">
      <w:pPr>
        <w:tabs>
          <w:tab w:val="left" w:pos="567"/>
        </w:tabs>
        <w:spacing w:line="240" w:lineRule="auto"/>
        <w:textAlignment w:val="baseline"/>
      </w:pPr>
    </w:p>
    <w:p w14:paraId="2E74E1C5" w14:textId="11A070BF" w:rsidR="000423F9" w:rsidRPr="00465F79" w:rsidRDefault="000423F9">
      <w:pPr>
        <w:numPr>
          <w:ilvl w:val="0"/>
          <w:numId w:val="11"/>
        </w:numPr>
        <w:tabs>
          <w:tab w:val="left" w:pos="567"/>
        </w:tabs>
        <w:spacing w:line="240" w:lineRule="auto"/>
        <w:ind w:left="0" w:firstLine="0"/>
        <w:textAlignment w:val="baseline"/>
      </w:pPr>
      <w:r w:rsidRPr="00465F79">
        <w:t xml:space="preserve">El Estado es responsable por la violación de los derechos reconocidos en los artículos 3, 4.1, 5.1, 5.2 y 7 de la Convención Americana, en relación con lo dispuesto en el artículo 1.1 del mismo instrumento, en </w:t>
      </w:r>
      <w:r w:rsidRPr="00465F79">
        <w:rPr>
          <w:rFonts w:eastAsia="SimSun"/>
          <w:lang w:val="es-ES"/>
        </w:rPr>
        <w:t>perjuicio</w:t>
      </w:r>
      <w:r w:rsidRPr="00465F79">
        <w:t xml:space="preserve"> </w:t>
      </w:r>
      <w:r w:rsidR="00EF6DCE" w:rsidRPr="00465F79">
        <w:t>de Mauricio Cuéllar Cuéllar y Julia Orbelina Pérez</w:t>
      </w:r>
      <w:r w:rsidRPr="00465F79">
        <w:t xml:space="preserve">, en los términos de los párrafos </w:t>
      </w:r>
      <w:r w:rsidR="00614D58">
        <w:t>72</w:t>
      </w:r>
      <w:r w:rsidR="005960CC" w:rsidRPr="00465F79">
        <w:t xml:space="preserve"> a </w:t>
      </w:r>
      <w:r w:rsidR="00614D58">
        <w:t>74</w:t>
      </w:r>
      <w:r w:rsidR="005960CC" w:rsidRPr="00465F79">
        <w:t xml:space="preserve"> </w:t>
      </w:r>
      <w:r w:rsidR="005960CC">
        <w:t xml:space="preserve">y </w:t>
      </w:r>
      <w:r w:rsidR="00614D58">
        <w:t>83</w:t>
      </w:r>
      <w:r w:rsidR="005960CC">
        <w:t xml:space="preserve"> </w:t>
      </w:r>
      <w:r w:rsidRPr="00465F79">
        <w:t>de la presente Sentencia.</w:t>
      </w:r>
    </w:p>
    <w:p w14:paraId="550614D6" w14:textId="77777777" w:rsidR="000423F9" w:rsidRPr="00465F79" w:rsidRDefault="000423F9" w:rsidP="000423F9">
      <w:pPr>
        <w:pStyle w:val="PrrafodeSentencia"/>
        <w:rPr>
          <w:lang w:val="es-CR"/>
        </w:rPr>
      </w:pPr>
    </w:p>
    <w:p w14:paraId="655A4083" w14:textId="7291D042" w:rsidR="000423F9" w:rsidRDefault="000423F9">
      <w:pPr>
        <w:numPr>
          <w:ilvl w:val="0"/>
          <w:numId w:val="11"/>
        </w:numPr>
        <w:tabs>
          <w:tab w:val="left" w:pos="567"/>
        </w:tabs>
        <w:spacing w:line="240" w:lineRule="auto"/>
        <w:ind w:left="0" w:firstLine="0"/>
        <w:textAlignment w:val="baseline"/>
      </w:pPr>
      <w:r w:rsidRPr="00465F79">
        <w:t>El Estado es responsable por la violación de los derechos reconocidos en los artículos 8.1 y 25.1 de la Convención, en relación con el artículo 1.1 del mismo instrumento</w:t>
      </w:r>
      <w:r w:rsidRPr="00465F79">
        <w:rPr>
          <w:rFonts w:cs="Arial"/>
          <w:bCs/>
        </w:rPr>
        <w:t xml:space="preserve">, </w:t>
      </w:r>
      <w:r w:rsidRPr="00465F79">
        <w:t xml:space="preserve">en perjuicio </w:t>
      </w:r>
      <w:r w:rsidR="000E127F" w:rsidRPr="00465F79">
        <w:t xml:space="preserve">de Patricia Emilie Cuéllar Sandoval, Mauricio Cuéllar Cuéllar y Julia Orbelina Pérez </w:t>
      </w:r>
      <w:r w:rsidRPr="00465F79">
        <w:t xml:space="preserve">y de sus familiares </w:t>
      </w:r>
      <w:r w:rsidR="000E127F" w:rsidRPr="00465F79">
        <w:rPr>
          <w:lang w:eastAsia="es-ES_tradnl"/>
        </w:rPr>
        <w:t xml:space="preserve">Maite María Álvarez Cuéllar, Javier Ernesto Álvarez Cuéllar, Ana Gabriela Álvarez Cuéllar, Francisco </w:t>
      </w:r>
      <w:r w:rsidR="00495015">
        <w:rPr>
          <w:lang w:eastAsia="es-ES_tradnl"/>
        </w:rPr>
        <w:t xml:space="preserve">Alfredo </w:t>
      </w:r>
      <w:r w:rsidR="000E127F" w:rsidRPr="00465F79">
        <w:rPr>
          <w:lang w:eastAsia="es-ES_tradnl"/>
        </w:rPr>
        <w:t xml:space="preserve">Álvarez Solís, María </w:t>
      </w:r>
      <w:r w:rsidR="000E127F" w:rsidRPr="00465F79">
        <w:rPr>
          <w:lang w:eastAsia="es-ES_tradnl"/>
        </w:rPr>
        <w:lastRenderedPageBreak/>
        <w:t xml:space="preserve">Consuelo Cuéllar Cuéllar, </w:t>
      </w:r>
      <w:r w:rsidR="00791651">
        <w:rPr>
          <w:lang w:eastAsia="es-ES_tradnl"/>
        </w:rPr>
        <w:t xml:space="preserve">León </w:t>
      </w:r>
      <w:r w:rsidR="000E127F" w:rsidRPr="00465F79">
        <w:rPr>
          <w:lang w:eastAsia="es-ES_tradnl"/>
        </w:rPr>
        <w:t>Enrique Cuéllar Cuéllar, Mauricio Cuéllar Sandoval, Ana</w:t>
      </w:r>
      <w:r w:rsidR="00444E5F">
        <w:rPr>
          <w:lang w:eastAsia="es-ES_tradnl"/>
        </w:rPr>
        <w:t xml:space="preserve"> </w:t>
      </w:r>
      <w:r w:rsidR="00F01B69">
        <w:rPr>
          <w:lang w:eastAsia="es-ES_tradnl"/>
        </w:rPr>
        <w:t>Gladis</w:t>
      </w:r>
      <w:r w:rsidR="000E127F" w:rsidRPr="00465F79">
        <w:rPr>
          <w:lang w:eastAsia="es-ES_tradnl"/>
        </w:rPr>
        <w:t xml:space="preserve"> </w:t>
      </w:r>
      <w:r w:rsidR="000B7B3C">
        <w:rPr>
          <w:lang w:eastAsia="es-ES_tradnl"/>
        </w:rPr>
        <w:t>Pérez de Castro</w:t>
      </w:r>
      <w:r w:rsidR="000E127F" w:rsidRPr="00465F79">
        <w:rPr>
          <w:lang w:eastAsia="es-ES_tradnl"/>
        </w:rPr>
        <w:t xml:space="preserve"> y Teresa Pérez de Ramos</w:t>
      </w:r>
      <w:r w:rsidRPr="00465F79">
        <w:t xml:space="preserve">, en los términos de los párrafos </w:t>
      </w:r>
      <w:r w:rsidR="00614D58">
        <w:t xml:space="preserve">87 a </w:t>
      </w:r>
      <w:r w:rsidR="002A4B2B">
        <w:t xml:space="preserve"> 90 y </w:t>
      </w:r>
      <w:r w:rsidR="00614D58">
        <w:t>97</w:t>
      </w:r>
      <w:r w:rsidR="005960CC">
        <w:t xml:space="preserve"> </w:t>
      </w:r>
      <w:r w:rsidRPr="00465F79">
        <w:t>de la presente Sentencia</w:t>
      </w:r>
      <w:r w:rsidR="000813B3">
        <w:t>.</w:t>
      </w:r>
    </w:p>
    <w:p w14:paraId="69D0F302" w14:textId="77777777" w:rsidR="000813B3" w:rsidRDefault="000813B3" w:rsidP="000813B3">
      <w:pPr>
        <w:tabs>
          <w:tab w:val="left" w:pos="567"/>
        </w:tabs>
        <w:spacing w:line="240" w:lineRule="auto"/>
        <w:textAlignment w:val="baseline"/>
      </w:pPr>
    </w:p>
    <w:p w14:paraId="4A799A60" w14:textId="48ECDD8E" w:rsidR="000813B3" w:rsidRPr="00465F79" w:rsidRDefault="000813B3">
      <w:pPr>
        <w:numPr>
          <w:ilvl w:val="0"/>
          <w:numId w:val="11"/>
        </w:numPr>
        <w:tabs>
          <w:tab w:val="left" w:pos="567"/>
        </w:tabs>
        <w:spacing w:line="240" w:lineRule="auto"/>
        <w:ind w:left="0" w:firstLine="0"/>
        <w:textAlignment w:val="baseline"/>
      </w:pPr>
      <w:r>
        <w:t xml:space="preserve">El Estado es responsable por la violación al derecho a conocer la verdad, con base en la vulneración de los artículos 8.1, 13.1 y 25.1 de la Convención Americana sobre Derechos Humanos, en relación con su artículo 1.1 de la misma, en perjuicio de </w:t>
      </w:r>
      <w:r w:rsidRPr="00465F79">
        <w:rPr>
          <w:lang w:eastAsia="es-ES_tradnl"/>
        </w:rPr>
        <w:t xml:space="preserve">Maite María Álvarez Cuéllar, Javier Ernesto Álvarez Cuéllar, Ana Gabriela Álvarez Cuéllar, Francisco </w:t>
      </w:r>
      <w:r w:rsidR="00495015">
        <w:rPr>
          <w:lang w:eastAsia="es-ES_tradnl"/>
        </w:rPr>
        <w:t xml:space="preserve">Alfredo </w:t>
      </w:r>
      <w:r w:rsidRPr="00465F79">
        <w:rPr>
          <w:lang w:eastAsia="es-ES_tradnl"/>
        </w:rPr>
        <w:t>Álvarez Solís, María Consuelo Cuéllar Cuéllar,</w:t>
      </w:r>
      <w:r w:rsidR="00791651">
        <w:rPr>
          <w:lang w:eastAsia="es-ES_tradnl"/>
        </w:rPr>
        <w:t xml:space="preserve"> León</w:t>
      </w:r>
      <w:r w:rsidRPr="00465F79">
        <w:rPr>
          <w:lang w:eastAsia="es-ES_tradnl"/>
        </w:rPr>
        <w:t xml:space="preserve"> Enrique Cuéllar Cuéllar, Mauricio Cuéllar Sandoval, Ana</w:t>
      </w:r>
      <w:r w:rsidR="00444E5F">
        <w:rPr>
          <w:lang w:eastAsia="es-ES_tradnl"/>
        </w:rPr>
        <w:t xml:space="preserve"> </w:t>
      </w:r>
      <w:r w:rsidR="00F01B69">
        <w:rPr>
          <w:lang w:eastAsia="es-ES_tradnl"/>
        </w:rPr>
        <w:t>Gladis</w:t>
      </w:r>
      <w:r w:rsidRPr="00465F79">
        <w:rPr>
          <w:lang w:eastAsia="es-ES_tradnl"/>
        </w:rPr>
        <w:t xml:space="preserve"> </w:t>
      </w:r>
      <w:r>
        <w:rPr>
          <w:lang w:eastAsia="es-ES_tradnl"/>
        </w:rPr>
        <w:t>Pérez de Castro</w:t>
      </w:r>
      <w:r w:rsidRPr="00465F79">
        <w:rPr>
          <w:lang w:eastAsia="es-ES_tradnl"/>
        </w:rPr>
        <w:t xml:space="preserve"> y Teresa Pérez de Ramos</w:t>
      </w:r>
      <w:r>
        <w:t xml:space="preserve">, en los términos de los párrafos </w:t>
      </w:r>
      <w:r w:rsidR="00614D58">
        <w:t>91</w:t>
      </w:r>
      <w:r w:rsidR="005960CC">
        <w:t xml:space="preserve"> </w:t>
      </w:r>
      <w:r w:rsidR="00614D58">
        <w:t xml:space="preserve">a 96 </w:t>
      </w:r>
      <w:r w:rsidR="005960CC">
        <w:t>y 9</w:t>
      </w:r>
      <w:r w:rsidR="00614D58">
        <w:t>8</w:t>
      </w:r>
      <w:r w:rsidR="005960CC">
        <w:t xml:space="preserve"> </w:t>
      </w:r>
      <w:r>
        <w:t>de la presente Sentencia.</w:t>
      </w:r>
    </w:p>
    <w:p w14:paraId="5269DB93" w14:textId="77777777" w:rsidR="000423F9" w:rsidRPr="00465F79" w:rsidRDefault="000423F9" w:rsidP="000423F9">
      <w:pPr>
        <w:pStyle w:val="Sinespaciado"/>
        <w:rPr>
          <w:rFonts w:ascii="Verdana" w:hAnsi="Verdana"/>
          <w:sz w:val="20"/>
          <w:szCs w:val="20"/>
        </w:rPr>
      </w:pPr>
    </w:p>
    <w:p w14:paraId="09EC59C5" w14:textId="4F459F9D" w:rsidR="00C92F91" w:rsidRDefault="000423F9" w:rsidP="002214E1">
      <w:pPr>
        <w:numPr>
          <w:ilvl w:val="0"/>
          <w:numId w:val="11"/>
        </w:numPr>
        <w:tabs>
          <w:tab w:val="left" w:pos="567"/>
        </w:tabs>
        <w:spacing w:line="240" w:lineRule="auto"/>
        <w:ind w:left="0" w:firstLine="0"/>
        <w:textAlignment w:val="baseline"/>
      </w:pPr>
      <w:r w:rsidRPr="00465F79">
        <w:t xml:space="preserve">El Estado es responsable por la violación derecho a la integridad personal reconocido en el artículo 5.1 de la Convención Americana, en relación con el artículo 1.1 del mismo instrumento, en perjuicio de </w:t>
      </w:r>
      <w:r w:rsidR="000E127F" w:rsidRPr="00465F79">
        <w:rPr>
          <w:lang w:eastAsia="es-ES_tradnl"/>
        </w:rPr>
        <w:t xml:space="preserve">Maite María Álvarez Cuéllar, Javier Ernesto Álvarez Cuéllar, Ana Gabriela Álvarez Cuéllar, Francisco </w:t>
      </w:r>
      <w:r w:rsidR="00495015">
        <w:rPr>
          <w:lang w:eastAsia="es-ES_tradnl"/>
        </w:rPr>
        <w:t xml:space="preserve">Alfredo </w:t>
      </w:r>
      <w:r w:rsidR="000E127F" w:rsidRPr="00465F79">
        <w:rPr>
          <w:lang w:eastAsia="es-ES_tradnl"/>
        </w:rPr>
        <w:t xml:space="preserve">Álvarez Solís, María Consuelo Cuéllar Cuéllar, </w:t>
      </w:r>
      <w:r w:rsidR="00791651">
        <w:rPr>
          <w:lang w:eastAsia="es-ES_tradnl"/>
        </w:rPr>
        <w:t xml:space="preserve">León </w:t>
      </w:r>
      <w:r w:rsidR="000E127F" w:rsidRPr="00465F79">
        <w:rPr>
          <w:lang w:eastAsia="es-ES_tradnl"/>
        </w:rPr>
        <w:t>Enrique Cuéllar Cuéllar, Mauricio Cuéllar Sandoval, Ana</w:t>
      </w:r>
      <w:r w:rsidR="00444E5F">
        <w:rPr>
          <w:lang w:eastAsia="es-ES_tradnl"/>
        </w:rPr>
        <w:t xml:space="preserve"> </w:t>
      </w:r>
      <w:r w:rsidR="00F01B69">
        <w:rPr>
          <w:lang w:eastAsia="es-ES_tradnl"/>
        </w:rPr>
        <w:t>Gladis</w:t>
      </w:r>
      <w:r w:rsidR="000E127F" w:rsidRPr="00465F79">
        <w:rPr>
          <w:lang w:eastAsia="es-ES_tradnl"/>
        </w:rPr>
        <w:t xml:space="preserve"> </w:t>
      </w:r>
      <w:r w:rsidR="000B7B3C">
        <w:rPr>
          <w:lang w:eastAsia="es-ES_tradnl"/>
        </w:rPr>
        <w:t>Pérez de Castro</w:t>
      </w:r>
      <w:r w:rsidR="000E127F" w:rsidRPr="00465F79">
        <w:rPr>
          <w:lang w:eastAsia="es-ES_tradnl"/>
        </w:rPr>
        <w:t xml:space="preserve"> y Teresa Pérez de Ramos</w:t>
      </w:r>
      <w:r w:rsidRPr="00465F79">
        <w:t xml:space="preserve">, en los términos de los </w:t>
      </w:r>
      <w:r w:rsidR="002A4B2B">
        <w:t>102</w:t>
      </w:r>
      <w:r w:rsidR="005960CC" w:rsidRPr="00465F79">
        <w:t xml:space="preserve"> a </w:t>
      </w:r>
      <w:r w:rsidR="002A4B2B">
        <w:t>107</w:t>
      </w:r>
      <w:r w:rsidR="005960CC">
        <w:t xml:space="preserve"> y </w:t>
      </w:r>
      <w:r w:rsidR="002A4B2B">
        <w:t>112</w:t>
      </w:r>
      <w:r w:rsidR="005960CC" w:rsidRPr="00465F79">
        <w:t xml:space="preserve"> </w:t>
      </w:r>
      <w:r w:rsidRPr="00465F79">
        <w:t>de la presente Sentencia</w:t>
      </w:r>
      <w:r w:rsidR="006D60E2" w:rsidRPr="00465F79">
        <w:t>.</w:t>
      </w:r>
    </w:p>
    <w:p w14:paraId="756665BC" w14:textId="77777777" w:rsidR="004211BE" w:rsidRDefault="004211BE" w:rsidP="004211BE">
      <w:pPr>
        <w:tabs>
          <w:tab w:val="left" w:pos="567"/>
        </w:tabs>
        <w:spacing w:line="240" w:lineRule="auto"/>
        <w:textAlignment w:val="baseline"/>
        <w:rPr>
          <w:lang w:eastAsia="es-MX"/>
        </w:rPr>
      </w:pPr>
    </w:p>
    <w:p w14:paraId="1E48C150" w14:textId="5EBE0FB9" w:rsidR="006D60E2" w:rsidRPr="00465F79" w:rsidRDefault="006D60E2" w:rsidP="006D60E2">
      <w:pPr>
        <w:numPr>
          <w:ilvl w:val="0"/>
          <w:numId w:val="11"/>
        </w:numPr>
        <w:tabs>
          <w:tab w:val="left" w:pos="567"/>
          <w:tab w:val="num" w:pos="1569"/>
          <w:tab w:val="num" w:pos="12305"/>
        </w:tabs>
        <w:spacing w:line="240" w:lineRule="auto"/>
        <w:ind w:left="0" w:firstLine="0"/>
        <w:textAlignment w:val="baseline"/>
        <w:rPr>
          <w:lang w:eastAsia="es-MX"/>
        </w:rPr>
      </w:pPr>
      <w:r w:rsidRPr="00465F79">
        <w:t xml:space="preserve">El Estado es responsable por la violación del derecho a la protección de la familia y de los derechos de la niñez </w:t>
      </w:r>
      <w:r w:rsidR="005F25BF" w:rsidRPr="00465F79">
        <w:t>reconocidos</w:t>
      </w:r>
      <w:r w:rsidRPr="00465F79">
        <w:t xml:space="preserve"> en los artículos 17 y 19 de la Convención Americana, en relación con el artículo 1.1 del mismo instrumento, en perjuicio de </w:t>
      </w:r>
      <w:r w:rsidRPr="00465F79">
        <w:rPr>
          <w:lang w:eastAsia="es-ES_tradnl"/>
        </w:rPr>
        <w:t>Maite María Álvarez Cuéllar, Javier Ernesto Álvarez Cuéllar y Ana Gabriela Álvarez Cuéllar</w:t>
      </w:r>
      <w:r w:rsidRPr="00465F79">
        <w:t xml:space="preserve">, en los términos de los párrafos </w:t>
      </w:r>
      <w:r w:rsidR="002A4B2B">
        <w:t>108</w:t>
      </w:r>
      <w:r w:rsidR="005960CC" w:rsidRPr="00465F79">
        <w:t xml:space="preserve"> a </w:t>
      </w:r>
      <w:r w:rsidR="002A4B2B">
        <w:t>111</w:t>
      </w:r>
      <w:r w:rsidR="005960CC">
        <w:t xml:space="preserve"> y </w:t>
      </w:r>
      <w:r w:rsidR="002A4B2B">
        <w:t>113</w:t>
      </w:r>
      <w:r w:rsidR="005960CC" w:rsidRPr="00465F79">
        <w:t xml:space="preserve"> </w:t>
      </w:r>
      <w:r w:rsidRPr="00465F79">
        <w:t>de la presente Sentencia</w:t>
      </w:r>
      <w:r w:rsidR="0007531C">
        <w:t>.</w:t>
      </w:r>
    </w:p>
    <w:p w14:paraId="634A5F55" w14:textId="77777777" w:rsidR="000423F9" w:rsidRPr="00465F79" w:rsidRDefault="000423F9" w:rsidP="000423F9">
      <w:pPr>
        <w:pStyle w:val="Sinespaciado"/>
        <w:rPr>
          <w:rFonts w:ascii="Verdana" w:hAnsi="Verdana"/>
          <w:sz w:val="20"/>
          <w:szCs w:val="20"/>
        </w:rPr>
      </w:pPr>
    </w:p>
    <w:p w14:paraId="37383BBC" w14:textId="77777777" w:rsidR="000423F9" w:rsidRPr="00465F79" w:rsidRDefault="000423F9" w:rsidP="000423F9">
      <w:pPr>
        <w:pStyle w:val="Sinespaciado"/>
        <w:rPr>
          <w:rFonts w:ascii="Verdana" w:hAnsi="Verdana"/>
          <w:b/>
          <w:sz w:val="20"/>
          <w:szCs w:val="20"/>
        </w:rPr>
      </w:pPr>
      <w:r w:rsidRPr="00465F79">
        <w:rPr>
          <w:rFonts w:ascii="Verdana" w:hAnsi="Verdana"/>
          <w:b/>
          <w:sz w:val="20"/>
          <w:szCs w:val="20"/>
        </w:rPr>
        <w:t>Y DISPONE:</w:t>
      </w:r>
    </w:p>
    <w:p w14:paraId="03587ECE" w14:textId="77777777" w:rsidR="000423F9" w:rsidRPr="00465F79" w:rsidRDefault="000423F9" w:rsidP="000423F9">
      <w:pPr>
        <w:pStyle w:val="Sinespaciado"/>
        <w:rPr>
          <w:rFonts w:ascii="Verdana" w:hAnsi="Verdana"/>
          <w:sz w:val="20"/>
          <w:szCs w:val="20"/>
        </w:rPr>
      </w:pPr>
    </w:p>
    <w:p w14:paraId="750560B3" w14:textId="77777777" w:rsidR="000423F9" w:rsidRDefault="000423F9" w:rsidP="000423F9">
      <w:pPr>
        <w:pStyle w:val="Sinespaciado"/>
        <w:rPr>
          <w:rFonts w:ascii="Verdana" w:hAnsi="Verdana"/>
          <w:sz w:val="20"/>
          <w:szCs w:val="20"/>
        </w:rPr>
      </w:pPr>
      <w:r w:rsidRPr="00465F79">
        <w:rPr>
          <w:rFonts w:ascii="Verdana" w:hAnsi="Verdana"/>
          <w:sz w:val="20"/>
          <w:szCs w:val="20"/>
        </w:rPr>
        <w:t>Por unanimidad, que:</w:t>
      </w:r>
    </w:p>
    <w:p w14:paraId="6A5BB83F" w14:textId="77777777" w:rsidR="000423F9" w:rsidRPr="00465F79" w:rsidRDefault="000423F9" w:rsidP="000423F9">
      <w:pPr>
        <w:pStyle w:val="Sinespaciado"/>
        <w:rPr>
          <w:rFonts w:ascii="Verdana" w:hAnsi="Verdana"/>
          <w:sz w:val="20"/>
          <w:szCs w:val="20"/>
        </w:rPr>
      </w:pPr>
    </w:p>
    <w:p w14:paraId="5BB84797" w14:textId="77777777" w:rsidR="000423F9" w:rsidRPr="00465F79" w:rsidRDefault="000423F9">
      <w:pPr>
        <w:numPr>
          <w:ilvl w:val="0"/>
          <w:numId w:val="11"/>
        </w:numPr>
        <w:tabs>
          <w:tab w:val="left" w:pos="567"/>
        </w:tabs>
        <w:spacing w:line="240" w:lineRule="auto"/>
        <w:ind w:left="0" w:firstLine="0"/>
        <w:textAlignment w:val="baseline"/>
      </w:pPr>
      <w:r w:rsidRPr="00465F79">
        <w:t>Esta Sentencia constituye, por sí misma, una forma de reparación.</w:t>
      </w:r>
    </w:p>
    <w:p w14:paraId="3E9C84F4" w14:textId="77777777" w:rsidR="00597454" w:rsidRPr="00597454" w:rsidRDefault="00597454" w:rsidP="00597454">
      <w:pPr>
        <w:tabs>
          <w:tab w:val="left" w:pos="567"/>
        </w:tabs>
        <w:spacing w:line="240" w:lineRule="auto"/>
        <w:textAlignment w:val="baseline"/>
      </w:pPr>
    </w:p>
    <w:p w14:paraId="3F4BFFA7" w14:textId="75885FF8" w:rsidR="005960CC" w:rsidRPr="00465F79" w:rsidRDefault="005960CC" w:rsidP="005960CC">
      <w:pPr>
        <w:numPr>
          <w:ilvl w:val="0"/>
          <w:numId w:val="11"/>
        </w:numPr>
        <w:tabs>
          <w:tab w:val="left" w:pos="567"/>
        </w:tabs>
        <w:spacing w:line="240" w:lineRule="auto"/>
        <w:ind w:left="0" w:firstLine="0"/>
        <w:textAlignment w:val="baseline"/>
      </w:pPr>
      <w:r>
        <w:rPr>
          <w:rFonts w:eastAsia="Arial" w:cs="Arial"/>
          <w:bCs/>
          <w:lang w:val="es-ES"/>
        </w:rPr>
        <w:t>El</w:t>
      </w:r>
      <w:r w:rsidRPr="00926F27">
        <w:rPr>
          <w:rFonts w:eastAsia="Arial" w:cs="Arial"/>
          <w:bCs/>
          <w:lang w:val="es-ES"/>
        </w:rPr>
        <w:t xml:space="preserve"> Estado </w:t>
      </w:r>
      <w:r>
        <w:rPr>
          <w:rFonts w:eastAsia="Arial" w:cs="Arial"/>
          <w:bCs/>
          <w:lang w:val="es-ES"/>
        </w:rPr>
        <w:t>continuará</w:t>
      </w:r>
      <w:r w:rsidRPr="00926F27">
        <w:rPr>
          <w:rFonts w:eastAsia="Arial" w:cs="Arial"/>
          <w:bCs/>
          <w:lang w:val="es-ES"/>
        </w:rPr>
        <w:t xml:space="preserve"> eficazmente y con la mayor diligencia las investigaciones penales en curso a fin de esclarecer plenamente lo ocurrido e individualizar, juzgar y, en su caso, sancionar a todos los autores y partícipes de los hechos denunciados para los efectos penales correspondientes</w:t>
      </w:r>
      <w:r w:rsidRPr="00465F79">
        <w:t xml:space="preserve">, en los términos de lo establecido en </w:t>
      </w:r>
      <w:r>
        <w:t>el</w:t>
      </w:r>
      <w:r w:rsidRPr="00465F79">
        <w:t xml:space="preserve"> párrafo </w:t>
      </w:r>
      <w:r w:rsidR="002A4B2B">
        <w:t>123</w:t>
      </w:r>
      <w:r w:rsidRPr="00465F79">
        <w:t xml:space="preserve"> de esta</w:t>
      </w:r>
      <w:r>
        <w:t xml:space="preserve"> Sentencia</w:t>
      </w:r>
      <w:r w:rsidRPr="00465F79">
        <w:t xml:space="preserve">. </w:t>
      </w:r>
    </w:p>
    <w:p w14:paraId="619B85FA" w14:textId="77777777" w:rsidR="005960CC" w:rsidRPr="00465F79" w:rsidRDefault="005960CC" w:rsidP="005960CC">
      <w:pPr>
        <w:pStyle w:val="Sinespaciado"/>
        <w:rPr>
          <w:rFonts w:ascii="Verdana" w:hAnsi="Verdana"/>
          <w:sz w:val="20"/>
          <w:szCs w:val="20"/>
        </w:rPr>
      </w:pPr>
    </w:p>
    <w:p w14:paraId="266FBFA2" w14:textId="530BE741" w:rsidR="005960CC" w:rsidRPr="00465F79" w:rsidRDefault="005960CC" w:rsidP="005960CC">
      <w:pPr>
        <w:numPr>
          <w:ilvl w:val="0"/>
          <w:numId w:val="11"/>
        </w:numPr>
        <w:tabs>
          <w:tab w:val="left" w:pos="567"/>
        </w:tabs>
        <w:spacing w:line="240" w:lineRule="auto"/>
        <w:ind w:left="0" w:firstLine="0"/>
        <w:textAlignment w:val="baseline"/>
      </w:pPr>
      <w:r w:rsidRPr="00465F79">
        <w:t xml:space="preserve">El Estado </w:t>
      </w:r>
      <w:r>
        <w:t xml:space="preserve">continuará </w:t>
      </w:r>
      <w:r w:rsidRPr="0007531C">
        <w:rPr>
          <w:rFonts w:eastAsia="Arial" w:cs="Arial"/>
          <w:bCs/>
          <w:lang w:val="es-ES"/>
        </w:rPr>
        <w:t>con las acciones de búsqueda de Patricia Emilie Cuéllar Sandoval, Mauricio Cuéllar Cuéllar y Julia Orbelina Pérez. Estas acciones deben realizarse de forma rigurosa, por las vías judiciales y/o administrativas que resulten pertinentes, realizándose todos los esfuerzos para determinar, a la mayor brevedad posible, el paradero de las víctimas o la identificación de sus restos mortales</w:t>
      </w:r>
      <w:r>
        <w:rPr>
          <w:rFonts w:eastAsia="Arial" w:cs="Arial"/>
          <w:bCs/>
          <w:lang w:val="es-ES"/>
        </w:rPr>
        <w:t xml:space="preserve">, </w:t>
      </w:r>
      <w:r w:rsidRPr="00465F79">
        <w:t xml:space="preserve">en los términos de lo establecido en los párrafos </w:t>
      </w:r>
      <w:r w:rsidR="002A4B2B">
        <w:t>127</w:t>
      </w:r>
      <w:r w:rsidRPr="00465F79">
        <w:t xml:space="preserve"> </w:t>
      </w:r>
      <w:r>
        <w:t>y</w:t>
      </w:r>
      <w:r w:rsidRPr="00465F79">
        <w:t xml:space="preserve"> </w:t>
      </w:r>
      <w:r w:rsidR="002A4B2B">
        <w:t>128</w:t>
      </w:r>
      <w:r w:rsidRPr="00465F79">
        <w:t xml:space="preserve"> de esta</w:t>
      </w:r>
      <w:r>
        <w:t xml:space="preserve"> Sentencia</w:t>
      </w:r>
      <w:r w:rsidRPr="00465F79">
        <w:t>.</w:t>
      </w:r>
    </w:p>
    <w:p w14:paraId="28176E56" w14:textId="77777777" w:rsidR="005960CC" w:rsidRPr="00465F79" w:rsidRDefault="005960CC" w:rsidP="005960CC">
      <w:pPr>
        <w:pStyle w:val="Sinespaciado"/>
        <w:rPr>
          <w:rFonts w:ascii="Verdana" w:hAnsi="Verdana"/>
          <w:sz w:val="20"/>
          <w:szCs w:val="20"/>
        </w:rPr>
      </w:pPr>
    </w:p>
    <w:p w14:paraId="25F0B3D5" w14:textId="7ABAB77F" w:rsidR="005960CC" w:rsidRPr="002F316B" w:rsidRDefault="005960CC" w:rsidP="005960CC">
      <w:pPr>
        <w:numPr>
          <w:ilvl w:val="0"/>
          <w:numId w:val="11"/>
        </w:numPr>
        <w:tabs>
          <w:tab w:val="left" w:pos="567"/>
        </w:tabs>
        <w:spacing w:line="240" w:lineRule="auto"/>
        <w:ind w:left="0" w:firstLine="0"/>
        <w:textAlignment w:val="baseline"/>
      </w:pPr>
      <w:r w:rsidRPr="002F316B">
        <w:rPr>
          <w:rFonts w:eastAsia="Arial" w:cs="Arial"/>
          <w:lang w:val="es-ES"/>
        </w:rPr>
        <w:t xml:space="preserve">El Estado brindará gratuitamente, de forma prioritaria y por el tiempo que sea necesario, tratamiento psicológico y/o psiquiátrico, según corresponda, para la señora Ana </w:t>
      </w:r>
      <w:r>
        <w:rPr>
          <w:rFonts w:eastAsia="Arial" w:cs="Arial"/>
          <w:lang w:val="es-ES"/>
        </w:rPr>
        <w:t>Gladis</w:t>
      </w:r>
      <w:r w:rsidRPr="002F316B">
        <w:rPr>
          <w:rFonts w:eastAsia="Arial" w:cs="Arial"/>
          <w:lang w:val="es-ES"/>
        </w:rPr>
        <w:t xml:space="preserve"> Pérez de Castro, el cual deberá incluir la provisión de medicamentos, y, en su caso, transporte y otros gastos directamente relacionados y necesarios</w:t>
      </w:r>
      <w:r w:rsidRPr="002F316B">
        <w:t xml:space="preserve">, en los términos de lo establecido en </w:t>
      </w:r>
      <w:r>
        <w:t>los</w:t>
      </w:r>
      <w:r w:rsidRPr="002F316B">
        <w:t xml:space="preserve"> párrafo</w:t>
      </w:r>
      <w:r>
        <w:t>s</w:t>
      </w:r>
      <w:r w:rsidRPr="002F316B">
        <w:t xml:space="preserve"> </w:t>
      </w:r>
      <w:r w:rsidR="002A4B2B">
        <w:t>132</w:t>
      </w:r>
      <w:r>
        <w:t xml:space="preserve"> a 13</w:t>
      </w:r>
      <w:r w:rsidR="002A4B2B">
        <w:t>4</w:t>
      </w:r>
      <w:r w:rsidRPr="002F316B">
        <w:t xml:space="preserve"> de esta</w:t>
      </w:r>
      <w:r>
        <w:t xml:space="preserve"> Sentencia</w:t>
      </w:r>
      <w:r w:rsidRPr="002F316B">
        <w:t xml:space="preserve">. </w:t>
      </w:r>
    </w:p>
    <w:p w14:paraId="1E2FBD03" w14:textId="77777777" w:rsidR="005960CC" w:rsidRPr="00465F79" w:rsidRDefault="005960CC" w:rsidP="005960CC">
      <w:pPr>
        <w:pStyle w:val="PrrafodeSentencia"/>
        <w:rPr>
          <w:lang w:val="es-CR"/>
        </w:rPr>
      </w:pPr>
    </w:p>
    <w:p w14:paraId="2872CC45" w14:textId="58A27C20" w:rsidR="005960CC" w:rsidRDefault="005960CC" w:rsidP="005960CC">
      <w:pPr>
        <w:numPr>
          <w:ilvl w:val="0"/>
          <w:numId w:val="11"/>
        </w:numPr>
        <w:tabs>
          <w:tab w:val="left" w:pos="567"/>
        </w:tabs>
        <w:spacing w:line="240" w:lineRule="auto"/>
        <w:ind w:left="0" w:firstLine="0"/>
        <w:textAlignment w:val="baseline"/>
      </w:pPr>
      <w:r w:rsidRPr="00465F79">
        <w:t xml:space="preserve">El Estado realizará las publicaciones indicadas en el párrafo </w:t>
      </w:r>
      <w:r w:rsidR="002A4B2B">
        <w:t>139</w:t>
      </w:r>
      <w:r w:rsidRPr="00465F79">
        <w:t xml:space="preserve"> de la presente Sentencia.</w:t>
      </w:r>
    </w:p>
    <w:p w14:paraId="57134509" w14:textId="77777777" w:rsidR="005960CC" w:rsidRDefault="005960CC" w:rsidP="005960CC">
      <w:pPr>
        <w:tabs>
          <w:tab w:val="left" w:pos="567"/>
        </w:tabs>
        <w:spacing w:line="240" w:lineRule="auto"/>
        <w:textAlignment w:val="baseline"/>
      </w:pPr>
    </w:p>
    <w:p w14:paraId="194C5F89" w14:textId="61FC0A13" w:rsidR="005960CC" w:rsidRDefault="005960CC" w:rsidP="005960CC">
      <w:pPr>
        <w:numPr>
          <w:ilvl w:val="0"/>
          <w:numId w:val="11"/>
        </w:numPr>
        <w:tabs>
          <w:tab w:val="left" w:pos="567"/>
        </w:tabs>
        <w:spacing w:line="240" w:lineRule="auto"/>
        <w:ind w:left="0" w:firstLine="0"/>
        <w:textAlignment w:val="baseline"/>
      </w:pPr>
      <w:r w:rsidRPr="002F316B">
        <w:t xml:space="preserve">El Estado realizará un acto público de reconocimiento de responsabilidad internacional, en los términos del párrafo </w:t>
      </w:r>
      <w:r w:rsidR="002A4B2B">
        <w:t>141</w:t>
      </w:r>
      <w:r w:rsidRPr="002F316B">
        <w:t xml:space="preserve"> de esta</w:t>
      </w:r>
      <w:r>
        <w:t xml:space="preserve"> Sentencia</w:t>
      </w:r>
      <w:r w:rsidRPr="002F316B">
        <w:t xml:space="preserve">. </w:t>
      </w:r>
    </w:p>
    <w:p w14:paraId="21F9C883" w14:textId="77777777" w:rsidR="005960CC" w:rsidRDefault="005960CC" w:rsidP="005960CC">
      <w:pPr>
        <w:tabs>
          <w:tab w:val="left" w:pos="567"/>
        </w:tabs>
        <w:spacing w:line="240" w:lineRule="auto"/>
        <w:textAlignment w:val="baseline"/>
      </w:pPr>
    </w:p>
    <w:p w14:paraId="068E16D8" w14:textId="3DAF63DE" w:rsidR="005960CC" w:rsidRDefault="005960CC" w:rsidP="005960CC">
      <w:pPr>
        <w:numPr>
          <w:ilvl w:val="0"/>
          <w:numId w:val="11"/>
        </w:numPr>
        <w:tabs>
          <w:tab w:val="left" w:pos="567"/>
        </w:tabs>
        <w:spacing w:line="240" w:lineRule="auto"/>
        <w:ind w:left="0" w:firstLine="0"/>
        <w:textAlignment w:val="baseline"/>
      </w:pPr>
      <w:r>
        <w:t>El Estado efectuará</w:t>
      </w:r>
      <w:r w:rsidRPr="00465F79">
        <w:t xml:space="preserve">, en un plazo máximo de un año, las modificaciones necesarias al </w:t>
      </w:r>
      <w:r w:rsidRPr="00465F79">
        <w:rPr>
          <w:rFonts w:eastAsia="Arial" w:cs="Arial"/>
          <w:lang w:val="es-ES"/>
        </w:rPr>
        <w:t>“Monumento a la memoria y la verdad”</w:t>
      </w:r>
      <w:r w:rsidRPr="00465F79">
        <w:t xml:space="preserve">, de común acuerdo con los familiares de las víctimas del presente caso, a efectos de consignar de forma completa los nombres de Patricia Emilie Cuéllar Sandoval y Mauricio Cuéllar Cuéllar, así como las fechas en las que ocurrieron </w:t>
      </w:r>
      <w:r>
        <w:t>las</w:t>
      </w:r>
      <w:r w:rsidRPr="00465F79">
        <w:t xml:space="preserve"> desapariciones forzadas</w:t>
      </w:r>
      <w:r>
        <w:t xml:space="preserve"> de </w:t>
      </w:r>
      <w:r w:rsidRPr="0029228F">
        <w:rPr>
          <w:rFonts w:eastAsia="Arial" w:cs="Arial"/>
        </w:rPr>
        <w:t>Patricia Emilie Cuéllar Sandoval, Mauricio Cuéllar Cuéllar y Julia Orbelina Pérez</w:t>
      </w:r>
      <w:r>
        <w:t xml:space="preserve">, en los términos de los párrafos </w:t>
      </w:r>
      <w:r w:rsidR="002A4B2B">
        <w:t>142</w:t>
      </w:r>
      <w:r>
        <w:t xml:space="preserve"> </w:t>
      </w:r>
      <w:r w:rsidR="002A4B2B">
        <w:t>a</w:t>
      </w:r>
      <w:r>
        <w:t xml:space="preserve"> </w:t>
      </w:r>
      <w:r w:rsidR="002A4B2B">
        <w:t>144</w:t>
      </w:r>
      <w:r>
        <w:t xml:space="preserve"> de esta Sentencia.</w:t>
      </w:r>
    </w:p>
    <w:p w14:paraId="140F1A5D" w14:textId="77777777" w:rsidR="005960CC" w:rsidRDefault="005960CC" w:rsidP="005960CC">
      <w:pPr>
        <w:tabs>
          <w:tab w:val="left" w:pos="567"/>
        </w:tabs>
        <w:spacing w:line="240" w:lineRule="auto"/>
        <w:textAlignment w:val="baseline"/>
      </w:pPr>
    </w:p>
    <w:p w14:paraId="2273169D" w14:textId="776AFC59" w:rsidR="005960CC" w:rsidRPr="00597454" w:rsidRDefault="005960CC" w:rsidP="005960CC">
      <w:pPr>
        <w:numPr>
          <w:ilvl w:val="0"/>
          <w:numId w:val="11"/>
        </w:numPr>
        <w:tabs>
          <w:tab w:val="left" w:pos="567"/>
        </w:tabs>
        <w:spacing w:line="240" w:lineRule="auto"/>
        <w:ind w:left="0" w:firstLine="0"/>
        <w:textAlignment w:val="baseline"/>
      </w:pPr>
      <w:r w:rsidRPr="00597454">
        <w:t>El Estado dictará</w:t>
      </w:r>
      <w:r w:rsidRPr="00017FDC">
        <w:t xml:space="preserve">, dentro del plazo de un año, el reglamento correspondiente de la </w:t>
      </w:r>
      <w:r w:rsidRPr="00597454">
        <w:t xml:space="preserve">Ley del Banco de Datos de ADN, en los términos del párrafo </w:t>
      </w:r>
      <w:r w:rsidR="002A4B2B">
        <w:t>154</w:t>
      </w:r>
      <w:r w:rsidRPr="00597454">
        <w:t xml:space="preserve"> de esta Sentencia.</w:t>
      </w:r>
      <w:r>
        <w:t xml:space="preserve"> </w:t>
      </w:r>
    </w:p>
    <w:p w14:paraId="34373AAF" w14:textId="77777777" w:rsidR="005960CC" w:rsidRDefault="005960CC" w:rsidP="005960CC">
      <w:pPr>
        <w:tabs>
          <w:tab w:val="left" w:pos="567"/>
        </w:tabs>
        <w:spacing w:line="240" w:lineRule="auto"/>
        <w:textAlignment w:val="baseline"/>
      </w:pPr>
    </w:p>
    <w:p w14:paraId="45D32783" w14:textId="21ACBDB9" w:rsidR="005960CC" w:rsidRDefault="005960CC" w:rsidP="005960CC">
      <w:pPr>
        <w:numPr>
          <w:ilvl w:val="0"/>
          <w:numId w:val="11"/>
        </w:numPr>
        <w:tabs>
          <w:tab w:val="left" w:pos="567"/>
        </w:tabs>
        <w:spacing w:line="240" w:lineRule="auto"/>
        <w:ind w:left="0" w:firstLine="0"/>
        <w:textAlignment w:val="baseline"/>
      </w:pPr>
      <w:r>
        <w:t xml:space="preserve">El Estado creará e implementará un plan de capacitación y sensibilización a funcionarios públicos, fuerzas de seguridad y operadores de justicia para garantizar que </w:t>
      </w:r>
      <w:r w:rsidRPr="006952B0">
        <w:t xml:space="preserve">toda </w:t>
      </w:r>
      <w:r w:rsidRPr="006952B0">
        <w:rPr>
          <w:rFonts w:eastAsia="Arial" w:cs="Arial"/>
          <w:lang w:val="es-ES"/>
        </w:rPr>
        <w:t>investigación y eventual judicialización de casos de desaparición forzada de mujeres</w:t>
      </w:r>
      <w:r w:rsidRPr="006952B0">
        <w:t xml:space="preserve"> se realice con perspectiva de género y un enfoque interseccional</w:t>
      </w:r>
      <w:r w:rsidRPr="002F316B">
        <w:t>, en los términos de</w:t>
      </w:r>
      <w:r>
        <w:t xml:space="preserve"> </w:t>
      </w:r>
      <w:r w:rsidRPr="002F316B">
        <w:t>l</w:t>
      </w:r>
      <w:r>
        <w:t>os</w:t>
      </w:r>
      <w:r w:rsidRPr="002F316B">
        <w:t xml:space="preserve"> párrafo</w:t>
      </w:r>
      <w:r>
        <w:t>s</w:t>
      </w:r>
      <w:r w:rsidRPr="002F316B">
        <w:t xml:space="preserve"> </w:t>
      </w:r>
      <w:r w:rsidR="002A4B2B">
        <w:t>156</w:t>
      </w:r>
      <w:r>
        <w:t xml:space="preserve"> y 15</w:t>
      </w:r>
      <w:r w:rsidR="002A4B2B">
        <w:t>7</w:t>
      </w:r>
      <w:r w:rsidRPr="002F316B">
        <w:t xml:space="preserve"> de esta </w:t>
      </w:r>
      <w:r>
        <w:t>Sentencia.</w:t>
      </w:r>
    </w:p>
    <w:p w14:paraId="509FA18F" w14:textId="77777777" w:rsidR="005960CC" w:rsidRDefault="005960CC" w:rsidP="005960CC">
      <w:pPr>
        <w:tabs>
          <w:tab w:val="left" w:pos="567"/>
        </w:tabs>
        <w:spacing w:line="240" w:lineRule="auto"/>
        <w:textAlignment w:val="baseline"/>
      </w:pPr>
    </w:p>
    <w:p w14:paraId="1705C40B" w14:textId="30D20CF6" w:rsidR="005960CC" w:rsidRDefault="005960CC" w:rsidP="005960CC">
      <w:pPr>
        <w:numPr>
          <w:ilvl w:val="0"/>
          <w:numId w:val="11"/>
        </w:numPr>
        <w:tabs>
          <w:tab w:val="left" w:pos="567"/>
        </w:tabs>
        <w:spacing w:line="240" w:lineRule="auto"/>
        <w:ind w:left="0" w:firstLine="0"/>
        <w:textAlignment w:val="baseline"/>
      </w:pPr>
      <w:r>
        <w:t xml:space="preserve">El Estado incorporará al </w:t>
      </w:r>
      <w:r w:rsidRPr="00597454">
        <w:t xml:space="preserve">currículo </w:t>
      </w:r>
      <w:r>
        <w:t>del Sistema Educativo Nacional,</w:t>
      </w:r>
      <w:r w:rsidRPr="0029228F">
        <w:t xml:space="preserve"> en los </w:t>
      </w:r>
      <w:r w:rsidRPr="0029228F">
        <w:rPr>
          <w:rFonts w:eastAsia="Arial" w:cs="Arial"/>
          <w:lang w:val="es-ES"/>
        </w:rPr>
        <w:t>niveles educativos medio y superior</w:t>
      </w:r>
      <w:r>
        <w:t xml:space="preserve">, un programa de educación permanente </w:t>
      </w:r>
      <w:r w:rsidRPr="002B0A25">
        <w:t xml:space="preserve">sobre </w:t>
      </w:r>
      <w:r>
        <w:t xml:space="preserve">(i) </w:t>
      </w:r>
      <w:r w:rsidRPr="002B0A25">
        <w:t>las graves violaciones de derechos humanos, crímenes de guerra y delitos contra la humanidad cometidos por ambos bandos antes y durante el conflicto armado, y (ii)</w:t>
      </w:r>
      <w:r w:rsidRPr="002B0A25">
        <w:rPr>
          <w:rFonts w:eastAsia="Arial" w:cs="Arial"/>
          <w:lang w:val="es-ES"/>
        </w:rPr>
        <w:t xml:space="preserve"> </w:t>
      </w:r>
      <w:r w:rsidRPr="002B0A25">
        <w:t>la normativa internacional en derechos humanos y la jurisprudencia de este Tribunal al respecto</w:t>
      </w:r>
      <w:r w:rsidRPr="002F316B">
        <w:t xml:space="preserve">, en los términos del párrafo </w:t>
      </w:r>
      <w:r w:rsidR="002A4B2B">
        <w:t>158</w:t>
      </w:r>
      <w:r w:rsidRPr="002F316B">
        <w:t xml:space="preserve"> de esta </w:t>
      </w:r>
      <w:r>
        <w:t>Sentencia.</w:t>
      </w:r>
    </w:p>
    <w:p w14:paraId="533E8C59" w14:textId="77777777" w:rsidR="005960CC" w:rsidRDefault="005960CC" w:rsidP="005960CC">
      <w:pPr>
        <w:tabs>
          <w:tab w:val="left" w:pos="567"/>
        </w:tabs>
        <w:spacing w:line="240" w:lineRule="auto"/>
        <w:textAlignment w:val="baseline"/>
      </w:pPr>
    </w:p>
    <w:p w14:paraId="219B0E92" w14:textId="5F2C8E35" w:rsidR="005960CC" w:rsidRPr="00597454" w:rsidRDefault="005960CC" w:rsidP="005960CC">
      <w:pPr>
        <w:numPr>
          <w:ilvl w:val="0"/>
          <w:numId w:val="11"/>
        </w:numPr>
        <w:tabs>
          <w:tab w:val="left" w:pos="567"/>
        </w:tabs>
        <w:spacing w:line="240" w:lineRule="auto"/>
        <w:ind w:left="0" w:firstLine="0"/>
        <w:textAlignment w:val="baseline"/>
      </w:pPr>
      <w:r w:rsidRPr="00597454">
        <w:t xml:space="preserve">El Estado adoptará las medidas ejecutivas y/o legislativas pertinentes para </w:t>
      </w:r>
      <w:r w:rsidRPr="00597454">
        <w:rPr>
          <w:lang w:val="es-ES"/>
        </w:rPr>
        <w:t xml:space="preserve">que se garantice y respalde la permanencia </w:t>
      </w:r>
      <w:r w:rsidRPr="00597454">
        <w:t xml:space="preserve">de la </w:t>
      </w:r>
      <w:r w:rsidRPr="00597454">
        <w:rPr>
          <w:lang w:val="es-ES"/>
        </w:rPr>
        <w:t>Comisión Nacional de Búsqueda de Niñas y Niños y CONAB</w:t>
      </w:r>
      <w:r>
        <w:rPr>
          <w:lang w:val="es-ES"/>
        </w:rPr>
        <w:t>Ú</w:t>
      </w:r>
      <w:r w:rsidRPr="00597454">
        <w:rPr>
          <w:lang w:val="es-ES"/>
        </w:rPr>
        <w:t xml:space="preserve">SQUEDA </w:t>
      </w:r>
      <w:r w:rsidRPr="00597454">
        <w:t xml:space="preserve">para </w:t>
      </w:r>
      <w:r w:rsidRPr="00597454">
        <w:rPr>
          <w:lang w:val="es-ES"/>
        </w:rPr>
        <w:t>que se garantice y respalde la permanencia de dichas comisiones, así como su independencia y autonomía financiera</w:t>
      </w:r>
      <w:r w:rsidRPr="00597454">
        <w:t>, en los términos de</w:t>
      </w:r>
      <w:r>
        <w:t xml:space="preserve"> </w:t>
      </w:r>
      <w:r w:rsidRPr="00597454">
        <w:t>l</w:t>
      </w:r>
      <w:r>
        <w:t>os</w:t>
      </w:r>
      <w:r w:rsidRPr="00597454">
        <w:t xml:space="preserve"> párrafo</w:t>
      </w:r>
      <w:r>
        <w:t>s</w:t>
      </w:r>
      <w:r w:rsidRPr="00597454">
        <w:t xml:space="preserve"> </w:t>
      </w:r>
      <w:r w:rsidR="002A4B2B">
        <w:t>159</w:t>
      </w:r>
      <w:r>
        <w:t xml:space="preserve"> y </w:t>
      </w:r>
      <w:r w:rsidR="002A4B2B">
        <w:t>160</w:t>
      </w:r>
      <w:r>
        <w:t>.</w:t>
      </w:r>
    </w:p>
    <w:p w14:paraId="548AC184" w14:textId="77777777" w:rsidR="005960CC" w:rsidRDefault="005960CC" w:rsidP="005960CC">
      <w:pPr>
        <w:tabs>
          <w:tab w:val="left" w:pos="567"/>
        </w:tabs>
        <w:spacing w:line="240" w:lineRule="auto"/>
        <w:textAlignment w:val="baseline"/>
      </w:pPr>
    </w:p>
    <w:p w14:paraId="6A2ED3EB" w14:textId="4E5D7114" w:rsidR="005960CC" w:rsidRPr="002F316B" w:rsidRDefault="005960CC" w:rsidP="005960CC">
      <w:pPr>
        <w:numPr>
          <w:ilvl w:val="0"/>
          <w:numId w:val="11"/>
        </w:numPr>
        <w:tabs>
          <w:tab w:val="left" w:pos="567"/>
        </w:tabs>
        <w:spacing w:line="240" w:lineRule="auto"/>
        <w:ind w:left="0" w:firstLine="0"/>
        <w:textAlignment w:val="baseline"/>
      </w:pPr>
      <w:r w:rsidRPr="002F316B">
        <w:t xml:space="preserve">El Estado </w:t>
      </w:r>
      <w:r>
        <w:t>pagará</w:t>
      </w:r>
      <w:r w:rsidRPr="002F316B">
        <w:t xml:space="preserve"> las cantidades fijadas en los párrafos </w:t>
      </w:r>
      <w:r w:rsidR="002A4B2B">
        <w:t>134</w:t>
      </w:r>
      <w:r w:rsidRPr="002F316B">
        <w:t xml:space="preserve">, </w:t>
      </w:r>
      <w:r w:rsidR="002A4B2B">
        <w:t xml:space="preserve">168 a 172, </w:t>
      </w:r>
      <w:r>
        <w:t xml:space="preserve"> </w:t>
      </w:r>
      <w:r w:rsidR="002A4B2B">
        <w:t>174 a 176</w:t>
      </w:r>
      <w:r w:rsidRPr="002F316B">
        <w:t xml:space="preserve"> y </w:t>
      </w:r>
      <w:r w:rsidR="002A4B2B">
        <w:t>182</w:t>
      </w:r>
      <w:r w:rsidRPr="002F316B">
        <w:t xml:space="preserve"> de la presente Sentencia, por </w:t>
      </w:r>
      <w:r w:rsidRPr="00465F79">
        <w:rPr>
          <w:rFonts w:eastAsia="SimSun"/>
          <w:lang w:val="es-ES"/>
        </w:rPr>
        <w:t>concepto de rehabilitación, daño material, inmaterial y el reintegro de costas y gastos</w:t>
      </w:r>
      <w:r w:rsidRPr="002F316B">
        <w:t>, en los términos de</w:t>
      </w:r>
      <w:r>
        <w:t xml:space="preserve"> </w:t>
      </w:r>
      <w:r w:rsidRPr="002F316B">
        <w:t>l</w:t>
      </w:r>
      <w:r>
        <w:t>os</w:t>
      </w:r>
      <w:r w:rsidRPr="002F316B">
        <w:t xml:space="preserve"> párrafo</w:t>
      </w:r>
      <w:r>
        <w:t>s</w:t>
      </w:r>
      <w:r w:rsidRPr="002F316B">
        <w:t xml:space="preserve"> </w:t>
      </w:r>
      <w:r w:rsidR="002A4B2B">
        <w:t>183</w:t>
      </w:r>
      <w:r>
        <w:t xml:space="preserve"> a </w:t>
      </w:r>
      <w:r w:rsidR="002A4B2B">
        <w:t>188</w:t>
      </w:r>
      <w:r>
        <w:t>.</w:t>
      </w:r>
    </w:p>
    <w:p w14:paraId="2184DEF3" w14:textId="77777777" w:rsidR="005960CC" w:rsidRPr="00465F79" w:rsidRDefault="005960CC" w:rsidP="005960CC">
      <w:pPr>
        <w:pStyle w:val="Prrafodelista"/>
        <w:spacing w:line="240" w:lineRule="auto"/>
      </w:pPr>
    </w:p>
    <w:p w14:paraId="0169DE6F" w14:textId="77777777" w:rsidR="005960CC" w:rsidRPr="00465F79" w:rsidRDefault="005960CC" w:rsidP="005960CC">
      <w:pPr>
        <w:numPr>
          <w:ilvl w:val="0"/>
          <w:numId w:val="11"/>
        </w:numPr>
        <w:tabs>
          <w:tab w:val="left" w:pos="567"/>
        </w:tabs>
        <w:spacing w:line="240" w:lineRule="auto"/>
        <w:ind w:left="0" w:firstLine="0"/>
        <w:textAlignment w:val="baseline"/>
      </w:pPr>
      <w:r w:rsidRPr="00465F79">
        <w:t xml:space="preserve">El Estado, dentro del plazo de un año contado a partir de la notificación de esta Sentencia, rendirá al Tribunal un informe sobre las medidas adoptadas para cumplir con la misma, sin perjuicio de lo establecido en el párrafo </w:t>
      </w:r>
      <w:r>
        <w:t>135</w:t>
      </w:r>
      <w:r w:rsidRPr="00465F79">
        <w:t xml:space="preserve"> de la presente Sentencia.</w:t>
      </w:r>
    </w:p>
    <w:p w14:paraId="5586E6BE" w14:textId="77777777" w:rsidR="005960CC" w:rsidRPr="00465F79" w:rsidRDefault="005960CC" w:rsidP="005960CC">
      <w:pPr>
        <w:pStyle w:val="PrrafodeSentencia"/>
        <w:rPr>
          <w:lang w:val="es-CR"/>
        </w:rPr>
      </w:pPr>
    </w:p>
    <w:p w14:paraId="742E25B9" w14:textId="629FE88C" w:rsidR="003135DA" w:rsidRDefault="005960CC" w:rsidP="001A5FB9">
      <w:pPr>
        <w:numPr>
          <w:ilvl w:val="0"/>
          <w:numId w:val="11"/>
        </w:numPr>
        <w:tabs>
          <w:tab w:val="left" w:pos="567"/>
        </w:tabs>
        <w:spacing w:line="240" w:lineRule="auto"/>
        <w:ind w:left="0" w:firstLine="0"/>
        <w:textAlignment w:val="baseline"/>
      </w:pPr>
      <w:r w:rsidRPr="00465F79">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06D1E80C" w14:textId="77777777" w:rsidR="003135DA" w:rsidRPr="00BE397D" w:rsidRDefault="003135DA" w:rsidP="003135DA">
      <w:pPr>
        <w:rPr>
          <w:color w:val="000000" w:themeColor="text1"/>
        </w:rPr>
      </w:pPr>
      <w:r>
        <w:br w:type="page"/>
      </w:r>
      <w:r w:rsidRPr="00BE397D">
        <w:rPr>
          <w:color w:val="000000" w:themeColor="text1"/>
        </w:rPr>
        <w:lastRenderedPageBreak/>
        <w:t xml:space="preserve">Corte IDH. </w:t>
      </w:r>
      <w:r w:rsidRPr="00BE397D">
        <w:rPr>
          <w:i/>
          <w:iCs/>
          <w:color w:val="000000" w:themeColor="text1"/>
        </w:rPr>
        <w:t>Caso Cuéllar Sandoval y otros Vs. El Salvador</w:t>
      </w:r>
      <w:r w:rsidRPr="00BE397D">
        <w:rPr>
          <w:i/>
          <w:iCs/>
          <w:color w:val="000000" w:themeColor="text1"/>
          <w:lang w:val="es-ES"/>
        </w:rPr>
        <w:t xml:space="preserve">. </w:t>
      </w:r>
      <w:r w:rsidRPr="00BE397D">
        <w:rPr>
          <w:color w:val="000000" w:themeColor="text1"/>
          <w:lang w:val="es-ES"/>
        </w:rPr>
        <w:t>Fondo, Reparaciones y Costas</w:t>
      </w:r>
      <w:r w:rsidRPr="00BE397D">
        <w:rPr>
          <w:iCs/>
        </w:rPr>
        <w:t>. Sentencia de 18 de marzo de 2024.</w:t>
      </w:r>
    </w:p>
    <w:p w14:paraId="3DBFD672" w14:textId="77777777" w:rsidR="003135DA" w:rsidRDefault="003135DA" w:rsidP="003135DA">
      <w:pPr>
        <w:jc w:val="center"/>
      </w:pPr>
    </w:p>
    <w:p w14:paraId="2E3E1A94" w14:textId="77777777" w:rsidR="003135DA" w:rsidRPr="00E262EB" w:rsidRDefault="003135DA" w:rsidP="003135DA">
      <w:pPr>
        <w:jc w:val="center"/>
      </w:pPr>
    </w:p>
    <w:p w14:paraId="1F8E6A52" w14:textId="77777777" w:rsidR="003135DA" w:rsidRPr="00130251" w:rsidRDefault="003135DA" w:rsidP="003135DA">
      <w:pPr>
        <w:jc w:val="center"/>
      </w:pPr>
      <w:r>
        <w:t>Nancy Hernández López</w:t>
      </w:r>
    </w:p>
    <w:p w14:paraId="35919B5D" w14:textId="77777777" w:rsidR="003135DA" w:rsidRPr="00130251" w:rsidRDefault="003135DA" w:rsidP="003135DA">
      <w:pPr>
        <w:jc w:val="center"/>
      </w:pPr>
      <w:r w:rsidRPr="00130251">
        <w:t>President</w:t>
      </w:r>
      <w:r>
        <w:t>a</w:t>
      </w:r>
    </w:p>
    <w:p w14:paraId="2E0214E1" w14:textId="77777777" w:rsidR="003135DA" w:rsidRDefault="003135DA" w:rsidP="003135DA">
      <w:pPr>
        <w:jc w:val="center"/>
      </w:pPr>
    </w:p>
    <w:p w14:paraId="20E7CA44" w14:textId="77777777" w:rsidR="003135DA" w:rsidRPr="00130251" w:rsidRDefault="003135DA" w:rsidP="003135DA">
      <w:pPr>
        <w:jc w:val="center"/>
      </w:pPr>
    </w:p>
    <w:p w14:paraId="774753F6" w14:textId="77777777" w:rsidR="003135DA" w:rsidRPr="00130251" w:rsidRDefault="003135DA" w:rsidP="003135DA"/>
    <w:p w14:paraId="066D0C97" w14:textId="77777777" w:rsidR="003135DA" w:rsidRPr="003135DA" w:rsidRDefault="003135DA" w:rsidP="003135DA">
      <w:pPr>
        <w:ind w:right="-660"/>
      </w:pPr>
      <w:r w:rsidRPr="003135DA">
        <w:t>Rodrigo Mudrovitsch</w:t>
      </w:r>
      <w:r w:rsidRPr="003135DA">
        <w:tab/>
      </w:r>
      <w:r w:rsidRPr="003135DA">
        <w:tab/>
      </w:r>
      <w:r w:rsidRPr="003135DA">
        <w:tab/>
        <w:t xml:space="preserve">                             </w:t>
      </w:r>
      <w:r w:rsidRPr="003135DA">
        <w:tab/>
        <w:t>Humberto A. Sierra Porto</w:t>
      </w:r>
    </w:p>
    <w:p w14:paraId="2088B906" w14:textId="77777777" w:rsidR="003135DA" w:rsidRPr="003135DA" w:rsidRDefault="003135DA" w:rsidP="003135DA">
      <w:pPr>
        <w:ind w:right="-376"/>
        <w:jc w:val="center"/>
      </w:pPr>
    </w:p>
    <w:p w14:paraId="382EEF8D" w14:textId="77777777" w:rsidR="003135DA" w:rsidRPr="003135DA" w:rsidRDefault="003135DA" w:rsidP="003135DA">
      <w:pPr>
        <w:jc w:val="center"/>
      </w:pPr>
    </w:p>
    <w:p w14:paraId="7BA8BBED" w14:textId="77777777" w:rsidR="003135DA" w:rsidRPr="003135DA" w:rsidRDefault="003135DA" w:rsidP="003135DA"/>
    <w:p w14:paraId="133E6CC9" w14:textId="77777777" w:rsidR="003135DA" w:rsidRPr="003135DA" w:rsidRDefault="003135DA" w:rsidP="003135DA">
      <w:r w:rsidRPr="003135DA">
        <w:t>Eduardo Ferrer Mac-</w:t>
      </w:r>
      <w:proofErr w:type="spellStart"/>
      <w:r w:rsidRPr="003135DA">
        <w:t>Gregor</w:t>
      </w:r>
      <w:proofErr w:type="spellEnd"/>
      <w:r w:rsidRPr="003135DA">
        <w:t xml:space="preserve"> </w:t>
      </w:r>
      <w:proofErr w:type="spellStart"/>
      <w:r w:rsidRPr="003135DA">
        <w:t>Poisot</w:t>
      </w:r>
      <w:proofErr w:type="spellEnd"/>
      <w:r w:rsidRPr="003135DA">
        <w:tab/>
      </w:r>
      <w:r w:rsidRPr="003135DA">
        <w:tab/>
      </w:r>
      <w:r w:rsidRPr="003135DA">
        <w:tab/>
      </w:r>
      <w:r w:rsidRPr="003135DA">
        <w:tab/>
        <w:t xml:space="preserve">       Ricardo C. Pérez Manrique</w:t>
      </w:r>
    </w:p>
    <w:p w14:paraId="5CE00DE5" w14:textId="77777777" w:rsidR="003135DA" w:rsidRPr="003135DA" w:rsidRDefault="003135DA" w:rsidP="003135DA">
      <w:pPr>
        <w:jc w:val="center"/>
      </w:pPr>
    </w:p>
    <w:p w14:paraId="1A81F0D9" w14:textId="77777777" w:rsidR="003135DA" w:rsidRPr="003135DA" w:rsidRDefault="003135DA" w:rsidP="003135DA">
      <w:pPr>
        <w:jc w:val="center"/>
      </w:pPr>
    </w:p>
    <w:p w14:paraId="06016278" w14:textId="77777777" w:rsidR="003135DA" w:rsidRPr="003135DA" w:rsidRDefault="003135DA" w:rsidP="003135DA">
      <w:pPr>
        <w:jc w:val="center"/>
      </w:pPr>
    </w:p>
    <w:p w14:paraId="7E2B3A74" w14:textId="77777777" w:rsidR="003135DA" w:rsidRPr="009E639E" w:rsidRDefault="003135DA" w:rsidP="003135DA">
      <w:pPr>
        <w:rPr>
          <w:lang w:val="pt-BR"/>
        </w:rPr>
      </w:pPr>
      <w:r w:rsidRPr="009E639E">
        <w:rPr>
          <w:lang w:val="pt-BR"/>
        </w:rPr>
        <w:t xml:space="preserve">Verónica Gómez                                                       </w:t>
      </w:r>
      <w:r>
        <w:rPr>
          <w:lang w:val="pt-BR"/>
        </w:rPr>
        <w:t xml:space="preserve">    </w:t>
      </w:r>
      <w:r w:rsidRPr="009E639E">
        <w:rPr>
          <w:lang w:val="pt-BR"/>
        </w:rPr>
        <w:t xml:space="preserve">      Patricia Pérez Goldberg</w:t>
      </w:r>
    </w:p>
    <w:p w14:paraId="5B6E826E" w14:textId="77777777" w:rsidR="003135DA" w:rsidRPr="009E639E" w:rsidRDefault="003135DA" w:rsidP="003135DA">
      <w:pPr>
        <w:rPr>
          <w:lang w:val="pt-BR"/>
        </w:rPr>
      </w:pPr>
    </w:p>
    <w:p w14:paraId="398E8D67" w14:textId="77777777" w:rsidR="003135DA" w:rsidRPr="009E639E" w:rsidRDefault="003135DA" w:rsidP="003135DA">
      <w:pPr>
        <w:rPr>
          <w:lang w:val="pt-BR"/>
        </w:rPr>
      </w:pPr>
    </w:p>
    <w:p w14:paraId="2CD38149" w14:textId="77777777" w:rsidR="003135DA" w:rsidRPr="009E639E" w:rsidRDefault="003135DA" w:rsidP="003135DA">
      <w:pPr>
        <w:rPr>
          <w:lang w:val="pt-BR"/>
        </w:rPr>
      </w:pPr>
      <w:r w:rsidRPr="009E639E">
        <w:rPr>
          <w:lang w:val="pt-BR"/>
        </w:rPr>
        <w:t xml:space="preserve">          </w:t>
      </w:r>
      <w:r w:rsidRPr="009E639E">
        <w:rPr>
          <w:lang w:val="pt-BR"/>
        </w:rPr>
        <w:tab/>
      </w:r>
      <w:r w:rsidRPr="009E639E">
        <w:rPr>
          <w:lang w:val="pt-BR"/>
        </w:rPr>
        <w:tab/>
      </w:r>
      <w:r w:rsidRPr="009E639E">
        <w:rPr>
          <w:lang w:val="pt-BR"/>
        </w:rPr>
        <w:tab/>
      </w:r>
      <w:r w:rsidRPr="009E639E">
        <w:rPr>
          <w:lang w:val="pt-BR"/>
        </w:rPr>
        <w:tab/>
      </w:r>
      <w:r w:rsidRPr="009E639E">
        <w:rPr>
          <w:lang w:val="pt-BR"/>
        </w:rPr>
        <w:tab/>
        <w:t xml:space="preserve">  </w:t>
      </w:r>
    </w:p>
    <w:p w14:paraId="49139154" w14:textId="77777777" w:rsidR="003135DA" w:rsidRPr="00E56E7A" w:rsidRDefault="003135DA" w:rsidP="003135DA">
      <w:pPr>
        <w:jc w:val="center"/>
        <w:rPr>
          <w:lang w:val="pt-BR"/>
        </w:rPr>
      </w:pPr>
      <w:r w:rsidRPr="00E56E7A">
        <w:rPr>
          <w:lang w:val="pt-BR"/>
        </w:rPr>
        <w:t>Pablo Saavedra Alessandri</w:t>
      </w:r>
    </w:p>
    <w:p w14:paraId="0EBB2C1E" w14:textId="77777777" w:rsidR="003135DA" w:rsidRPr="009E639E" w:rsidRDefault="003135DA" w:rsidP="003135DA">
      <w:pPr>
        <w:jc w:val="center"/>
        <w:rPr>
          <w:lang w:val="pt-BR"/>
        </w:rPr>
      </w:pPr>
      <w:r w:rsidRPr="009E639E">
        <w:rPr>
          <w:lang w:val="pt-BR"/>
        </w:rPr>
        <w:t>Secretario</w:t>
      </w:r>
    </w:p>
    <w:p w14:paraId="3D984441" w14:textId="77777777" w:rsidR="003135DA" w:rsidRPr="009E639E" w:rsidRDefault="003135DA" w:rsidP="003135DA">
      <w:pPr>
        <w:pStyle w:val="Textonotapie"/>
        <w:rPr>
          <w:lang w:val="pt-BR"/>
        </w:rPr>
      </w:pPr>
    </w:p>
    <w:p w14:paraId="157F44C9" w14:textId="77777777" w:rsidR="003135DA" w:rsidRPr="009E639E" w:rsidRDefault="003135DA" w:rsidP="003135DA">
      <w:pPr>
        <w:pStyle w:val="Textonotapie"/>
        <w:rPr>
          <w:lang w:val="pt-BR"/>
        </w:rPr>
      </w:pPr>
    </w:p>
    <w:p w14:paraId="6A8C9EAE" w14:textId="2128C07A" w:rsidR="003135DA" w:rsidRPr="009E639E" w:rsidRDefault="003135DA" w:rsidP="003135DA">
      <w:pPr>
        <w:rPr>
          <w:lang w:val="pt-BR"/>
        </w:rPr>
      </w:pPr>
      <w:proofErr w:type="spellStart"/>
      <w:r w:rsidRPr="009E639E">
        <w:rPr>
          <w:lang w:val="pt-BR"/>
        </w:rPr>
        <w:t>Comuníquese</w:t>
      </w:r>
      <w:proofErr w:type="spellEnd"/>
      <w:r w:rsidRPr="009E639E">
        <w:rPr>
          <w:lang w:val="pt-BR"/>
        </w:rPr>
        <w:t xml:space="preserve"> y </w:t>
      </w:r>
      <w:proofErr w:type="spellStart"/>
      <w:r w:rsidRPr="009E639E">
        <w:rPr>
          <w:lang w:val="pt-BR"/>
        </w:rPr>
        <w:t>ejecútese</w:t>
      </w:r>
      <w:proofErr w:type="spellEnd"/>
      <w:r w:rsidRPr="009E639E">
        <w:rPr>
          <w:lang w:val="pt-BR"/>
        </w:rPr>
        <w:t>,</w:t>
      </w:r>
    </w:p>
    <w:p w14:paraId="2FB072D2" w14:textId="77777777" w:rsidR="003135DA" w:rsidRPr="009E639E" w:rsidRDefault="003135DA" w:rsidP="003135DA">
      <w:pPr>
        <w:jc w:val="right"/>
        <w:rPr>
          <w:lang w:val="pt-BR"/>
        </w:rPr>
      </w:pPr>
    </w:p>
    <w:p w14:paraId="1F31B490" w14:textId="77777777" w:rsidR="003135DA" w:rsidRPr="009E639E" w:rsidRDefault="003135DA" w:rsidP="003135DA">
      <w:pPr>
        <w:jc w:val="center"/>
        <w:rPr>
          <w:lang w:val="pt-BR"/>
        </w:rPr>
      </w:pPr>
      <w:r w:rsidRPr="009E639E">
        <w:rPr>
          <w:lang w:val="pt-BR"/>
        </w:rPr>
        <w:t xml:space="preserve">                                                                                          Nancy Hernández López</w:t>
      </w:r>
    </w:p>
    <w:p w14:paraId="50E8BCB9" w14:textId="77777777" w:rsidR="003135DA" w:rsidRPr="009E639E" w:rsidRDefault="003135DA" w:rsidP="003135DA">
      <w:pPr>
        <w:ind w:left="6480" w:firstLine="720"/>
        <w:rPr>
          <w:lang w:val="pt-BR"/>
        </w:rPr>
      </w:pPr>
      <w:r w:rsidRPr="009E639E">
        <w:rPr>
          <w:lang w:val="pt-BR"/>
        </w:rPr>
        <w:t xml:space="preserve">     Presidenta</w:t>
      </w:r>
    </w:p>
    <w:p w14:paraId="0B9CD8D5" w14:textId="77777777" w:rsidR="003135DA" w:rsidRPr="009E639E" w:rsidRDefault="003135DA" w:rsidP="003135DA">
      <w:pPr>
        <w:rPr>
          <w:lang w:val="pt-BR"/>
        </w:rPr>
      </w:pPr>
    </w:p>
    <w:p w14:paraId="1B370BC5" w14:textId="77777777" w:rsidR="003135DA" w:rsidRPr="009E639E" w:rsidRDefault="003135DA" w:rsidP="003135DA">
      <w:pPr>
        <w:rPr>
          <w:lang w:val="pt-BR"/>
        </w:rPr>
      </w:pPr>
    </w:p>
    <w:p w14:paraId="29CB345F" w14:textId="77777777" w:rsidR="003135DA" w:rsidRPr="009E639E" w:rsidRDefault="003135DA" w:rsidP="003135DA">
      <w:pPr>
        <w:rPr>
          <w:lang w:val="pt-BR"/>
        </w:rPr>
      </w:pPr>
    </w:p>
    <w:p w14:paraId="73A4F601" w14:textId="77777777" w:rsidR="003135DA" w:rsidRPr="009E639E" w:rsidRDefault="003135DA" w:rsidP="003135DA">
      <w:pPr>
        <w:rPr>
          <w:lang w:val="pt-BR"/>
        </w:rPr>
      </w:pPr>
      <w:r w:rsidRPr="009E639E">
        <w:rPr>
          <w:lang w:val="pt-BR"/>
        </w:rPr>
        <w:t>Pablo Saavedra Alessandri</w:t>
      </w:r>
    </w:p>
    <w:p w14:paraId="1A7E67DF" w14:textId="77777777" w:rsidR="003135DA" w:rsidRPr="009E639E" w:rsidRDefault="003135DA" w:rsidP="003135DA">
      <w:pPr>
        <w:rPr>
          <w:lang w:val="pt-BR"/>
        </w:rPr>
      </w:pPr>
      <w:r w:rsidRPr="009E639E">
        <w:rPr>
          <w:lang w:val="pt-BR"/>
        </w:rPr>
        <w:t xml:space="preserve">          </w:t>
      </w:r>
      <w:r w:rsidRPr="00E262EB">
        <w:rPr>
          <w:lang w:val="pt-BR"/>
        </w:rPr>
        <w:t>Secretario</w:t>
      </w:r>
    </w:p>
    <w:p w14:paraId="2F54C896" w14:textId="7E6391E0" w:rsidR="004E41A4" w:rsidRPr="003135DA" w:rsidRDefault="004E41A4" w:rsidP="003135DA">
      <w:pPr>
        <w:widowControl/>
        <w:adjustRightInd/>
        <w:spacing w:after="200" w:line="276" w:lineRule="auto"/>
        <w:jc w:val="left"/>
      </w:pPr>
    </w:p>
    <w:sectPr w:rsidR="004E41A4" w:rsidRPr="003135DA" w:rsidSect="0046463F">
      <w:headerReference w:type="default" r:id="rId8"/>
      <w:footerReference w:type="default" r:id="rId9"/>
      <w:headerReference w:type="first" r:id="rId10"/>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31FE4B" w14:textId="77777777" w:rsidR="00DF1253" w:rsidRDefault="00DF1253" w:rsidP="00E0705E">
      <w:pPr>
        <w:spacing w:line="240" w:lineRule="auto"/>
      </w:pPr>
      <w:r>
        <w:separator/>
      </w:r>
    </w:p>
  </w:endnote>
  <w:endnote w:type="continuationSeparator" w:id="0">
    <w:p w14:paraId="6B5D9090" w14:textId="77777777" w:rsidR="00DF1253" w:rsidRDefault="00DF1253" w:rsidP="00E070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Palatino-Italic">
    <w:altName w:val="Malgun Gothic Semilight"/>
    <w:charset w:val="4D"/>
    <w:family w:val="auto"/>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Verdana-Italic">
    <w:altName w:val="Verdana"/>
    <w:panose1 w:val="00000000000000000000"/>
    <w:charset w:val="00"/>
    <w:family w:val="swiss"/>
    <w:notTrueType/>
    <w:pitch w:val="default"/>
    <w:sig w:usb0="00000003" w:usb1="00000000" w:usb2="00000000" w:usb3="00000000" w:csb0="00000001"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MinionPro-Bold">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18"/>
        <w:szCs w:val="18"/>
      </w:rPr>
      <w:id w:val="-1699383205"/>
      <w:docPartObj>
        <w:docPartGallery w:val="Page Numbers (Bottom of Page)"/>
        <w:docPartUnique/>
      </w:docPartObj>
    </w:sdtPr>
    <w:sdtContent>
      <w:p w14:paraId="194F4A17" w14:textId="77777777" w:rsidR="00604713" w:rsidRDefault="00604713">
        <w:pPr>
          <w:pStyle w:val="Piedepgina"/>
          <w:jc w:val="center"/>
          <w:rPr>
            <w:sz w:val="18"/>
            <w:szCs w:val="18"/>
          </w:rPr>
        </w:pPr>
      </w:p>
      <w:p w14:paraId="4F76C399" w14:textId="7322CE3F" w:rsidR="00CD69FC" w:rsidRPr="00CD69FC" w:rsidRDefault="00CD69FC">
        <w:pPr>
          <w:pStyle w:val="Piedepgina"/>
          <w:jc w:val="center"/>
          <w:rPr>
            <w:sz w:val="18"/>
            <w:szCs w:val="18"/>
          </w:rPr>
        </w:pPr>
        <w:r w:rsidRPr="00CD69FC">
          <w:rPr>
            <w:sz w:val="18"/>
            <w:szCs w:val="18"/>
          </w:rPr>
          <w:fldChar w:fldCharType="begin"/>
        </w:r>
        <w:r w:rsidRPr="00CD69FC">
          <w:rPr>
            <w:sz w:val="18"/>
            <w:szCs w:val="18"/>
          </w:rPr>
          <w:instrText>PAGE   \* MERGEFORMAT</w:instrText>
        </w:r>
        <w:r w:rsidRPr="00CD69FC">
          <w:rPr>
            <w:sz w:val="18"/>
            <w:szCs w:val="18"/>
          </w:rPr>
          <w:fldChar w:fldCharType="separate"/>
        </w:r>
        <w:r w:rsidRPr="00CD69FC">
          <w:rPr>
            <w:sz w:val="18"/>
            <w:szCs w:val="18"/>
            <w:lang w:val="es-ES"/>
          </w:rPr>
          <w:t>2</w:t>
        </w:r>
        <w:r w:rsidRPr="00CD69FC">
          <w:rPr>
            <w:sz w:val="18"/>
            <w:szCs w:val="18"/>
          </w:rPr>
          <w:fldChar w:fldCharType="end"/>
        </w:r>
      </w:p>
    </w:sdtContent>
  </w:sdt>
  <w:p w14:paraId="7E2C0075" w14:textId="77777777" w:rsidR="00CD69FC" w:rsidRPr="00CD69FC" w:rsidRDefault="00CD69FC">
    <w:pPr>
      <w:pStyle w:val="Piedepgina"/>
      <w:rPr>
        <w:sz w:val="18"/>
        <w:szCs w:val="18"/>
      </w:rPr>
    </w:pPr>
  </w:p>
  <w:p w14:paraId="6EA04D8E" w14:textId="77777777" w:rsidR="005147E8" w:rsidRDefault="005147E8"/>
  <w:p w14:paraId="64EF8554" w14:textId="77777777" w:rsidR="00424188" w:rsidRDefault="0042418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6DDE0D" w14:textId="77777777" w:rsidR="00DF1253" w:rsidRDefault="00DF1253" w:rsidP="00E0705E">
      <w:pPr>
        <w:spacing w:line="240" w:lineRule="auto"/>
      </w:pPr>
      <w:r>
        <w:separator/>
      </w:r>
    </w:p>
  </w:footnote>
  <w:footnote w:type="continuationSeparator" w:id="0">
    <w:p w14:paraId="3E92EDEF" w14:textId="77777777" w:rsidR="00DF1253" w:rsidRDefault="00DF1253" w:rsidP="00E0705E">
      <w:pPr>
        <w:spacing w:line="240" w:lineRule="auto"/>
      </w:pPr>
      <w:r>
        <w:continuationSeparator/>
      </w:r>
    </w:p>
  </w:footnote>
  <w:footnote w:id="1">
    <w:p w14:paraId="4E0DFED6" w14:textId="147296C0" w:rsidR="00124AFB" w:rsidRPr="00815295" w:rsidRDefault="00124AFB" w:rsidP="00815295">
      <w:pPr>
        <w:pStyle w:val="Textonotapie"/>
        <w:spacing w:before="40" w:after="40"/>
        <w:rPr>
          <w:b/>
          <w:bCs/>
          <w:sz w:val="16"/>
          <w:szCs w:val="16"/>
        </w:rPr>
      </w:pPr>
      <w:r w:rsidRPr="00815295">
        <w:rPr>
          <w:rStyle w:val="Refdenotaalpie"/>
          <w:sz w:val="16"/>
          <w:szCs w:val="16"/>
        </w:rPr>
        <w:footnoteRef/>
      </w:r>
      <w:r w:rsidRPr="00815295">
        <w:rPr>
          <w:sz w:val="16"/>
          <w:szCs w:val="16"/>
        </w:rPr>
        <w:t xml:space="preserve"> </w:t>
      </w:r>
      <w:r w:rsidRPr="00815295">
        <w:rPr>
          <w:sz w:val="16"/>
          <w:szCs w:val="16"/>
        </w:rPr>
        <w:tab/>
        <w:t>En concreto, la Comisión identificó como familiares de las presuntas víctimas a los hijos de Patricia E. Cuéllar Sandoval,</w:t>
      </w:r>
      <w:r w:rsidR="00315143">
        <w:rPr>
          <w:sz w:val="16"/>
          <w:szCs w:val="16"/>
        </w:rPr>
        <w:t xml:space="preserve"> las señoras y el señor</w:t>
      </w:r>
      <w:r w:rsidRPr="00815295">
        <w:rPr>
          <w:sz w:val="16"/>
          <w:szCs w:val="16"/>
        </w:rPr>
        <w:t xml:space="preserve"> Maite María Álvarez Cuéllar, Javier Ernesto Álvarez Cuéllar y Ana Gabriela Álvarez Cuéllar; su exesposo, Francisco </w:t>
      </w:r>
      <w:r w:rsidR="00495015" w:rsidRPr="00815295">
        <w:rPr>
          <w:sz w:val="16"/>
          <w:szCs w:val="16"/>
        </w:rPr>
        <w:t xml:space="preserve">Alfredo </w:t>
      </w:r>
      <w:r w:rsidRPr="00815295">
        <w:rPr>
          <w:sz w:val="16"/>
          <w:szCs w:val="16"/>
        </w:rPr>
        <w:t xml:space="preserve">Álvarez Solís; los hermanos de Mauricio Cuéllar Cuéllar, </w:t>
      </w:r>
      <w:r w:rsidR="00315143">
        <w:rPr>
          <w:sz w:val="16"/>
          <w:szCs w:val="16"/>
        </w:rPr>
        <w:t xml:space="preserve">la señora y el señor </w:t>
      </w:r>
      <w:r w:rsidRPr="00815295">
        <w:rPr>
          <w:sz w:val="16"/>
          <w:szCs w:val="16"/>
        </w:rPr>
        <w:t xml:space="preserve">María Consuelo Cuéllar Cuéllar y </w:t>
      </w:r>
      <w:r w:rsidR="00270E7C" w:rsidRPr="00815295">
        <w:rPr>
          <w:sz w:val="16"/>
          <w:szCs w:val="16"/>
        </w:rPr>
        <w:t xml:space="preserve">Leon </w:t>
      </w:r>
      <w:r w:rsidRPr="00815295">
        <w:rPr>
          <w:sz w:val="16"/>
          <w:szCs w:val="16"/>
        </w:rPr>
        <w:t xml:space="preserve">Enrique Cuéllar Cuéllar; el hijo de Mauricio Cuéllar </w:t>
      </w:r>
      <w:r w:rsidR="00185909" w:rsidRPr="00815295">
        <w:rPr>
          <w:sz w:val="16"/>
          <w:szCs w:val="16"/>
        </w:rPr>
        <w:t xml:space="preserve">Cuéllar </w:t>
      </w:r>
      <w:r w:rsidRPr="00815295">
        <w:rPr>
          <w:sz w:val="16"/>
          <w:szCs w:val="16"/>
        </w:rPr>
        <w:t xml:space="preserve">y hermano de Patricia E. Cuéllar Sandoval, </w:t>
      </w:r>
      <w:r w:rsidR="00F94768" w:rsidRPr="00815295">
        <w:rPr>
          <w:sz w:val="16"/>
          <w:szCs w:val="16"/>
        </w:rPr>
        <w:t xml:space="preserve">León </w:t>
      </w:r>
      <w:r w:rsidRPr="00815295">
        <w:rPr>
          <w:sz w:val="16"/>
          <w:szCs w:val="16"/>
        </w:rPr>
        <w:t>Mauricio Cuéllar Sandoval, y la hija y hermana de Julia Orbelina Pérez, Ana</w:t>
      </w:r>
      <w:r w:rsidR="00080BE8" w:rsidRPr="00815295">
        <w:rPr>
          <w:sz w:val="16"/>
          <w:szCs w:val="16"/>
        </w:rPr>
        <w:t xml:space="preserve"> </w:t>
      </w:r>
      <w:r w:rsidR="00F01B69" w:rsidRPr="00815295">
        <w:rPr>
          <w:sz w:val="16"/>
          <w:szCs w:val="16"/>
        </w:rPr>
        <w:t>Gladis</w:t>
      </w:r>
      <w:r w:rsidRPr="00815295">
        <w:rPr>
          <w:sz w:val="16"/>
          <w:szCs w:val="16"/>
        </w:rPr>
        <w:t xml:space="preserve"> </w:t>
      </w:r>
      <w:r w:rsidR="000B7B3C" w:rsidRPr="00815295">
        <w:rPr>
          <w:sz w:val="16"/>
          <w:szCs w:val="16"/>
        </w:rPr>
        <w:t>Pérez de Castro</w:t>
      </w:r>
      <w:r w:rsidRPr="00815295">
        <w:rPr>
          <w:sz w:val="16"/>
          <w:szCs w:val="16"/>
        </w:rPr>
        <w:t xml:space="preserve"> y Teresa Pérez de Ramos, respectivamente. </w:t>
      </w:r>
      <w:r w:rsidR="00185909" w:rsidRPr="00815295">
        <w:rPr>
          <w:sz w:val="16"/>
          <w:szCs w:val="16"/>
        </w:rPr>
        <w:t xml:space="preserve">La Corte advierte que, mediante comunicación de 23 de junio de 2022, el representante informó que las señoras María Consuelo Cuéllar Cuéllar y Teresa Pérez </w:t>
      </w:r>
      <w:r w:rsidR="00270E7C" w:rsidRPr="00815295">
        <w:rPr>
          <w:sz w:val="16"/>
          <w:szCs w:val="16"/>
        </w:rPr>
        <w:t xml:space="preserve">de </w:t>
      </w:r>
      <w:r w:rsidR="00185909" w:rsidRPr="00815295">
        <w:rPr>
          <w:sz w:val="16"/>
          <w:szCs w:val="16"/>
        </w:rPr>
        <w:t xml:space="preserve">Ramos, así como el señor </w:t>
      </w:r>
      <w:r w:rsidR="00270E7C" w:rsidRPr="00815295">
        <w:rPr>
          <w:sz w:val="16"/>
          <w:szCs w:val="16"/>
        </w:rPr>
        <w:t xml:space="preserve">Leon </w:t>
      </w:r>
      <w:r w:rsidR="00185909" w:rsidRPr="00815295">
        <w:rPr>
          <w:sz w:val="16"/>
          <w:szCs w:val="16"/>
        </w:rPr>
        <w:t>Enrique Cuéllar Cuéllar</w:t>
      </w:r>
      <w:r w:rsidR="00270E7C" w:rsidRPr="00815295">
        <w:rPr>
          <w:sz w:val="16"/>
          <w:szCs w:val="16"/>
        </w:rPr>
        <w:t>,</w:t>
      </w:r>
      <w:r w:rsidR="00185909" w:rsidRPr="00815295">
        <w:rPr>
          <w:sz w:val="16"/>
          <w:szCs w:val="16"/>
        </w:rPr>
        <w:t xml:space="preserve"> habían fallecido.</w:t>
      </w:r>
    </w:p>
  </w:footnote>
  <w:footnote w:id="2">
    <w:p w14:paraId="1420A189" w14:textId="77777777" w:rsidR="00315143" w:rsidRDefault="00315143" w:rsidP="00315143">
      <w:pPr>
        <w:pStyle w:val="Textonotapie"/>
      </w:pPr>
      <w:r w:rsidRPr="00A81311">
        <w:rPr>
          <w:rStyle w:val="Refdenotaalpie"/>
          <w:sz w:val="16"/>
          <w:szCs w:val="16"/>
        </w:rPr>
        <w:footnoteRef/>
      </w:r>
      <w:r w:rsidRPr="00A81311">
        <w:rPr>
          <w:sz w:val="16"/>
          <w:szCs w:val="16"/>
        </w:rPr>
        <w:t xml:space="preserve"> </w:t>
      </w:r>
      <w:r w:rsidRPr="00A81311">
        <w:rPr>
          <w:sz w:val="16"/>
          <w:szCs w:val="16"/>
        </w:rPr>
        <w:tab/>
        <w:t>Mediante</w:t>
      </w:r>
      <w:r>
        <w:rPr>
          <w:sz w:val="16"/>
          <w:szCs w:val="16"/>
        </w:rPr>
        <w:t xml:space="preserve"> comunicación de 15 de marzo de 2010 el IDHUCA informó a la Comisión la decisión de los entonces peticionarios de sustituir al señor José Roberto Burgos Viale por los señores José Benjamín Cuéllar Martínez y Henri Paul Fino. El 19 de julio de 2017 la Comisión recibió un escrito del IDHUCA mediante el cual se indicó que la presunta víctima Fernando Álvarez solicitó designar como representante del proceso al señor Pedro Antonio Martínez del Laboratorio de Investigación y Acción Social contra la Impunidad en El Salvador (LIASIE). </w:t>
      </w:r>
    </w:p>
  </w:footnote>
  <w:footnote w:id="3">
    <w:p w14:paraId="24B1122E" w14:textId="5D5463F7" w:rsidR="00EE60B6" w:rsidRPr="00815295" w:rsidRDefault="00EE60B6" w:rsidP="00815295">
      <w:pPr>
        <w:pStyle w:val="Textonotapie"/>
        <w:spacing w:before="40" w:after="40"/>
        <w:rPr>
          <w:b/>
          <w:bCs/>
          <w:sz w:val="16"/>
          <w:szCs w:val="16"/>
        </w:rPr>
      </w:pPr>
      <w:r w:rsidRPr="00815295">
        <w:rPr>
          <w:rStyle w:val="Refdenotaalpie"/>
          <w:rFonts w:eastAsia="Batang"/>
          <w:sz w:val="16"/>
          <w:szCs w:val="16"/>
        </w:rPr>
        <w:footnoteRef/>
      </w:r>
      <w:r w:rsidRPr="00815295">
        <w:rPr>
          <w:sz w:val="16"/>
          <w:szCs w:val="16"/>
        </w:rPr>
        <w:t xml:space="preserve"> </w:t>
      </w:r>
      <w:r w:rsidRPr="00815295">
        <w:rPr>
          <w:sz w:val="16"/>
          <w:szCs w:val="16"/>
        </w:rPr>
        <w:tab/>
        <w:t>El</w:t>
      </w:r>
      <w:r w:rsidR="00BE1DD6" w:rsidRPr="00815295">
        <w:rPr>
          <w:sz w:val="16"/>
          <w:szCs w:val="16"/>
        </w:rPr>
        <w:t xml:space="preserve"> 14 de septiembre de 2010 la Comisión notificó dicho informe a las partes y se puso a disposición a fin de llegar a una solución amistosa, </w:t>
      </w:r>
      <w:r w:rsidR="00902638" w:rsidRPr="00815295">
        <w:rPr>
          <w:sz w:val="16"/>
          <w:szCs w:val="16"/>
        </w:rPr>
        <w:t>concluyendo el procedimiento sin que</w:t>
      </w:r>
      <w:r w:rsidR="00BE1DD6" w:rsidRPr="00815295">
        <w:rPr>
          <w:sz w:val="16"/>
          <w:szCs w:val="16"/>
        </w:rPr>
        <w:t xml:space="preserve"> fuera posible llegar a un acuerdo</w:t>
      </w:r>
      <w:r w:rsidRPr="00815295">
        <w:rPr>
          <w:sz w:val="16"/>
          <w:szCs w:val="16"/>
        </w:rPr>
        <w:t xml:space="preserve">. </w:t>
      </w:r>
    </w:p>
  </w:footnote>
  <w:footnote w:id="4">
    <w:p w14:paraId="2B0F1E8C" w14:textId="281DA986" w:rsidR="00EE60B6" w:rsidRPr="00815295" w:rsidRDefault="00EE60B6" w:rsidP="00815295">
      <w:pPr>
        <w:pStyle w:val="Textonotapie"/>
        <w:spacing w:before="40" w:after="40"/>
        <w:rPr>
          <w:sz w:val="16"/>
          <w:szCs w:val="16"/>
        </w:rPr>
      </w:pPr>
      <w:r w:rsidRPr="00815295">
        <w:rPr>
          <w:rStyle w:val="Refdenotaalpie"/>
          <w:rFonts w:eastAsia="Batang"/>
          <w:sz w:val="16"/>
          <w:szCs w:val="16"/>
        </w:rPr>
        <w:footnoteRef/>
      </w:r>
      <w:r w:rsidRPr="00815295">
        <w:rPr>
          <w:sz w:val="16"/>
          <w:szCs w:val="16"/>
        </w:rPr>
        <w:t xml:space="preserve"> </w:t>
      </w:r>
      <w:r w:rsidRPr="00815295">
        <w:rPr>
          <w:sz w:val="16"/>
          <w:szCs w:val="16"/>
        </w:rPr>
        <w:tab/>
        <w:t xml:space="preserve">La Comisión designó como su delegado ante la Corte a la </w:t>
      </w:r>
      <w:r w:rsidR="00546337" w:rsidRPr="00815295">
        <w:rPr>
          <w:sz w:val="16"/>
          <w:szCs w:val="16"/>
        </w:rPr>
        <w:t xml:space="preserve">entonces </w:t>
      </w:r>
      <w:r w:rsidRPr="00815295">
        <w:rPr>
          <w:sz w:val="16"/>
          <w:szCs w:val="16"/>
        </w:rPr>
        <w:t xml:space="preserve">Comisionada </w:t>
      </w:r>
      <w:r w:rsidR="00546337" w:rsidRPr="00815295">
        <w:rPr>
          <w:sz w:val="16"/>
          <w:szCs w:val="16"/>
        </w:rPr>
        <w:t>Julissa Mantilla Falcón</w:t>
      </w:r>
      <w:r w:rsidRPr="00815295">
        <w:rPr>
          <w:sz w:val="16"/>
          <w:szCs w:val="16"/>
        </w:rPr>
        <w:t xml:space="preserve">. Asimismo, designó como asesora y asesores legales a la Secretaria Ejecutiva, </w:t>
      </w:r>
      <w:r w:rsidR="00546337" w:rsidRPr="00815295">
        <w:rPr>
          <w:sz w:val="16"/>
          <w:szCs w:val="16"/>
        </w:rPr>
        <w:t>Tania Reneaum Panszi</w:t>
      </w:r>
      <w:r w:rsidRPr="00815295">
        <w:rPr>
          <w:sz w:val="16"/>
          <w:szCs w:val="16"/>
        </w:rPr>
        <w:t xml:space="preserve">, y </w:t>
      </w:r>
      <w:r w:rsidR="00546337" w:rsidRPr="00815295">
        <w:rPr>
          <w:sz w:val="16"/>
          <w:szCs w:val="16"/>
        </w:rPr>
        <w:t>al</w:t>
      </w:r>
      <w:r w:rsidRPr="00815295">
        <w:rPr>
          <w:sz w:val="16"/>
          <w:szCs w:val="16"/>
        </w:rPr>
        <w:t xml:space="preserve"> Secretar</w:t>
      </w:r>
      <w:r w:rsidR="00546337" w:rsidRPr="00815295">
        <w:rPr>
          <w:sz w:val="16"/>
          <w:szCs w:val="16"/>
        </w:rPr>
        <w:t xml:space="preserve">io </w:t>
      </w:r>
      <w:r w:rsidRPr="00815295">
        <w:rPr>
          <w:sz w:val="16"/>
          <w:szCs w:val="16"/>
        </w:rPr>
        <w:t>Ejecutiv</w:t>
      </w:r>
      <w:r w:rsidR="00546337" w:rsidRPr="00815295">
        <w:rPr>
          <w:sz w:val="16"/>
          <w:szCs w:val="16"/>
        </w:rPr>
        <w:t>o Adjunto</w:t>
      </w:r>
      <w:r w:rsidRPr="00815295">
        <w:rPr>
          <w:sz w:val="16"/>
          <w:szCs w:val="16"/>
        </w:rPr>
        <w:t>, Jorge Meza Flores</w:t>
      </w:r>
      <w:r w:rsidR="00546337" w:rsidRPr="00815295">
        <w:rPr>
          <w:sz w:val="16"/>
          <w:szCs w:val="16"/>
        </w:rPr>
        <w:t>, así como a la especialista de la Secretaría Ejecutiva de la Comisión,</w:t>
      </w:r>
      <w:r w:rsidRPr="00815295">
        <w:rPr>
          <w:sz w:val="16"/>
          <w:szCs w:val="16"/>
        </w:rPr>
        <w:t xml:space="preserve"> Paula Rangel Garzón.</w:t>
      </w:r>
      <w:r w:rsidR="00295C14" w:rsidRPr="00815295">
        <w:rPr>
          <w:b/>
          <w:bCs/>
          <w:sz w:val="16"/>
          <w:szCs w:val="16"/>
          <w:lang w:val="es-ES"/>
        </w:rPr>
        <w:t xml:space="preserve"> </w:t>
      </w:r>
    </w:p>
  </w:footnote>
  <w:footnote w:id="5">
    <w:p w14:paraId="41B1E8CB" w14:textId="54EC60E3" w:rsidR="002078E3" w:rsidRPr="00815295" w:rsidRDefault="002078E3"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t xml:space="preserve">El representante de las presuntas víctimas y sus familiares en el presente caso fue </w:t>
      </w:r>
      <w:r w:rsidR="00514811" w:rsidRPr="00815295">
        <w:rPr>
          <w:sz w:val="16"/>
          <w:szCs w:val="16"/>
        </w:rPr>
        <w:t xml:space="preserve">el señor </w:t>
      </w:r>
      <w:r w:rsidRPr="00815295">
        <w:rPr>
          <w:sz w:val="16"/>
          <w:szCs w:val="16"/>
        </w:rPr>
        <w:t xml:space="preserve">José Benjamín Cuéllar Martínez, integrante del Laboratorio de Investigación y Acción Social </w:t>
      </w:r>
      <w:r w:rsidR="00ED02B4" w:rsidRPr="00815295">
        <w:rPr>
          <w:sz w:val="16"/>
          <w:szCs w:val="16"/>
        </w:rPr>
        <w:t>contra la Impunidad (LIASCI)</w:t>
      </w:r>
      <w:r w:rsidRPr="00815295">
        <w:rPr>
          <w:sz w:val="16"/>
          <w:szCs w:val="16"/>
        </w:rPr>
        <w:t>.</w:t>
      </w:r>
    </w:p>
  </w:footnote>
  <w:footnote w:id="6">
    <w:p w14:paraId="5939D828" w14:textId="14FD4403" w:rsidR="002078E3" w:rsidRPr="00815295" w:rsidRDefault="002078E3" w:rsidP="00815295">
      <w:pPr>
        <w:pStyle w:val="Textonotapie"/>
        <w:spacing w:before="40" w:after="40"/>
        <w:rPr>
          <w:b/>
          <w:bCs/>
          <w:sz w:val="16"/>
          <w:szCs w:val="16"/>
        </w:rPr>
      </w:pPr>
      <w:r w:rsidRPr="00815295">
        <w:rPr>
          <w:rStyle w:val="Refdenotaalpie"/>
          <w:sz w:val="16"/>
          <w:szCs w:val="16"/>
        </w:rPr>
        <w:footnoteRef/>
      </w:r>
      <w:r w:rsidRPr="00815295">
        <w:rPr>
          <w:sz w:val="16"/>
          <w:szCs w:val="16"/>
        </w:rPr>
        <w:t xml:space="preserve"> </w:t>
      </w:r>
      <w:r w:rsidR="00D74E1B" w:rsidRPr="00815295">
        <w:rPr>
          <w:sz w:val="16"/>
          <w:szCs w:val="16"/>
        </w:rPr>
        <w:tab/>
        <w:t xml:space="preserve">Mediante comunicación de 22 de septiembre de 2022, el Estado designó como agentes del caso a </w:t>
      </w:r>
      <w:r w:rsidR="00034C9E" w:rsidRPr="00815295">
        <w:rPr>
          <w:sz w:val="16"/>
          <w:szCs w:val="16"/>
        </w:rPr>
        <w:t>las abogadas</w:t>
      </w:r>
      <w:r w:rsidR="00D74E1B" w:rsidRPr="00815295">
        <w:rPr>
          <w:sz w:val="16"/>
          <w:szCs w:val="16"/>
        </w:rPr>
        <w:t xml:space="preserve"> Tania Camila Rosa, Directora de Derechos Humanos del Ministerio de Relaciones Exteriores, </w:t>
      </w:r>
      <w:r w:rsidR="002A4F41" w:rsidRPr="00815295">
        <w:rPr>
          <w:sz w:val="16"/>
          <w:szCs w:val="16"/>
        </w:rPr>
        <w:t xml:space="preserve">y a Gloria Evelyn Martínez Ramos, Jefa del Departamento de Casos Internacionales de Derechos Humanos del Ministerio de Relaciones Exteriores. </w:t>
      </w:r>
    </w:p>
  </w:footnote>
  <w:footnote w:id="7">
    <w:p w14:paraId="6E625747" w14:textId="1049EB3A" w:rsidR="004862B9" w:rsidRPr="00815295" w:rsidRDefault="004862B9" w:rsidP="00815295">
      <w:pPr>
        <w:pStyle w:val="Textonotapie"/>
        <w:spacing w:before="40" w:after="40"/>
        <w:rPr>
          <w:b/>
          <w:bCs/>
          <w:sz w:val="16"/>
          <w:szCs w:val="16"/>
          <w:lang w:val="es-ES"/>
        </w:rPr>
      </w:pPr>
      <w:r w:rsidRPr="00815295">
        <w:rPr>
          <w:rStyle w:val="Refdenotaalpie"/>
          <w:sz w:val="16"/>
          <w:szCs w:val="16"/>
        </w:rPr>
        <w:footnoteRef/>
      </w:r>
      <w:r w:rsidRPr="00815295">
        <w:rPr>
          <w:sz w:val="16"/>
          <w:szCs w:val="16"/>
        </w:rPr>
        <w:t xml:space="preserve"> </w:t>
      </w:r>
      <w:r w:rsidRPr="00815295">
        <w:rPr>
          <w:sz w:val="16"/>
          <w:szCs w:val="16"/>
        </w:rPr>
        <w:tab/>
        <w:t xml:space="preserve">Mediante comunicación de 15 de febrero de 2023 el representante señaló que no había recibido, en su oportunidad, el escrito de contestación del Estado al sometimiento del caso, el cual incluye el reconocimiento parcial de responsabilidad internacional. Por medio de la Nota de la Secretaría de la Corte Interamericana de 20 de febrero de 2023, se remitió el escrito de contestación al representante, otorgando un plazo de treinta días para que remitiera sus observaciones al reconocimiento parcial de responsabilidad internacional. </w:t>
      </w:r>
    </w:p>
  </w:footnote>
  <w:footnote w:id="8">
    <w:p w14:paraId="5051EC44" w14:textId="0A24E053" w:rsidR="00765417" w:rsidRPr="00815295" w:rsidRDefault="00765417" w:rsidP="00815295">
      <w:pPr>
        <w:pStyle w:val="Textonotapie"/>
        <w:spacing w:before="40" w:after="40"/>
        <w:rPr>
          <w:sz w:val="16"/>
          <w:szCs w:val="16"/>
          <w:lang w:val="es-ES"/>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xml:space="preserve">. </w:t>
      </w:r>
      <w:r w:rsidRPr="00815295">
        <w:rPr>
          <w:i/>
          <w:iCs/>
          <w:sz w:val="16"/>
          <w:szCs w:val="16"/>
        </w:rPr>
        <w:t>Caso Cuéllar Sandoval y otros Vs. El Salvador</w:t>
      </w:r>
      <w:r w:rsidRPr="00815295">
        <w:rPr>
          <w:sz w:val="16"/>
          <w:szCs w:val="16"/>
        </w:rPr>
        <w:t xml:space="preserve">. Convocatoria a audiencia. Resolución del Presidente de la Corte Interamericana de Derechos Humanos de 10 de octubre de 2023. Disponible en: </w:t>
      </w:r>
      <w:hyperlink r:id="rId1" w:history="1">
        <w:r w:rsidRPr="00815295">
          <w:rPr>
            <w:rStyle w:val="Hipervnculo"/>
            <w:sz w:val="16"/>
            <w:szCs w:val="16"/>
          </w:rPr>
          <w:t>https://www.corteidh.or.cr/docs/casos/articulos/seriec_491_esp.pdf</w:t>
        </w:r>
      </w:hyperlink>
      <w:r w:rsidRPr="00815295">
        <w:rPr>
          <w:sz w:val="16"/>
          <w:szCs w:val="16"/>
        </w:rPr>
        <w:t xml:space="preserve"> </w:t>
      </w:r>
    </w:p>
  </w:footnote>
  <w:footnote w:id="9">
    <w:p w14:paraId="2CB54671" w14:textId="209B0AE2" w:rsidR="00765417" w:rsidRPr="00815295" w:rsidRDefault="00765417" w:rsidP="00815295">
      <w:pPr>
        <w:pStyle w:val="Textonotapie"/>
        <w:spacing w:before="40" w:after="40"/>
        <w:rPr>
          <w:b/>
          <w:bCs/>
          <w:sz w:val="16"/>
          <w:szCs w:val="16"/>
          <w:lang w:val="es-ES"/>
        </w:rPr>
      </w:pPr>
      <w:r w:rsidRPr="00815295">
        <w:rPr>
          <w:rStyle w:val="Refdenotaalpie"/>
          <w:sz w:val="16"/>
          <w:szCs w:val="16"/>
        </w:rPr>
        <w:footnoteRef/>
      </w:r>
      <w:r w:rsidRPr="00815295">
        <w:rPr>
          <w:sz w:val="16"/>
          <w:szCs w:val="16"/>
        </w:rPr>
        <w:t xml:space="preserve"> </w:t>
      </w:r>
      <w:r w:rsidRPr="00815295">
        <w:rPr>
          <w:sz w:val="16"/>
          <w:szCs w:val="16"/>
        </w:rPr>
        <w:tab/>
        <w:t xml:space="preserve">A esta audiencia comparecieron: a) por la Comisión Interamericana; </w:t>
      </w:r>
      <w:r w:rsidR="00AF6BF6" w:rsidRPr="00815295">
        <w:rPr>
          <w:sz w:val="16"/>
          <w:szCs w:val="16"/>
        </w:rPr>
        <w:t xml:space="preserve">la señoras Julissa Mantilla Falcón, </w:t>
      </w:r>
      <w:r w:rsidR="00315143">
        <w:rPr>
          <w:sz w:val="16"/>
          <w:szCs w:val="16"/>
        </w:rPr>
        <w:t xml:space="preserve">entonces </w:t>
      </w:r>
      <w:r w:rsidR="00AF6BF6" w:rsidRPr="00815295">
        <w:rPr>
          <w:sz w:val="16"/>
          <w:szCs w:val="16"/>
        </w:rPr>
        <w:t>Comisionada, y Paula Rangel, Asesora de la Secretaría de la Comisión Interamericana</w:t>
      </w:r>
      <w:r w:rsidRPr="00815295">
        <w:rPr>
          <w:sz w:val="16"/>
          <w:szCs w:val="16"/>
        </w:rPr>
        <w:t xml:space="preserve">; b) por </w:t>
      </w:r>
      <w:r w:rsidR="00AF6BF6" w:rsidRPr="00815295">
        <w:rPr>
          <w:sz w:val="16"/>
          <w:szCs w:val="16"/>
        </w:rPr>
        <w:t>el</w:t>
      </w:r>
      <w:r w:rsidRPr="00815295">
        <w:rPr>
          <w:sz w:val="16"/>
          <w:szCs w:val="16"/>
        </w:rPr>
        <w:t xml:space="preserve"> representante de las presuntas víctimas:</w:t>
      </w:r>
      <w:r w:rsidR="00AF6BF6" w:rsidRPr="00815295">
        <w:rPr>
          <w:sz w:val="16"/>
          <w:szCs w:val="16"/>
        </w:rPr>
        <w:t xml:space="preserve"> el señor José Benjamín Cuéllar Martínez</w:t>
      </w:r>
      <w:r w:rsidRPr="00815295">
        <w:rPr>
          <w:sz w:val="16"/>
          <w:szCs w:val="16"/>
        </w:rPr>
        <w:t xml:space="preserve">, y c) por el Estado: </w:t>
      </w:r>
      <w:r w:rsidR="00AF6BF6" w:rsidRPr="00530243">
        <w:rPr>
          <w:sz w:val="16"/>
          <w:szCs w:val="16"/>
        </w:rPr>
        <w:t>los</w:t>
      </w:r>
      <w:r w:rsidR="00AF6BF6" w:rsidRPr="00815295">
        <w:rPr>
          <w:sz w:val="16"/>
          <w:szCs w:val="16"/>
        </w:rPr>
        <w:t xml:space="preserve"> señores y señoras Conan Tonathiu Castro Ramírez, Secretario Jurídico de la Presidencia; Andrés Guzmán Caballero, Comisionado Presidencial para los Derechos Humanos y la Libertad de Expresión; José Mario Cruz, Director Jurídico Fiscal de la Fiscalía General de la República; Mario Yoel Chacón, Jefe de la Unidad de Investigación de Delitos ocurridos durante el Conflicto Armado de la Fiscalía General de la República; Tania Camila Rosa, Directora de Derechos Humanos del Ministerio de Relaciones Exteriores y agente del Estado, y Gloria Evelyn Martínez Ramos, Jefa del Departamento de Casos Internacionales de Derechos Humanos de la Dirección de Derechos Humanos del Ministerio de Relaciones Exteriores y agente del Estado. </w:t>
      </w:r>
    </w:p>
  </w:footnote>
  <w:footnote w:id="10">
    <w:p w14:paraId="3E5BD317" w14:textId="366D106E" w:rsidR="00185909" w:rsidRPr="00815295" w:rsidRDefault="00185909"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t xml:space="preserve">En concreto, la Comisión identificó como familiares de las presuntas víctimas a los hijos de Patricia E. Cuéllar Sandoval, Maite María Álvarez Cuéllar, Javier Ernesto Álvarez Cuéllar, y Ana Gabriela Álvarez Cuéllar; su exesposo, Francisco </w:t>
      </w:r>
      <w:r w:rsidR="00495015" w:rsidRPr="00815295">
        <w:rPr>
          <w:sz w:val="16"/>
          <w:szCs w:val="16"/>
        </w:rPr>
        <w:t xml:space="preserve">Alfredo </w:t>
      </w:r>
      <w:r w:rsidRPr="00815295">
        <w:rPr>
          <w:sz w:val="16"/>
          <w:szCs w:val="16"/>
        </w:rPr>
        <w:t>Álvarez Solís; los hermanos de Mauricio Cuéllar Cuéllar, María Consuelo Cuéllar Cuéllar y</w:t>
      </w:r>
      <w:r w:rsidR="00270E7C" w:rsidRPr="00815295">
        <w:rPr>
          <w:sz w:val="16"/>
          <w:szCs w:val="16"/>
        </w:rPr>
        <w:t xml:space="preserve"> Leon</w:t>
      </w:r>
      <w:r w:rsidRPr="00815295">
        <w:rPr>
          <w:sz w:val="16"/>
          <w:szCs w:val="16"/>
        </w:rPr>
        <w:t xml:space="preserve"> Enrique Cuéllar Cuéllar; el hijo de Mauricio Cuéllar Cuéllar y hermano de Patricia E. Cuéllar Sandoval, Mauricio Cuéllar Sandoval, y la hija y hermana de Julia Orbelina Pérez, Ana</w:t>
      </w:r>
      <w:r w:rsidR="00080BE8" w:rsidRPr="00815295">
        <w:rPr>
          <w:sz w:val="16"/>
          <w:szCs w:val="16"/>
        </w:rPr>
        <w:t xml:space="preserve"> </w:t>
      </w:r>
      <w:r w:rsidR="00F01B69" w:rsidRPr="00815295">
        <w:rPr>
          <w:sz w:val="16"/>
          <w:szCs w:val="16"/>
        </w:rPr>
        <w:t>Gladis</w:t>
      </w:r>
      <w:r w:rsidRPr="00815295">
        <w:rPr>
          <w:sz w:val="16"/>
          <w:szCs w:val="16"/>
        </w:rPr>
        <w:t xml:space="preserve"> </w:t>
      </w:r>
      <w:r w:rsidR="000B7B3C" w:rsidRPr="00815295">
        <w:rPr>
          <w:sz w:val="16"/>
          <w:szCs w:val="16"/>
        </w:rPr>
        <w:t>Pérez de Castro</w:t>
      </w:r>
      <w:r w:rsidRPr="00815295">
        <w:rPr>
          <w:sz w:val="16"/>
          <w:szCs w:val="16"/>
        </w:rPr>
        <w:t xml:space="preserve"> y Teresa Pérez de Ramos, respectivamente. </w:t>
      </w:r>
    </w:p>
  </w:footnote>
  <w:footnote w:id="11">
    <w:p w14:paraId="6EE9A101" w14:textId="41FE304C" w:rsidR="00185909" w:rsidRPr="00815295" w:rsidRDefault="00185909"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xml:space="preserve">. Alegatos Finales Orales rendidas por el Estado de El Salvador en la Audiencia Pública del presente caso celebrada en el marco del 163 Periodo Ordinario de Sesiones, de 22 de noviembre de 2023 (minuto 1:22:50 a 1:23:00). Disponible en: </w:t>
      </w:r>
      <w:hyperlink r:id="rId2" w:history="1">
        <w:r w:rsidRPr="00815295">
          <w:rPr>
            <w:rStyle w:val="Hipervnculo"/>
            <w:sz w:val="16"/>
            <w:szCs w:val="16"/>
          </w:rPr>
          <w:t>https://www.youtube.com/watch?v=Lta6xhHs0gk</w:t>
        </w:r>
      </w:hyperlink>
      <w:r w:rsidRPr="00815295">
        <w:rPr>
          <w:sz w:val="16"/>
          <w:szCs w:val="16"/>
        </w:rPr>
        <w:t xml:space="preserve"> </w:t>
      </w:r>
    </w:p>
  </w:footnote>
  <w:footnote w:id="12">
    <w:p w14:paraId="3197420A" w14:textId="6FC023B1" w:rsidR="005F7D9A" w:rsidRPr="00815295" w:rsidRDefault="005F7D9A"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 xml:space="preserve">Cfr. Caso Manuel Cepeda Vargas Vs. Colombia. Excepciones Preliminares, Fondo, Reparaciones y Costas. </w:t>
      </w:r>
      <w:r w:rsidRPr="00815295">
        <w:rPr>
          <w:sz w:val="16"/>
          <w:szCs w:val="16"/>
        </w:rPr>
        <w:t>Sentencia de 26 de mayo de 2010. Serie C No. 213, párr. 17,</w:t>
      </w:r>
      <w:r w:rsidRPr="00815295">
        <w:rPr>
          <w:i/>
          <w:iCs/>
          <w:sz w:val="16"/>
          <w:szCs w:val="16"/>
        </w:rPr>
        <w:t xml:space="preserve"> </w:t>
      </w:r>
      <w:r w:rsidR="00597566" w:rsidRPr="00815295">
        <w:rPr>
          <w:i/>
          <w:iCs/>
          <w:sz w:val="16"/>
          <w:szCs w:val="16"/>
        </w:rPr>
        <w:t xml:space="preserve">y Caso María y otros Vs. Argentina. Fondo, Reparaciones y Costas. Sentencia de 22 de agosto de 2023. Serie C No. 494, </w:t>
      </w:r>
      <w:r w:rsidR="00597566" w:rsidRPr="00815295">
        <w:rPr>
          <w:sz w:val="16"/>
          <w:szCs w:val="16"/>
        </w:rPr>
        <w:t xml:space="preserve">párr. 24. </w:t>
      </w:r>
    </w:p>
  </w:footnote>
  <w:footnote w:id="13">
    <w:p w14:paraId="5B655A26" w14:textId="77777777" w:rsidR="00CA584F" w:rsidRPr="00815295" w:rsidRDefault="00CA584F" w:rsidP="00815295">
      <w:pPr>
        <w:pStyle w:val="Textonotapie"/>
        <w:spacing w:before="40" w:after="40"/>
        <w:rPr>
          <w:sz w:val="16"/>
          <w:szCs w:val="16"/>
        </w:rPr>
      </w:pPr>
      <w:r w:rsidRPr="00815295">
        <w:rPr>
          <w:rStyle w:val="Refdenotaalpie"/>
          <w:sz w:val="16"/>
          <w:szCs w:val="16"/>
        </w:rPr>
        <w:footnoteRef/>
      </w:r>
      <w:r w:rsidRPr="00593DE3">
        <w:rPr>
          <w:sz w:val="16"/>
          <w:szCs w:val="16"/>
        </w:rPr>
        <w:t xml:space="preserve"> </w:t>
      </w:r>
      <w:r w:rsidRPr="00593DE3">
        <w:rPr>
          <w:sz w:val="16"/>
          <w:szCs w:val="16"/>
        </w:rPr>
        <w:tab/>
      </w:r>
      <w:r w:rsidRPr="00593DE3">
        <w:rPr>
          <w:i/>
          <w:iCs/>
          <w:sz w:val="16"/>
          <w:szCs w:val="16"/>
        </w:rPr>
        <w:t xml:space="preserve">Cfr. Caso Tiu Tojín Vs. </w:t>
      </w:r>
      <w:r w:rsidRPr="00815295">
        <w:rPr>
          <w:i/>
          <w:iCs/>
          <w:sz w:val="16"/>
          <w:szCs w:val="16"/>
          <w:lang w:val="es-MX"/>
        </w:rPr>
        <w:t>Guatemala. Fondo, Reparaciones y Costas.</w:t>
      </w:r>
      <w:r w:rsidRPr="00815295">
        <w:rPr>
          <w:sz w:val="16"/>
          <w:szCs w:val="16"/>
          <w:lang w:val="es-MX"/>
        </w:rPr>
        <w:t xml:space="preserve"> Sentencia de 26 de noviembre de 2008. Serie C No. 190, párr. 26, </w:t>
      </w:r>
      <w:r w:rsidRPr="00815295">
        <w:rPr>
          <w:i/>
          <w:iCs/>
          <w:sz w:val="16"/>
          <w:szCs w:val="16"/>
        </w:rPr>
        <w:t xml:space="preserve">y Caso Guzmán Medina y otros Vs. Colombia. Fondo, Reparaciones y Costas. </w:t>
      </w:r>
      <w:r w:rsidRPr="00815295">
        <w:rPr>
          <w:sz w:val="16"/>
          <w:szCs w:val="16"/>
        </w:rPr>
        <w:t>Sentencia de 23 de agosto de 2023. Serie C No. 495, párr. 30.</w:t>
      </w:r>
    </w:p>
  </w:footnote>
  <w:footnote w:id="14">
    <w:p w14:paraId="488C0D1C" w14:textId="3B15E759" w:rsidR="008744D7" w:rsidRPr="00815295" w:rsidRDefault="008744D7" w:rsidP="00815295">
      <w:pPr>
        <w:pStyle w:val="Textonotapie"/>
        <w:spacing w:before="40" w:after="40"/>
        <w:rPr>
          <w:sz w:val="16"/>
          <w:szCs w:val="16"/>
          <w:lang w:val="es-ES"/>
        </w:rPr>
      </w:pPr>
      <w:r w:rsidRPr="00815295">
        <w:rPr>
          <w:rStyle w:val="Refdenotaalpie"/>
          <w:rFonts w:eastAsia="Batang"/>
          <w:sz w:val="16"/>
          <w:szCs w:val="16"/>
        </w:rPr>
        <w:footnoteRef/>
      </w:r>
      <w:r w:rsidRPr="00815295">
        <w:rPr>
          <w:sz w:val="16"/>
          <w:szCs w:val="16"/>
        </w:rPr>
        <w:t xml:space="preserve"> </w:t>
      </w:r>
      <w:r w:rsidRPr="00815295">
        <w:rPr>
          <w:sz w:val="16"/>
          <w:szCs w:val="16"/>
        </w:rPr>
        <w:tab/>
        <w:t xml:space="preserve">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salvo si se tratara de un hecho superviniente, es decir, ocurrido con posterioridad a los citados momentos procesales. </w:t>
      </w:r>
      <w:r w:rsidR="0008049D" w:rsidRPr="00815295">
        <w:rPr>
          <w:i/>
          <w:iCs/>
          <w:sz w:val="16"/>
          <w:szCs w:val="16"/>
        </w:rPr>
        <w:t xml:space="preserve">Cfr. Caso Velásquez Rodríguez Vs. Honduras. Fondo. Sentencia de 29 de julio de 1988. Serie C No. 4, párr. 140, </w:t>
      </w:r>
      <w:r w:rsidR="0008049D" w:rsidRPr="00815295">
        <w:rPr>
          <w:sz w:val="16"/>
          <w:szCs w:val="16"/>
        </w:rPr>
        <w:t xml:space="preserve">y </w:t>
      </w:r>
      <w:r w:rsidR="0008049D" w:rsidRPr="00815295">
        <w:rPr>
          <w:i/>
          <w:iCs/>
          <w:sz w:val="16"/>
          <w:szCs w:val="16"/>
        </w:rPr>
        <w:t xml:space="preserve">Caso María y otros Vs. Argentina, supra, </w:t>
      </w:r>
      <w:r w:rsidR="0008049D" w:rsidRPr="00815295">
        <w:rPr>
          <w:sz w:val="16"/>
          <w:szCs w:val="16"/>
        </w:rPr>
        <w:t>párr. 24.</w:t>
      </w:r>
    </w:p>
  </w:footnote>
  <w:footnote w:id="15">
    <w:p w14:paraId="02FE0038" w14:textId="6A955833" w:rsidR="004A4365" w:rsidRPr="00815295" w:rsidRDefault="004A4365"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00045060" w:rsidRPr="00EB465B">
        <w:rPr>
          <w:sz w:val="16"/>
          <w:szCs w:val="16"/>
        </w:rPr>
        <w:t>Anexo 1: Comunicación del Socorro Jurídico Cristiano al embajador de Estados Unidos de América,</w:t>
      </w:r>
      <w:r w:rsidR="00045060">
        <w:rPr>
          <w:sz w:val="16"/>
          <w:szCs w:val="16"/>
        </w:rPr>
        <w:t xml:space="preserve"> de</w:t>
      </w:r>
      <w:r w:rsidR="00045060" w:rsidRPr="00EB465B">
        <w:rPr>
          <w:sz w:val="16"/>
          <w:szCs w:val="16"/>
        </w:rPr>
        <w:t xml:space="preserve"> 29 de julio de 1982; Anexo 2: Nota interna Socorro Jurídico Cristiano, </w:t>
      </w:r>
      <w:r w:rsidR="00045060">
        <w:rPr>
          <w:sz w:val="16"/>
          <w:szCs w:val="16"/>
        </w:rPr>
        <w:t xml:space="preserve">de </w:t>
      </w:r>
      <w:r w:rsidR="00045060" w:rsidRPr="00EB465B">
        <w:rPr>
          <w:sz w:val="16"/>
          <w:szCs w:val="16"/>
        </w:rPr>
        <w:t>29 de julio de 1982</w:t>
      </w:r>
      <w:r w:rsidR="00045060">
        <w:rPr>
          <w:sz w:val="16"/>
          <w:szCs w:val="16"/>
        </w:rPr>
        <w:t xml:space="preserve"> relacionada con la “captura” de Patricia E. Cuéllar Sandoval</w:t>
      </w:r>
      <w:r w:rsidR="00045060" w:rsidRPr="00EB465B">
        <w:rPr>
          <w:sz w:val="16"/>
          <w:szCs w:val="16"/>
        </w:rPr>
        <w:t>; Anexo 3: Nota interna Socorro Jurídico Cristiano, 29 de julio de 1982</w:t>
      </w:r>
      <w:r w:rsidR="00045060">
        <w:rPr>
          <w:sz w:val="16"/>
          <w:szCs w:val="16"/>
        </w:rPr>
        <w:t xml:space="preserve"> relacionada con los “informes” recogidos por el Socorro Jurídico Cristiano “sobre actividades anteriores a la captura de Patricia Cuéllar”</w:t>
      </w:r>
      <w:r w:rsidR="00045060" w:rsidRPr="00EB465B">
        <w:rPr>
          <w:sz w:val="16"/>
          <w:szCs w:val="16"/>
        </w:rPr>
        <w:t>; Anexo 4: Ficha inicial Socorro Jurídico Cristiano, 29 de julio de 1982</w:t>
      </w:r>
      <w:r w:rsidR="00045060">
        <w:rPr>
          <w:sz w:val="16"/>
          <w:szCs w:val="16"/>
        </w:rPr>
        <w:t xml:space="preserve"> mediante la cual se denuncia la “</w:t>
      </w:r>
      <w:proofErr w:type="spellStart"/>
      <w:r w:rsidR="00045060">
        <w:rPr>
          <w:sz w:val="16"/>
          <w:szCs w:val="16"/>
        </w:rPr>
        <w:t>captu</w:t>
      </w:r>
      <w:proofErr w:type="spellEnd"/>
      <w:r w:rsidR="00045060">
        <w:rPr>
          <w:sz w:val="16"/>
          <w:szCs w:val="16"/>
        </w:rPr>
        <w:t>[</w:t>
      </w:r>
      <w:proofErr w:type="spellStart"/>
      <w:r w:rsidR="00045060">
        <w:rPr>
          <w:sz w:val="16"/>
          <w:szCs w:val="16"/>
        </w:rPr>
        <w:t>ra</w:t>
      </w:r>
      <w:proofErr w:type="spellEnd"/>
      <w:r w:rsidR="00045060">
        <w:rPr>
          <w:sz w:val="16"/>
          <w:szCs w:val="16"/>
        </w:rPr>
        <w:t>] por motivo político” de la señora Patricia E. Cuéllar Sandoval</w:t>
      </w:r>
      <w:r w:rsidR="00045060" w:rsidRPr="00EB465B">
        <w:rPr>
          <w:sz w:val="16"/>
          <w:szCs w:val="16"/>
        </w:rPr>
        <w:t xml:space="preserve">; Anexo 5: </w:t>
      </w:r>
      <w:r w:rsidR="00045060">
        <w:rPr>
          <w:sz w:val="16"/>
          <w:szCs w:val="16"/>
        </w:rPr>
        <w:t>Memoria del</w:t>
      </w:r>
      <w:r w:rsidR="00045060" w:rsidRPr="00EB465B">
        <w:rPr>
          <w:sz w:val="16"/>
          <w:szCs w:val="16"/>
        </w:rPr>
        <w:t xml:space="preserve"> Socorro Jurídico Cristiano, </w:t>
      </w:r>
      <w:r w:rsidR="00045060">
        <w:rPr>
          <w:sz w:val="16"/>
          <w:szCs w:val="16"/>
        </w:rPr>
        <w:t xml:space="preserve">de </w:t>
      </w:r>
      <w:r w:rsidR="00045060" w:rsidRPr="00EB465B">
        <w:rPr>
          <w:sz w:val="16"/>
          <w:szCs w:val="16"/>
        </w:rPr>
        <w:t>30 de julio de 1982</w:t>
      </w:r>
      <w:r w:rsidR="00045060">
        <w:rPr>
          <w:sz w:val="16"/>
          <w:szCs w:val="16"/>
        </w:rPr>
        <w:t xml:space="preserve"> relacionada con la reunión sostenida con el señor W.K.E., entonces Jefe de Seguridad de la Embajada Norteamericana</w:t>
      </w:r>
      <w:r w:rsidR="00045060" w:rsidRPr="00EB465B">
        <w:rPr>
          <w:sz w:val="16"/>
          <w:szCs w:val="16"/>
        </w:rPr>
        <w:t xml:space="preserve">; Anexo 6: </w:t>
      </w:r>
      <w:r w:rsidR="00045060">
        <w:rPr>
          <w:sz w:val="16"/>
          <w:szCs w:val="16"/>
        </w:rPr>
        <w:t>M</w:t>
      </w:r>
      <w:r w:rsidR="00045060" w:rsidRPr="00EB465B">
        <w:rPr>
          <w:sz w:val="16"/>
          <w:szCs w:val="16"/>
        </w:rPr>
        <w:t>emoria</w:t>
      </w:r>
      <w:r w:rsidR="00045060">
        <w:rPr>
          <w:sz w:val="16"/>
          <w:szCs w:val="16"/>
        </w:rPr>
        <w:t xml:space="preserve"> del</w:t>
      </w:r>
      <w:r w:rsidR="00045060" w:rsidRPr="00EB465B">
        <w:rPr>
          <w:sz w:val="16"/>
          <w:szCs w:val="16"/>
        </w:rPr>
        <w:t xml:space="preserve"> Socorro Jurídico Cristiano,</w:t>
      </w:r>
      <w:r w:rsidR="00045060">
        <w:rPr>
          <w:sz w:val="16"/>
          <w:szCs w:val="16"/>
        </w:rPr>
        <w:t xml:space="preserve"> de</w:t>
      </w:r>
      <w:r w:rsidR="00045060" w:rsidRPr="00EB465B">
        <w:rPr>
          <w:sz w:val="16"/>
          <w:szCs w:val="16"/>
        </w:rPr>
        <w:t xml:space="preserve"> 31 de julio de 1982; Anexo 7: Declaración extrajudicial de monseñor Ricardo Urioste, </w:t>
      </w:r>
      <w:r w:rsidR="00045060">
        <w:rPr>
          <w:sz w:val="16"/>
          <w:szCs w:val="16"/>
        </w:rPr>
        <w:t xml:space="preserve">de </w:t>
      </w:r>
      <w:r w:rsidR="00045060" w:rsidRPr="00EB465B">
        <w:rPr>
          <w:sz w:val="16"/>
          <w:szCs w:val="16"/>
        </w:rPr>
        <w:t xml:space="preserve">31 de julio de 1982; Anexo 8: Declaración extrajudicial del señor Álvarez Solís, </w:t>
      </w:r>
      <w:r w:rsidR="00045060">
        <w:rPr>
          <w:sz w:val="16"/>
          <w:szCs w:val="16"/>
        </w:rPr>
        <w:t xml:space="preserve">de </w:t>
      </w:r>
      <w:r w:rsidR="00045060" w:rsidRPr="00EB465B">
        <w:rPr>
          <w:sz w:val="16"/>
          <w:szCs w:val="16"/>
        </w:rPr>
        <w:t xml:space="preserve">31 de julio de 1982; Anexo 9: Recurso de exhibición personal (habeas corpus) en favor de las víctimas directas por el señor </w:t>
      </w:r>
      <w:r w:rsidR="00045060">
        <w:rPr>
          <w:sz w:val="16"/>
          <w:szCs w:val="16"/>
        </w:rPr>
        <w:t xml:space="preserve">Francisca </w:t>
      </w:r>
      <w:r w:rsidR="00045060" w:rsidRPr="00EB465B">
        <w:rPr>
          <w:sz w:val="16"/>
          <w:szCs w:val="16"/>
        </w:rPr>
        <w:t xml:space="preserve">Álvarez Solís, </w:t>
      </w:r>
      <w:r w:rsidR="00045060">
        <w:rPr>
          <w:sz w:val="16"/>
          <w:szCs w:val="16"/>
        </w:rPr>
        <w:t xml:space="preserve">de </w:t>
      </w:r>
      <w:r w:rsidR="00045060" w:rsidRPr="00EB465B">
        <w:rPr>
          <w:sz w:val="16"/>
          <w:szCs w:val="16"/>
        </w:rPr>
        <w:t xml:space="preserve">31 de julio de 1982; Anexo 10: Publicación en un periódico nacional del recurso de exhibición personal (habeas corpus) en favor de las víctimas directas por el señor Álvarez Solís, </w:t>
      </w:r>
      <w:r w:rsidR="00045060">
        <w:rPr>
          <w:sz w:val="16"/>
          <w:szCs w:val="16"/>
        </w:rPr>
        <w:t xml:space="preserve">de </w:t>
      </w:r>
      <w:r w:rsidR="00045060" w:rsidRPr="00EB465B">
        <w:rPr>
          <w:sz w:val="16"/>
          <w:szCs w:val="16"/>
        </w:rPr>
        <w:t xml:space="preserve">31 de julio de 1982; Anexo 11: Nota periodística, </w:t>
      </w:r>
      <w:r w:rsidR="00045060">
        <w:rPr>
          <w:sz w:val="16"/>
          <w:szCs w:val="16"/>
        </w:rPr>
        <w:t xml:space="preserve">de </w:t>
      </w:r>
      <w:r w:rsidR="00045060" w:rsidRPr="00EB465B">
        <w:rPr>
          <w:sz w:val="16"/>
          <w:szCs w:val="16"/>
        </w:rPr>
        <w:t>2 de agosto de 1982; Anexo 12:</w:t>
      </w:r>
      <w:r w:rsidR="00ED1B1A">
        <w:rPr>
          <w:sz w:val="16"/>
          <w:szCs w:val="16"/>
        </w:rPr>
        <w:t xml:space="preserve"> </w:t>
      </w:r>
      <w:r w:rsidR="00045060">
        <w:rPr>
          <w:sz w:val="16"/>
          <w:szCs w:val="16"/>
        </w:rPr>
        <w:t>M</w:t>
      </w:r>
      <w:r w:rsidR="00045060" w:rsidRPr="00EB465B">
        <w:rPr>
          <w:sz w:val="16"/>
          <w:szCs w:val="16"/>
        </w:rPr>
        <w:t>emoria</w:t>
      </w:r>
      <w:r w:rsidR="00045060">
        <w:rPr>
          <w:sz w:val="16"/>
          <w:szCs w:val="16"/>
        </w:rPr>
        <w:t xml:space="preserve"> del</w:t>
      </w:r>
      <w:r w:rsidR="00045060" w:rsidRPr="00EB465B">
        <w:rPr>
          <w:sz w:val="16"/>
          <w:szCs w:val="16"/>
        </w:rPr>
        <w:t xml:space="preserve"> Socorro Jurídico Cristiano,</w:t>
      </w:r>
      <w:r w:rsidR="00045060">
        <w:rPr>
          <w:sz w:val="16"/>
          <w:szCs w:val="16"/>
        </w:rPr>
        <w:t xml:space="preserve"> de</w:t>
      </w:r>
      <w:r w:rsidR="00045060" w:rsidRPr="00EB465B">
        <w:rPr>
          <w:sz w:val="16"/>
          <w:szCs w:val="16"/>
        </w:rPr>
        <w:t xml:space="preserve"> 2 de agosto de 1982; Anexo 13: Publicación de denuncia del Socorro Jurídico Cristiano en un periódico nacional, </w:t>
      </w:r>
      <w:r w:rsidR="00045060">
        <w:rPr>
          <w:sz w:val="16"/>
          <w:szCs w:val="16"/>
        </w:rPr>
        <w:t xml:space="preserve">de </w:t>
      </w:r>
      <w:r w:rsidR="00045060" w:rsidRPr="00EB465B">
        <w:rPr>
          <w:sz w:val="16"/>
          <w:szCs w:val="16"/>
        </w:rPr>
        <w:t>9 de agosto de 1982; Anexo 14: Diario “El Mundo”</w:t>
      </w:r>
      <w:r w:rsidR="00045060">
        <w:rPr>
          <w:sz w:val="16"/>
          <w:szCs w:val="16"/>
        </w:rPr>
        <w:t xml:space="preserve">, Nota periodística “ASI condena secuestro de su Gerente General y pide respeto a su integridad” </w:t>
      </w:r>
      <w:r w:rsidR="00045060" w:rsidRPr="00EB465B">
        <w:rPr>
          <w:sz w:val="16"/>
          <w:szCs w:val="16"/>
        </w:rPr>
        <w:t xml:space="preserve">, </w:t>
      </w:r>
      <w:r w:rsidR="00045060">
        <w:rPr>
          <w:sz w:val="16"/>
          <w:szCs w:val="16"/>
        </w:rPr>
        <w:t xml:space="preserve">de </w:t>
      </w:r>
      <w:r w:rsidR="00045060" w:rsidRPr="00EB465B">
        <w:rPr>
          <w:sz w:val="16"/>
          <w:szCs w:val="16"/>
        </w:rPr>
        <w:t xml:space="preserve">10 de agosto de 1982; Anexo 15: Carta del cónsul de </w:t>
      </w:r>
      <w:r w:rsidR="00045060">
        <w:rPr>
          <w:sz w:val="16"/>
          <w:szCs w:val="16"/>
        </w:rPr>
        <w:t xml:space="preserve">los </w:t>
      </w:r>
      <w:r w:rsidR="00045060" w:rsidRPr="00EB465B">
        <w:rPr>
          <w:sz w:val="16"/>
          <w:szCs w:val="16"/>
        </w:rPr>
        <w:t xml:space="preserve">EUA a Amnistía Internacional, </w:t>
      </w:r>
      <w:r w:rsidR="00045060">
        <w:rPr>
          <w:sz w:val="16"/>
          <w:szCs w:val="16"/>
        </w:rPr>
        <w:t xml:space="preserve">de </w:t>
      </w:r>
      <w:r w:rsidR="00045060" w:rsidRPr="00EB465B">
        <w:rPr>
          <w:sz w:val="16"/>
          <w:szCs w:val="16"/>
        </w:rPr>
        <w:t xml:space="preserve">13 de agosto de 1982; Anexo 16: Carta del Socorro Jurídico Cristiano a miembros del Congreso de </w:t>
      </w:r>
      <w:r w:rsidR="00045060">
        <w:rPr>
          <w:sz w:val="16"/>
          <w:szCs w:val="16"/>
        </w:rPr>
        <w:t xml:space="preserve">los </w:t>
      </w:r>
      <w:r w:rsidR="00045060" w:rsidRPr="00EB465B">
        <w:rPr>
          <w:sz w:val="16"/>
          <w:szCs w:val="16"/>
        </w:rPr>
        <w:t xml:space="preserve">EUA, </w:t>
      </w:r>
      <w:r w:rsidR="00045060">
        <w:rPr>
          <w:sz w:val="16"/>
          <w:szCs w:val="16"/>
        </w:rPr>
        <w:t xml:space="preserve">de </w:t>
      </w:r>
      <w:r w:rsidR="00045060" w:rsidRPr="00EB465B">
        <w:rPr>
          <w:sz w:val="16"/>
          <w:szCs w:val="16"/>
        </w:rPr>
        <w:t>19 de agosto de 1982. Anexo 17: Juzgado 4° de lo Penal, Causa No. 392-82</w:t>
      </w:r>
      <w:r w:rsidR="00045060">
        <w:rPr>
          <w:sz w:val="16"/>
          <w:szCs w:val="16"/>
        </w:rPr>
        <w:t xml:space="preserve">, de </w:t>
      </w:r>
      <w:r w:rsidR="00045060" w:rsidRPr="00EB465B">
        <w:rPr>
          <w:sz w:val="16"/>
          <w:szCs w:val="16"/>
        </w:rPr>
        <w:t>octubre de 1982; Anexo 18: Carta del Socorro Jurídico Cristiano al embajador de</w:t>
      </w:r>
      <w:r w:rsidR="00045060">
        <w:rPr>
          <w:sz w:val="16"/>
          <w:szCs w:val="16"/>
        </w:rPr>
        <w:t xml:space="preserve"> los</w:t>
      </w:r>
      <w:r w:rsidR="00045060" w:rsidRPr="00EB465B">
        <w:rPr>
          <w:sz w:val="16"/>
          <w:szCs w:val="16"/>
        </w:rPr>
        <w:t xml:space="preserve"> EUA, </w:t>
      </w:r>
      <w:r w:rsidR="00045060">
        <w:rPr>
          <w:sz w:val="16"/>
          <w:szCs w:val="16"/>
        </w:rPr>
        <w:t xml:space="preserve">de </w:t>
      </w:r>
      <w:r w:rsidR="00045060" w:rsidRPr="00EB465B">
        <w:rPr>
          <w:sz w:val="16"/>
          <w:szCs w:val="16"/>
        </w:rPr>
        <w:t xml:space="preserve">10 de noviembre de 1982; Anexo 19: Respuesta del embajador de </w:t>
      </w:r>
      <w:r w:rsidR="00045060">
        <w:rPr>
          <w:sz w:val="16"/>
          <w:szCs w:val="16"/>
        </w:rPr>
        <w:t xml:space="preserve">los </w:t>
      </w:r>
      <w:r w:rsidR="00045060" w:rsidRPr="00EB465B">
        <w:rPr>
          <w:sz w:val="16"/>
          <w:szCs w:val="16"/>
        </w:rPr>
        <w:t xml:space="preserve">EUA al Socorro Jurídico Cristiano, </w:t>
      </w:r>
      <w:r w:rsidR="00045060">
        <w:rPr>
          <w:sz w:val="16"/>
          <w:szCs w:val="16"/>
        </w:rPr>
        <w:t xml:space="preserve">de </w:t>
      </w:r>
      <w:r w:rsidR="00045060" w:rsidRPr="00EB465B">
        <w:rPr>
          <w:sz w:val="16"/>
          <w:szCs w:val="16"/>
        </w:rPr>
        <w:t xml:space="preserve">23 de noviembre de 1982; Anexo 20: Comunicado del Socorro Jurídico Cristiano en el primer aniversario de la desaparición forzada de Patricia Emilie Cuéllar Sandoval, Mauricio Cuéllar y Julia Orbelina Pérez, </w:t>
      </w:r>
      <w:r w:rsidR="00045060">
        <w:rPr>
          <w:sz w:val="16"/>
          <w:szCs w:val="16"/>
        </w:rPr>
        <w:t xml:space="preserve">de </w:t>
      </w:r>
      <w:r w:rsidR="00045060" w:rsidRPr="00EB465B">
        <w:rPr>
          <w:sz w:val="16"/>
          <w:szCs w:val="16"/>
        </w:rPr>
        <w:t xml:space="preserve">28 de julio de 1983. Asimismo, el representante adjuntó anexos adicionales sin numerar que se indican a continuación: </w:t>
      </w:r>
      <w:r w:rsidR="00045060">
        <w:rPr>
          <w:sz w:val="16"/>
          <w:szCs w:val="16"/>
        </w:rPr>
        <w:t xml:space="preserve">(i) </w:t>
      </w:r>
      <w:r w:rsidR="00045060" w:rsidRPr="00EB465B">
        <w:rPr>
          <w:sz w:val="16"/>
          <w:szCs w:val="16"/>
        </w:rPr>
        <w:t>declaración notarial (</w:t>
      </w:r>
      <w:r w:rsidR="00045060" w:rsidRPr="00EB465B">
        <w:rPr>
          <w:i/>
          <w:iCs/>
          <w:sz w:val="16"/>
          <w:szCs w:val="16"/>
        </w:rPr>
        <w:t>affidávit</w:t>
      </w:r>
      <w:r w:rsidR="00045060" w:rsidRPr="00EB465B">
        <w:rPr>
          <w:sz w:val="16"/>
          <w:szCs w:val="16"/>
        </w:rPr>
        <w:t xml:space="preserve">) de Javier Ernesto Álvarez Cuéllar, de </w:t>
      </w:r>
      <w:r w:rsidR="00045060">
        <w:rPr>
          <w:sz w:val="16"/>
          <w:szCs w:val="16"/>
        </w:rPr>
        <w:t>25</w:t>
      </w:r>
      <w:r w:rsidR="00045060" w:rsidRPr="00EB465B">
        <w:rPr>
          <w:sz w:val="16"/>
          <w:szCs w:val="16"/>
        </w:rPr>
        <w:t xml:space="preserve"> de octubre de 2023; </w:t>
      </w:r>
      <w:r w:rsidR="00045060">
        <w:rPr>
          <w:sz w:val="16"/>
          <w:szCs w:val="16"/>
        </w:rPr>
        <w:t xml:space="preserve">(ii) </w:t>
      </w:r>
      <w:r w:rsidR="00045060" w:rsidRPr="00EB465B">
        <w:rPr>
          <w:sz w:val="16"/>
          <w:szCs w:val="16"/>
        </w:rPr>
        <w:t xml:space="preserve">Detalle de gastos de Ana Gladis Pérez de Castro, Samuel Enrique Castro Pérez, José Benjamín Cuéllar Martínez para acudir a la audiencia pública relativa al presente caso; </w:t>
      </w:r>
      <w:r w:rsidR="00045060">
        <w:rPr>
          <w:sz w:val="16"/>
          <w:szCs w:val="16"/>
        </w:rPr>
        <w:t xml:space="preserve">(iii) </w:t>
      </w:r>
      <w:r w:rsidR="00045060" w:rsidRPr="00EB465B">
        <w:rPr>
          <w:sz w:val="16"/>
          <w:szCs w:val="16"/>
        </w:rPr>
        <w:t>Declaración complementaria de Francisco Alfredo Álvarez Solís, de 17 de noviembre de 2023</w:t>
      </w:r>
      <w:r w:rsidR="00045060">
        <w:rPr>
          <w:sz w:val="16"/>
          <w:szCs w:val="16"/>
        </w:rPr>
        <w:t>, la cual fue también recibida en el marco de la Audiencia Pública celebrada en el presente caso</w:t>
      </w:r>
      <w:r w:rsidR="00045060" w:rsidRPr="00EB465B">
        <w:rPr>
          <w:sz w:val="16"/>
          <w:szCs w:val="16"/>
        </w:rPr>
        <w:t>;</w:t>
      </w:r>
      <w:r w:rsidR="00045060">
        <w:rPr>
          <w:sz w:val="16"/>
          <w:szCs w:val="16"/>
        </w:rPr>
        <w:t xml:space="preserve"> (iv)</w:t>
      </w:r>
      <w:r w:rsidR="00045060" w:rsidRPr="00EB465B">
        <w:rPr>
          <w:sz w:val="16"/>
          <w:szCs w:val="16"/>
        </w:rPr>
        <w:t xml:space="preserve"> Gastos incurridos para realizar los testimonios apostillados, de 30 de diciembre de 2023, y </w:t>
      </w:r>
      <w:r w:rsidR="00045060">
        <w:rPr>
          <w:sz w:val="16"/>
          <w:szCs w:val="16"/>
        </w:rPr>
        <w:t xml:space="preserve">(v) </w:t>
      </w:r>
      <w:r w:rsidR="00045060" w:rsidRPr="00EB465B">
        <w:rPr>
          <w:sz w:val="16"/>
          <w:szCs w:val="16"/>
        </w:rPr>
        <w:t>Declaración complementaria de Ana Gabriela Álvarez Cuéllar, de 8 de enero de 2024.</w:t>
      </w:r>
      <w:r w:rsidR="00ED1B1A">
        <w:rPr>
          <w:sz w:val="16"/>
          <w:szCs w:val="16"/>
        </w:rPr>
        <w:t xml:space="preserve"> </w:t>
      </w:r>
    </w:p>
  </w:footnote>
  <w:footnote w:id="16">
    <w:p w14:paraId="655B0CF4" w14:textId="1A34EF60" w:rsidR="004A4365" w:rsidRPr="00815295" w:rsidRDefault="004A4365" w:rsidP="00815295">
      <w:pPr>
        <w:pStyle w:val="Textonotapie"/>
        <w:spacing w:before="40" w:after="40"/>
        <w:rPr>
          <w:sz w:val="16"/>
          <w:szCs w:val="16"/>
          <w:lang w:val="es-ES"/>
        </w:rPr>
      </w:pPr>
      <w:r w:rsidRPr="00815295">
        <w:rPr>
          <w:rStyle w:val="Refdenotaalpie"/>
          <w:sz w:val="16"/>
          <w:szCs w:val="16"/>
        </w:rPr>
        <w:footnoteRef/>
      </w:r>
      <w:r w:rsidRPr="00815295">
        <w:rPr>
          <w:sz w:val="16"/>
          <w:szCs w:val="16"/>
        </w:rPr>
        <w:t xml:space="preserve"> </w:t>
      </w:r>
      <w:r w:rsidRPr="00815295">
        <w:rPr>
          <w:sz w:val="16"/>
          <w:szCs w:val="16"/>
        </w:rPr>
        <w:tab/>
      </w:r>
      <w:r w:rsidR="00045060" w:rsidRPr="00EB465B">
        <w:rPr>
          <w:sz w:val="16"/>
          <w:szCs w:val="16"/>
        </w:rPr>
        <w:t xml:space="preserve">Anexo 1:capacitaciones impartidas al personal fiscal sobre violencia hacia las mujeres </w:t>
      </w:r>
      <w:r w:rsidR="00045060">
        <w:rPr>
          <w:sz w:val="16"/>
          <w:szCs w:val="16"/>
        </w:rPr>
        <w:t xml:space="preserve">entre </w:t>
      </w:r>
      <w:r w:rsidR="00045060" w:rsidRPr="00EB465B">
        <w:rPr>
          <w:sz w:val="16"/>
          <w:szCs w:val="16"/>
        </w:rPr>
        <w:t xml:space="preserve">2019-2022; Anexo 2: cursos dirigidos a funcionarios por el Consejo Nacional de la Judicatura, y Anexo 3: </w:t>
      </w:r>
      <w:r w:rsidR="00045060">
        <w:rPr>
          <w:sz w:val="16"/>
          <w:szCs w:val="16"/>
        </w:rPr>
        <w:t>fotografías</w:t>
      </w:r>
      <w:r w:rsidR="00045060" w:rsidRPr="00EB465B">
        <w:rPr>
          <w:sz w:val="16"/>
          <w:szCs w:val="16"/>
        </w:rPr>
        <w:t xml:space="preserve"> del Monumento a la Memoria y la Verdad.</w:t>
      </w:r>
      <w:r w:rsidR="00ED1B1A">
        <w:rPr>
          <w:sz w:val="16"/>
          <w:szCs w:val="16"/>
        </w:rPr>
        <w:t xml:space="preserve"> </w:t>
      </w:r>
    </w:p>
  </w:footnote>
  <w:footnote w:id="17">
    <w:p w14:paraId="2D36A248" w14:textId="19A3D1C7" w:rsidR="006C53E5" w:rsidRPr="00815295" w:rsidRDefault="006C53E5" w:rsidP="00815295">
      <w:pPr>
        <w:pStyle w:val="Textonotapie"/>
        <w:spacing w:before="40" w:after="40"/>
        <w:rPr>
          <w:sz w:val="16"/>
          <w:szCs w:val="16"/>
        </w:rPr>
      </w:pPr>
      <w:r w:rsidRPr="00815295">
        <w:rPr>
          <w:rStyle w:val="Refdenotaalpie"/>
          <w:rFonts w:eastAsia="Calibri"/>
          <w:sz w:val="16"/>
          <w:szCs w:val="16"/>
        </w:rPr>
        <w:footnoteRef/>
      </w:r>
      <w:r w:rsidRPr="00815295">
        <w:rPr>
          <w:sz w:val="16"/>
          <w:szCs w:val="16"/>
        </w:rPr>
        <w:t xml:space="preserve"> </w:t>
      </w:r>
      <w:r w:rsidRPr="00815295">
        <w:rPr>
          <w:sz w:val="16"/>
          <w:szCs w:val="16"/>
        </w:rPr>
        <w:tab/>
        <w:t xml:space="preserve">La Corte recibió en audiencia pública las declaraciones de las presuntas víctimas Ana </w:t>
      </w:r>
      <w:r w:rsidR="00F01B69" w:rsidRPr="00815295">
        <w:rPr>
          <w:sz w:val="16"/>
          <w:szCs w:val="16"/>
        </w:rPr>
        <w:t>Gladis</w:t>
      </w:r>
      <w:r w:rsidRPr="00815295">
        <w:rPr>
          <w:sz w:val="16"/>
          <w:szCs w:val="16"/>
        </w:rPr>
        <w:t xml:space="preserve"> Pérez de Castro y Francisco </w:t>
      </w:r>
      <w:r w:rsidR="004E0487" w:rsidRPr="00815295">
        <w:rPr>
          <w:sz w:val="16"/>
          <w:szCs w:val="16"/>
        </w:rPr>
        <w:t xml:space="preserve">Alfredo </w:t>
      </w:r>
      <w:r w:rsidRPr="00815295">
        <w:rPr>
          <w:sz w:val="16"/>
          <w:szCs w:val="16"/>
        </w:rPr>
        <w:t xml:space="preserve">Álvarez Solís, ofrecidos por el representante, y </w:t>
      </w:r>
      <w:r w:rsidR="004E0487" w:rsidRPr="00815295">
        <w:rPr>
          <w:sz w:val="16"/>
          <w:szCs w:val="16"/>
        </w:rPr>
        <w:t>la</w:t>
      </w:r>
      <w:r w:rsidRPr="00815295">
        <w:rPr>
          <w:sz w:val="16"/>
          <w:szCs w:val="16"/>
        </w:rPr>
        <w:t xml:space="preserve"> testigo Elsy Lourdes Flores Sosa, ofrecida por el Estado.</w:t>
      </w:r>
    </w:p>
  </w:footnote>
  <w:footnote w:id="18">
    <w:p w14:paraId="43313714" w14:textId="4759D673" w:rsidR="003C16E9" w:rsidRPr="00815295" w:rsidRDefault="003C16E9" w:rsidP="00815295">
      <w:pPr>
        <w:pStyle w:val="Textonotapie"/>
        <w:spacing w:before="40" w:after="40"/>
        <w:rPr>
          <w:sz w:val="16"/>
          <w:szCs w:val="16"/>
          <w:lang w:val="es-ES_tradnl"/>
        </w:rPr>
      </w:pPr>
      <w:r w:rsidRPr="00815295">
        <w:rPr>
          <w:rStyle w:val="Refdenotaalpie"/>
          <w:rFonts w:eastAsia="Batang"/>
          <w:sz w:val="16"/>
          <w:szCs w:val="16"/>
        </w:rPr>
        <w:footnoteRef/>
      </w:r>
      <w:r w:rsidRPr="00815295">
        <w:rPr>
          <w:sz w:val="16"/>
          <w:szCs w:val="16"/>
        </w:rPr>
        <w:t xml:space="preserve"> </w:t>
      </w:r>
      <w:r w:rsidRPr="00815295">
        <w:rPr>
          <w:sz w:val="16"/>
          <w:szCs w:val="16"/>
        </w:rPr>
        <w:tab/>
        <w:t>La Corte recibió las declaraciones rendidas ante fedatario público (</w:t>
      </w:r>
      <w:r w:rsidRPr="00815295">
        <w:rPr>
          <w:i/>
          <w:iCs/>
          <w:sz w:val="16"/>
          <w:szCs w:val="16"/>
        </w:rPr>
        <w:t>a</w:t>
      </w:r>
      <w:r w:rsidR="006C53E5" w:rsidRPr="00815295">
        <w:rPr>
          <w:i/>
          <w:iCs/>
          <w:sz w:val="16"/>
          <w:szCs w:val="16"/>
        </w:rPr>
        <w:t>f</w:t>
      </w:r>
      <w:r w:rsidRPr="00815295">
        <w:rPr>
          <w:i/>
          <w:iCs/>
          <w:sz w:val="16"/>
          <w:szCs w:val="16"/>
        </w:rPr>
        <w:t>fidávit</w:t>
      </w:r>
      <w:r w:rsidRPr="00815295">
        <w:rPr>
          <w:sz w:val="16"/>
          <w:szCs w:val="16"/>
        </w:rPr>
        <w:t xml:space="preserve">) de </w:t>
      </w:r>
      <w:r w:rsidR="006C53E5" w:rsidRPr="00815295">
        <w:rPr>
          <w:sz w:val="16"/>
          <w:szCs w:val="16"/>
        </w:rPr>
        <w:t>las presuntas víctimas</w:t>
      </w:r>
      <w:r w:rsidRPr="00815295">
        <w:rPr>
          <w:sz w:val="16"/>
          <w:szCs w:val="16"/>
        </w:rPr>
        <w:t xml:space="preserve"> </w:t>
      </w:r>
      <w:r w:rsidR="00D85C3F" w:rsidRPr="00815295">
        <w:rPr>
          <w:sz w:val="16"/>
          <w:szCs w:val="16"/>
        </w:rPr>
        <w:t>Ana Gabriela Álvarez Cuéllar y Javier Ernesto Álvarez Cuéllar</w:t>
      </w:r>
      <w:r w:rsidRPr="00815295">
        <w:rPr>
          <w:sz w:val="16"/>
          <w:szCs w:val="16"/>
        </w:rPr>
        <w:t xml:space="preserve">, ofrecidos por </w:t>
      </w:r>
      <w:r w:rsidR="00D85C3F" w:rsidRPr="00815295">
        <w:rPr>
          <w:sz w:val="16"/>
          <w:szCs w:val="16"/>
        </w:rPr>
        <w:t>el representante</w:t>
      </w:r>
      <w:r w:rsidRPr="00815295">
        <w:rPr>
          <w:sz w:val="16"/>
          <w:szCs w:val="16"/>
        </w:rPr>
        <w:t>.</w:t>
      </w:r>
    </w:p>
  </w:footnote>
  <w:footnote w:id="19">
    <w:p w14:paraId="124A9104" w14:textId="547A9417" w:rsidR="00581F29" w:rsidRPr="00815295" w:rsidRDefault="00581F29"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t>Se aclara que, en los casos en que la narración de hechos no indique prueba, los mismos se tienen por establecidos con base en la falta de controversia de las partes.</w:t>
      </w:r>
    </w:p>
  </w:footnote>
  <w:footnote w:id="20">
    <w:p w14:paraId="3AAC14D0" w14:textId="240D9699" w:rsidR="000A6245" w:rsidRPr="00815295" w:rsidRDefault="000A6245"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005E5194" w:rsidRPr="00815295">
        <w:rPr>
          <w:sz w:val="16"/>
          <w:szCs w:val="16"/>
        </w:rPr>
        <w:tab/>
      </w:r>
      <w:r w:rsidR="005E5194" w:rsidRPr="00815295">
        <w:rPr>
          <w:i/>
          <w:iCs/>
          <w:sz w:val="16"/>
          <w:szCs w:val="16"/>
        </w:rPr>
        <w:t>Cfr</w:t>
      </w:r>
      <w:r w:rsidR="005E5194" w:rsidRPr="00815295">
        <w:rPr>
          <w:sz w:val="16"/>
          <w:szCs w:val="16"/>
        </w:rPr>
        <w:t xml:space="preserve">. </w:t>
      </w:r>
      <w:r w:rsidR="005E5194" w:rsidRPr="00815295">
        <w:rPr>
          <w:i/>
          <w:iCs/>
          <w:sz w:val="16"/>
          <w:szCs w:val="16"/>
        </w:rPr>
        <w:t>Caso de las Hermanas Serrano Cruz Vs. El Salvador. Fondo, Reparaciones y Costas</w:t>
      </w:r>
      <w:r w:rsidR="005E5194" w:rsidRPr="00815295">
        <w:rPr>
          <w:sz w:val="16"/>
          <w:szCs w:val="16"/>
        </w:rPr>
        <w:t xml:space="preserve">. Sentencia de 1 de marzo de 2005. Serie C No. 120, párr. 48.1, y </w:t>
      </w:r>
      <w:r w:rsidR="005E5194" w:rsidRPr="00815295">
        <w:rPr>
          <w:i/>
          <w:iCs/>
          <w:sz w:val="16"/>
          <w:szCs w:val="16"/>
        </w:rPr>
        <w:t>Caso Contreras y otros Vs. El Salvador. Fondo, Reparaciones y Costas.</w:t>
      </w:r>
      <w:r w:rsidR="005E5194" w:rsidRPr="00815295">
        <w:rPr>
          <w:sz w:val="16"/>
          <w:szCs w:val="16"/>
        </w:rPr>
        <w:t xml:space="preserve"> Sentencia de 31 de agosto de 2011. Serie C No. 232, párr. 41. </w:t>
      </w:r>
    </w:p>
  </w:footnote>
  <w:footnote w:id="21">
    <w:p w14:paraId="194836DA" w14:textId="5EAC30EE" w:rsidR="000A6245" w:rsidRPr="00815295" w:rsidRDefault="000A6245"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00173EA2" w:rsidRPr="00815295">
        <w:rPr>
          <w:sz w:val="16"/>
          <w:szCs w:val="16"/>
        </w:rPr>
        <w:tab/>
      </w:r>
      <w:r w:rsidR="00857726" w:rsidRPr="00815295">
        <w:rPr>
          <w:i/>
          <w:iCs/>
          <w:sz w:val="16"/>
          <w:szCs w:val="16"/>
        </w:rPr>
        <w:t>Cfr</w:t>
      </w:r>
      <w:r w:rsidR="00857726" w:rsidRPr="00815295">
        <w:rPr>
          <w:sz w:val="16"/>
          <w:szCs w:val="16"/>
        </w:rPr>
        <w:t xml:space="preserve">. </w:t>
      </w:r>
      <w:r w:rsidR="00857726" w:rsidRPr="00815295">
        <w:rPr>
          <w:i/>
          <w:iCs/>
          <w:sz w:val="16"/>
          <w:szCs w:val="16"/>
        </w:rPr>
        <w:t>Caso Contreras y otros Vs. El Salvador, supra</w:t>
      </w:r>
      <w:r w:rsidR="00857726" w:rsidRPr="00815295">
        <w:rPr>
          <w:sz w:val="16"/>
          <w:szCs w:val="16"/>
        </w:rPr>
        <w:t>, párr. 42</w:t>
      </w:r>
      <w:r w:rsidR="00045060">
        <w:rPr>
          <w:sz w:val="16"/>
          <w:szCs w:val="16"/>
        </w:rPr>
        <w:t>.</w:t>
      </w:r>
    </w:p>
  </w:footnote>
  <w:footnote w:id="22">
    <w:p w14:paraId="3AF0CDF4" w14:textId="7622866C" w:rsidR="000A6245" w:rsidRPr="00815295" w:rsidRDefault="000A6245"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003314CA" w:rsidRPr="00815295">
        <w:rPr>
          <w:sz w:val="16"/>
          <w:szCs w:val="16"/>
        </w:rPr>
        <w:tab/>
      </w:r>
      <w:r w:rsidR="003314CA" w:rsidRPr="00815295">
        <w:rPr>
          <w:i/>
          <w:iCs/>
          <w:sz w:val="16"/>
          <w:szCs w:val="16"/>
        </w:rPr>
        <w:t>Cfr</w:t>
      </w:r>
      <w:r w:rsidR="003314CA" w:rsidRPr="00815295">
        <w:rPr>
          <w:sz w:val="16"/>
          <w:szCs w:val="16"/>
        </w:rPr>
        <w:t xml:space="preserve">. </w:t>
      </w:r>
      <w:r w:rsidR="003314CA" w:rsidRPr="00815295">
        <w:rPr>
          <w:i/>
          <w:iCs/>
          <w:sz w:val="16"/>
          <w:szCs w:val="16"/>
        </w:rPr>
        <w:t>Caso Contreras y otros Vs. El Salvador, supra</w:t>
      </w:r>
      <w:r w:rsidR="003314CA" w:rsidRPr="00815295">
        <w:rPr>
          <w:sz w:val="16"/>
          <w:szCs w:val="16"/>
        </w:rPr>
        <w:t>, párr. 42</w:t>
      </w:r>
      <w:r w:rsidR="00045060">
        <w:rPr>
          <w:sz w:val="16"/>
          <w:szCs w:val="16"/>
        </w:rPr>
        <w:t>.</w:t>
      </w:r>
    </w:p>
  </w:footnote>
  <w:footnote w:id="23">
    <w:p w14:paraId="37299AE4" w14:textId="23E79DB2" w:rsidR="003314CA" w:rsidRPr="00815295" w:rsidRDefault="003314CA"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xml:space="preserve">. Caso Contreras y otros Vs. El Salvador, supra, párr. 46, y </w:t>
      </w:r>
      <w:r w:rsidR="002E3162" w:rsidRPr="00815295">
        <w:rPr>
          <w:i/>
          <w:iCs/>
          <w:sz w:val="16"/>
          <w:szCs w:val="16"/>
        </w:rPr>
        <w:t>Caso Rochac Hernández y otros Vs. El Salvador. Fondo, Reparaciones y Costas</w:t>
      </w:r>
      <w:r w:rsidR="002E3162" w:rsidRPr="00815295">
        <w:rPr>
          <w:sz w:val="16"/>
          <w:szCs w:val="16"/>
        </w:rPr>
        <w:t>. Sentencia de 14 de octubre de 2014. Serie C No. 285, párr. 47.</w:t>
      </w:r>
    </w:p>
  </w:footnote>
  <w:footnote w:id="24">
    <w:p w14:paraId="311F1DAF" w14:textId="18274A09" w:rsidR="00147E6A" w:rsidRPr="00815295" w:rsidRDefault="00147E6A"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Caso Contreras y otros Vs. El Salvador, supra, párr. 46.</w:t>
      </w:r>
    </w:p>
  </w:footnote>
  <w:footnote w:id="25">
    <w:p w14:paraId="2F0DBDF6" w14:textId="18DDE403" w:rsidR="00147E6A" w:rsidRPr="00815295" w:rsidRDefault="00147E6A" w:rsidP="00815295">
      <w:pPr>
        <w:pStyle w:val="Textonotapie"/>
        <w:spacing w:before="40" w:after="40"/>
        <w:rPr>
          <w:sz w:val="16"/>
          <w:szCs w:val="16"/>
          <w:lang w:val="es-ES"/>
        </w:rPr>
      </w:pPr>
      <w:r w:rsidRPr="00815295">
        <w:rPr>
          <w:rStyle w:val="Refdenotaalpie"/>
          <w:sz w:val="16"/>
          <w:szCs w:val="16"/>
        </w:rPr>
        <w:footnoteRef/>
      </w:r>
      <w:r w:rsidRPr="00815295">
        <w:rPr>
          <w:sz w:val="16"/>
          <w:szCs w:val="16"/>
        </w:rPr>
        <w:t xml:space="preserve"> </w:t>
      </w:r>
      <w:r w:rsidRPr="00815295">
        <w:rPr>
          <w:sz w:val="16"/>
          <w:szCs w:val="16"/>
          <w:lang w:val="es-ES"/>
        </w:rPr>
        <w:tab/>
        <w:t xml:space="preserve">Si bien la Comisión de la Verdad registró más de 22,000 denuncias de graves hechos de violencia ocurridos en El Salvador durante el período de enero de 1980 a julio de 1991, “estas denuncias no representa[ban] la totalidad de los hechos de violencia”, ya que la Comisión sólo </w:t>
      </w:r>
      <w:r w:rsidR="000B7B3C" w:rsidRPr="00815295">
        <w:rPr>
          <w:sz w:val="16"/>
          <w:szCs w:val="16"/>
          <w:lang w:val="es-ES"/>
        </w:rPr>
        <w:t>alcanzó a</w:t>
      </w:r>
      <w:r w:rsidRPr="00815295">
        <w:rPr>
          <w:sz w:val="16"/>
          <w:szCs w:val="16"/>
          <w:lang w:val="es-ES"/>
        </w:rPr>
        <w:t xml:space="preserve"> recibir en su período de tres meses de recepción de testimonios una muestra significativa. </w:t>
      </w:r>
      <w:r w:rsidRPr="00815295">
        <w:rPr>
          <w:i/>
          <w:iCs/>
          <w:sz w:val="16"/>
          <w:szCs w:val="16"/>
          <w:lang w:val="es-ES"/>
        </w:rPr>
        <w:t>Cfr</w:t>
      </w:r>
      <w:r w:rsidRPr="00815295">
        <w:rPr>
          <w:sz w:val="16"/>
          <w:szCs w:val="16"/>
          <w:lang w:val="es-ES"/>
        </w:rPr>
        <w:t xml:space="preserve">. </w:t>
      </w:r>
      <w:r w:rsidR="001F13C9" w:rsidRPr="00815295">
        <w:rPr>
          <w:sz w:val="16"/>
          <w:szCs w:val="16"/>
          <w:lang w:val="es-ES"/>
        </w:rPr>
        <w:t xml:space="preserve">Informe de la Comisión de la Verdad para El Salvador, “De la locura a la esperanza: la guerra de 12 años </w:t>
      </w:r>
      <w:r w:rsidR="00382CE7" w:rsidRPr="00815295">
        <w:rPr>
          <w:sz w:val="16"/>
          <w:szCs w:val="16"/>
          <w:lang w:val="es-ES"/>
        </w:rPr>
        <w:t>en El Salvador</w:t>
      </w:r>
      <w:r w:rsidR="001F13C9" w:rsidRPr="00815295">
        <w:rPr>
          <w:sz w:val="16"/>
          <w:szCs w:val="16"/>
          <w:lang w:val="es-ES"/>
        </w:rPr>
        <w:t>”</w:t>
      </w:r>
      <w:r w:rsidR="00382CE7" w:rsidRPr="00815295">
        <w:rPr>
          <w:sz w:val="16"/>
          <w:szCs w:val="16"/>
          <w:lang w:val="es-ES"/>
        </w:rPr>
        <w:t>, de 15 de marzo de 1993, pág. 41. Disponible en:</w:t>
      </w:r>
      <w:r w:rsidR="00382CE7" w:rsidRPr="00815295">
        <w:rPr>
          <w:sz w:val="16"/>
          <w:szCs w:val="16"/>
        </w:rPr>
        <w:t xml:space="preserve"> </w:t>
      </w:r>
      <w:hyperlink r:id="rId3" w:anchor="record-files-collapse-header" w:history="1">
        <w:r w:rsidR="004211BE" w:rsidRPr="00815295">
          <w:rPr>
            <w:rStyle w:val="Hipervnculo"/>
            <w:sz w:val="16"/>
            <w:szCs w:val="16"/>
            <w:lang w:val="es-ES"/>
          </w:rPr>
          <w:t>https://digitallibrary.un.org/record/183599?ln=es#record-files-collapse-header</w:t>
        </w:r>
      </w:hyperlink>
      <w:r w:rsidR="00D01136" w:rsidRPr="00815295">
        <w:rPr>
          <w:rStyle w:val="Hipervnculo"/>
          <w:sz w:val="16"/>
          <w:szCs w:val="16"/>
          <w:lang w:val="es-ES"/>
        </w:rPr>
        <w:t xml:space="preserve"> </w:t>
      </w:r>
    </w:p>
  </w:footnote>
  <w:footnote w:id="26">
    <w:p w14:paraId="1A12DE70" w14:textId="37262585" w:rsidR="00C30128" w:rsidRPr="00815295" w:rsidRDefault="00C30128"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00382CE7" w:rsidRPr="00815295">
        <w:rPr>
          <w:sz w:val="16"/>
          <w:szCs w:val="16"/>
        </w:rPr>
        <w:tab/>
      </w:r>
      <w:r w:rsidR="00382CE7" w:rsidRPr="00815295">
        <w:rPr>
          <w:i/>
          <w:iCs/>
          <w:sz w:val="16"/>
          <w:szCs w:val="16"/>
        </w:rPr>
        <w:t>Cfr</w:t>
      </w:r>
      <w:r w:rsidR="00382CE7" w:rsidRPr="00815295">
        <w:rPr>
          <w:sz w:val="16"/>
          <w:szCs w:val="16"/>
        </w:rPr>
        <w:t>. Caso Contreras y otros Vs. El Salvador, supra, párr. 47.</w:t>
      </w:r>
    </w:p>
  </w:footnote>
  <w:footnote w:id="27">
    <w:p w14:paraId="7AA06D69" w14:textId="1EE5DA2D" w:rsidR="00D56CB0" w:rsidRPr="00815295" w:rsidRDefault="00D56CB0"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00382CE7" w:rsidRPr="00815295">
        <w:rPr>
          <w:sz w:val="16"/>
          <w:szCs w:val="16"/>
        </w:rPr>
        <w:tab/>
      </w:r>
      <w:r w:rsidR="00382CE7" w:rsidRPr="00815295">
        <w:rPr>
          <w:i/>
          <w:iCs/>
          <w:sz w:val="16"/>
          <w:szCs w:val="16"/>
        </w:rPr>
        <w:t>Cfr</w:t>
      </w:r>
      <w:r w:rsidR="00382CE7" w:rsidRPr="00815295">
        <w:rPr>
          <w:sz w:val="16"/>
          <w:szCs w:val="16"/>
        </w:rPr>
        <w:t>. Caso Contreras y otros Vs. El Salvador, supra, párr. 48.</w:t>
      </w:r>
    </w:p>
  </w:footnote>
  <w:footnote w:id="28">
    <w:p w14:paraId="57F6653C" w14:textId="179B6881" w:rsidR="00D56CB0" w:rsidRPr="00815295" w:rsidRDefault="00D56CB0"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00263B3A" w:rsidRPr="00815295">
        <w:rPr>
          <w:sz w:val="16"/>
          <w:szCs w:val="16"/>
        </w:rPr>
        <w:tab/>
      </w:r>
      <w:r w:rsidR="00263B3A" w:rsidRPr="00815295">
        <w:rPr>
          <w:i/>
          <w:iCs/>
          <w:sz w:val="16"/>
          <w:szCs w:val="16"/>
          <w:lang w:val="es-ES"/>
        </w:rPr>
        <w:t>Cfr</w:t>
      </w:r>
      <w:r w:rsidR="00263B3A" w:rsidRPr="00815295">
        <w:rPr>
          <w:sz w:val="16"/>
          <w:szCs w:val="16"/>
          <w:lang w:val="es-ES"/>
        </w:rPr>
        <w:t>. Informe de la Comisión de la Verdad para El Salvador, “De la locura a la esperanza: la guerra de 12 años en El Salvador”, de 15 de marzo de 1993, pág. 18. Disponible en:</w:t>
      </w:r>
      <w:r w:rsidR="00263B3A" w:rsidRPr="00815295">
        <w:rPr>
          <w:sz w:val="16"/>
          <w:szCs w:val="16"/>
        </w:rPr>
        <w:t xml:space="preserve"> </w:t>
      </w:r>
      <w:hyperlink r:id="rId4" w:anchor="record-files-collapse-header" w:history="1">
        <w:r w:rsidR="00263B3A" w:rsidRPr="00815295">
          <w:rPr>
            <w:rStyle w:val="Hipervnculo"/>
            <w:sz w:val="16"/>
            <w:szCs w:val="16"/>
            <w:lang w:val="es-ES"/>
          </w:rPr>
          <w:t>https://digitallibrary.un.org/record/183599?ln=es#record-files-collapse-header</w:t>
        </w:r>
      </w:hyperlink>
    </w:p>
  </w:footnote>
  <w:footnote w:id="29">
    <w:p w14:paraId="0CBD68E5" w14:textId="4A647D5F" w:rsidR="00720F91" w:rsidRPr="00815295" w:rsidRDefault="00720F91" w:rsidP="00815295">
      <w:pPr>
        <w:pStyle w:val="Textonotapie"/>
        <w:spacing w:before="40" w:after="40"/>
        <w:rPr>
          <w:i/>
          <w:iCs/>
          <w:sz w:val="16"/>
          <w:szCs w:val="16"/>
          <w:lang w:val="es-ES"/>
        </w:rPr>
      </w:pPr>
      <w:r w:rsidRPr="00815295">
        <w:rPr>
          <w:rStyle w:val="Refdenotaalpie"/>
          <w:sz w:val="16"/>
          <w:szCs w:val="16"/>
        </w:rPr>
        <w:footnoteRef/>
      </w:r>
      <w:r w:rsidRPr="00815295">
        <w:rPr>
          <w:sz w:val="16"/>
          <w:szCs w:val="16"/>
        </w:rPr>
        <w:t xml:space="preserve"> </w:t>
      </w:r>
      <w:r w:rsidRPr="00815295">
        <w:rPr>
          <w:sz w:val="16"/>
          <w:szCs w:val="16"/>
          <w:lang w:val="es-ES"/>
        </w:rPr>
        <w:tab/>
      </w:r>
      <w:r w:rsidR="00001EFC">
        <w:rPr>
          <w:sz w:val="16"/>
          <w:szCs w:val="16"/>
          <w:lang w:val="es-ES"/>
        </w:rPr>
        <w:t>De acuerdo con lo informado por los representantes, el Socorro Jurídico Cristiano fue fundado “en 1975 dentro del colegio de la Compañía de Jesús por su rector, el sacerdote Segundo Monte”. Posteriormente inició labores l</w:t>
      </w:r>
      <w:r w:rsidR="00001EFC" w:rsidRPr="00EB465B">
        <w:rPr>
          <w:sz w:val="16"/>
          <w:szCs w:val="16"/>
          <w:lang w:val="es-ES"/>
        </w:rPr>
        <w:t>a Oficina del Socorro Jurídico del Arzobispado de El Salvado</w:t>
      </w:r>
      <w:r w:rsidR="00001EFC">
        <w:rPr>
          <w:sz w:val="16"/>
          <w:szCs w:val="16"/>
          <w:lang w:val="es-ES"/>
        </w:rPr>
        <w:t>r, la cual fue</w:t>
      </w:r>
      <w:r w:rsidR="00001EFC" w:rsidRPr="00EB465B">
        <w:rPr>
          <w:sz w:val="16"/>
          <w:szCs w:val="16"/>
          <w:lang w:val="es-ES"/>
        </w:rPr>
        <w:t xml:space="preserve"> dirigida por Monseñor Óscar Arnulfo Romero y Galdámez para proveer asesoramiento legal a personas habrían sufrido violaciones a los derechos humanos en el marco del conflicto armado. De acuerdo con lo señalado por el Estado en su escrito de contestación, “la persecución que experimentó dicha organización durante el conflicto armado” constituye una línea de investigación “a fin de determinar si la desaparición de las víctimas en el caso está vinculad[a] a ello”. </w:t>
      </w:r>
      <w:r w:rsidR="00001EFC" w:rsidRPr="0077064D">
        <w:rPr>
          <w:i/>
          <w:iCs/>
          <w:sz w:val="16"/>
          <w:szCs w:val="16"/>
          <w:lang w:val="es-ES"/>
        </w:rPr>
        <w:t>Cfr.</w:t>
      </w:r>
      <w:r w:rsidR="00001EFC">
        <w:rPr>
          <w:i/>
          <w:iCs/>
          <w:sz w:val="16"/>
          <w:szCs w:val="16"/>
          <w:lang w:val="es-ES"/>
        </w:rPr>
        <w:t xml:space="preserve"> </w:t>
      </w:r>
      <w:r w:rsidR="00001EFC" w:rsidRPr="00E85844">
        <w:rPr>
          <w:sz w:val="16"/>
          <w:szCs w:val="16"/>
          <w:lang w:val="es-ES"/>
        </w:rPr>
        <w:t>Escrito de solicitudes, argumentos y pruebas,</w:t>
      </w:r>
      <w:r w:rsidR="00001EFC">
        <w:rPr>
          <w:i/>
          <w:iCs/>
          <w:sz w:val="16"/>
          <w:szCs w:val="16"/>
          <w:lang w:val="es-ES"/>
        </w:rPr>
        <w:t xml:space="preserve"> </w:t>
      </w:r>
      <w:r w:rsidR="00001EFC" w:rsidRPr="00E85844">
        <w:rPr>
          <w:sz w:val="16"/>
          <w:szCs w:val="16"/>
          <w:lang w:val="es-ES"/>
        </w:rPr>
        <w:t>de</w:t>
      </w:r>
      <w:r w:rsidR="00001EFC">
        <w:rPr>
          <w:i/>
          <w:iCs/>
          <w:sz w:val="16"/>
          <w:szCs w:val="16"/>
          <w:lang w:val="es-ES"/>
        </w:rPr>
        <w:t xml:space="preserve"> </w:t>
      </w:r>
      <w:r w:rsidR="00001EFC">
        <w:rPr>
          <w:sz w:val="16"/>
          <w:szCs w:val="16"/>
          <w:lang w:val="es-ES"/>
        </w:rPr>
        <w:t>31 de agosto de 2022 (expediente de fondo, folio 80)</w:t>
      </w:r>
      <w:r w:rsidR="00001EFC">
        <w:rPr>
          <w:i/>
          <w:iCs/>
          <w:sz w:val="16"/>
          <w:szCs w:val="16"/>
          <w:lang w:val="es-ES"/>
        </w:rPr>
        <w:t xml:space="preserve">, </w:t>
      </w:r>
      <w:r w:rsidR="00001EFC" w:rsidRPr="00570D0A">
        <w:rPr>
          <w:sz w:val="16"/>
          <w:szCs w:val="16"/>
          <w:lang w:val="es-ES"/>
        </w:rPr>
        <w:t>y</w:t>
      </w:r>
      <w:r w:rsidR="00001EFC" w:rsidRPr="00E85844">
        <w:rPr>
          <w:sz w:val="16"/>
          <w:szCs w:val="16"/>
          <w:lang w:val="es-ES"/>
        </w:rPr>
        <w:t xml:space="preserve"> Escrito de contestación</w:t>
      </w:r>
      <w:r w:rsidR="00001EFC" w:rsidRPr="00EB465B">
        <w:rPr>
          <w:sz w:val="16"/>
          <w:szCs w:val="16"/>
          <w:lang w:val="es-ES"/>
        </w:rPr>
        <w:t>, de 29 de noviembre de 2022 (expediente de fondo, folio 147).</w:t>
      </w:r>
      <w:r w:rsidR="00ED1B1A">
        <w:rPr>
          <w:sz w:val="16"/>
          <w:szCs w:val="16"/>
          <w:lang w:val="es-ES"/>
        </w:rPr>
        <w:t xml:space="preserve"> </w:t>
      </w:r>
    </w:p>
  </w:footnote>
  <w:footnote w:id="30">
    <w:p w14:paraId="31CEDF13" w14:textId="48C6F6F3" w:rsidR="00AD2168" w:rsidRPr="00815295" w:rsidRDefault="00AD2168"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00533E2D" w:rsidRPr="00815295">
        <w:rPr>
          <w:sz w:val="16"/>
          <w:szCs w:val="16"/>
        </w:rPr>
        <w:t xml:space="preserve">La Comisión de la Verdad tuvo conocimiento de ataques contra la vida e integridad personal perpetuados contra personas relacionadas con la UCA. En particular, señaló que, en el marco del conflicto armado, se produjo la “ejecución extrajudicial” de distintos sacerdotes jesuitas, incluyendo a: el Rector de la UCA, Padre Ignacio Ellacuría; el Vicerrector, Padre Ignacio Martín Baró; el Director del Instituto de Derechos Humanos de la UCA, Padre Segundo Montes, fundador del Socorro Jurídico Cristiano “Oscar Arnulfo Romero” y residente del Instituto de Derechos Humanos (IDHUCA), de la misma universidad. </w:t>
      </w:r>
      <w:r w:rsidRPr="00815295">
        <w:rPr>
          <w:i/>
          <w:iCs/>
          <w:sz w:val="16"/>
          <w:szCs w:val="16"/>
          <w:lang w:val="es-ES"/>
        </w:rPr>
        <w:t>Cfr</w:t>
      </w:r>
      <w:r w:rsidRPr="00815295">
        <w:rPr>
          <w:sz w:val="16"/>
          <w:szCs w:val="16"/>
          <w:lang w:val="es-ES"/>
        </w:rPr>
        <w:t>. Informe de la Comisión de la Verdad para El Salvador, “De la locura a la esperanza: la guerra de 12 años en El Salvador”, de 15 de marzo de 1993, págs. 44 a 50. Disponible en:</w:t>
      </w:r>
      <w:r w:rsidRPr="00815295">
        <w:rPr>
          <w:sz w:val="16"/>
          <w:szCs w:val="16"/>
        </w:rPr>
        <w:t xml:space="preserve"> </w:t>
      </w:r>
      <w:hyperlink r:id="rId5" w:anchor="record-files-collapse-header" w:history="1">
        <w:r w:rsidRPr="00815295">
          <w:rPr>
            <w:rStyle w:val="Hipervnculo"/>
            <w:sz w:val="16"/>
            <w:szCs w:val="16"/>
            <w:lang w:val="es-ES"/>
          </w:rPr>
          <w:t>https://digitallibrary.un.org/record/183599?ln=es#record-files-collapse-header</w:t>
        </w:r>
      </w:hyperlink>
    </w:p>
  </w:footnote>
  <w:footnote w:id="31">
    <w:p w14:paraId="00BD7BC2" w14:textId="3E2E5035" w:rsidR="00967935" w:rsidRPr="00815295" w:rsidRDefault="00967935"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00007D78" w:rsidRPr="00815295">
        <w:rPr>
          <w:i/>
          <w:iCs/>
          <w:sz w:val="16"/>
          <w:szCs w:val="16"/>
          <w:lang w:val="es-ES"/>
        </w:rPr>
        <w:t>Cfr</w:t>
      </w:r>
      <w:r w:rsidR="00007D78" w:rsidRPr="00815295">
        <w:rPr>
          <w:sz w:val="16"/>
          <w:szCs w:val="16"/>
          <w:lang w:val="es-ES"/>
        </w:rPr>
        <w:t>. Informe de la Comisión de la Verdad para El Salvador, “De la locura a la esperanza: la guerra de 12 años en El Salvador”, de 15 de marzo de 1993, pág. 56. Disponible en:</w:t>
      </w:r>
      <w:r w:rsidR="00007D78" w:rsidRPr="00815295">
        <w:rPr>
          <w:sz w:val="16"/>
          <w:szCs w:val="16"/>
        </w:rPr>
        <w:t xml:space="preserve"> </w:t>
      </w:r>
      <w:hyperlink r:id="rId6" w:anchor="record-files-collapse-header" w:history="1">
        <w:r w:rsidR="00007D78" w:rsidRPr="00815295">
          <w:rPr>
            <w:rStyle w:val="Hipervnculo"/>
            <w:sz w:val="16"/>
            <w:szCs w:val="16"/>
            <w:lang w:val="es-ES"/>
          </w:rPr>
          <w:t>https://digitallibrary.un.org/record/183599?ln=es#record-files-collapse-header</w:t>
        </w:r>
      </w:hyperlink>
      <w:r w:rsidR="00007D78" w:rsidRPr="00815295">
        <w:rPr>
          <w:sz w:val="16"/>
          <w:szCs w:val="16"/>
        </w:rPr>
        <w:t>.</w:t>
      </w:r>
    </w:p>
  </w:footnote>
  <w:footnote w:id="32">
    <w:p w14:paraId="7C61C8C6" w14:textId="7E811FDD" w:rsidR="00967935" w:rsidRPr="00815295" w:rsidRDefault="00967935"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00007D78" w:rsidRPr="00815295">
        <w:rPr>
          <w:i/>
          <w:iCs/>
          <w:sz w:val="16"/>
          <w:szCs w:val="16"/>
          <w:lang w:val="es-ES"/>
        </w:rPr>
        <w:t>Cfr</w:t>
      </w:r>
      <w:r w:rsidR="00007D78" w:rsidRPr="00815295">
        <w:rPr>
          <w:sz w:val="16"/>
          <w:szCs w:val="16"/>
          <w:lang w:val="es-ES"/>
        </w:rPr>
        <w:t>. Informe de la Comisión de la Verdad para El Salvador, “De la locura a la esperanza: la guerra de 12 años en El Salvador”, de 15 de marzo de 1993, pág. 133. Disponible en:</w:t>
      </w:r>
      <w:r w:rsidR="00007D78" w:rsidRPr="00815295">
        <w:rPr>
          <w:sz w:val="16"/>
          <w:szCs w:val="16"/>
        </w:rPr>
        <w:t xml:space="preserve"> </w:t>
      </w:r>
      <w:hyperlink r:id="rId7" w:anchor="record-files-collapse-header" w:history="1">
        <w:r w:rsidR="00007D78" w:rsidRPr="00815295">
          <w:rPr>
            <w:rStyle w:val="Hipervnculo"/>
            <w:sz w:val="16"/>
            <w:szCs w:val="16"/>
            <w:lang w:val="es-ES"/>
          </w:rPr>
          <w:t>https://digitallibrary.un.org/record/183599?ln=es#record-files-collapse-header</w:t>
        </w:r>
      </w:hyperlink>
    </w:p>
  </w:footnote>
  <w:footnote w:id="33">
    <w:p w14:paraId="341AED67" w14:textId="77777777" w:rsidR="00001EFC" w:rsidRPr="00EB465B" w:rsidRDefault="00001EFC" w:rsidP="00001EFC">
      <w:pPr>
        <w:pStyle w:val="Textonotapie"/>
        <w:spacing w:before="40" w:after="40"/>
        <w:rPr>
          <w:sz w:val="16"/>
          <w:szCs w:val="16"/>
        </w:rPr>
      </w:pPr>
      <w:r w:rsidRPr="00EB465B">
        <w:rPr>
          <w:rStyle w:val="Refdenotaalpie"/>
          <w:sz w:val="16"/>
          <w:szCs w:val="16"/>
        </w:rPr>
        <w:footnoteRef/>
      </w:r>
      <w:r w:rsidRPr="00EB465B">
        <w:rPr>
          <w:sz w:val="16"/>
          <w:szCs w:val="16"/>
        </w:rPr>
        <w:t xml:space="preserve"> </w:t>
      </w:r>
      <w:r w:rsidRPr="00EB465B">
        <w:rPr>
          <w:sz w:val="16"/>
          <w:szCs w:val="16"/>
        </w:rPr>
        <w:tab/>
      </w:r>
      <w:r w:rsidRPr="00EB465B">
        <w:rPr>
          <w:i/>
          <w:iCs/>
          <w:sz w:val="16"/>
          <w:szCs w:val="16"/>
        </w:rPr>
        <w:t>Cfr</w:t>
      </w:r>
      <w:r w:rsidRPr="00EB465B">
        <w:rPr>
          <w:sz w:val="16"/>
          <w:szCs w:val="16"/>
        </w:rPr>
        <w:t>. Carta del Socorro Jurídico Cristiano a miembros del Congreso de Estados Unidos, de 19 de agosto de 1982 (expediente de prueba, folio 567).</w:t>
      </w:r>
    </w:p>
  </w:footnote>
  <w:footnote w:id="34">
    <w:p w14:paraId="0812493C" w14:textId="77777777" w:rsidR="00001EFC" w:rsidRPr="00EB465B" w:rsidRDefault="00001EFC" w:rsidP="00001EFC">
      <w:pPr>
        <w:pStyle w:val="Textonotapie"/>
        <w:spacing w:before="40" w:after="40"/>
        <w:rPr>
          <w:sz w:val="16"/>
          <w:szCs w:val="16"/>
        </w:rPr>
      </w:pPr>
      <w:r w:rsidRPr="00EB465B">
        <w:rPr>
          <w:rStyle w:val="Refdenotaalpie"/>
          <w:sz w:val="16"/>
          <w:szCs w:val="16"/>
        </w:rPr>
        <w:footnoteRef/>
      </w:r>
      <w:r w:rsidRPr="00EB465B">
        <w:rPr>
          <w:sz w:val="16"/>
          <w:szCs w:val="16"/>
        </w:rPr>
        <w:t xml:space="preserve"> </w:t>
      </w:r>
      <w:r w:rsidRPr="00EB465B">
        <w:rPr>
          <w:sz w:val="16"/>
          <w:szCs w:val="16"/>
        </w:rPr>
        <w:tab/>
        <w:t xml:space="preserve">Sobre este particular, </w:t>
      </w:r>
      <w:r>
        <w:rPr>
          <w:sz w:val="16"/>
          <w:szCs w:val="16"/>
        </w:rPr>
        <w:t>el señor</w:t>
      </w:r>
      <w:r w:rsidRPr="00EB465B">
        <w:rPr>
          <w:sz w:val="16"/>
          <w:szCs w:val="16"/>
        </w:rPr>
        <w:t xml:space="preserve"> Francisco Alfredo Álvarez Solís declaró ante esta Corte que “</w:t>
      </w:r>
      <w:r w:rsidRPr="00EB465B">
        <w:rPr>
          <w:bCs/>
          <w:sz w:val="16"/>
          <w:szCs w:val="16"/>
        </w:rPr>
        <w:t xml:space="preserve">el Socorro Jurídico Cristiano fue creado para apoyar a las víctimas de la violación de los derechos humanos, fue una iniciativa del Padre Segundo Montes, y apoyada y auspiciada también por el arzobispo Monseñor Romero. Las personas que tenían familiares capturados, desaparecidos, torturados se presentaban a la oficina a dar y proporcionar la información para que la oficina interviniera ante las instancias jurídicas y llevar los expedientes”. </w:t>
      </w:r>
      <w:r w:rsidRPr="00EB465B">
        <w:rPr>
          <w:i/>
          <w:iCs/>
          <w:sz w:val="16"/>
          <w:szCs w:val="16"/>
        </w:rPr>
        <w:t>Cfr</w:t>
      </w:r>
      <w:r w:rsidRPr="00EB465B">
        <w:rPr>
          <w:sz w:val="16"/>
          <w:szCs w:val="16"/>
        </w:rPr>
        <w:t>. Declaración de Francisco Alfredo Álvarez Solís rendida en audiencia pública celebrada el 22 de noviembre de 2023 en el marco del 163° periodo ordinario de sesiones.</w:t>
      </w:r>
    </w:p>
  </w:footnote>
  <w:footnote w:id="35">
    <w:p w14:paraId="16F1B846" w14:textId="39FCF84E" w:rsidR="00F30D08" w:rsidRPr="00815295" w:rsidRDefault="00F30D08"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00B63238" w:rsidRPr="00815295">
        <w:rPr>
          <w:sz w:val="16"/>
          <w:szCs w:val="16"/>
        </w:rPr>
        <w:tab/>
      </w:r>
      <w:r w:rsidR="00001EFC" w:rsidRPr="00EB465B">
        <w:rPr>
          <w:i/>
          <w:iCs/>
          <w:sz w:val="16"/>
          <w:szCs w:val="16"/>
        </w:rPr>
        <w:t>Cfr</w:t>
      </w:r>
      <w:r w:rsidR="00001EFC" w:rsidRPr="00EB465B">
        <w:rPr>
          <w:sz w:val="16"/>
          <w:szCs w:val="16"/>
        </w:rPr>
        <w:t>. Declaración de Francisco Alfredo Álvarez Solís rendida en audiencia pública celebrada el 22 de noviembre de 2023 en el marco del 163° periodo ordinario de sesiones</w:t>
      </w:r>
      <w:r w:rsidR="00001EFC">
        <w:rPr>
          <w:sz w:val="16"/>
          <w:szCs w:val="16"/>
        </w:rPr>
        <w:t xml:space="preserve">, y </w:t>
      </w:r>
      <w:r w:rsidR="00001EFC" w:rsidRPr="00EB465B">
        <w:rPr>
          <w:sz w:val="16"/>
          <w:szCs w:val="16"/>
        </w:rPr>
        <w:t>Carta del Socorro Jurídico Cristiano a miembros del Congreso de Estados Unidos, de 19 de agosto de 1982 (expediente de prueba, folio 568)</w:t>
      </w:r>
      <w:r w:rsidR="00001EFC">
        <w:rPr>
          <w:sz w:val="16"/>
          <w:szCs w:val="16"/>
        </w:rPr>
        <w:t>.</w:t>
      </w:r>
    </w:p>
  </w:footnote>
  <w:footnote w:id="36">
    <w:p w14:paraId="520B8931" w14:textId="79734F3E" w:rsidR="008653D7" w:rsidRPr="00815295" w:rsidRDefault="008653D7"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lang w:val="es-ES"/>
        </w:rPr>
        <w:tab/>
      </w:r>
      <w:r w:rsidRPr="00815295">
        <w:rPr>
          <w:i/>
          <w:iCs/>
          <w:sz w:val="16"/>
          <w:szCs w:val="16"/>
        </w:rPr>
        <w:t>Cfr</w:t>
      </w:r>
      <w:r w:rsidRPr="00815295">
        <w:rPr>
          <w:sz w:val="16"/>
          <w:szCs w:val="16"/>
        </w:rPr>
        <w:t xml:space="preserve">. </w:t>
      </w:r>
      <w:r w:rsidR="00CB4A24" w:rsidRPr="00815295">
        <w:rPr>
          <w:sz w:val="16"/>
          <w:szCs w:val="16"/>
        </w:rPr>
        <w:t>Carta del Socorro Jurídico Cristiano a miembros del Congreso de Estados Unidos, de 19 de agosto de 1982</w:t>
      </w:r>
      <w:r w:rsidRPr="00815295">
        <w:rPr>
          <w:sz w:val="16"/>
          <w:szCs w:val="16"/>
        </w:rPr>
        <w:t xml:space="preserve"> (expediente de prueba, folio </w:t>
      </w:r>
      <w:r w:rsidR="00CB4A24" w:rsidRPr="00815295">
        <w:rPr>
          <w:sz w:val="16"/>
          <w:szCs w:val="16"/>
        </w:rPr>
        <w:t>568</w:t>
      </w:r>
      <w:r w:rsidRPr="00815295">
        <w:rPr>
          <w:sz w:val="16"/>
          <w:szCs w:val="16"/>
        </w:rPr>
        <w:t>).</w:t>
      </w:r>
    </w:p>
  </w:footnote>
  <w:footnote w:id="37">
    <w:p w14:paraId="1D1E2AA4" w14:textId="45A32FEF" w:rsidR="008653D7" w:rsidRPr="00815295" w:rsidRDefault="008653D7"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00CB4A24" w:rsidRPr="00815295">
        <w:rPr>
          <w:i/>
          <w:iCs/>
          <w:sz w:val="16"/>
          <w:szCs w:val="16"/>
        </w:rPr>
        <w:t>Cfr</w:t>
      </w:r>
      <w:r w:rsidR="00CB4A24" w:rsidRPr="00815295">
        <w:rPr>
          <w:sz w:val="16"/>
          <w:szCs w:val="16"/>
        </w:rPr>
        <w:t>. Carta del Socorro Jurídico Cristiano a miembros del Congreso de Estados Unidos, de 19 de agosto de 1982 (expediente de prueba, folio 568).</w:t>
      </w:r>
      <w:r w:rsidR="005106B6" w:rsidRPr="00815295">
        <w:rPr>
          <w:sz w:val="16"/>
          <w:szCs w:val="16"/>
        </w:rPr>
        <w:t xml:space="preserve"> </w:t>
      </w:r>
    </w:p>
  </w:footnote>
  <w:footnote w:id="38">
    <w:p w14:paraId="76DEBCAE" w14:textId="7698F19D" w:rsidR="00B63238" w:rsidRPr="00815295" w:rsidRDefault="00B63238" w:rsidP="00815295">
      <w:pPr>
        <w:pStyle w:val="Textonotapie"/>
        <w:spacing w:before="40" w:after="40"/>
        <w:rPr>
          <w:b/>
          <w:bCs/>
          <w:sz w:val="16"/>
          <w:szCs w:val="16"/>
        </w:rPr>
      </w:pPr>
      <w:r w:rsidRPr="00815295">
        <w:rPr>
          <w:rStyle w:val="Refdenotaalpie"/>
          <w:rFonts w:eastAsia="Batang"/>
          <w:sz w:val="16"/>
          <w:szCs w:val="16"/>
        </w:rPr>
        <w:footnoteRef/>
      </w:r>
      <w:r w:rsidRPr="00815295">
        <w:rPr>
          <w:sz w:val="16"/>
          <w:szCs w:val="16"/>
        </w:rPr>
        <w:t xml:space="preserve"> </w:t>
      </w:r>
      <w:r w:rsidRPr="00815295">
        <w:rPr>
          <w:sz w:val="16"/>
          <w:szCs w:val="16"/>
        </w:rPr>
        <w:tab/>
      </w:r>
      <w:r w:rsidR="00CB4A24" w:rsidRPr="00815295">
        <w:rPr>
          <w:i/>
          <w:iCs/>
          <w:sz w:val="16"/>
          <w:szCs w:val="16"/>
        </w:rPr>
        <w:t>Cfr</w:t>
      </w:r>
      <w:r w:rsidR="00CB4A24" w:rsidRPr="00815295">
        <w:rPr>
          <w:sz w:val="16"/>
          <w:szCs w:val="16"/>
        </w:rPr>
        <w:t>. Carta del Socorro Jurídico Cristiano a miembros del Congreso de Estados Unidos, de 19 de agosto de 1982 (expediente de prueba, folio 568)</w:t>
      </w:r>
      <w:r w:rsidR="00466027" w:rsidRPr="00815295">
        <w:rPr>
          <w:sz w:val="16"/>
          <w:szCs w:val="16"/>
        </w:rPr>
        <w:t xml:space="preserve">, y Declaración de Francisco Alfredo Álvarez </w:t>
      </w:r>
      <w:r w:rsidR="005F25BF" w:rsidRPr="00815295">
        <w:rPr>
          <w:sz w:val="16"/>
          <w:szCs w:val="16"/>
        </w:rPr>
        <w:t>Solís</w:t>
      </w:r>
      <w:r w:rsidR="00466027" w:rsidRPr="00815295">
        <w:rPr>
          <w:sz w:val="16"/>
          <w:szCs w:val="16"/>
        </w:rPr>
        <w:t xml:space="preserve"> rendida en audiencia pública celebrada el 22 de noviembre de 2023 en el marco del 163° periodo ordinario de sesiones.</w:t>
      </w:r>
    </w:p>
  </w:footnote>
  <w:footnote w:id="39">
    <w:p w14:paraId="3D538845" w14:textId="2F737B17" w:rsidR="00323E13" w:rsidRPr="00815295" w:rsidRDefault="00323E13"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xml:space="preserve">. Declaración de Francisco Alfredo Álvarez </w:t>
      </w:r>
      <w:r w:rsidR="005F25BF" w:rsidRPr="00815295">
        <w:rPr>
          <w:sz w:val="16"/>
          <w:szCs w:val="16"/>
        </w:rPr>
        <w:t>Solís</w:t>
      </w:r>
      <w:r w:rsidRPr="00815295">
        <w:rPr>
          <w:sz w:val="16"/>
          <w:szCs w:val="16"/>
        </w:rPr>
        <w:t xml:space="preserve"> rendida en audiencia pública celebrada el 22 de noviembre de 2023 en el marco del 163° periodo ordinario de sesiones, y Declaración ante fedatario público de Javier Ernesto Álvarez Cuéllar, de 1 de octubre de 2023 (expediente de prueba, folio 2353).</w:t>
      </w:r>
    </w:p>
  </w:footnote>
  <w:footnote w:id="40">
    <w:p w14:paraId="7040A8FD" w14:textId="7490909B" w:rsidR="00D465F2" w:rsidRPr="00815295" w:rsidRDefault="00D465F2"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xml:space="preserve">. Declaración de Francisco Alfredo Álvarez </w:t>
      </w:r>
      <w:r w:rsidR="005F25BF" w:rsidRPr="00815295">
        <w:rPr>
          <w:sz w:val="16"/>
          <w:szCs w:val="16"/>
        </w:rPr>
        <w:t>Solís</w:t>
      </w:r>
      <w:r w:rsidRPr="00815295">
        <w:rPr>
          <w:sz w:val="16"/>
          <w:szCs w:val="16"/>
        </w:rPr>
        <w:t xml:space="preserve"> rendida en audiencia pública celebrada el 22 de noviembre de 2023 en el marco del 163° periodo ordinario de sesiones.</w:t>
      </w:r>
    </w:p>
  </w:footnote>
  <w:footnote w:id="41">
    <w:p w14:paraId="1EE66D61" w14:textId="08D8E834" w:rsidR="00E95B31" w:rsidRPr="00815295" w:rsidRDefault="00E95B31"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006B7286" w:rsidRPr="00815295">
        <w:rPr>
          <w:sz w:val="16"/>
          <w:szCs w:val="16"/>
        </w:rPr>
        <w:tab/>
      </w:r>
      <w:r w:rsidR="006B7286" w:rsidRPr="00815295">
        <w:rPr>
          <w:i/>
          <w:iCs/>
          <w:sz w:val="16"/>
          <w:szCs w:val="16"/>
        </w:rPr>
        <w:t>Cfr</w:t>
      </w:r>
      <w:r w:rsidR="006B7286" w:rsidRPr="00815295">
        <w:rPr>
          <w:sz w:val="16"/>
          <w:szCs w:val="16"/>
        </w:rPr>
        <w:t>.</w:t>
      </w:r>
      <w:r w:rsidR="00D81B80" w:rsidRPr="00815295">
        <w:rPr>
          <w:sz w:val="16"/>
          <w:szCs w:val="16"/>
        </w:rPr>
        <w:t xml:space="preserve"> </w:t>
      </w:r>
      <w:r w:rsidR="00D465F2" w:rsidRPr="00815295">
        <w:rPr>
          <w:sz w:val="16"/>
          <w:szCs w:val="16"/>
        </w:rPr>
        <w:t xml:space="preserve">Declaración de Francisco Alfredo Álvarez </w:t>
      </w:r>
      <w:r w:rsidR="005F25BF" w:rsidRPr="00815295">
        <w:rPr>
          <w:sz w:val="16"/>
          <w:szCs w:val="16"/>
        </w:rPr>
        <w:t>Solís</w:t>
      </w:r>
      <w:r w:rsidR="00D465F2" w:rsidRPr="00815295">
        <w:rPr>
          <w:sz w:val="16"/>
          <w:szCs w:val="16"/>
        </w:rPr>
        <w:t xml:space="preserve"> rendida en audiencia pública celebrada el 22 de noviembre de 2023 en el marco del 163° periodo ordinario de sesiones</w:t>
      </w:r>
      <w:r w:rsidR="00D81B80" w:rsidRPr="00815295">
        <w:rPr>
          <w:sz w:val="16"/>
          <w:szCs w:val="16"/>
        </w:rPr>
        <w:t xml:space="preserve">, y </w:t>
      </w:r>
      <w:r w:rsidR="006B7286" w:rsidRPr="00815295">
        <w:rPr>
          <w:sz w:val="16"/>
          <w:szCs w:val="16"/>
        </w:rPr>
        <w:t>Comunicación del Instituto de Derechos Humanos de la Universidad Centroamericana “José Simeón Cañas”, en representación de los entonces peticionarios, de 10 de diciembre de 2010 (expediente de prueba, folio 46)</w:t>
      </w:r>
      <w:r w:rsidR="00D81B80" w:rsidRPr="00815295">
        <w:rPr>
          <w:sz w:val="16"/>
          <w:szCs w:val="16"/>
        </w:rPr>
        <w:t>.</w:t>
      </w:r>
    </w:p>
  </w:footnote>
  <w:footnote w:id="42">
    <w:p w14:paraId="4EBD94F9" w14:textId="2AA2ECA4" w:rsidR="00D81B80" w:rsidRPr="00815295" w:rsidRDefault="00D81B80"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xml:space="preserve">. Declaración de Francisco Alfredo Álvarez </w:t>
      </w:r>
      <w:r w:rsidR="005F25BF" w:rsidRPr="00815295">
        <w:rPr>
          <w:sz w:val="16"/>
          <w:szCs w:val="16"/>
        </w:rPr>
        <w:t>Solís</w:t>
      </w:r>
      <w:r w:rsidRPr="00815295">
        <w:rPr>
          <w:sz w:val="16"/>
          <w:szCs w:val="16"/>
        </w:rPr>
        <w:t xml:space="preserve"> rendida en audiencia pública celebrada el 22 de noviembre de 2023 en el marco del 163° periodo ordinario de sesiones.</w:t>
      </w:r>
    </w:p>
  </w:footnote>
  <w:footnote w:id="43">
    <w:p w14:paraId="0D64DA73" w14:textId="4999A9A9" w:rsidR="00B453BE" w:rsidRPr="00815295" w:rsidRDefault="00B453BE" w:rsidP="00815295">
      <w:pPr>
        <w:pStyle w:val="Textonotapie"/>
        <w:spacing w:before="40" w:after="40"/>
        <w:rPr>
          <w:sz w:val="16"/>
          <w:szCs w:val="16"/>
        </w:rPr>
      </w:pPr>
      <w:r w:rsidRPr="00815295">
        <w:rPr>
          <w:rStyle w:val="Refdenotaalpie"/>
          <w:sz w:val="16"/>
          <w:szCs w:val="16"/>
        </w:rPr>
        <w:footnoteRef/>
      </w:r>
      <w:r w:rsidR="00ED1B1A">
        <w:rPr>
          <w:sz w:val="16"/>
          <w:szCs w:val="16"/>
        </w:rPr>
        <w:t xml:space="preserve"> </w:t>
      </w:r>
      <w:r w:rsidRPr="00815295">
        <w:rPr>
          <w:sz w:val="16"/>
          <w:szCs w:val="16"/>
        </w:rPr>
        <w:t xml:space="preserve"> </w:t>
      </w:r>
      <w:r w:rsidRPr="00815295">
        <w:rPr>
          <w:sz w:val="16"/>
          <w:szCs w:val="16"/>
        </w:rPr>
        <w:tab/>
      </w:r>
      <w:r w:rsidR="00F566ED" w:rsidRPr="00815295">
        <w:rPr>
          <w:sz w:val="16"/>
          <w:szCs w:val="16"/>
        </w:rPr>
        <w:t xml:space="preserve">El señor Álvarez Solís declaró ante esta Corte que “el segundo operativo de ese día por la noche, fue en el apartamento donde vivía Patricia con nuestros hijos, estábamos separados porque después del segundo operativo decidimos que alguien de los dos tenía que quedar vivo para poder seguir educando y apoyando a nuestros hijos […] La justicia a mí me ha afectado y dolido mucho porque sentir el dolor de mis hijos es sentir la presencia de la desaparición de Patricia y don Mauricio, nosotros formalmente nos habíamos separado, como dije, previendo de que alguien de los dos iba a morir, a veces me pregunto que quizás hubiera sido distinta la situación si no hubiera sido ella”. </w:t>
      </w:r>
      <w:r w:rsidRPr="00815295">
        <w:rPr>
          <w:i/>
          <w:iCs/>
          <w:sz w:val="16"/>
          <w:szCs w:val="16"/>
        </w:rPr>
        <w:t>Cfr</w:t>
      </w:r>
      <w:r w:rsidRPr="00815295">
        <w:rPr>
          <w:sz w:val="16"/>
          <w:szCs w:val="16"/>
        </w:rPr>
        <w:t>. Declaración de Francisco Alfredo Álvarez Solís rendida en audiencia pública celebrada el 22 de noviembre de 2023 en el marco del 163° periodo ordinario de sesiones</w:t>
      </w:r>
    </w:p>
  </w:footnote>
  <w:footnote w:id="44">
    <w:p w14:paraId="6FD9A076" w14:textId="1B86DCB7" w:rsidR="00C25D51" w:rsidRPr="00815295" w:rsidRDefault="00C25D51" w:rsidP="00815295">
      <w:pPr>
        <w:pStyle w:val="Textonotapie"/>
        <w:spacing w:before="40" w:after="40"/>
        <w:rPr>
          <w:sz w:val="16"/>
          <w:szCs w:val="16"/>
          <w:lang w:val="es-ES"/>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Declaración de Francisco Alfredo Álvarez Solís rendida en audiencia pública celebrada el 22 de noviembre de 2023 en el marco del 163° periodo ordinario de sesiones</w:t>
      </w:r>
    </w:p>
  </w:footnote>
  <w:footnote w:id="45">
    <w:p w14:paraId="5F7F7FBF" w14:textId="585EC9D5" w:rsidR="00E95B31" w:rsidRPr="00815295" w:rsidRDefault="00E95B31"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006B7286" w:rsidRPr="00815295">
        <w:rPr>
          <w:sz w:val="16"/>
          <w:szCs w:val="16"/>
        </w:rPr>
        <w:tab/>
      </w:r>
      <w:r w:rsidR="00D81B80" w:rsidRPr="00815295">
        <w:rPr>
          <w:i/>
          <w:iCs/>
          <w:sz w:val="16"/>
          <w:szCs w:val="16"/>
        </w:rPr>
        <w:t>Cfr</w:t>
      </w:r>
      <w:r w:rsidR="00D81B80" w:rsidRPr="00815295">
        <w:rPr>
          <w:sz w:val="16"/>
          <w:szCs w:val="16"/>
        </w:rPr>
        <w:t xml:space="preserve">. Declaración de Francisco Alfredo Álvarez </w:t>
      </w:r>
      <w:r w:rsidR="005F25BF" w:rsidRPr="00815295">
        <w:rPr>
          <w:sz w:val="16"/>
          <w:szCs w:val="16"/>
        </w:rPr>
        <w:t>Solís</w:t>
      </w:r>
      <w:r w:rsidR="00D81B80" w:rsidRPr="00815295">
        <w:rPr>
          <w:sz w:val="16"/>
          <w:szCs w:val="16"/>
        </w:rPr>
        <w:t xml:space="preserve"> rendida en audiencia pública celebrada el 22 de noviembre de 2023 en el marco del 163° periodo ordinario de sesiones; </w:t>
      </w:r>
      <w:r w:rsidR="006B7286" w:rsidRPr="00815295">
        <w:rPr>
          <w:sz w:val="16"/>
          <w:szCs w:val="16"/>
        </w:rPr>
        <w:t>Comunicación del Instituto de Derechos Humanos de la Universidad Centroamericana “José Simeón Cañas”, en representación de los entonces peticionarios, de 10 de diciembre de 2010 (expediente de prueba, folio 46)</w:t>
      </w:r>
      <w:r w:rsidR="00D81B80" w:rsidRPr="00815295">
        <w:rPr>
          <w:sz w:val="16"/>
          <w:szCs w:val="16"/>
        </w:rPr>
        <w:t xml:space="preserve">, </w:t>
      </w:r>
      <w:r w:rsidR="00482A55" w:rsidRPr="00815295">
        <w:rPr>
          <w:sz w:val="16"/>
          <w:szCs w:val="16"/>
        </w:rPr>
        <w:t>y Constancia del testimonio de Francisco Alfredo Álvarez Solís, en Constancia del Secretario de la Sala de lo Penal de la Corte Suprema de Justicia “de lo resuelto en la solicitud de exhibición personal a favor de Patricia Cuéllar, Mauricio Cuéllar y otra”, de 4 de diciembre de 1982 (expediente de prueba, folio 4).</w:t>
      </w:r>
    </w:p>
  </w:footnote>
  <w:footnote w:id="46">
    <w:p w14:paraId="44B5A0FA" w14:textId="3DD028A3" w:rsidR="00A4423D" w:rsidRPr="00815295" w:rsidRDefault="00A4423D"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00F546F1" w:rsidRPr="00815295">
        <w:rPr>
          <w:sz w:val="16"/>
          <w:szCs w:val="16"/>
        </w:rPr>
        <w:tab/>
      </w:r>
      <w:r w:rsidR="00001EFC" w:rsidRPr="00EB465B">
        <w:rPr>
          <w:i/>
          <w:iCs/>
          <w:sz w:val="16"/>
          <w:szCs w:val="16"/>
        </w:rPr>
        <w:t>Cfr</w:t>
      </w:r>
      <w:r w:rsidR="00001EFC" w:rsidRPr="00EB465B">
        <w:rPr>
          <w:sz w:val="16"/>
          <w:szCs w:val="16"/>
        </w:rPr>
        <w:t>. Comunicación del Instituto de Derechos Humanos de la Universidad Centroamericana “José Simeón Cañas”, en representación de los entonces peticionarios, de 10 de diciembre de 2010 (expediente de prueba, folio</w:t>
      </w:r>
      <w:r w:rsidR="00001EFC">
        <w:rPr>
          <w:sz w:val="16"/>
          <w:szCs w:val="16"/>
        </w:rPr>
        <w:t>s</w:t>
      </w:r>
      <w:r w:rsidR="00001EFC" w:rsidRPr="00EB465B">
        <w:rPr>
          <w:sz w:val="16"/>
          <w:szCs w:val="16"/>
        </w:rPr>
        <w:t xml:space="preserve"> 46</w:t>
      </w:r>
      <w:r w:rsidR="00001EFC">
        <w:rPr>
          <w:sz w:val="16"/>
          <w:szCs w:val="16"/>
        </w:rPr>
        <w:t xml:space="preserve"> y 47</w:t>
      </w:r>
      <w:r w:rsidR="00001EFC" w:rsidRPr="00EB465B">
        <w:rPr>
          <w:sz w:val="16"/>
          <w:szCs w:val="16"/>
        </w:rPr>
        <w:t>); Constancia del testimonio de Francisco Alfredo Álvarez Solís, en Constancia del Secretario de la Sala de lo Penal de la Corte Suprema de Justicia “de lo resuelto en la solicitud de exhibición personal a favor de Patricia Cuéllar, Mauricio Cuéllar y otra”, de 4 de diciembre de 1982 (expediente de prueba, folio 4).</w:t>
      </w:r>
      <w:r w:rsidR="00001EFC">
        <w:rPr>
          <w:sz w:val="16"/>
          <w:szCs w:val="16"/>
        </w:rPr>
        <w:t xml:space="preserve"> Asimismo ver: </w:t>
      </w:r>
      <w:r w:rsidR="00001EFC" w:rsidRPr="00EB465B">
        <w:rPr>
          <w:sz w:val="16"/>
          <w:szCs w:val="16"/>
        </w:rPr>
        <w:t>Declaración ante fedatario público de Ana Gabriela Álvarez Cuéllar, de 9 de noviembre de 2023 (expediente de prueba, folio 233</w:t>
      </w:r>
      <w:r w:rsidR="00001EFC">
        <w:rPr>
          <w:sz w:val="16"/>
          <w:szCs w:val="16"/>
        </w:rPr>
        <w:t>4</w:t>
      </w:r>
      <w:r w:rsidR="00001EFC" w:rsidRPr="00EB465B">
        <w:rPr>
          <w:sz w:val="16"/>
          <w:szCs w:val="16"/>
        </w:rPr>
        <w:t>)</w:t>
      </w:r>
      <w:r w:rsidR="00001EFC">
        <w:rPr>
          <w:sz w:val="16"/>
          <w:szCs w:val="16"/>
        </w:rPr>
        <w:t xml:space="preserve">, y </w:t>
      </w:r>
      <w:r w:rsidR="00001EFC" w:rsidRPr="00EB465B">
        <w:rPr>
          <w:sz w:val="16"/>
          <w:szCs w:val="16"/>
        </w:rPr>
        <w:t xml:space="preserve">Declaración ante fedatario público de Javier Ernesto Álvarez Cuéllar, de </w:t>
      </w:r>
      <w:r w:rsidR="00001EFC">
        <w:rPr>
          <w:sz w:val="16"/>
          <w:szCs w:val="16"/>
        </w:rPr>
        <w:t>23</w:t>
      </w:r>
      <w:r w:rsidR="00001EFC" w:rsidRPr="00EB465B">
        <w:rPr>
          <w:sz w:val="16"/>
          <w:szCs w:val="16"/>
        </w:rPr>
        <w:t xml:space="preserve"> de octubre de 2023 (expediente de prueba, folio</w:t>
      </w:r>
      <w:r w:rsidR="00001EFC">
        <w:rPr>
          <w:sz w:val="16"/>
          <w:szCs w:val="16"/>
        </w:rPr>
        <w:t>s</w:t>
      </w:r>
      <w:r w:rsidR="00001EFC" w:rsidRPr="00EB465B">
        <w:rPr>
          <w:sz w:val="16"/>
          <w:szCs w:val="16"/>
        </w:rPr>
        <w:t xml:space="preserve"> 235</w:t>
      </w:r>
      <w:r w:rsidR="00001EFC">
        <w:rPr>
          <w:sz w:val="16"/>
          <w:szCs w:val="16"/>
        </w:rPr>
        <w:t>2 y 2353</w:t>
      </w:r>
      <w:r w:rsidR="00001EFC" w:rsidRPr="00EB465B">
        <w:rPr>
          <w:sz w:val="16"/>
          <w:szCs w:val="16"/>
        </w:rPr>
        <w:t>)</w:t>
      </w:r>
      <w:r w:rsidR="00001EFC">
        <w:rPr>
          <w:sz w:val="16"/>
          <w:szCs w:val="16"/>
        </w:rPr>
        <w:t>.</w:t>
      </w:r>
    </w:p>
  </w:footnote>
  <w:footnote w:id="47">
    <w:p w14:paraId="171CF232" w14:textId="00A7CAE4" w:rsidR="00A515A2" w:rsidRPr="00815295" w:rsidRDefault="00A515A2"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00AE44C9" w:rsidRPr="00815295">
        <w:rPr>
          <w:sz w:val="16"/>
          <w:szCs w:val="16"/>
        </w:rPr>
        <w:tab/>
      </w:r>
      <w:r w:rsidR="00001EFC" w:rsidRPr="00EB465B">
        <w:rPr>
          <w:i/>
          <w:iCs/>
          <w:sz w:val="16"/>
          <w:szCs w:val="16"/>
        </w:rPr>
        <w:t>Cfr</w:t>
      </w:r>
      <w:r w:rsidR="00001EFC" w:rsidRPr="00EB465B">
        <w:rPr>
          <w:sz w:val="16"/>
          <w:szCs w:val="16"/>
        </w:rPr>
        <w:t>. Comunicación del Instituto de Derechos Humanos de la Universidad Centroamericana “José Simeón Cañas”, en representación de los entonces peticionarios, de 10 de diciembre de 2010 (expediente de prueba, folio 46)</w:t>
      </w:r>
      <w:r w:rsidR="00001EFC">
        <w:rPr>
          <w:sz w:val="16"/>
          <w:szCs w:val="16"/>
        </w:rPr>
        <w:t>, y</w:t>
      </w:r>
      <w:r w:rsidR="00001EFC" w:rsidRPr="00EB465B">
        <w:rPr>
          <w:sz w:val="16"/>
          <w:szCs w:val="16"/>
        </w:rPr>
        <w:t xml:space="preserve"> Constancia del testimonio de María Consuelo Cuéllar Cuéllar, rendido ante el cabo instructor J.R.M., de 31 de julio de 1982 (expediente de prueba, folio 8).</w:t>
      </w:r>
    </w:p>
  </w:footnote>
  <w:footnote w:id="48">
    <w:p w14:paraId="4D264F50" w14:textId="56F64C37" w:rsidR="00A515A2" w:rsidRPr="00815295" w:rsidRDefault="00A515A2"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00AE44C9" w:rsidRPr="00815295">
        <w:rPr>
          <w:sz w:val="16"/>
          <w:szCs w:val="16"/>
        </w:rPr>
        <w:tab/>
      </w:r>
      <w:r w:rsidR="00001EFC" w:rsidRPr="00EB465B">
        <w:rPr>
          <w:i/>
          <w:iCs/>
          <w:sz w:val="16"/>
          <w:szCs w:val="16"/>
        </w:rPr>
        <w:t>Cfr</w:t>
      </w:r>
      <w:r w:rsidR="00001EFC" w:rsidRPr="00EB465B">
        <w:rPr>
          <w:sz w:val="16"/>
          <w:szCs w:val="16"/>
        </w:rPr>
        <w:t>. Comunicación del Instituto de Derechos Humanos de la Universidad Centroamericana “José Simeón Cañas”, en representación de los entonces peticionarios, de 10 de diciembre de 2010 (expediente de prueba, folio 46)</w:t>
      </w:r>
      <w:r w:rsidR="00001EFC">
        <w:rPr>
          <w:sz w:val="16"/>
          <w:szCs w:val="16"/>
        </w:rPr>
        <w:t>, y</w:t>
      </w:r>
      <w:r w:rsidR="00001EFC" w:rsidRPr="00EB465B">
        <w:rPr>
          <w:sz w:val="16"/>
          <w:szCs w:val="16"/>
        </w:rPr>
        <w:t xml:space="preserve"> Constancia del testimonio de María Consuelo Cuéllar Cuéllar, rendido ante el cabo instructor J.R.M., de 31 de julio de 1982 (expediente de prueba, folio 8).</w:t>
      </w:r>
    </w:p>
  </w:footnote>
  <w:footnote w:id="49">
    <w:p w14:paraId="4EA317A4" w14:textId="24D1549E" w:rsidR="00AE44C9" w:rsidRPr="00815295" w:rsidRDefault="00AE44C9"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Constancia del testimonio de María Consuelo Cuéllar Cuéllar, rendido ante el cabo instructor J.R.M., de 31 de julio de 1982 (expediente de prueba, folio 8).</w:t>
      </w:r>
    </w:p>
  </w:footnote>
  <w:footnote w:id="50">
    <w:p w14:paraId="23986AB8" w14:textId="6423F07D" w:rsidR="00CC4DC0" w:rsidRPr="00815295" w:rsidRDefault="00CC4DC0"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00A303C7" w:rsidRPr="00815295">
        <w:rPr>
          <w:sz w:val="16"/>
          <w:szCs w:val="16"/>
        </w:rPr>
        <w:tab/>
      </w:r>
      <w:r w:rsidR="00001EFC" w:rsidRPr="00EB465B">
        <w:rPr>
          <w:i/>
          <w:iCs/>
          <w:sz w:val="16"/>
          <w:szCs w:val="16"/>
        </w:rPr>
        <w:t>Cfr</w:t>
      </w:r>
      <w:r w:rsidR="00001EFC" w:rsidRPr="00EB465B">
        <w:rPr>
          <w:sz w:val="16"/>
          <w:szCs w:val="16"/>
        </w:rPr>
        <w:t>. Comunicación del Instituto de Derechos Humanos de la Universidad Centroamericana “José Simeón Cañas”, en representación de los entonces peticionarios, de 10 de diciembre de 2010 (expediente de prueba, folio 47)</w:t>
      </w:r>
      <w:r w:rsidR="00001EFC">
        <w:rPr>
          <w:sz w:val="16"/>
          <w:szCs w:val="16"/>
        </w:rPr>
        <w:t>, y</w:t>
      </w:r>
      <w:r w:rsidR="00001EFC" w:rsidRPr="00EB465B">
        <w:rPr>
          <w:sz w:val="16"/>
          <w:szCs w:val="16"/>
        </w:rPr>
        <w:t xml:space="preserve"> Constancia del testimonio de Francisco Alfredo Álvarez Solís, en Constancia del Secretario de la Sala de lo Penal de la Corte Suprema de Justicia “de lo resuelto en la solicitud de exhibición personal a favor de Patricia Cuéllar, Mauricio Cuéllar y otra”, de 4 de diciembre de 1982 (expediente de prueba, folio 4).</w:t>
      </w:r>
    </w:p>
  </w:footnote>
  <w:footnote w:id="51">
    <w:p w14:paraId="3D00F59E" w14:textId="690B8CD2" w:rsidR="00CC4DC0" w:rsidRPr="00815295" w:rsidRDefault="00CC4DC0"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00A303C7" w:rsidRPr="00815295">
        <w:rPr>
          <w:sz w:val="16"/>
          <w:szCs w:val="16"/>
        </w:rPr>
        <w:tab/>
      </w:r>
      <w:r w:rsidR="00001EFC" w:rsidRPr="00EB465B">
        <w:rPr>
          <w:i/>
          <w:iCs/>
          <w:sz w:val="16"/>
          <w:szCs w:val="16"/>
        </w:rPr>
        <w:t>Cfr</w:t>
      </w:r>
      <w:r w:rsidR="00001EFC" w:rsidRPr="00EB465B">
        <w:rPr>
          <w:sz w:val="16"/>
          <w:szCs w:val="16"/>
        </w:rPr>
        <w:t>. Comunicación del Instituto de Derechos Humanos de la Universidad Centroamericana “José Simeón Cañas”, en representación de los entonces peticionarios, de 10 de diciembre de 2010 (expediente de prueba, folio 47)</w:t>
      </w:r>
      <w:r w:rsidR="00001EFC">
        <w:rPr>
          <w:sz w:val="16"/>
          <w:szCs w:val="16"/>
        </w:rPr>
        <w:t>, y</w:t>
      </w:r>
      <w:r w:rsidR="00001EFC" w:rsidRPr="00EB465B">
        <w:rPr>
          <w:sz w:val="16"/>
          <w:szCs w:val="16"/>
        </w:rPr>
        <w:t xml:space="preserve"> Constancia del testimonio de Francisco Alfredo Álvarez Solís, en Constancia del Secretario de la Sala de lo Penal de la Corte Suprema de Justicia “de lo resuelto en la solicitud de exhibición personal a favor de Patricia Cuéllar, Mauricio Cuéllar y otra”, de 4 de diciembre de 1982 (expediente de prueba, folio 4).</w:t>
      </w:r>
    </w:p>
  </w:footnote>
  <w:footnote w:id="52">
    <w:p w14:paraId="182E3D47" w14:textId="4D51E9B3" w:rsidR="00F546F1" w:rsidRPr="00815295" w:rsidRDefault="00F546F1"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00734FA9" w:rsidRPr="00815295">
        <w:rPr>
          <w:sz w:val="16"/>
          <w:szCs w:val="16"/>
        </w:rPr>
        <w:tab/>
      </w:r>
      <w:r w:rsidR="00734FA9" w:rsidRPr="00815295">
        <w:rPr>
          <w:i/>
          <w:iCs/>
          <w:sz w:val="16"/>
          <w:szCs w:val="16"/>
        </w:rPr>
        <w:t>Cfr</w:t>
      </w:r>
      <w:r w:rsidR="00734FA9" w:rsidRPr="00815295">
        <w:rPr>
          <w:sz w:val="16"/>
          <w:szCs w:val="16"/>
        </w:rPr>
        <w:t xml:space="preserve">. Constancia del testimonio de Francisco Alfredo Álvarez Solís, en Constancia del Secretario de la Sala de lo Penal de la Corte Suprema de Justicia “de lo resuelto en la solicitud de exhibición personal a favor de Patricia Cuéllar, Mauricio Cuéllar y otra”, de 4 de diciembre de 1982 (expediente de prueba, folio 4), y Constancia del testimonio de Ana </w:t>
      </w:r>
      <w:r w:rsidR="00F01B69" w:rsidRPr="00815295">
        <w:rPr>
          <w:sz w:val="16"/>
          <w:szCs w:val="16"/>
        </w:rPr>
        <w:t>Gladis</w:t>
      </w:r>
      <w:r w:rsidR="00734FA9" w:rsidRPr="00815295">
        <w:rPr>
          <w:sz w:val="16"/>
          <w:szCs w:val="16"/>
        </w:rPr>
        <w:t xml:space="preserve"> Pérez de Castro, rendida ante el cabo instructor J.R.M., de 2 de agosto de 1982 (expediente de prueba, folio 2</w:t>
      </w:r>
      <w:r w:rsidR="000813B3" w:rsidRPr="00815295">
        <w:rPr>
          <w:sz w:val="16"/>
          <w:szCs w:val="16"/>
        </w:rPr>
        <w:t>1</w:t>
      </w:r>
      <w:r w:rsidR="00734FA9" w:rsidRPr="00815295">
        <w:rPr>
          <w:sz w:val="16"/>
          <w:szCs w:val="16"/>
        </w:rPr>
        <w:t xml:space="preserve">). </w:t>
      </w:r>
    </w:p>
  </w:footnote>
  <w:footnote w:id="53">
    <w:p w14:paraId="177090B5" w14:textId="17341175" w:rsidR="00001EFC" w:rsidRPr="00EB465B" w:rsidRDefault="00001EFC" w:rsidP="00001EFC">
      <w:pPr>
        <w:pStyle w:val="Textonotapie"/>
        <w:spacing w:before="40" w:after="40"/>
        <w:rPr>
          <w:sz w:val="16"/>
          <w:szCs w:val="16"/>
          <w:lang w:val="es-ES"/>
        </w:rPr>
      </w:pPr>
      <w:r w:rsidRPr="00EB465B">
        <w:rPr>
          <w:rStyle w:val="Refdenotaalpie"/>
          <w:sz w:val="16"/>
          <w:szCs w:val="16"/>
        </w:rPr>
        <w:footnoteRef/>
      </w:r>
      <w:r w:rsidRPr="00EB465B">
        <w:rPr>
          <w:sz w:val="16"/>
          <w:szCs w:val="16"/>
        </w:rPr>
        <w:t xml:space="preserve"> </w:t>
      </w:r>
      <w:r w:rsidRPr="00EB465B">
        <w:rPr>
          <w:sz w:val="16"/>
          <w:szCs w:val="16"/>
          <w:lang w:val="es-ES"/>
        </w:rPr>
        <w:tab/>
        <w:t>Ese mismo día, el señor Enrique Cuéllar Cuéllar dejó a la señora María Consuelo Cuéllar Cuéllar en la Embajada de los Estados Unidos de América, donde trabajaba como oficinista. Allí fue informada en el curso de la mañana de que su hermano había desaparecido. Por su parte, la señora Ana Gladis Pérez de Castro, hija de Julia Orbelina Pérez, visitó a su tía “Tere” el 1 de agosto de 1982, bajo el entendimiento de que se encontraría a su madre, pero esta no se presentó. Desde el 25 de julio de 1982, Ana Gladis Pérez de Castro n</w:t>
      </w:r>
      <w:r>
        <w:rPr>
          <w:sz w:val="16"/>
          <w:szCs w:val="16"/>
          <w:lang w:val="es-ES"/>
        </w:rPr>
        <w:t>o</w:t>
      </w:r>
      <w:r w:rsidRPr="00EB465B">
        <w:rPr>
          <w:sz w:val="16"/>
          <w:szCs w:val="16"/>
          <w:lang w:val="es-ES"/>
        </w:rPr>
        <w:t xml:space="preserve"> ha visto a su madre. </w:t>
      </w:r>
      <w:r w:rsidRPr="00EB465B">
        <w:rPr>
          <w:i/>
          <w:iCs/>
          <w:sz w:val="16"/>
          <w:szCs w:val="16"/>
          <w:lang w:val="es-ES"/>
        </w:rPr>
        <w:t>Cfr</w:t>
      </w:r>
      <w:r w:rsidRPr="00EB465B">
        <w:rPr>
          <w:sz w:val="16"/>
          <w:szCs w:val="16"/>
          <w:lang w:val="es-ES"/>
        </w:rPr>
        <w:t xml:space="preserve">. </w:t>
      </w:r>
      <w:r w:rsidRPr="00EB465B">
        <w:rPr>
          <w:sz w:val="16"/>
          <w:szCs w:val="16"/>
        </w:rPr>
        <w:t>Constancia del testimonio de María Consuelo Cuéllar Cuéllar, rendido ante el cabo instructor J.R.M., de 31 de julio de 1982 (expediente de prueba, folio 8), y Constancia del testimonio de Ana Gladis Pérez de Castro, rendida ante el cabo instructor J.R.M., de 2 de agosto de 1982 (expediente de prueba, folio 21).</w:t>
      </w:r>
    </w:p>
  </w:footnote>
  <w:footnote w:id="54">
    <w:p w14:paraId="546C1DFC" w14:textId="77777777" w:rsidR="00001EFC" w:rsidRPr="00EB465B" w:rsidRDefault="00001EFC" w:rsidP="00001EFC">
      <w:pPr>
        <w:pStyle w:val="Textonotapie"/>
        <w:spacing w:before="40" w:after="40"/>
        <w:rPr>
          <w:sz w:val="16"/>
          <w:szCs w:val="16"/>
        </w:rPr>
      </w:pPr>
      <w:r w:rsidRPr="00EB465B">
        <w:rPr>
          <w:rStyle w:val="Refdenotaalpie"/>
          <w:sz w:val="16"/>
          <w:szCs w:val="16"/>
        </w:rPr>
        <w:footnoteRef/>
      </w:r>
      <w:r w:rsidRPr="00EB465B">
        <w:rPr>
          <w:sz w:val="16"/>
          <w:szCs w:val="16"/>
        </w:rPr>
        <w:t xml:space="preserve"> </w:t>
      </w:r>
      <w:r w:rsidRPr="00EB465B">
        <w:rPr>
          <w:sz w:val="16"/>
          <w:szCs w:val="16"/>
        </w:rPr>
        <w:tab/>
      </w:r>
      <w:r w:rsidRPr="00EB465B">
        <w:rPr>
          <w:i/>
          <w:iCs/>
          <w:sz w:val="16"/>
          <w:szCs w:val="16"/>
        </w:rPr>
        <w:t>Cfr</w:t>
      </w:r>
      <w:r w:rsidRPr="00EB465B">
        <w:rPr>
          <w:sz w:val="16"/>
          <w:szCs w:val="16"/>
        </w:rPr>
        <w:t>. Constancia de la declaración de León Enrique Cuéllar Cuéllar, rendida ante el cabo instructor J.R.M., de 1 de agosto de 1982 (expediente de prueba, folios 11 a 13).</w:t>
      </w:r>
    </w:p>
  </w:footnote>
  <w:footnote w:id="55">
    <w:p w14:paraId="3A714BE2" w14:textId="77777777" w:rsidR="00567996" w:rsidRPr="00EB465B" w:rsidRDefault="00567996" w:rsidP="00567996">
      <w:pPr>
        <w:pStyle w:val="Textonotapie"/>
        <w:spacing w:before="40" w:after="40"/>
        <w:rPr>
          <w:sz w:val="16"/>
          <w:szCs w:val="16"/>
        </w:rPr>
      </w:pPr>
      <w:r w:rsidRPr="00EB465B">
        <w:rPr>
          <w:rStyle w:val="Refdenotaalpie"/>
          <w:sz w:val="16"/>
          <w:szCs w:val="16"/>
        </w:rPr>
        <w:footnoteRef/>
      </w:r>
      <w:r w:rsidRPr="00EB465B">
        <w:rPr>
          <w:sz w:val="16"/>
          <w:szCs w:val="16"/>
        </w:rPr>
        <w:t xml:space="preserve"> </w:t>
      </w:r>
      <w:r w:rsidRPr="00EB465B">
        <w:rPr>
          <w:sz w:val="16"/>
          <w:szCs w:val="16"/>
        </w:rPr>
        <w:tab/>
      </w:r>
      <w:r w:rsidRPr="00EB465B">
        <w:rPr>
          <w:i/>
          <w:iCs/>
          <w:sz w:val="16"/>
          <w:szCs w:val="16"/>
        </w:rPr>
        <w:t>Cfr</w:t>
      </w:r>
      <w:r w:rsidRPr="00EB465B">
        <w:rPr>
          <w:sz w:val="16"/>
          <w:szCs w:val="16"/>
        </w:rPr>
        <w:t>. Constancia del Secretario de la Sala de lo Penal de la Corte Suprema de Justicia “de lo resuelto en la solicitud de exhibición personal a favor de Patricia Cuéllar, Mauricio Cuéllar y otra”, de 4 de diciembre de 1982 (expediente de prueba, folios 5 y 6).</w:t>
      </w:r>
    </w:p>
  </w:footnote>
  <w:footnote w:id="56">
    <w:p w14:paraId="2778EB07" w14:textId="77777777" w:rsidR="00567996" w:rsidRPr="00EB465B" w:rsidRDefault="00567996" w:rsidP="00567996">
      <w:pPr>
        <w:pStyle w:val="Textonotapie"/>
        <w:spacing w:before="40" w:after="40"/>
        <w:rPr>
          <w:sz w:val="16"/>
          <w:szCs w:val="16"/>
        </w:rPr>
      </w:pPr>
      <w:r w:rsidRPr="00EB465B">
        <w:rPr>
          <w:rStyle w:val="Refdenotaalpie"/>
          <w:sz w:val="16"/>
          <w:szCs w:val="16"/>
        </w:rPr>
        <w:footnoteRef/>
      </w:r>
      <w:r w:rsidRPr="00EB465B">
        <w:rPr>
          <w:sz w:val="16"/>
          <w:szCs w:val="16"/>
        </w:rPr>
        <w:t xml:space="preserve"> </w:t>
      </w:r>
      <w:r w:rsidRPr="00EB465B">
        <w:rPr>
          <w:sz w:val="16"/>
          <w:szCs w:val="16"/>
        </w:rPr>
        <w:tab/>
      </w:r>
      <w:r w:rsidRPr="00EB465B">
        <w:rPr>
          <w:i/>
          <w:iCs/>
          <w:sz w:val="16"/>
          <w:szCs w:val="16"/>
        </w:rPr>
        <w:t>Cfr</w:t>
      </w:r>
      <w:r w:rsidRPr="00EB465B">
        <w:rPr>
          <w:sz w:val="16"/>
          <w:szCs w:val="16"/>
        </w:rPr>
        <w:t>. Constancia del Secretario de la Sala de lo Penal de la Corte Suprema de Justicia “de lo resuelto en la solicitud de exhibición personal a favor de Patricia Cuéllar, Mauricio Cuéllar y otra”, de 4 de diciembre de 1982 (expediente de prueba, folios 5 y 6).</w:t>
      </w:r>
    </w:p>
  </w:footnote>
  <w:footnote w:id="57">
    <w:p w14:paraId="64DD41C9" w14:textId="77777777" w:rsidR="00567996" w:rsidRPr="00EB465B" w:rsidRDefault="00567996" w:rsidP="00567996">
      <w:pPr>
        <w:pStyle w:val="Textonotapie"/>
        <w:spacing w:before="40" w:after="40"/>
        <w:rPr>
          <w:sz w:val="16"/>
          <w:szCs w:val="16"/>
        </w:rPr>
      </w:pPr>
      <w:r w:rsidRPr="00EB465B">
        <w:rPr>
          <w:rStyle w:val="Refdenotaalpie"/>
          <w:sz w:val="16"/>
          <w:szCs w:val="16"/>
        </w:rPr>
        <w:footnoteRef/>
      </w:r>
      <w:r w:rsidRPr="00EB465B">
        <w:rPr>
          <w:sz w:val="16"/>
          <w:szCs w:val="16"/>
        </w:rPr>
        <w:t xml:space="preserve"> </w:t>
      </w:r>
      <w:r w:rsidRPr="00EB465B">
        <w:rPr>
          <w:sz w:val="16"/>
          <w:szCs w:val="16"/>
        </w:rPr>
        <w:tab/>
      </w:r>
      <w:r w:rsidRPr="00EB465B">
        <w:rPr>
          <w:i/>
          <w:iCs/>
          <w:sz w:val="16"/>
          <w:szCs w:val="16"/>
        </w:rPr>
        <w:t>Cfr</w:t>
      </w:r>
      <w:r w:rsidRPr="00EB465B">
        <w:rPr>
          <w:sz w:val="16"/>
          <w:szCs w:val="16"/>
        </w:rPr>
        <w:t>. Constancia del Secretario de la Sala de lo Penal de la Corte Suprema de Justicia “de lo resuelto en la solicitud de exhibición personal a favor de Patricia Cuéllar, Mauricio Cuéllar y otra”, de 4 de diciembre de 1982 (expediente de prueba, folios 5 y 6).</w:t>
      </w:r>
    </w:p>
  </w:footnote>
  <w:footnote w:id="58">
    <w:p w14:paraId="379B2B8A" w14:textId="77777777" w:rsidR="00567996" w:rsidRPr="00EB465B" w:rsidRDefault="00567996" w:rsidP="00567996">
      <w:pPr>
        <w:pStyle w:val="Textonotapie"/>
        <w:spacing w:before="40" w:after="40"/>
        <w:rPr>
          <w:sz w:val="16"/>
          <w:szCs w:val="16"/>
        </w:rPr>
      </w:pPr>
      <w:r w:rsidRPr="00EB465B">
        <w:rPr>
          <w:rStyle w:val="Refdenotaalpie"/>
          <w:sz w:val="16"/>
          <w:szCs w:val="16"/>
        </w:rPr>
        <w:footnoteRef/>
      </w:r>
      <w:r w:rsidRPr="00EB465B">
        <w:rPr>
          <w:sz w:val="16"/>
          <w:szCs w:val="16"/>
        </w:rPr>
        <w:t xml:space="preserve"> </w:t>
      </w:r>
      <w:r w:rsidRPr="00EB465B">
        <w:rPr>
          <w:sz w:val="16"/>
          <w:szCs w:val="16"/>
        </w:rPr>
        <w:tab/>
      </w:r>
      <w:r w:rsidRPr="00EB465B">
        <w:rPr>
          <w:i/>
          <w:iCs/>
          <w:sz w:val="16"/>
          <w:szCs w:val="16"/>
        </w:rPr>
        <w:t>Cfr</w:t>
      </w:r>
      <w:r w:rsidRPr="00EB465B">
        <w:rPr>
          <w:sz w:val="16"/>
          <w:szCs w:val="16"/>
        </w:rPr>
        <w:t>. Constancia del Secretario de la Sala de lo Penal de la Corte Suprema de Justicia “de lo resuelto en la solicitud de exhibición personal a favor de Patricia Cuéllar, Mauricio Cuéllar y otra”, de 4 de diciembre de 1982 (expediente de prueba, folio 6).</w:t>
      </w:r>
    </w:p>
  </w:footnote>
  <w:footnote w:id="59">
    <w:p w14:paraId="63E616D6" w14:textId="1A3C4560" w:rsidR="003A65E5" w:rsidRPr="00815295" w:rsidRDefault="003A65E5" w:rsidP="00815295">
      <w:pPr>
        <w:pStyle w:val="Textonotapie"/>
        <w:spacing w:before="40" w:after="40"/>
        <w:rPr>
          <w:sz w:val="16"/>
          <w:szCs w:val="16"/>
          <w:lang w:val="es-ES"/>
        </w:rPr>
      </w:pPr>
      <w:r w:rsidRPr="00815295">
        <w:rPr>
          <w:rStyle w:val="Refdenotaalpie"/>
          <w:sz w:val="16"/>
          <w:szCs w:val="16"/>
        </w:rPr>
        <w:footnoteRef/>
      </w:r>
      <w:r w:rsidRPr="00815295">
        <w:rPr>
          <w:sz w:val="16"/>
          <w:szCs w:val="16"/>
        </w:rPr>
        <w:t xml:space="preserve"> </w:t>
      </w:r>
      <w:r w:rsidRPr="00815295">
        <w:rPr>
          <w:sz w:val="16"/>
          <w:szCs w:val="16"/>
          <w:lang w:val="es-ES"/>
        </w:rPr>
        <w:tab/>
      </w:r>
      <w:r w:rsidRPr="00815295">
        <w:rPr>
          <w:i/>
          <w:iCs/>
          <w:sz w:val="16"/>
          <w:szCs w:val="16"/>
          <w:lang w:val="es-ES"/>
        </w:rPr>
        <w:t>Cfr</w:t>
      </w:r>
      <w:r w:rsidRPr="00815295">
        <w:rPr>
          <w:sz w:val="16"/>
          <w:szCs w:val="16"/>
          <w:lang w:val="es-ES"/>
        </w:rPr>
        <w:t>. Solicitud de dictado de auto de exhibición personal a favor de la señora Julia Orbelina Pérez, presentado por la señora Teresa Pérez de Ramos, de 22 de enero de 1983 (expediente de prueba, folios 1213 y 1214)</w:t>
      </w:r>
      <w:r w:rsidR="004014C2" w:rsidRPr="00815295">
        <w:rPr>
          <w:sz w:val="16"/>
          <w:szCs w:val="16"/>
          <w:lang w:val="es-ES"/>
        </w:rPr>
        <w:t>.</w:t>
      </w:r>
      <w:r w:rsidRPr="00815295">
        <w:rPr>
          <w:sz w:val="16"/>
          <w:szCs w:val="16"/>
          <w:lang w:val="es-ES"/>
        </w:rPr>
        <w:t xml:space="preserve"> </w:t>
      </w:r>
    </w:p>
  </w:footnote>
  <w:footnote w:id="60">
    <w:p w14:paraId="334F3789" w14:textId="4D7FE32A" w:rsidR="001D4078" w:rsidRPr="00815295" w:rsidRDefault="001D4078"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00F144B3" w:rsidRPr="00815295">
        <w:rPr>
          <w:sz w:val="16"/>
          <w:szCs w:val="16"/>
        </w:rPr>
        <w:tab/>
      </w:r>
      <w:r w:rsidR="003A65E5" w:rsidRPr="00815295">
        <w:rPr>
          <w:i/>
          <w:iCs/>
          <w:sz w:val="16"/>
          <w:szCs w:val="16"/>
        </w:rPr>
        <w:t>Cfr</w:t>
      </w:r>
      <w:r w:rsidR="003A65E5" w:rsidRPr="00815295">
        <w:rPr>
          <w:sz w:val="16"/>
          <w:szCs w:val="16"/>
        </w:rPr>
        <w:t>. Providencia del Juzgado Especial de Ejecuciones de San Salvador, de 22 de febrero de 1983, mediante la cual se intima al señor Director General de la Policía Nacional “a efecto de que exhiba a la favorecida Julia Orbelina Pérez” (expediente de prueba, folio 1217); Providencia del Juzgado Especial de Ejecuciones de San Salvador, de 25 de febrero de 1983, mediante la cual se intima al señor Director General de la Guardia Nacional “a efecto de que exhiba a la favorecida Julia Orbelina Pérez” (expediente de prueba, folio 1219), y Providencia del Juzgado Especial de Ejecuciones de San Salvador, de 1 de marzo de 1983, mediante la cual se intima al señor Director General de la Policía de Hacienda “a efecto de que exhiba a la favorecida Julia Orbelina Pérez” (expediente de prueba, folio 1221).</w:t>
      </w:r>
    </w:p>
  </w:footnote>
  <w:footnote w:id="61">
    <w:p w14:paraId="3EF60D35" w14:textId="2F7B2A28" w:rsidR="00410719" w:rsidRPr="00815295" w:rsidRDefault="00410719"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00353780" w:rsidRPr="00815295">
        <w:rPr>
          <w:i/>
          <w:iCs/>
          <w:sz w:val="16"/>
          <w:szCs w:val="16"/>
        </w:rPr>
        <w:t>Cfr</w:t>
      </w:r>
      <w:r w:rsidR="00353780" w:rsidRPr="00815295">
        <w:rPr>
          <w:sz w:val="16"/>
          <w:szCs w:val="16"/>
        </w:rPr>
        <w:t xml:space="preserve">. </w:t>
      </w:r>
      <w:r w:rsidR="005F3780" w:rsidRPr="00815295">
        <w:rPr>
          <w:sz w:val="16"/>
          <w:szCs w:val="16"/>
        </w:rPr>
        <w:t>Resolución de la Corte Suprema de Justicia de 14 de marzo de 1983, mediante la cual se ordenó archivar las diligencias de exhibición personal a favor de Julia Orbelina Pérez (expediente de prueba, folio 1224).</w:t>
      </w:r>
    </w:p>
  </w:footnote>
  <w:footnote w:id="62">
    <w:p w14:paraId="79199E0C" w14:textId="1B8D35A7" w:rsidR="000C3B17" w:rsidRPr="00815295" w:rsidRDefault="000C3B17" w:rsidP="00815295">
      <w:pPr>
        <w:pStyle w:val="Textonotapie"/>
        <w:spacing w:before="40" w:after="40"/>
        <w:rPr>
          <w:sz w:val="16"/>
          <w:szCs w:val="16"/>
          <w:lang w:val="es-ES"/>
        </w:rPr>
      </w:pPr>
      <w:r w:rsidRPr="00815295">
        <w:rPr>
          <w:rStyle w:val="Refdenotaalpie"/>
          <w:sz w:val="16"/>
          <w:szCs w:val="16"/>
        </w:rPr>
        <w:footnoteRef/>
      </w:r>
      <w:r w:rsidRPr="00815295">
        <w:rPr>
          <w:sz w:val="16"/>
          <w:szCs w:val="16"/>
        </w:rPr>
        <w:t xml:space="preserve"> </w:t>
      </w:r>
      <w:r w:rsidRPr="00815295">
        <w:rPr>
          <w:sz w:val="16"/>
          <w:szCs w:val="16"/>
          <w:lang w:val="es-ES"/>
        </w:rPr>
        <w:tab/>
      </w:r>
      <w:r w:rsidRPr="00815295">
        <w:rPr>
          <w:i/>
          <w:iCs/>
          <w:sz w:val="16"/>
          <w:szCs w:val="16"/>
          <w:lang w:val="es-ES"/>
        </w:rPr>
        <w:t>Cfr.</w:t>
      </w:r>
      <w:r w:rsidRPr="00815295">
        <w:rPr>
          <w:sz w:val="16"/>
          <w:szCs w:val="16"/>
          <w:lang w:val="es-ES"/>
        </w:rPr>
        <w:t xml:space="preserve"> Comunicación del Cabo Instructor Magaña dirigido al Guardia No. 1049, G.A.B.M., mediante la cual se solicita iniciar una investigación por la desaparición del señor Mauricio Cuéllar Cuéllar, de 30 de julio de 1982 (expediente de prueba, folio 1245).</w:t>
      </w:r>
    </w:p>
  </w:footnote>
  <w:footnote w:id="63">
    <w:p w14:paraId="74CDF9F3" w14:textId="325D5A84" w:rsidR="00361613" w:rsidRPr="00815295" w:rsidRDefault="00361613" w:rsidP="00815295">
      <w:pPr>
        <w:pStyle w:val="Textonotapie"/>
        <w:spacing w:before="40" w:after="40"/>
        <w:rPr>
          <w:sz w:val="16"/>
          <w:szCs w:val="16"/>
          <w:lang w:val="es-ES"/>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xml:space="preserve">. </w:t>
      </w:r>
      <w:r w:rsidR="001667D4" w:rsidRPr="00815295">
        <w:rPr>
          <w:sz w:val="16"/>
          <w:szCs w:val="16"/>
        </w:rPr>
        <w:t xml:space="preserve">Constancia del testimonio de María Consuelo Cuéllar Cuéllar, rendido ante el cabo instructor J.R.M., de 31 de julio de 1982 (expediente de prueba, folio 8), y </w:t>
      </w:r>
      <w:r w:rsidRPr="00815295">
        <w:rPr>
          <w:sz w:val="16"/>
          <w:szCs w:val="16"/>
        </w:rPr>
        <w:t>Constancia de la declaración de León Enrique Cuéllar Cuéllar, rendida ante el cabo instructor J.R.M., de 1 de agosto de 1982 (expediente de prueba, folios 11 a 13).</w:t>
      </w:r>
    </w:p>
  </w:footnote>
  <w:footnote w:id="64">
    <w:p w14:paraId="669C41E4" w14:textId="0916B7FC" w:rsidR="00582F18" w:rsidRPr="00815295" w:rsidRDefault="00582F18"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00567996" w:rsidRPr="00EB465B">
        <w:rPr>
          <w:i/>
          <w:iCs/>
          <w:sz w:val="16"/>
          <w:szCs w:val="16"/>
        </w:rPr>
        <w:t>Cfr</w:t>
      </w:r>
      <w:r w:rsidR="00567996" w:rsidRPr="00EB465B">
        <w:rPr>
          <w:sz w:val="16"/>
          <w:szCs w:val="16"/>
        </w:rPr>
        <w:t xml:space="preserve">. </w:t>
      </w:r>
      <w:r w:rsidR="00567996" w:rsidRPr="004876FC">
        <w:rPr>
          <w:sz w:val="16"/>
          <w:szCs w:val="16"/>
        </w:rPr>
        <w:t xml:space="preserve">Constancia de inspección </w:t>
      </w:r>
      <w:r w:rsidR="00567996">
        <w:rPr>
          <w:sz w:val="16"/>
          <w:szCs w:val="16"/>
        </w:rPr>
        <w:t>de la casa de habitación del señor Mauricio Cuéllar Cuéllar situada</w:t>
      </w:r>
      <w:r w:rsidR="00567996" w:rsidRPr="004876FC">
        <w:rPr>
          <w:sz w:val="16"/>
          <w:szCs w:val="16"/>
        </w:rPr>
        <w:t xml:space="preserve"> Boulevard San Antonio Abad y Pasaje San José, Colonia Escalón, San Salvador</w:t>
      </w:r>
      <w:r w:rsidR="00567996">
        <w:rPr>
          <w:sz w:val="16"/>
          <w:szCs w:val="16"/>
        </w:rPr>
        <w:t>, de</w:t>
      </w:r>
      <w:r w:rsidR="00567996" w:rsidRPr="004876FC">
        <w:rPr>
          <w:sz w:val="16"/>
          <w:szCs w:val="16"/>
        </w:rPr>
        <w:t xml:space="preserve"> 1 de agosto de 1982</w:t>
      </w:r>
      <w:r w:rsidR="00567996">
        <w:rPr>
          <w:sz w:val="16"/>
          <w:szCs w:val="16"/>
        </w:rPr>
        <w:t xml:space="preserve"> (expediente de prueba, folios 14 a 18); </w:t>
      </w:r>
      <w:r w:rsidR="00567996" w:rsidRPr="00EB465B">
        <w:rPr>
          <w:sz w:val="16"/>
          <w:szCs w:val="16"/>
        </w:rPr>
        <w:t>Constancia de la declaración rendida por la señora E.M.C.G.d.F., rendida ante el cabo instructor Magaña, de 1 de agosto de 1982 (expediente de prueba, folio 1265); Constancia de la declaración rendida por el señor A.E.F., rendida ante el cabo instructor Magaña, de 1 de agosto de 1982 (expediente de prueba, folio 1267); Constancia de la declaración rendida por el señor J.L.R.P., rendida ante el cabo instructor Magaña, de 1 de agosto de 1982 (expediente de prueba, folio 1269), y Constancia de la declaración rendida por la señora A.E.V.D.V., rendida ante el cabo instructor Magaña, de 1 de agosto de 1982 (expediente de prueba, folio 1271).</w:t>
      </w:r>
    </w:p>
  </w:footnote>
  <w:footnote w:id="65">
    <w:p w14:paraId="4563FC91" w14:textId="3B5CB565" w:rsidR="00AE7691" w:rsidRPr="00815295" w:rsidRDefault="00AE7691"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00A2596E" w:rsidRPr="00815295">
        <w:rPr>
          <w:i/>
          <w:iCs/>
          <w:sz w:val="16"/>
          <w:szCs w:val="16"/>
        </w:rPr>
        <w:t>Cfr</w:t>
      </w:r>
      <w:r w:rsidR="00A2596E" w:rsidRPr="00815295">
        <w:rPr>
          <w:sz w:val="16"/>
          <w:szCs w:val="16"/>
        </w:rPr>
        <w:t>. Constancia de la declaración rendida por la señora Ana</w:t>
      </w:r>
      <w:r w:rsidR="00080BE8" w:rsidRPr="00815295">
        <w:rPr>
          <w:sz w:val="16"/>
          <w:szCs w:val="16"/>
        </w:rPr>
        <w:t xml:space="preserve"> </w:t>
      </w:r>
      <w:r w:rsidR="00F01B69" w:rsidRPr="00815295">
        <w:rPr>
          <w:sz w:val="16"/>
          <w:szCs w:val="16"/>
        </w:rPr>
        <w:t>Gladis</w:t>
      </w:r>
      <w:r w:rsidR="00A2596E" w:rsidRPr="00815295">
        <w:rPr>
          <w:sz w:val="16"/>
          <w:szCs w:val="16"/>
        </w:rPr>
        <w:t xml:space="preserve"> Pérez de Castro, rendida ante el cabo instructor Magaña, de 2 de agosto de 1982 (expediente de prueba, folios 1273 a 127</w:t>
      </w:r>
      <w:r w:rsidR="00AD481B" w:rsidRPr="00815295">
        <w:rPr>
          <w:sz w:val="16"/>
          <w:szCs w:val="16"/>
        </w:rPr>
        <w:t>5</w:t>
      </w:r>
      <w:r w:rsidR="00A2596E" w:rsidRPr="00815295">
        <w:rPr>
          <w:sz w:val="16"/>
          <w:szCs w:val="16"/>
        </w:rPr>
        <w:t>).</w:t>
      </w:r>
      <w:r w:rsidR="004E0487" w:rsidRPr="00815295">
        <w:rPr>
          <w:sz w:val="16"/>
          <w:szCs w:val="16"/>
        </w:rPr>
        <w:t xml:space="preserve"> </w:t>
      </w:r>
    </w:p>
  </w:footnote>
  <w:footnote w:id="66">
    <w:p w14:paraId="0B16598A" w14:textId="1149F84B" w:rsidR="00AE7691" w:rsidRPr="00815295" w:rsidRDefault="00AE7691"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00A2596E" w:rsidRPr="00815295">
        <w:rPr>
          <w:sz w:val="16"/>
          <w:szCs w:val="16"/>
        </w:rPr>
        <w:tab/>
      </w:r>
      <w:r w:rsidR="00A2596E" w:rsidRPr="00815295">
        <w:rPr>
          <w:i/>
          <w:iCs/>
          <w:sz w:val="16"/>
          <w:szCs w:val="16"/>
        </w:rPr>
        <w:t>Cfr</w:t>
      </w:r>
      <w:r w:rsidR="00A2596E" w:rsidRPr="00815295">
        <w:rPr>
          <w:sz w:val="16"/>
          <w:szCs w:val="16"/>
        </w:rPr>
        <w:t>. Constancia de la declaración rendida por la señora Teresa Pérez de Ramos, rendida ante el cabo instructor Magaña, de 2 de agosto de 1982 (expediente de prueba, folios 127</w:t>
      </w:r>
      <w:r w:rsidR="00AD481B" w:rsidRPr="00815295">
        <w:rPr>
          <w:sz w:val="16"/>
          <w:szCs w:val="16"/>
        </w:rPr>
        <w:t>5</w:t>
      </w:r>
      <w:r w:rsidR="00A2596E" w:rsidRPr="00815295">
        <w:rPr>
          <w:sz w:val="16"/>
          <w:szCs w:val="16"/>
        </w:rPr>
        <w:t xml:space="preserve"> a 1277).</w:t>
      </w:r>
      <w:r w:rsidR="004E0487" w:rsidRPr="00815295">
        <w:rPr>
          <w:sz w:val="16"/>
          <w:szCs w:val="16"/>
        </w:rPr>
        <w:t xml:space="preserve"> </w:t>
      </w:r>
    </w:p>
  </w:footnote>
  <w:footnote w:id="67">
    <w:p w14:paraId="1CDC3321" w14:textId="7F99F8B9" w:rsidR="007703D6" w:rsidRPr="00815295" w:rsidRDefault="007703D6"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00AD481B" w:rsidRPr="00815295">
        <w:rPr>
          <w:sz w:val="16"/>
          <w:szCs w:val="16"/>
        </w:rPr>
        <w:tab/>
      </w:r>
      <w:r w:rsidR="00AD481B" w:rsidRPr="00815295">
        <w:rPr>
          <w:i/>
          <w:iCs/>
          <w:sz w:val="16"/>
          <w:szCs w:val="16"/>
        </w:rPr>
        <w:t xml:space="preserve">Cfr. </w:t>
      </w:r>
      <w:r w:rsidR="00AD481B" w:rsidRPr="00815295">
        <w:rPr>
          <w:sz w:val="16"/>
          <w:szCs w:val="16"/>
        </w:rPr>
        <w:t>Comunicación del señor C.A.V.C., Director General de la Guardia Nacional al Juez Cuarto de Paz de San Salvador, de 10 de agosto de 1982 (expediente de prueba, folio 1281).</w:t>
      </w:r>
    </w:p>
  </w:footnote>
  <w:footnote w:id="68">
    <w:p w14:paraId="52470515" w14:textId="33B480DD" w:rsidR="007703D6" w:rsidRPr="00815295" w:rsidRDefault="007703D6"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00AD481B" w:rsidRPr="00815295">
        <w:rPr>
          <w:sz w:val="16"/>
          <w:szCs w:val="16"/>
        </w:rPr>
        <w:tab/>
      </w:r>
      <w:r w:rsidR="00923E31" w:rsidRPr="00815295">
        <w:rPr>
          <w:i/>
          <w:iCs/>
          <w:sz w:val="16"/>
          <w:szCs w:val="16"/>
        </w:rPr>
        <w:t>Cfr</w:t>
      </w:r>
      <w:r w:rsidR="00923E31" w:rsidRPr="00815295">
        <w:rPr>
          <w:sz w:val="16"/>
          <w:szCs w:val="16"/>
        </w:rPr>
        <w:t>. Providencia del Juzgado Cuarto de Paz de San Salvador, de 10 de agosto de 1982, mediante la cual se cita a María Consuelo Cuéllar Cuéllar, León Enrique Cuéllar Cuéllar, Ana</w:t>
      </w:r>
      <w:r w:rsidR="00080BE8" w:rsidRPr="00815295">
        <w:rPr>
          <w:sz w:val="16"/>
          <w:szCs w:val="16"/>
        </w:rPr>
        <w:t xml:space="preserve"> </w:t>
      </w:r>
      <w:r w:rsidR="00F01B69" w:rsidRPr="00815295">
        <w:rPr>
          <w:sz w:val="16"/>
          <w:szCs w:val="16"/>
        </w:rPr>
        <w:t>Gladis</w:t>
      </w:r>
      <w:r w:rsidR="00923E31" w:rsidRPr="00815295">
        <w:rPr>
          <w:sz w:val="16"/>
          <w:szCs w:val="16"/>
        </w:rPr>
        <w:t xml:space="preserve"> Pérez de Castro y Teresa Pérez de Ramos</w:t>
      </w:r>
      <w:r w:rsidR="009A26B7" w:rsidRPr="00815295">
        <w:rPr>
          <w:sz w:val="16"/>
          <w:szCs w:val="16"/>
        </w:rPr>
        <w:t xml:space="preserve"> para que declaren como testigos</w:t>
      </w:r>
      <w:r w:rsidR="00923E31" w:rsidRPr="00815295">
        <w:rPr>
          <w:sz w:val="16"/>
          <w:szCs w:val="16"/>
        </w:rPr>
        <w:t xml:space="preserve"> (expediente de prueba, folio 1287).</w:t>
      </w:r>
    </w:p>
  </w:footnote>
  <w:footnote w:id="69">
    <w:p w14:paraId="4204B2F4" w14:textId="06F2C1B4" w:rsidR="007703D6" w:rsidRPr="00815295" w:rsidRDefault="007703D6"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00AD481B" w:rsidRPr="00815295">
        <w:rPr>
          <w:sz w:val="16"/>
          <w:szCs w:val="16"/>
        </w:rPr>
        <w:tab/>
      </w:r>
      <w:r w:rsidR="009A26B7" w:rsidRPr="00815295">
        <w:rPr>
          <w:i/>
          <w:iCs/>
          <w:sz w:val="16"/>
          <w:szCs w:val="16"/>
        </w:rPr>
        <w:t xml:space="preserve">Cfr. </w:t>
      </w:r>
      <w:r w:rsidR="001259C9" w:rsidRPr="00815295">
        <w:rPr>
          <w:sz w:val="16"/>
          <w:szCs w:val="16"/>
        </w:rPr>
        <w:t>Comunicación del Juzgado Cuarto de Paz a Juzgado Cuarto de lo Penal del Distrito Judicial de San Salvador</w:t>
      </w:r>
      <w:r w:rsidR="008350A6" w:rsidRPr="00815295">
        <w:rPr>
          <w:sz w:val="16"/>
          <w:szCs w:val="16"/>
        </w:rPr>
        <w:t>, de las 12 horas del día 18 de septiembre de 1982 (expediente de prueba, folio 1293).</w:t>
      </w:r>
    </w:p>
  </w:footnote>
  <w:footnote w:id="70">
    <w:p w14:paraId="29C354CD" w14:textId="50D875AB" w:rsidR="007703D6" w:rsidRPr="00815295" w:rsidRDefault="007703D6"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00AD481B" w:rsidRPr="00815295">
        <w:rPr>
          <w:sz w:val="16"/>
          <w:szCs w:val="16"/>
        </w:rPr>
        <w:tab/>
      </w:r>
      <w:r w:rsidR="00366DA8" w:rsidRPr="00815295">
        <w:rPr>
          <w:i/>
          <w:iCs/>
          <w:sz w:val="16"/>
          <w:szCs w:val="16"/>
        </w:rPr>
        <w:t>Cfr</w:t>
      </w:r>
      <w:r w:rsidR="00366DA8" w:rsidRPr="00815295">
        <w:rPr>
          <w:sz w:val="16"/>
          <w:szCs w:val="16"/>
        </w:rPr>
        <w:t>. Declaración de María Consuelo Cuéllar Cuéllar, rendida ante el Juzgado Cuarto de lo Penal de San Salvador, de 27 de octubre de 1982; Declaración de León Enrique Cuéllar Cuéllar, rendida ante el Juzgado Cuarto de lo Penal de San Salvador, de 27 de octubre de 1982, y Declaración de Teresa Pérez de Ramos, rendida ante el Juzgado Cuarto de lo Penal de San Salvador, de 20 de septiembre de 1983 (expediente de prueba, folios 1303 a 1323).</w:t>
      </w:r>
    </w:p>
  </w:footnote>
  <w:footnote w:id="71">
    <w:p w14:paraId="192F2358" w14:textId="447E5286" w:rsidR="00567996" w:rsidRPr="00E85844" w:rsidRDefault="00567996" w:rsidP="00567996">
      <w:pPr>
        <w:pStyle w:val="Textonotapie"/>
        <w:rPr>
          <w:sz w:val="16"/>
          <w:szCs w:val="16"/>
        </w:rPr>
      </w:pPr>
      <w:r w:rsidRPr="00E85844">
        <w:rPr>
          <w:rStyle w:val="Refdenotaalpie"/>
          <w:sz w:val="16"/>
          <w:szCs w:val="16"/>
        </w:rPr>
        <w:footnoteRef/>
      </w:r>
      <w:r w:rsidRPr="00E85844">
        <w:rPr>
          <w:sz w:val="16"/>
          <w:szCs w:val="16"/>
        </w:rPr>
        <w:t xml:space="preserve"> </w:t>
      </w:r>
      <w:r>
        <w:rPr>
          <w:sz w:val="16"/>
          <w:szCs w:val="16"/>
        </w:rPr>
        <w:tab/>
      </w:r>
      <w:r w:rsidRPr="00E85844">
        <w:rPr>
          <w:i/>
          <w:iCs/>
          <w:sz w:val="16"/>
          <w:szCs w:val="16"/>
        </w:rPr>
        <w:t>Cfr</w:t>
      </w:r>
      <w:r>
        <w:rPr>
          <w:sz w:val="16"/>
          <w:szCs w:val="16"/>
        </w:rPr>
        <w:t xml:space="preserve">. Comunicación remitida por el señor F.P., entonces Secretario de la Sala de lo Penal de la Corte Suprema de Justicia, mediante la cual remite al Juzgado Cuarto de lo Penal de San Salvador la certificación de lo resuelto en la solicitud de exhibición personal a favor de Patricia Cuéllar, Mauricio Cuéllar, y Julia </w:t>
      </w:r>
      <w:proofErr w:type="spellStart"/>
      <w:r>
        <w:rPr>
          <w:sz w:val="16"/>
          <w:szCs w:val="16"/>
        </w:rPr>
        <w:t>Orbelina</w:t>
      </w:r>
      <w:proofErr w:type="spellEnd"/>
      <w:r>
        <w:rPr>
          <w:sz w:val="16"/>
          <w:szCs w:val="16"/>
        </w:rPr>
        <w:t xml:space="preserve"> </w:t>
      </w:r>
      <w:proofErr w:type="spellStart"/>
      <w:r>
        <w:rPr>
          <w:sz w:val="16"/>
          <w:szCs w:val="16"/>
        </w:rPr>
        <w:t>Péres</w:t>
      </w:r>
      <w:proofErr w:type="spellEnd"/>
      <w:r>
        <w:rPr>
          <w:sz w:val="16"/>
          <w:szCs w:val="16"/>
        </w:rPr>
        <w:t>, de 4 de diciembre de 1982 (expediente de prueba, folio 1313).</w:t>
      </w:r>
    </w:p>
  </w:footnote>
  <w:footnote w:id="72">
    <w:p w14:paraId="59527B3F" w14:textId="4DE93742" w:rsidR="007703D6" w:rsidRPr="00815295" w:rsidRDefault="007703D6"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00AD481B" w:rsidRPr="00815295">
        <w:rPr>
          <w:sz w:val="16"/>
          <w:szCs w:val="16"/>
        </w:rPr>
        <w:tab/>
      </w:r>
      <w:r w:rsidR="000275EE" w:rsidRPr="00815295">
        <w:rPr>
          <w:i/>
          <w:iCs/>
          <w:sz w:val="16"/>
          <w:szCs w:val="16"/>
        </w:rPr>
        <w:t>Cfr</w:t>
      </w:r>
      <w:r w:rsidR="000275EE" w:rsidRPr="00815295">
        <w:rPr>
          <w:sz w:val="16"/>
          <w:szCs w:val="16"/>
        </w:rPr>
        <w:t xml:space="preserve">. Auto del Juzgado Cuarto de lo Penal de San Salvador, de las nueve horas y 55 minutos del 17 de diciembre de 1983, mediante la cual se archiva la causa respecto de la desaparición de Mauricio Cuéllar Cuéllar, Patricia Cuéllar Sandoval y Julia Orbelina Pérez (expediente de prueba, folio 1329). </w:t>
      </w:r>
    </w:p>
  </w:footnote>
  <w:footnote w:id="73">
    <w:p w14:paraId="2E1CA91A" w14:textId="77777777" w:rsidR="00567996" w:rsidRPr="00EB465B" w:rsidRDefault="00567996" w:rsidP="00567996">
      <w:pPr>
        <w:pStyle w:val="Textonotapie"/>
        <w:spacing w:before="40" w:after="40"/>
        <w:rPr>
          <w:sz w:val="16"/>
          <w:szCs w:val="16"/>
          <w:lang w:val="es-ES"/>
        </w:rPr>
      </w:pPr>
      <w:r w:rsidRPr="00EB465B">
        <w:rPr>
          <w:rStyle w:val="Refdenotaalpie"/>
          <w:sz w:val="16"/>
          <w:szCs w:val="16"/>
        </w:rPr>
        <w:footnoteRef/>
      </w:r>
      <w:r w:rsidRPr="00EB465B">
        <w:rPr>
          <w:sz w:val="16"/>
          <w:szCs w:val="16"/>
        </w:rPr>
        <w:t xml:space="preserve"> </w:t>
      </w:r>
      <w:r w:rsidRPr="00EB465B">
        <w:rPr>
          <w:sz w:val="16"/>
          <w:szCs w:val="16"/>
        </w:rPr>
        <w:tab/>
      </w:r>
      <w:r w:rsidRPr="00EB465B">
        <w:rPr>
          <w:i/>
          <w:iCs/>
          <w:sz w:val="16"/>
          <w:szCs w:val="16"/>
        </w:rPr>
        <w:t>Cfr</w:t>
      </w:r>
      <w:r w:rsidRPr="00EB465B">
        <w:rPr>
          <w:sz w:val="16"/>
          <w:szCs w:val="16"/>
        </w:rPr>
        <w:t xml:space="preserve">. Escrito de los fiscales J.C.L.B. y H.M.Q. dirigido al Juzgado Cuarto de Instrucción de San Salvador, de 20 de febrero de 2018 (expediente de prueba, folios 1353 a 1354). </w:t>
      </w:r>
    </w:p>
  </w:footnote>
  <w:footnote w:id="74">
    <w:p w14:paraId="1C90288F" w14:textId="77777777" w:rsidR="00567996" w:rsidRPr="00EB465B" w:rsidRDefault="00567996" w:rsidP="00567996">
      <w:pPr>
        <w:pStyle w:val="Textonotapie"/>
        <w:spacing w:before="40" w:after="40"/>
        <w:rPr>
          <w:sz w:val="16"/>
          <w:szCs w:val="16"/>
          <w:lang w:val="es-ES"/>
        </w:rPr>
      </w:pPr>
      <w:r w:rsidRPr="00EB465B">
        <w:rPr>
          <w:rStyle w:val="Refdenotaalpie"/>
          <w:sz w:val="16"/>
          <w:szCs w:val="16"/>
        </w:rPr>
        <w:footnoteRef/>
      </w:r>
      <w:r w:rsidRPr="00EB465B">
        <w:rPr>
          <w:sz w:val="16"/>
          <w:szCs w:val="16"/>
        </w:rPr>
        <w:t xml:space="preserve"> </w:t>
      </w:r>
      <w:r w:rsidRPr="00EB465B">
        <w:rPr>
          <w:sz w:val="16"/>
          <w:szCs w:val="16"/>
          <w:lang w:val="es-ES"/>
        </w:rPr>
        <w:tab/>
      </w:r>
      <w:r w:rsidRPr="00EB465B">
        <w:rPr>
          <w:i/>
          <w:iCs/>
          <w:sz w:val="16"/>
          <w:szCs w:val="16"/>
          <w:lang w:val="es-ES"/>
        </w:rPr>
        <w:t>Cfr</w:t>
      </w:r>
      <w:r w:rsidRPr="00EB465B">
        <w:rPr>
          <w:sz w:val="16"/>
          <w:szCs w:val="16"/>
          <w:lang w:val="es-ES"/>
        </w:rPr>
        <w:t>. Auto del Juzgado Cuarto de Instrucción de San Salvador de 22 de febrero de 2018 (expediente de prueba, folio 1357).</w:t>
      </w:r>
    </w:p>
  </w:footnote>
  <w:footnote w:id="75">
    <w:p w14:paraId="34E3A78D" w14:textId="2619E40C" w:rsidR="00736C76" w:rsidRPr="00815295" w:rsidRDefault="00736C76"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L.AB., Jueza Cuarta de Instrucción, Oficio No. 2546 de 08 de octubre de 2021, dirigido a la señora A.M., Viceministra de Relaciones Exteriores (expediente de prueba, folio 1908)</w:t>
      </w:r>
      <w:r w:rsidR="00293EA8" w:rsidRPr="00815295">
        <w:rPr>
          <w:sz w:val="16"/>
          <w:szCs w:val="16"/>
        </w:rPr>
        <w:t xml:space="preserve">. </w:t>
      </w:r>
    </w:p>
  </w:footnote>
  <w:footnote w:id="76">
    <w:p w14:paraId="39A07C9E" w14:textId="398F1CE5" w:rsidR="00293EA8" w:rsidRPr="00815295" w:rsidRDefault="00293EA8"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Auto del Juzgado Cuarto de Instrucción, de 8 de diciembre de 2021 (expediente de prueba, folio 1865).</w:t>
      </w:r>
      <w:r w:rsidR="004E0487" w:rsidRPr="00815295">
        <w:rPr>
          <w:sz w:val="16"/>
          <w:szCs w:val="16"/>
        </w:rPr>
        <w:t xml:space="preserve"> </w:t>
      </w:r>
    </w:p>
  </w:footnote>
  <w:footnote w:id="77">
    <w:p w14:paraId="77A2B81F" w14:textId="722DE102" w:rsidR="00293EA8" w:rsidRPr="00815295" w:rsidRDefault="00293EA8"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00567996" w:rsidRPr="00EB465B">
        <w:rPr>
          <w:sz w:val="16"/>
          <w:szCs w:val="16"/>
        </w:rPr>
        <w:t xml:space="preserve">En concreto, señalaron que se realizaron diligencias para entrevistar a los señores F.A. y B.G. quienes habrían realizado las diligencias de inspección de los lugares donde habrían ocurrido los hechos del caso. Las entrevistas no fueron posibles ya </w:t>
      </w:r>
      <w:r w:rsidR="00567996">
        <w:rPr>
          <w:sz w:val="16"/>
          <w:szCs w:val="16"/>
        </w:rPr>
        <w:t xml:space="preserve">que no fue </w:t>
      </w:r>
      <w:r w:rsidR="00567996" w:rsidRPr="00EB465B">
        <w:rPr>
          <w:sz w:val="16"/>
          <w:szCs w:val="16"/>
        </w:rPr>
        <w:t>posible ubicar a los señores F.A. y B.G.</w:t>
      </w:r>
      <w:r w:rsidR="00567996">
        <w:rPr>
          <w:sz w:val="16"/>
          <w:szCs w:val="16"/>
        </w:rPr>
        <w:t xml:space="preserve"> Asimismo, informaron sobre la solicitud de información efectuada a la Comisión de Búsqueda de Personas Adultas Desaparecidas en el Contexto del Conflicto Armado en El Salvador (CONABÚSQUEDA).</w:t>
      </w:r>
      <w:r w:rsidR="00567996" w:rsidRPr="00EB465B">
        <w:rPr>
          <w:sz w:val="16"/>
          <w:szCs w:val="16"/>
        </w:rPr>
        <w:t xml:space="preserve"> </w:t>
      </w:r>
      <w:r w:rsidR="00567996" w:rsidRPr="00EB465B">
        <w:rPr>
          <w:i/>
          <w:iCs/>
          <w:sz w:val="16"/>
          <w:szCs w:val="16"/>
        </w:rPr>
        <w:t>Cfr</w:t>
      </w:r>
      <w:r w:rsidR="00567996" w:rsidRPr="00EB465B">
        <w:rPr>
          <w:sz w:val="16"/>
          <w:szCs w:val="16"/>
        </w:rPr>
        <w:t>. Comunicación de los fiscales J.C.L.B. y M.A.M., de 13 de diciembre de 2021, dirigida al Juzgado Cuarto de Instrucción (expediente de prueba, folio 1873).</w:t>
      </w:r>
    </w:p>
  </w:footnote>
  <w:footnote w:id="78">
    <w:p w14:paraId="76D766DD" w14:textId="6AA15EA1" w:rsidR="004B0B55" w:rsidRPr="00815295" w:rsidRDefault="004B0B55" w:rsidP="00815295">
      <w:pPr>
        <w:pStyle w:val="Textonotapie"/>
        <w:spacing w:before="40" w:after="40"/>
        <w:rPr>
          <w:sz w:val="16"/>
          <w:szCs w:val="16"/>
          <w:lang w:val="es-ES"/>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w:t>
      </w:r>
      <w:r w:rsidR="00983A63" w:rsidRPr="00815295">
        <w:rPr>
          <w:sz w:val="16"/>
          <w:szCs w:val="16"/>
        </w:rPr>
        <w:t xml:space="preserve"> Denuncia de delitos de orden público presentados por IDHUCA ante el Fiscal General de la República, de 28 de marzo de 2003 (expediente de prueba, folios 178 a 188).</w:t>
      </w:r>
    </w:p>
  </w:footnote>
  <w:footnote w:id="79">
    <w:p w14:paraId="430D7296" w14:textId="15C88076" w:rsidR="004B0B55" w:rsidRPr="00815295" w:rsidRDefault="004B0B55" w:rsidP="00815295">
      <w:pPr>
        <w:pStyle w:val="Textonotapie"/>
        <w:spacing w:before="40" w:after="40"/>
        <w:rPr>
          <w:sz w:val="16"/>
          <w:szCs w:val="16"/>
          <w:lang w:val="es-ES"/>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Oficio del Fiscal F.C. dirigido al Juzgado Cuarto de lo Penal de San Salvador de 8 de septiembre de 2005 (expediente de prueba, folio 38).</w:t>
      </w:r>
    </w:p>
  </w:footnote>
  <w:footnote w:id="80">
    <w:p w14:paraId="775B2C20" w14:textId="75A01F4A" w:rsidR="00D350A0" w:rsidRPr="00815295" w:rsidRDefault="00D350A0" w:rsidP="00815295">
      <w:pPr>
        <w:pStyle w:val="Textonotapie"/>
        <w:spacing w:before="40" w:after="40"/>
        <w:rPr>
          <w:sz w:val="16"/>
          <w:szCs w:val="16"/>
          <w:lang w:val="es-ES"/>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Escrito de la fiscal C.N.P.P., dirigido al Juez Cuarto de Instrucción de San Salvador, de 28 de junio de 2011 (expediente de prueba, folio 1350).</w:t>
      </w:r>
    </w:p>
  </w:footnote>
  <w:footnote w:id="81">
    <w:p w14:paraId="1D30C325" w14:textId="44F45BF1" w:rsidR="00D350A0" w:rsidRPr="00815295" w:rsidRDefault="00D350A0" w:rsidP="00815295">
      <w:pPr>
        <w:pStyle w:val="Textonotapie"/>
        <w:spacing w:before="40" w:after="40"/>
        <w:rPr>
          <w:sz w:val="16"/>
          <w:szCs w:val="16"/>
          <w:lang w:val="es-ES"/>
        </w:rPr>
      </w:pPr>
      <w:r w:rsidRPr="00815295">
        <w:rPr>
          <w:rStyle w:val="Refdenotaalpie"/>
          <w:sz w:val="16"/>
          <w:szCs w:val="16"/>
        </w:rPr>
        <w:footnoteRef/>
      </w:r>
      <w:r w:rsidRPr="00815295">
        <w:rPr>
          <w:sz w:val="16"/>
          <w:szCs w:val="16"/>
        </w:rPr>
        <w:t xml:space="preserve"> </w:t>
      </w:r>
      <w:r w:rsidRPr="00815295">
        <w:rPr>
          <w:sz w:val="16"/>
          <w:szCs w:val="16"/>
        </w:rPr>
        <w:tab/>
      </w:r>
      <w:r w:rsidR="00567996" w:rsidRPr="00EB465B">
        <w:rPr>
          <w:i/>
          <w:iCs/>
          <w:sz w:val="16"/>
          <w:szCs w:val="16"/>
        </w:rPr>
        <w:t>Cfr</w:t>
      </w:r>
      <w:r w:rsidR="00567996" w:rsidRPr="00EB465B">
        <w:rPr>
          <w:sz w:val="16"/>
          <w:szCs w:val="16"/>
        </w:rPr>
        <w:t xml:space="preserve">. </w:t>
      </w:r>
      <w:r w:rsidR="00904C81" w:rsidRPr="00815295">
        <w:rPr>
          <w:sz w:val="16"/>
          <w:szCs w:val="16"/>
        </w:rPr>
        <w:t>Escrito de contestación del Estado, de 29 de noviembre de 2022 (expediente de fondo, folio 150).</w:t>
      </w:r>
    </w:p>
  </w:footnote>
  <w:footnote w:id="82">
    <w:p w14:paraId="2E862DFB" w14:textId="77777777" w:rsidR="00567996" w:rsidRPr="00EB465B" w:rsidRDefault="00567996" w:rsidP="00567996">
      <w:pPr>
        <w:pStyle w:val="Textonotapie"/>
        <w:spacing w:before="40" w:after="40"/>
        <w:rPr>
          <w:sz w:val="16"/>
          <w:szCs w:val="16"/>
          <w:lang w:val="es-ES"/>
        </w:rPr>
      </w:pPr>
      <w:r w:rsidRPr="00EB465B">
        <w:rPr>
          <w:rStyle w:val="Refdenotaalpie"/>
          <w:sz w:val="16"/>
          <w:szCs w:val="16"/>
        </w:rPr>
        <w:footnoteRef/>
      </w:r>
      <w:r w:rsidRPr="00EB465B">
        <w:rPr>
          <w:sz w:val="16"/>
          <w:szCs w:val="16"/>
        </w:rPr>
        <w:t xml:space="preserve"> </w:t>
      </w:r>
      <w:r w:rsidRPr="00EB465B">
        <w:rPr>
          <w:sz w:val="16"/>
          <w:szCs w:val="16"/>
        </w:rPr>
        <w:tab/>
      </w:r>
      <w:r w:rsidRPr="00EB465B">
        <w:rPr>
          <w:i/>
          <w:iCs/>
          <w:sz w:val="16"/>
          <w:szCs w:val="16"/>
        </w:rPr>
        <w:t>Cfr</w:t>
      </w:r>
      <w:r w:rsidRPr="00EB465B">
        <w:rPr>
          <w:sz w:val="16"/>
          <w:szCs w:val="16"/>
        </w:rPr>
        <w:t>. Escrito del señor Francisco Alfredo Álvarez Solís dirigido al Fiscal General de la República, Sr. D.M., de fecha 29 de junio de 2017, con sello de recibido de 30 de junio de 2017 (expediente de prueba, folios 1373 a 1382).</w:t>
      </w:r>
    </w:p>
  </w:footnote>
  <w:footnote w:id="83">
    <w:p w14:paraId="6C9ECA67" w14:textId="77777777" w:rsidR="00567996" w:rsidRPr="00EB465B" w:rsidRDefault="00567996" w:rsidP="00567996">
      <w:pPr>
        <w:pStyle w:val="Textonotapie"/>
        <w:spacing w:before="40" w:after="40"/>
        <w:rPr>
          <w:sz w:val="16"/>
          <w:szCs w:val="16"/>
          <w:lang w:val="es-ES"/>
        </w:rPr>
      </w:pPr>
      <w:r w:rsidRPr="00EB465B">
        <w:rPr>
          <w:rStyle w:val="Refdenotaalpie"/>
          <w:sz w:val="16"/>
          <w:szCs w:val="16"/>
        </w:rPr>
        <w:footnoteRef/>
      </w:r>
      <w:r w:rsidRPr="00EB465B">
        <w:rPr>
          <w:sz w:val="16"/>
          <w:szCs w:val="16"/>
        </w:rPr>
        <w:t xml:space="preserve"> </w:t>
      </w:r>
      <w:r w:rsidRPr="00EB465B">
        <w:rPr>
          <w:sz w:val="16"/>
          <w:szCs w:val="16"/>
        </w:rPr>
        <w:tab/>
      </w:r>
      <w:r>
        <w:rPr>
          <w:i/>
          <w:iCs/>
          <w:sz w:val="16"/>
          <w:szCs w:val="16"/>
        </w:rPr>
        <w:t xml:space="preserve">Cfr. </w:t>
      </w:r>
      <w:r w:rsidRPr="00EB465B">
        <w:rPr>
          <w:sz w:val="16"/>
          <w:szCs w:val="16"/>
        </w:rPr>
        <w:t>Escrito de contestación del Estado, de 29 de noviembre de 2022 (expediente de fondo, folio 150).</w:t>
      </w:r>
    </w:p>
  </w:footnote>
  <w:footnote w:id="84">
    <w:p w14:paraId="52130C4F" w14:textId="0919C9A3" w:rsidR="002F352D" w:rsidRPr="00815295" w:rsidRDefault="002F352D"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Comunicación de los fiscales J.C.L.B. y M.A.M., de 13 de diciembre de 2021, dirigida al Juzgado Cuarto de Instrucción (expediente de prueba, folio 1873).</w:t>
      </w:r>
    </w:p>
  </w:footnote>
  <w:footnote w:id="85">
    <w:p w14:paraId="51A68511" w14:textId="22A5DAB5" w:rsidR="00747872" w:rsidRPr="00815295" w:rsidRDefault="00747872"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Comunicación de los fiscales J.C.L.B. y M.A.M., de 13 de diciembre de 2021, dirigida al Juzgado Cuarto de Instrucción (expediente de prueba, folio 1873).</w:t>
      </w:r>
    </w:p>
  </w:footnote>
  <w:footnote w:id="86">
    <w:p w14:paraId="5D722CE0" w14:textId="2F82E92E" w:rsidR="00747872" w:rsidRPr="00815295" w:rsidRDefault="00747872"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xml:space="preserve">. Oficio de CONABÚSQUEDA, de 5 de noviembre de 2021 (expediente de prueba, folios 1885 a </w:t>
      </w:r>
      <w:r w:rsidR="00E92E20" w:rsidRPr="00815295">
        <w:rPr>
          <w:sz w:val="16"/>
          <w:szCs w:val="16"/>
        </w:rPr>
        <w:t>1888</w:t>
      </w:r>
      <w:r w:rsidRPr="00815295">
        <w:rPr>
          <w:sz w:val="16"/>
          <w:szCs w:val="16"/>
        </w:rPr>
        <w:t>)</w:t>
      </w:r>
      <w:r w:rsidR="00E92E20" w:rsidRPr="00815295">
        <w:rPr>
          <w:sz w:val="16"/>
          <w:szCs w:val="16"/>
        </w:rPr>
        <w:t>.</w:t>
      </w:r>
    </w:p>
  </w:footnote>
  <w:footnote w:id="87">
    <w:p w14:paraId="159D4F97" w14:textId="10BA5790" w:rsidR="00E810B3" w:rsidRPr="00815295" w:rsidRDefault="00E810B3" w:rsidP="00815295">
      <w:pPr>
        <w:pStyle w:val="Textonotapie"/>
        <w:spacing w:before="40" w:after="40"/>
        <w:rPr>
          <w:sz w:val="16"/>
          <w:szCs w:val="16"/>
          <w:lang w:val="es-ES"/>
        </w:rPr>
      </w:pPr>
      <w:r w:rsidRPr="00815295">
        <w:rPr>
          <w:rStyle w:val="Refdenotaalpie"/>
          <w:sz w:val="16"/>
          <w:szCs w:val="16"/>
        </w:rPr>
        <w:footnoteRef/>
      </w:r>
      <w:r w:rsidRPr="00815295">
        <w:rPr>
          <w:sz w:val="16"/>
          <w:szCs w:val="16"/>
        </w:rPr>
        <w:t xml:space="preserve"> </w:t>
      </w:r>
      <w:r w:rsidRPr="00815295">
        <w:rPr>
          <w:sz w:val="16"/>
          <w:szCs w:val="16"/>
        </w:rPr>
        <w:tab/>
      </w:r>
      <w:r w:rsidR="00567996" w:rsidRPr="00EB465B">
        <w:rPr>
          <w:i/>
          <w:iCs/>
          <w:sz w:val="16"/>
          <w:szCs w:val="16"/>
        </w:rPr>
        <w:t>Cfr. Caso Velásquez Rodríguez Vs. Honduras. Fondo</w:t>
      </w:r>
      <w:r w:rsidR="00567996">
        <w:rPr>
          <w:i/>
          <w:iCs/>
          <w:sz w:val="16"/>
          <w:szCs w:val="16"/>
        </w:rPr>
        <w:t xml:space="preserve">, supra, </w:t>
      </w:r>
      <w:r w:rsidR="00567996">
        <w:rPr>
          <w:sz w:val="16"/>
          <w:szCs w:val="16"/>
        </w:rPr>
        <w:t>párr. 163</w:t>
      </w:r>
      <w:r w:rsidR="00567996" w:rsidRPr="00EB465B">
        <w:rPr>
          <w:sz w:val="16"/>
          <w:szCs w:val="16"/>
        </w:rPr>
        <w:t xml:space="preserve">, y </w:t>
      </w:r>
      <w:r w:rsidR="00567996" w:rsidRPr="00E6306B">
        <w:rPr>
          <w:i/>
          <w:iCs/>
          <w:sz w:val="16"/>
          <w:szCs w:val="16"/>
        </w:rPr>
        <w:t xml:space="preserve">Caso Viteri Ungaretti y otros Vs. Ecuador. Excepciones Preliminares, Fondo, Reparaciones y Costas. </w:t>
      </w:r>
      <w:r w:rsidR="00567996" w:rsidRPr="00E85844">
        <w:rPr>
          <w:sz w:val="16"/>
          <w:szCs w:val="16"/>
        </w:rPr>
        <w:t>Sentencia de 27 de noviembre de 2023. Serie C No. 510</w:t>
      </w:r>
      <w:r w:rsidR="00567996" w:rsidRPr="00EB465B">
        <w:rPr>
          <w:sz w:val="16"/>
          <w:szCs w:val="16"/>
        </w:rPr>
        <w:t xml:space="preserve">, párr. </w:t>
      </w:r>
      <w:r w:rsidR="00567996">
        <w:rPr>
          <w:sz w:val="16"/>
          <w:szCs w:val="16"/>
        </w:rPr>
        <w:t>147</w:t>
      </w:r>
      <w:r w:rsidR="00567996" w:rsidRPr="00EB465B">
        <w:rPr>
          <w:sz w:val="16"/>
          <w:szCs w:val="16"/>
        </w:rPr>
        <w:t>.</w:t>
      </w:r>
    </w:p>
  </w:footnote>
  <w:footnote w:id="88">
    <w:p w14:paraId="7DF180F9" w14:textId="77BDA148" w:rsidR="009762ED" w:rsidRPr="00815295" w:rsidRDefault="009762ED" w:rsidP="00815295">
      <w:pPr>
        <w:pStyle w:val="Textonotapie"/>
        <w:spacing w:before="40" w:after="40"/>
        <w:rPr>
          <w:sz w:val="16"/>
          <w:szCs w:val="16"/>
        </w:rPr>
      </w:pPr>
      <w:r w:rsidRPr="00815295">
        <w:rPr>
          <w:rStyle w:val="Refdenotaalpie"/>
          <w:rFonts w:eastAsia="Batang"/>
          <w:sz w:val="16"/>
          <w:szCs w:val="16"/>
          <w:lang w:val="es-CR"/>
        </w:rPr>
        <w:footnoteRef/>
      </w:r>
      <w:r w:rsidRPr="00815295">
        <w:rPr>
          <w:sz w:val="16"/>
          <w:szCs w:val="16"/>
        </w:rPr>
        <w:t xml:space="preserve"> </w:t>
      </w:r>
      <w:r w:rsidRPr="00815295">
        <w:rPr>
          <w:sz w:val="16"/>
          <w:szCs w:val="16"/>
        </w:rPr>
        <w:tab/>
        <w:t>Artículos 3, 4, 5</w:t>
      </w:r>
      <w:r w:rsidR="00682DEB" w:rsidRPr="00815295">
        <w:rPr>
          <w:sz w:val="16"/>
          <w:szCs w:val="16"/>
        </w:rPr>
        <w:t xml:space="preserve">, </w:t>
      </w:r>
      <w:r w:rsidRPr="00815295">
        <w:rPr>
          <w:sz w:val="16"/>
          <w:szCs w:val="16"/>
        </w:rPr>
        <w:t>7</w:t>
      </w:r>
      <w:r w:rsidR="00682DEB" w:rsidRPr="00815295">
        <w:rPr>
          <w:sz w:val="16"/>
          <w:szCs w:val="16"/>
        </w:rPr>
        <w:t>, 13 y 16</w:t>
      </w:r>
      <w:r w:rsidRPr="00815295">
        <w:rPr>
          <w:sz w:val="16"/>
          <w:szCs w:val="16"/>
        </w:rPr>
        <w:t xml:space="preserve"> de la Convención Americana, en relación con el artículo 1.1 del mismo </w:t>
      </w:r>
      <w:r w:rsidR="00F96640" w:rsidRPr="00815295">
        <w:rPr>
          <w:sz w:val="16"/>
          <w:szCs w:val="16"/>
        </w:rPr>
        <w:t>i</w:t>
      </w:r>
      <w:r w:rsidRPr="00815295">
        <w:rPr>
          <w:sz w:val="16"/>
          <w:szCs w:val="16"/>
        </w:rPr>
        <w:t>nstrumento.</w:t>
      </w:r>
      <w:r w:rsidR="00765CC5" w:rsidRPr="00815295">
        <w:rPr>
          <w:sz w:val="16"/>
          <w:szCs w:val="16"/>
        </w:rPr>
        <w:t xml:space="preserve"> </w:t>
      </w:r>
    </w:p>
  </w:footnote>
  <w:footnote w:id="89">
    <w:p w14:paraId="34EDDCE0" w14:textId="5024C881" w:rsidR="009762ED" w:rsidRPr="00815295" w:rsidRDefault="009762ED" w:rsidP="00815295">
      <w:pPr>
        <w:pStyle w:val="Textonotapie"/>
        <w:spacing w:before="40" w:after="40"/>
        <w:rPr>
          <w:bCs/>
          <w:sz w:val="16"/>
          <w:szCs w:val="16"/>
        </w:rPr>
      </w:pPr>
      <w:r w:rsidRPr="00815295">
        <w:rPr>
          <w:rStyle w:val="Refdenotaalpie"/>
          <w:rFonts w:eastAsia="Batang"/>
          <w:sz w:val="16"/>
          <w:szCs w:val="16"/>
          <w:lang w:val="es-CR"/>
        </w:rPr>
        <w:footnoteRef/>
      </w:r>
      <w:r w:rsidRPr="00815295">
        <w:rPr>
          <w:sz w:val="16"/>
          <w:szCs w:val="16"/>
        </w:rPr>
        <w:t xml:space="preserve"> </w:t>
      </w:r>
      <w:r w:rsidRPr="00815295">
        <w:rPr>
          <w:sz w:val="16"/>
          <w:szCs w:val="16"/>
        </w:rPr>
        <w:tab/>
      </w:r>
      <w:r w:rsidR="00567996" w:rsidRPr="00EB465B">
        <w:rPr>
          <w:rFonts w:cs="Arial"/>
          <w:i/>
          <w:sz w:val="16"/>
          <w:szCs w:val="16"/>
        </w:rPr>
        <w:t xml:space="preserve">Cfr. </w:t>
      </w:r>
      <w:r w:rsidR="00567996" w:rsidRPr="00EB465B">
        <w:rPr>
          <w:i/>
          <w:iCs/>
          <w:sz w:val="16"/>
          <w:szCs w:val="16"/>
        </w:rPr>
        <w:t>Caso Velásquez Rodríguez Vs. Honduras. Fondo</w:t>
      </w:r>
      <w:r w:rsidR="00567996" w:rsidRPr="00EB465B">
        <w:rPr>
          <w:sz w:val="16"/>
          <w:szCs w:val="16"/>
        </w:rPr>
        <w:t xml:space="preserve">, </w:t>
      </w:r>
      <w:r w:rsidR="00567996" w:rsidRPr="00EB465B">
        <w:rPr>
          <w:i/>
          <w:iCs/>
          <w:sz w:val="16"/>
          <w:szCs w:val="16"/>
        </w:rPr>
        <w:t>supra</w:t>
      </w:r>
      <w:r w:rsidR="00567996" w:rsidRPr="00EB465B">
        <w:rPr>
          <w:sz w:val="16"/>
          <w:szCs w:val="16"/>
        </w:rPr>
        <w:t xml:space="preserve">, párrs. 155 a 157 y </w:t>
      </w:r>
      <w:r w:rsidR="00567996" w:rsidRPr="00211D73">
        <w:rPr>
          <w:i/>
          <w:sz w:val="16"/>
          <w:szCs w:val="16"/>
        </w:rPr>
        <w:t xml:space="preserve">Caso Tabares Toro y otros Vs. Colombia. </w:t>
      </w:r>
      <w:r w:rsidR="00567996" w:rsidRPr="00E85844">
        <w:rPr>
          <w:iCs/>
          <w:sz w:val="16"/>
          <w:szCs w:val="16"/>
        </w:rPr>
        <w:t>Fondo, Reparaciones y Costas. Sentencia de 23 de mayo de 2023. Serie C No. 491, párr. 71.</w:t>
      </w:r>
      <w:r w:rsidR="00567996">
        <w:rPr>
          <w:i/>
          <w:sz w:val="16"/>
          <w:szCs w:val="16"/>
        </w:rPr>
        <w:t xml:space="preserve"> </w:t>
      </w:r>
    </w:p>
  </w:footnote>
  <w:footnote w:id="90">
    <w:p w14:paraId="243F4023" w14:textId="6140CC66" w:rsidR="009762ED" w:rsidRPr="00815295" w:rsidRDefault="009762ED" w:rsidP="00815295">
      <w:pPr>
        <w:pStyle w:val="Textonotapie"/>
        <w:spacing w:before="40" w:after="40"/>
        <w:rPr>
          <w:sz w:val="16"/>
          <w:szCs w:val="16"/>
        </w:rPr>
      </w:pPr>
      <w:r w:rsidRPr="00815295">
        <w:rPr>
          <w:rStyle w:val="Refdenotaalpie"/>
          <w:rFonts w:eastAsia="Batang"/>
          <w:sz w:val="16"/>
          <w:szCs w:val="16"/>
          <w:lang w:val="es-CR"/>
        </w:rPr>
        <w:footnoteRef/>
      </w:r>
      <w:r w:rsidRPr="00815295">
        <w:rPr>
          <w:sz w:val="16"/>
          <w:szCs w:val="16"/>
        </w:rPr>
        <w:t xml:space="preserve"> </w:t>
      </w:r>
      <w:r w:rsidRPr="00815295">
        <w:rPr>
          <w:sz w:val="16"/>
          <w:szCs w:val="16"/>
        </w:rPr>
        <w:tab/>
      </w:r>
      <w:r w:rsidR="00567996" w:rsidRPr="00EB465B">
        <w:rPr>
          <w:i/>
          <w:sz w:val="16"/>
          <w:szCs w:val="16"/>
        </w:rPr>
        <w:t>Cfr. Caso Gómez Palomino Vs. Perú. Fondo, Reparaciones y Costas.</w:t>
      </w:r>
      <w:r w:rsidR="00567996" w:rsidRPr="00EB465B">
        <w:rPr>
          <w:sz w:val="16"/>
          <w:szCs w:val="16"/>
        </w:rPr>
        <w:t xml:space="preserve"> Sentencia de 22 de noviembre de 2005. Serie C No. 136, párr. 97 y </w:t>
      </w:r>
      <w:r w:rsidR="00567996" w:rsidRPr="00211D73">
        <w:rPr>
          <w:i/>
          <w:sz w:val="16"/>
          <w:szCs w:val="16"/>
        </w:rPr>
        <w:t>Caso Tabares Toro y otros Vs. Colombia</w:t>
      </w:r>
      <w:r w:rsidR="00567996">
        <w:rPr>
          <w:i/>
          <w:sz w:val="16"/>
          <w:szCs w:val="16"/>
        </w:rPr>
        <w:t xml:space="preserve">, supra, </w:t>
      </w:r>
      <w:r w:rsidR="00567996">
        <w:rPr>
          <w:iCs/>
          <w:sz w:val="16"/>
          <w:szCs w:val="16"/>
        </w:rPr>
        <w:t>párr. 71.</w:t>
      </w:r>
    </w:p>
  </w:footnote>
  <w:footnote w:id="91">
    <w:p w14:paraId="298C527D" w14:textId="77777777" w:rsidR="009762ED" w:rsidRPr="00815295" w:rsidRDefault="009762ED" w:rsidP="00815295">
      <w:pPr>
        <w:pStyle w:val="Textonotapie"/>
        <w:spacing w:before="40" w:after="40"/>
        <w:rPr>
          <w:sz w:val="16"/>
          <w:szCs w:val="16"/>
        </w:rPr>
      </w:pPr>
      <w:r w:rsidRPr="00815295">
        <w:rPr>
          <w:rStyle w:val="Refdenotaalpie"/>
          <w:rFonts w:eastAsia="Batang"/>
          <w:sz w:val="16"/>
          <w:szCs w:val="16"/>
          <w:lang w:val="es-CR"/>
        </w:rPr>
        <w:footnoteRef/>
      </w:r>
      <w:r w:rsidRPr="00815295">
        <w:rPr>
          <w:sz w:val="16"/>
          <w:szCs w:val="16"/>
        </w:rPr>
        <w:t xml:space="preserve"> </w:t>
      </w:r>
      <w:r w:rsidRPr="00815295">
        <w:rPr>
          <w:sz w:val="16"/>
          <w:szCs w:val="16"/>
        </w:rPr>
        <w:tab/>
      </w:r>
      <w:r w:rsidRPr="00815295">
        <w:rPr>
          <w:i/>
          <w:sz w:val="16"/>
          <w:szCs w:val="16"/>
        </w:rPr>
        <w:t xml:space="preserve">Cfr. </w:t>
      </w:r>
      <w:r w:rsidRPr="00815295">
        <w:rPr>
          <w:sz w:val="16"/>
          <w:szCs w:val="16"/>
        </w:rPr>
        <w:t>Convención Interamericana sobre Desaparición Forzada de Personas. Artículo II.</w:t>
      </w:r>
    </w:p>
  </w:footnote>
  <w:footnote w:id="92">
    <w:p w14:paraId="07453BBD" w14:textId="77777777" w:rsidR="009762ED" w:rsidRPr="00815295" w:rsidRDefault="009762ED" w:rsidP="00815295">
      <w:pPr>
        <w:pStyle w:val="Textonotapie"/>
        <w:spacing w:before="40" w:after="40"/>
        <w:rPr>
          <w:sz w:val="16"/>
          <w:szCs w:val="16"/>
        </w:rPr>
      </w:pPr>
      <w:r w:rsidRPr="00815295">
        <w:rPr>
          <w:rStyle w:val="Refdenotaalpie"/>
          <w:rFonts w:eastAsia="Batang"/>
          <w:sz w:val="16"/>
          <w:szCs w:val="16"/>
          <w:lang w:val="es-CR"/>
        </w:rPr>
        <w:footnoteRef/>
      </w:r>
      <w:r w:rsidRPr="00815295">
        <w:rPr>
          <w:sz w:val="16"/>
          <w:szCs w:val="16"/>
        </w:rPr>
        <w:t xml:space="preserve"> </w:t>
      </w:r>
      <w:r w:rsidRPr="00815295">
        <w:rPr>
          <w:sz w:val="16"/>
          <w:szCs w:val="16"/>
        </w:rPr>
        <w:tab/>
      </w:r>
      <w:r w:rsidRPr="00815295">
        <w:rPr>
          <w:i/>
          <w:sz w:val="16"/>
          <w:szCs w:val="16"/>
        </w:rPr>
        <w:t xml:space="preserve">Cfr. </w:t>
      </w:r>
      <w:r w:rsidRPr="00815295">
        <w:rPr>
          <w:sz w:val="16"/>
          <w:szCs w:val="16"/>
        </w:rPr>
        <w:t>Estatuto de Roma. Artículo 7.1.i.</w:t>
      </w:r>
    </w:p>
  </w:footnote>
  <w:footnote w:id="93">
    <w:p w14:paraId="0611693A" w14:textId="77777777" w:rsidR="009762ED" w:rsidRPr="00815295" w:rsidRDefault="009762ED" w:rsidP="00815295">
      <w:pPr>
        <w:pStyle w:val="Textonotapie"/>
        <w:spacing w:before="40" w:after="40"/>
        <w:rPr>
          <w:sz w:val="16"/>
          <w:szCs w:val="16"/>
        </w:rPr>
      </w:pPr>
      <w:r w:rsidRPr="00815295">
        <w:rPr>
          <w:rStyle w:val="Refdenotaalpie"/>
          <w:rFonts w:eastAsia="Batang"/>
          <w:sz w:val="16"/>
          <w:szCs w:val="16"/>
          <w:lang w:val="es-CR"/>
        </w:rPr>
        <w:footnoteRef/>
      </w:r>
      <w:r w:rsidRPr="00815295">
        <w:rPr>
          <w:sz w:val="16"/>
          <w:szCs w:val="16"/>
        </w:rPr>
        <w:t xml:space="preserve"> </w:t>
      </w:r>
      <w:r w:rsidRPr="00815295">
        <w:rPr>
          <w:sz w:val="16"/>
          <w:szCs w:val="16"/>
        </w:rPr>
        <w:tab/>
      </w:r>
      <w:r w:rsidRPr="00815295">
        <w:rPr>
          <w:i/>
          <w:sz w:val="16"/>
          <w:szCs w:val="16"/>
        </w:rPr>
        <w:t xml:space="preserve">Cfr. </w:t>
      </w:r>
      <w:r w:rsidRPr="00815295">
        <w:rPr>
          <w:sz w:val="16"/>
          <w:szCs w:val="16"/>
        </w:rPr>
        <w:t>Consejo de Derechos Humanos. Informe del Grupo de Trabajo sobre las Desapariciones Forzadas o Involuntarias. Mejores prácticas de la legislación penal nacional en materia de desapariciones forzadas. A/HRC/16/48/Add.3, 28 de diciembre de 2010, párrs. 21-32.</w:t>
      </w:r>
    </w:p>
  </w:footnote>
  <w:footnote w:id="94">
    <w:p w14:paraId="64FE85F3" w14:textId="654431AD" w:rsidR="009762ED" w:rsidRPr="00815295" w:rsidRDefault="009762ED" w:rsidP="00815295">
      <w:pPr>
        <w:pStyle w:val="Textonotapie"/>
        <w:spacing w:before="40" w:after="40"/>
        <w:rPr>
          <w:sz w:val="16"/>
          <w:szCs w:val="16"/>
        </w:rPr>
      </w:pPr>
      <w:r w:rsidRPr="00815295">
        <w:rPr>
          <w:rStyle w:val="Refdenotaalpie"/>
          <w:rFonts w:eastAsia="Batang"/>
          <w:sz w:val="16"/>
          <w:szCs w:val="16"/>
          <w:lang w:val="es-CR"/>
        </w:rPr>
        <w:footnoteRef/>
      </w:r>
      <w:r w:rsidRPr="00815295">
        <w:rPr>
          <w:sz w:val="16"/>
          <w:szCs w:val="16"/>
        </w:rPr>
        <w:t xml:space="preserve"> </w:t>
      </w:r>
      <w:r w:rsidRPr="00815295">
        <w:rPr>
          <w:sz w:val="16"/>
          <w:szCs w:val="16"/>
        </w:rPr>
        <w:tab/>
      </w:r>
      <w:r w:rsidR="00567996" w:rsidRPr="00EB465B">
        <w:rPr>
          <w:i/>
          <w:sz w:val="16"/>
          <w:szCs w:val="16"/>
        </w:rPr>
        <w:t xml:space="preserve">Cfr. </w:t>
      </w:r>
      <w:r w:rsidR="00567996" w:rsidRPr="00EB465B">
        <w:rPr>
          <w:sz w:val="16"/>
          <w:szCs w:val="16"/>
        </w:rPr>
        <w:t xml:space="preserve">TEDH, </w:t>
      </w:r>
      <w:r w:rsidR="00567996" w:rsidRPr="00EB465B">
        <w:rPr>
          <w:i/>
          <w:iCs/>
          <w:sz w:val="16"/>
          <w:szCs w:val="16"/>
        </w:rPr>
        <w:t>Chipre vs. Turquía</w:t>
      </w:r>
      <w:r w:rsidR="00567996" w:rsidRPr="00EB465B">
        <w:rPr>
          <w:sz w:val="16"/>
          <w:szCs w:val="16"/>
        </w:rPr>
        <w:t xml:space="preserve"> [GS], No</w:t>
      </w:r>
      <w:r w:rsidR="00567996">
        <w:rPr>
          <w:sz w:val="16"/>
          <w:szCs w:val="16"/>
        </w:rPr>
        <w:t>.</w:t>
      </w:r>
      <w:r w:rsidR="00567996" w:rsidRPr="00EB465B">
        <w:rPr>
          <w:sz w:val="16"/>
          <w:szCs w:val="16"/>
        </w:rPr>
        <w:t xml:space="preserve"> 25781/94, Sentencia de 10 de mayo de 2001, párrs. 132 a 134 y 147 a 148</w:t>
      </w:r>
      <w:r w:rsidR="00567996" w:rsidRPr="0086466A">
        <w:rPr>
          <w:sz w:val="16"/>
          <w:szCs w:val="16"/>
        </w:rPr>
        <w:t>;</w:t>
      </w:r>
      <w:r w:rsidR="00567996">
        <w:rPr>
          <w:i/>
          <w:iCs/>
          <w:sz w:val="16"/>
          <w:szCs w:val="16"/>
        </w:rPr>
        <w:t xml:space="preserve"> </w:t>
      </w:r>
      <w:r w:rsidR="00567996" w:rsidRPr="00EB465B">
        <w:rPr>
          <w:i/>
          <w:iCs/>
          <w:sz w:val="16"/>
          <w:szCs w:val="16"/>
        </w:rPr>
        <w:t>Varnava y otros vs. Turquía</w:t>
      </w:r>
      <w:r w:rsidR="00567996" w:rsidRPr="00EB465B">
        <w:rPr>
          <w:sz w:val="16"/>
          <w:szCs w:val="16"/>
        </w:rPr>
        <w:t xml:space="preserve"> [GS], Nos. 16064/90, 16065/90, 16066/90, 16068/90, 16069/90, 16070/90, 16071/90, 16072/90 y 16073/90, </w:t>
      </w:r>
      <w:r w:rsidR="00567996">
        <w:rPr>
          <w:sz w:val="16"/>
          <w:szCs w:val="16"/>
        </w:rPr>
        <w:t xml:space="preserve">Sentencia de </w:t>
      </w:r>
      <w:r w:rsidR="00567996" w:rsidRPr="00EB465B">
        <w:rPr>
          <w:sz w:val="16"/>
          <w:szCs w:val="16"/>
        </w:rPr>
        <w:t>10 de enero de 2008</w:t>
      </w:r>
      <w:r w:rsidR="00567996">
        <w:rPr>
          <w:sz w:val="16"/>
          <w:szCs w:val="16"/>
        </w:rPr>
        <w:t xml:space="preserve">, párrs. </w:t>
      </w:r>
      <w:r w:rsidR="00567996" w:rsidRPr="00881162">
        <w:rPr>
          <w:sz w:val="16"/>
          <w:szCs w:val="16"/>
        </w:rPr>
        <w:t xml:space="preserve">111 a 113, 117, 118, 133, 138 y 145; </w:t>
      </w:r>
      <w:r w:rsidR="00567996" w:rsidRPr="00E85844">
        <w:rPr>
          <w:i/>
          <w:iCs/>
          <w:sz w:val="16"/>
          <w:szCs w:val="16"/>
        </w:rPr>
        <w:t>Caso El-</w:t>
      </w:r>
      <w:proofErr w:type="spellStart"/>
      <w:r w:rsidR="00567996" w:rsidRPr="00E85844">
        <w:rPr>
          <w:i/>
          <w:iCs/>
          <w:sz w:val="16"/>
          <w:szCs w:val="16"/>
        </w:rPr>
        <w:t>Masri</w:t>
      </w:r>
      <w:proofErr w:type="spellEnd"/>
      <w:r w:rsidR="00567996" w:rsidRPr="00E85844">
        <w:rPr>
          <w:i/>
          <w:iCs/>
          <w:sz w:val="16"/>
          <w:szCs w:val="16"/>
        </w:rPr>
        <w:t xml:space="preserve"> Vs. </w:t>
      </w:r>
      <w:proofErr w:type="gramStart"/>
      <w:r w:rsidR="00567996" w:rsidRPr="00E85844">
        <w:rPr>
          <w:i/>
          <w:iCs/>
          <w:sz w:val="16"/>
          <w:szCs w:val="16"/>
        </w:rPr>
        <w:t>Ex República</w:t>
      </w:r>
      <w:proofErr w:type="gramEnd"/>
      <w:r w:rsidR="00567996" w:rsidRPr="00E85844">
        <w:rPr>
          <w:i/>
          <w:iCs/>
          <w:sz w:val="16"/>
          <w:szCs w:val="16"/>
        </w:rPr>
        <w:t xml:space="preserve"> Yugoslava de Macedonia</w:t>
      </w:r>
      <w:r w:rsidR="00567996" w:rsidRPr="00881162">
        <w:rPr>
          <w:sz w:val="16"/>
          <w:szCs w:val="16"/>
        </w:rPr>
        <w:t xml:space="preserve"> [GS], No. 39630/09. Sentencia de 13 de diciembre de 2012, párrs. 240 y 241, y </w:t>
      </w:r>
      <w:r w:rsidR="00567996" w:rsidRPr="00E85844">
        <w:rPr>
          <w:i/>
          <w:iCs/>
          <w:sz w:val="16"/>
          <w:szCs w:val="16"/>
        </w:rPr>
        <w:t xml:space="preserve">Caso </w:t>
      </w:r>
      <w:proofErr w:type="spellStart"/>
      <w:r w:rsidR="00567996" w:rsidRPr="00E85844">
        <w:rPr>
          <w:i/>
          <w:iCs/>
          <w:sz w:val="16"/>
          <w:szCs w:val="16"/>
        </w:rPr>
        <w:t>Aslakhanova</w:t>
      </w:r>
      <w:proofErr w:type="spellEnd"/>
      <w:r w:rsidR="00567996" w:rsidRPr="00E85844">
        <w:rPr>
          <w:i/>
          <w:iCs/>
          <w:sz w:val="16"/>
          <w:szCs w:val="16"/>
        </w:rPr>
        <w:t xml:space="preserve"> y otros Vs. Rusia</w:t>
      </w:r>
      <w:r w:rsidR="00567996" w:rsidRPr="00881162">
        <w:rPr>
          <w:sz w:val="16"/>
          <w:szCs w:val="16"/>
        </w:rPr>
        <w:t>, No. 2944/06, 8300/07, 50184/07, 332/08 y 42509/10. Sentencia de 18 de diciembre de 2012, párrs. 122, 131 y 132.</w:t>
      </w:r>
    </w:p>
  </w:footnote>
  <w:footnote w:id="95">
    <w:p w14:paraId="136597BE" w14:textId="72D692F1" w:rsidR="009762ED" w:rsidRPr="00815295" w:rsidRDefault="009762ED" w:rsidP="00815295">
      <w:pPr>
        <w:pStyle w:val="Textonotapie"/>
        <w:spacing w:before="40" w:after="40"/>
        <w:rPr>
          <w:sz w:val="16"/>
          <w:szCs w:val="16"/>
        </w:rPr>
      </w:pPr>
      <w:r w:rsidRPr="00815295">
        <w:rPr>
          <w:rStyle w:val="Refdenotaalpie"/>
          <w:rFonts w:eastAsia="Batang"/>
          <w:sz w:val="16"/>
          <w:szCs w:val="16"/>
          <w:lang w:val="es-CR"/>
        </w:rPr>
        <w:footnoteRef/>
      </w:r>
      <w:r w:rsidRPr="00815295">
        <w:rPr>
          <w:sz w:val="16"/>
          <w:szCs w:val="16"/>
        </w:rPr>
        <w:t xml:space="preserve"> </w:t>
      </w:r>
      <w:r w:rsidRPr="00815295">
        <w:rPr>
          <w:sz w:val="16"/>
          <w:szCs w:val="16"/>
        </w:rPr>
        <w:tab/>
      </w:r>
      <w:r w:rsidR="00567996" w:rsidRPr="00EB465B">
        <w:rPr>
          <w:i/>
          <w:sz w:val="16"/>
          <w:szCs w:val="16"/>
        </w:rPr>
        <w:t>Cfr.</w:t>
      </w:r>
      <w:r w:rsidR="00567996" w:rsidRPr="00EB465B">
        <w:rPr>
          <w:sz w:val="16"/>
          <w:szCs w:val="16"/>
        </w:rPr>
        <w:t xml:space="preserve"> Comité de Derechos Humanos, </w:t>
      </w:r>
      <w:r w:rsidR="00567996" w:rsidRPr="00EB465B">
        <w:rPr>
          <w:i/>
          <w:sz w:val="16"/>
          <w:szCs w:val="16"/>
        </w:rPr>
        <w:t xml:space="preserve">Nydia Erika Bautista de Arellana vs. Colombia </w:t>
      </w:r>
      <w:r w:rsidR="00567996" w:rsidRPr="00EB465B">
        <w:rPr>
          <w:sz w:val="16"/>
          <w:szCs w:val="16"/>
        </w:rPr>
        <w:t>(Comunicación No. 563/1993)</w:t>
      </w:r>
      <w:r w:rsidR="00567996" w:rsidRPr="00EB465B">
        <w:rPr>
          <w:i/>
          <w:sz w:val="16"/>
          <w:szCs w:val="16"/>
        </w:rPr>
        <w:t xml:space="preserve">, </w:t>
      </w:r>
      <w:r w:rsidR="00567996" w:rsidRPr="00EB465B">
        <w:rPr>
          <w:sz w:val="16"/>
          <w:szCs w:val="16"/>
        </w:rPr>
        <w:t xml:space="preserve">UN. Doc. CCPR/C/55/D/563/1993, 13 de noviembre de 1995, párrs. 8.3 a 8.6, y Comité de Derechos Humanos, </w:t>
      </w:r>
      <w:r w:rsidR="00567996" w:rsidRPr="00EB465B">
        <w:rPr>
          <w:i/>
          <w:sz w:val="16"/>
          <w:szCs w:val="16"/>
        </w:rPr>
        <w:t xml:space="preserve">Messaouda Grioua y Mohamed Grioua Vs. Algeria </w:t>
      </w:r>
      <w:r w:rsidR="00567996" w:rsidRPr="00EB465B">
        <w:rPr>
          <w:sz w:val="16"/>
          <w:szCs w:val="16"/>
        </w:rPr>
        <w:t>(Comunicación No. 1327/2004), UN Doc. CCPR/C/90/D/1327/2004, 10 de julio de 2007, párr. 7.2, 7.5 a 7.9.</w:t>
      </w:r>
      <w:r w:rsidR="00ED1B1A">
        <w:rPr>
          <w:sz w:val="16"/>
          <w:szCs w:val="16"/>
        </w:rPr>
        <w:t xml:space="preserve"> </w:t>
      </w:r>
      <w:r w:rsidR="00567996">
        <w:rPr>
          <w:sz w:val="16"/>
          <w:szCs w:val="16"/>
        </w:rPr>
        <w:t xml:space="preserve">Asimismo ver: Comisión Africana sobre Derechos Humanos y de los Pueblos, </w:t>
      </w:r>
      <w:r w:rsidR="00567996" w:rsidRPr="005F2C71">
        <w:rPr>
          <w:sz w:val="16"/>
          <w:szCs w:val="16"/>
        </w:rPr>
        <w:t>Directrices sobre la protección de todas las personas contra las desapariciones forzadas en África</w:t>
      </w:r>
      <w:r w:rsidR="00567996">
        <w:rPr>
          <w:sz w:val="16"/>
          <w:szCs w:val="16"/>
        </w:rPr>
        <w:t xml:space="preserve"> (</w:t>
      </w:r>
      <w:proofErr w:type="spellStart"/>
      <w:r w:rsidR="00567996" w:rsidRPr="005F2C71">
        <w:rPr>
          <w:sz w:val="16"/>
          <w:szCs w:val="16"/>
        </w:rPr>
        <w:t>Guidelines</w:t>
      </w:r>
      <w:proofErr w:type="spellEnd"/>
      <w:r w:rsidR="00567996" w:rsidRPr="005F2C71">
        <w:rPr>
          <w:sz w:val="16"/>
          <w:szCs w:val="16"/>
        </w:rPr>
        <w:t xml:space="preserve"> </w:t>
      </w:r>
      <w:proofErr w:type="spellStart"/>
      <w:r w:rsidR="00567996" w:rsidRPr="005F2C71">
        <w:rPr>
          <w:sz w:val="16"/>
          <w:szCs w:val="16"/>
        </w:rPr>
        <w:t>on</w:t>
      </w:r>
      <w:proofErr w:type="spellEnd"/>
      <w:r w:rsidR="00567996" w:rsidRPr="005F2C71">
        <w:rPr>
          <w:sz w:val="16"/>
          <w:szCs w:val="16"/>
        </w:rPr>
        <w:t xml:space="preserve"> </w:t>
      </w:r>
      <w:proofErr w:type="spellStart"/>
      <w:r w:rsidR="00567996" w:rsidRPr="005F2C71">
        <w:rPr>
          <w:sz w:val="16"/>
          <w:szCs w:val="16"/>
        </w:rPr>
        <w:t>the</w:t>
      </w:r>
      <w:proofErr w:type="spellEnd"/>
      <w:r w:rsidR="00567996" w:rsidRPr="005F2C71">
        <w:rPr>
          <w:sz w:val="16"/>
          <w:szCs w:val="16"/>
        </w:rPr>
        <w:t xml:space="preserve"> </w:t>
      </w:r>
      <w:proofErr w:type="spellStart"/>
      <w:r w:rsidR="00567996" w:rsidRPr="005F2C71">
        <w:rPr>
          <w:sz w:val="16"/>
          <w:szCs w:val="16"/>
        </w:rPr>
        <w:t>Protection</w:t>
      </w:r>
      <w:proofErr w:type="spellEnd"/>
      <w:r w:rsidR="00567996" w:rsidRPr="005F2C71">
        <w:rPr>
          <w:sz w:val="16"/>
          <w:szCs w:val="16"/>
        </w:rPr>
        <w:t xml:space="preserve"> </w:t>
      </w:r>
      <w:proofErr w:type="spellStart"/>
      <w:r w:rsidR="00567996" w:rsidRPr="005F2C71">
        <w:rPr>
          <w:sz w:val="16"/>
          <w:szCs w:val="16"/>
        </w:rPr>
        <w:t>of</w:t>
      </w:r>
      <w:proofErr w:type="spellEnd"/>
      <w:r w:rsidR="00567996" w:rsidRPr="005F2C71">
        <w:rPr>
          <w:sz w:val="16"/>
          <w:szCs w:val="16"/>
        </w:rPr>
        <w:t xml:space="preserve"> </w:t>
      </w:r>
      <w:proofErr w:type="spellStart"/>
      <w:r w:rsidR="00567996" w:rsidRPr="005F2C71">
        <w:rPr>
          <w:sz w:val="16"/>
          <w:szCs w:val="16"/>
        </w:rPr>
        <w:t>All</w:t>
      </w:r>
      <w:proofErr w:type="spellEnd"/>
      <w:r w:rsidR="00567996" w:rsidRPr="005F2C71">
        <w:rPr>
          <w:sz w:val="16"/>
          <w:szCs w:val="16"/>
        </w:rPr>
        <w:t xml:space="preserve"> </w:t>
      </w:r>
      <w:proofErr w:type="spellStart"/>
      <w:r w:rsidR="00567996" w:rsidRPr="005F2C71">
        <w:rPr>
          <w:sz w:val="16"/>
          <w:szCs w:val="16"/>
        </w:rPr>
        <w:t>Persons</w:t>
      </w:r>
      <w:proofErr w:type="spellEnd"/>
      <w:r w:rsidR="00567996" w:rsidRPr="005F2C71">
        <w:rPr>
          <w:sz w:val="16"/>
          <w:szCs w:val="16"/>
        </w:rPr>
        <w:t xml:space="preserve"> </w:t>
      </w:r>
      <w:proofErr w:type="spellStart"/>
      <w:r w:rsidR="00567996" w:rsidRPr="005F2C71">
        <w:rPr>
          <w:sz w:val="16"/>
          <w:szCs w:val="16"/>
        </w:rPr>
        <w:t>from</w:t>
      </w:r>
      <w:proofErr w:type="spellEnd"/>
      <w:r w:rsidR="00567996" w:rsidRPr="005F2C71">
        <w:rPr>
          <w:sz w:val="16"/>
          <w:szCs w:val="16"/>
        </w:rPr>
        <w:t xml:space="preserve"> </w:t>
      </w:r>
      <w:proofErr w:type="spellStart"/>
      <w:r w:rsidR="00567996" w:rsidRPr="005F2C71">
        <w:rPr>
          <w:sz w:val="16"/>
          <w:szCs w:val="16"/>
        </w:rPr>
        <w:t>Enforced</w:t>
      </w:r>
      <w:proofErr w:type="spellEnd"/>
      <w:r w:rsidR="00567996" w:rsidRPr="005F2C71">
        <w:rPr>
          <w:sz w:val="16"/>
          <w:szCs w:val="16"/>
        </w:rPr>
        <w:t xml:space="preserve"> </w:t>
      </w:r>
      <w:proofErr w:type="spellStart"/>
      <w:r w:rsidR="00567996" w:rsidRPr="005F2C71">
        <w:rPr>
          <w:sz w:val="16"/>
          <w:szCs w:val="16"/>
        </w:rPr>
        <w:t>Disappearances</w:t>
      </w:r>
      <w:proofErr w:type="spellEnd"/>
      <w:r w:rsidR="00567996" w:rsidRPr="005F2C71">
        <w:rPr>
          <w:sz w:val="16"/>
          <w:szCs w:val="16"/>
        </w:rPr>
        <w:t xml:space="preserve"> in </w:t>
      </w:r>
      <w:proofErr w:type="spellStart"/>
      <w:r w:rsidR="00567996" w:rsidRPr="005F2C71">
        <w:rPr>
          <w:sz w:val="16"/>
          <w:szCs w:val="16"/>
        </w:rPr>
        <w:t>Africa</w:t>
      </w:r>
      <w:proofErr w:type="spellEnd"/>
      <w:r w:rsidR="00567996">
        <w:rPr>
          <w:sz w:val="16"/>
          <w:szCs w:val="16"/>
        </w:rPr>
        <w:t>), pág. 24.</w:t>
      </w:r>
    </w:p>
  </w:footnote>
  <w:footnote w:id="96">
    <w:p w14:paraId="3B7B0D0B" w14:textId="1BD4B08A" w:rsidR="009762ED" w:rsidRPr="00815295" w:rsidRDefault="009762ED" w:rsidP="00815295">
      <w:pPr>
        <w:spacing w:before="40" w:after="40" w:line="240" w:lineRule="auto"/>
        <w:rPr>
          <w:sz w:val="16"/>
          <w:szCs w:val="16"/>
        </w:rPr>
      </w:pPr>
      <w:r w:rsidRPr="00815295">
        <w:rPr>
          <w:rStyle w:val="Refdenotaalpie"/>
          <w:rFonts w:eastAsia="Batang"/>
          <w:sz w:val="16"/>
          <w:szCs w:val="16"/>
          <w:lang w:val="es-CR"/>
        </w:rPr>
        <w:footnoteRef/>
      </w:r>
      <w:r w:rsidRPr="00815295">
        <w:rPr>
          <w:sz w:val="16"/>
          <w:szCs w:val="16"/>
        </w:rPr>
        <w:t xml:space="preserve"> </w:t>
      </w:r>
      <w:r w:rsidRPr="00815295">
        <w:rPr>
          <w:sz w:val="16"/>
          <w:szCs w:val="16"/>
        </w:rPr>
        <w:tab/>
      </w:r>
      <w:r w:rsidR="00567996" w:rsidRPr="00EB465B">
        <w:rPr>
          <w:i/>
          <w:iCs/>
          <w:sz w:val="16"/>
          <w:szCs w:val="16"/>
        </w:rPr>
        <w:t>Cfr</w:t>
      </w:r>
      <w:r w:rsidR="00567996" w:rsidRPr="00EB465B">
        <w:rPr>
          <w:sz w:val="16"/>
          <w:szCs w:val="16"/>
        </w:rPr>
        <w:t xml:space="preserve">. </w:t>
      </w:r>
      <w:r w:rsidR="00567996" w:rsidRPr="00EB465B">
        <w:rPr>
          <w:i/>
          <w:iCs/>
          <w:sz w:val="16"/>
          <w:szCs w:val="16"/>
        </w:rPr>
        <w:t>Caso de las Hermanas Serrano Cruz Vs. El Salvador</w:t>
      </w:r>
      <w:r w:rsidR="00567996">
        <w:rPr>
          <w:i/>
          <w:iCs/>
          <w:sz w:val="16"/>
          <w:szCs w:val="16"/>
        </w:rPr>
        <w:t xml:space="preserve">, supra, </w:t>
      </w:r>
      <w:r w:rsidR="00567996">
        <w:rPr>
          <w:sz w:val="16"/>
          <w:szCs w:val="16"/>
        </w:rPr>
        <w:t>párr. 48.1</w:t>
      </w:r>
      <w:r w:rsidR="00567996" w:rsidRPr="00EB465B">
        <w:rPr>
          <w:sz w:val="16"/>
          <w:szCs w:val="16"/>
        </w:rPr>
        <w:t xml:space="preserve">, </w:t>
      </w:r>
      <w:r w:rsidR="00567996" w:rsidRPr="00EB465B">
        <w:rPr>
          <w:i/>
          <w:iCs/>
          <w:sz w:val="16"/>
          <w:szCs w:val="16"/>
        </w:rPr>
        <w:t>Caso Contreras y otros Vs. El Salvador</w:t>
      </w:r>
      <w:r w:rsidR="00567996">
        <w:rPr>
          <w:i/>
          <w:iCs/>
          <w:sz w:val="16"/>
          <w:szCs w:val="16"/>
        </w:rPr>
        <w:t xml:space="preserve">, supra, </w:t>
      </w:r>
      <w:r w:rsidR="00567996">
        <w:rPr>
          <w:sz w:val="16"/>
          <w:szCs w:val="16"/>
        </w:rPr>
        <w:t xml:space="preserve">párr. 47, </w:t>
      </w:r>
      <w:r w:rsidR="00567996" w:rsidRPr="00EB465B">
        <w:rPr>
          <w:i/>
          <w:iCs/>
          <w:sz w:val="16"/>
          <w:szCs w:val="16"/>
        </w:rPr>
        <w:t>y Caso Rochac Hernández y otros Vs. El Salvador</w:t>
      </w:r>
      <w:r w:rsidR="00567996">
        <w:rPr>
          <w:i/>
          <w:iCs/>
          <w:sz w:val="16"/>
          <w:szCs w:val="16"/>
        </w:rPr>
        <w:t xml:space="preserve">, supra, </w:t>
      </w:r>
      <w:r w:rsidR="00567996">
        <w:rPr>
          <w:sz w:val="16"/>
          <w:szCs w:val="16"/>
        </w:rPr>
        <w:t>párr. 49.</w:t>
      </w:r>
    </w:p>
  </w:footnote>
  <w:footnote w:id="97">
    <w:p w14:paraId="650C95B9" w14:textId="43F9FF24" w:rsidR="00263935" w:rsidRPr="00815295" w:rsidRDefault="00263935" w:rsidP="00815295">
      <w:pPr>
        <w:pStyle w:val="Textonotapie"/>
        <w:spacing w:before="40" w:after="40"/>
        <w:rPr>
          <w:sz w:val="16"/>
          <w:szCs w:val="16"/>
          <w:lang w:val="es-ES"/>
        </w:rPr>
      </w:pPr>
      <w:r w:rsidRPr="00815295">
        <w:rPr>
          <w:rStyle w:val="Refdenotaalpie"/>
          <w:sz w:val="16"/>
          <w:szCs w:val="16"/>
        </w:rPr>
        <w:footnoteRef/>
      </w:r>
      <w:r w:rsidRPr="00815295">
        <w:rPr>
          <w:sz w:val="16"/>
          <w:szCs w:val="16"/>
        </w:rPr>
        <w:t xml:space="preserve"> </w:t>
      </w:r>
      <w:r w:rsidRPr="00815295">
        <w:rPr>
          <w:sz w:val="16"/>
          <w:szCs w:val="16"/>
        </w:rPr>
        <w:tab/>
      </w:r>
      <w:r w:rsidR="00567996" w:rsidRPr="00EB465B">
        <w:rPr>
          <w:i/>
          <w:iCs/>
          <w:sz w:val="16"/>
          <w:szCs w:val="16"/>
        </w:rPr>
        <w:t>Cfr</w:t>
      </w:r>
      <w:r w:rsidR="00567996" w:rsidRPr="00EB465B">
        <w:rPr>
          <w:sz w:val="16"/>
          <w:szCs w:val="16"/>
        </w:rPr>
        <w:t xml:space="preserve">. Carta del Socorro Jurídico Cristiano a miembros del Congreso de Estados Unidos, de 19 de agosto de 1982 (expediente de prueba, folio 566), y </w:t>
      </w:r>
      <w:r w:rsidR="00567996">
        <w:rPr>
          <w:sz w:val="16"/>
          <w:szCs w:val="16"/>
        </w:rPr>
        <w:t>N</w:t>
      </w:r>
      <w:r w:rsidR="00567996" w:rsidRPr="00EB465B">
        <w:rPr>
          <w:sz w:val="16"/>
          <w:szCs w:val="16"/>
        </w:rPr>
        <w:t xml:space="preserve">ota periodística de 2 de agosto de 1982 </w:t>
      </w:r>
      <w:r w:rsidR="00567996">
        <w:rPr>
          <w:sz w:val="16"/>
          <w:szCs w:val="16"/>
        </w:rPr>
        <w:t xml:space="preserve">titulada “Investigadores de aquí y de EUA buscan secuestrados” </w:t>
      </w:r>
      <w:r w:rsidR="00567996" w:rsidRPr="00EB465B">
        <w:rPr>
          <w:sz w:val="16"/>
          <w:szCs w:val="16"/>
        </w:rPr>
        <w:t>(expediente de prueba, folio 554).</w:t>
      </w:r>
    </w:p>
  </w:footnote>
  <w:footnote w:id="98">
    <w:p w14:paraId="05F2BEBD" w14:textId="171C1DC3" w:rsidR="00466027" w:rsidRPr="00815295" w:rsidRDefault="00466027"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00567996" w:rsidRPr="00EB465B">
        <w:rPr>
          <w:i/>
          <w:iCs/>
          <w:sz w:val="16"/>
          <w:szCs w:val="16"/>
        </w:rPr>
        <w:t>Cfr</w:t>
      </w:r>
      <w:r w:rsidR="00567996" w:rsidRPr="00EB465B">
        <w:rPr>
          <w:sz w:val="16"/>
          <w:szCs w:val="16"/>
        </w:rPr>
        <w:t>. Carta del Socorro Jurídico Cristiano a miembros del Congreso de Estados Unidos, de 19 de agosto de 1982 (expediente de prueba, folio 568). Asimismo, el señor Álvarez Solís indicó que la señora Cuéllar Sandoval renunció a la organización toda vez que “[e]lla fue, como expuse antes, perseguida, pero específicamente,</w:t>
      </w:r>
      <w:r w:rsidR="00567996">
        <w:rPr>
          <w:sz w:val="16"/>
          <w:szCs w:val="16"/>
        </w:rPr>
        <w:t xml:space="preserve"> [porque]</w:t>
      </w:r>
      <w:r w:rsidR="00567996" w:rsidRPr="00EB465B">
        <w:rPr>
          <w:sz w:val="16"/>
          <w:szCs w:val="16"/>
        </w:rPr>
        <w:t xml:space="preserve"> las oficinas del Socorro Jurídico Cristiano fueron invadidas, cateadas por los cuerpos de seguridad, sus archivos fueron sacados, sacados me refiero a tomados por los cuerpos de seguridad, y la información del personal que trabajaba ahí también. El Socorro sufrió muchas amenazas y atentados de los grupos de extrema derecha, de hecho como funcionaban en el mismo lugar del Colegio de los Sacerdotes Jesuitas donde también el ejército y en combinación con los cuerpos de seguridad capturaron y secuestraron a los dirigentes del [Frente Democrático Revolucionario], el Socorro estaba en una situación muy vulnerable, y las críticas o ataques ideológicos en ese entonces eran para deslegitimar el trabajo que se estaba realizando y la denuncia que se estaba realizando porque era fundamental que el mundo conociera la violencia y la violación de los derechos humanos”. </w:t>
      </w:r>
      <w:r w:rsidR="00567996" w:rsidRPr="00EB465B">
        <w:rPr>
          <w:i/>
          <w:iCs/>
          <w:sz w:val="16"/>
          <w:szCs w:val="16"/>
        </w:rPr>
        <w:t>Cfr</w:t>
      </w:r>
      <w:r w:rsidR="00567996" w:rsidRPr="00EB465B">
        <w:rPr>
          <w:sz w:val="16"/>
          <w:szCs w:val="16"/>
        </w:rPr>
        <w:t>. Declaración de Francisco Alfredo Álvarez Solís rendida en audiencia pública celebrada el 22 de noviembre de 2023 en el marco del 163° periodo ordinario de sesiones.</w:t>
      </w:r>
    </w:p>
  </w:footnote>
  <w:footnote w:id="99">
    <w:p w14:paraId="25CC3DB1" w14:textId="50E7DC50" w:rsidR="008C3922" w:rsidRPr="00815295" w:rsidRDefault="008C3922"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Declaración de Francisco Alfredo Álvarez Sol</w:t>
      </w:r>
      <w:r w:rsidR="00BB571C" w:rsidRPr="00815295">
        <w:rPr>
          <w:sz w:val="16"/>
          <w:szCs w:val="16"/>
        </w:rPr>
        <w:t>í</w:t>
      </w:r>
      <w:r w:rsidRPr="00815295">
        <w:rPr>
          <w:sz w:val="16"/>
          <w:szCs w:val="16"/>
        </w:rPr>
        <w:t>s rendida en audiencia pública celebrada el 22 de noviembre de 2023 en el marco del 163° periodo ordinario de sesiones.</w:t>
      </w:r>
    </w:p>
  </w:footnote>
  <w:footnote w:id="100">
    <w:p w14:paraId="15497D58" w14:textId="4DFFCD7C" w:rsidR="008C3922" w:rsidRPr="00815295" w:rsidRDefault="008C3922"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xml:space="preserve">. Declaración de Francisco Alfredo Álvarez </w:t>
      </w:r>
      <w:r w:rsidR="00BB571C" w:rsidRPr="00815295">
        <w:rPr>
          <w:sz w:val="16"/>
          <w:szCs w:val="16"/>
        </w:rPr>
        <w:t xml:space="preserve">Solís </w:t>
      </w:r>
      <w:r w:rsidRPr="00815295">
        <w:rPr>
          <w:sz w:val="16"/>
          <w:szCs w:val="16"/>
        </w:rPr>
        <w:t>rendida en audiencia pública celebrada el 22 de noviembre de 2023 en el marco del 163° periodo ordinario de sesiones, y Comunicación del Instituto de Derechos Humanos de la Universidad Centroamericana “José Simeón Cañas”, en representación de los entonces peticionarios, de 10 de diciembre de 2010 (expediente de prueba, folio 46).</w:t>
      </w:r>
    </w:p>
  </w:footnote>
  <w:footnote w:id="101">
    <w:p w14:paraId="070279C7" w14:textId="61D189E9" w:rsidR="008C3922" w:rsidRPr="00815295" w:rsidRDefault="008C3922"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003858C4" w:rsidRPr="00EB465B">
        <w:rPr>
          <w:i/>
          <w:iCs/>
          <w:sz w:val="16"/>
          <w:szCs w:val="16"/>
        </w:rPr>
        <w:t>Cfr</w:t>
      </w:r>
      <w:r w:rsidR="003858C4" w:rsidRPr="00EB465B">
        <w:rPr>
          <w:sz w:val="16"/>
          <w:szCs w:val="16"/>
        </w:rPr>
        <w:t>. Declaración de Francisco Alfredo Álvarez Solís rendida en audiencia pública celebrada el 22 de noviembre de 2023 en el marco del 163° periodo ordinario de sesiones; Constancia del testimonio de Francisco Alfredo Álvarez Solís, en Constancia del Secretario de la Sala de lo Penal de la Corte Suprema de Justicia “de lo resuelto en la solicitud de exhibición personal a favor de Patricia Cuéllar, Mauricio Cuéllar y otra”, de 4 de diciembre de 1982 (expediente de prueba, folio 4)</w:t>
      </w:r>
      <w:r w:rsidR="003858C4">
        <w:rPr>
          <w:sz w:val="16"/>
          <w:szCs w:val="16"/>
        </w:rPr>
        <w:t xml:space="preserve">, y </w:t>
      </w:r>
      <w:r w:rsidR="003858C4" w:rsidRPr="00EB465B">
        <w:rPr>
          <w:sz w:val="16"/>
          <w:szCs w:val="16"/>
        </w:rPr>
        <w:t>Comunicación del Instituto de Derechos Humanos de la Universidad Centroamericana “José Simeón Cañas”, en representación de los entonces peticionarios, de 10 de diciembre de 2010 (expediente de prueba, folio 46)</w:t>
      </w:r>
    </w:p>
  </w:footnote>
  <w:footnote w:id="102">
    <w:p w14:paraId="395E0E07" w14:textId="77777777" w:rsidR="00EB7CA4" w:rsidRPr="00815295" w:rsidRDefault="00EB7CA4"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lang w:val="es-ES"/>
        </w:rPr>
        <w:t>Cfr</w:t>
      </w:r>
      <w:r w:rsidRPr="00815295">
        <w:rPr>
          <w:sz w:val="16"/>
          <w:szCs w:val="16"/>
          <w:lang w:val="es-ES"/>
        </w:rPr>
        <w:t>. Informe de la Comisión de la Verdad para El Salvador, “De la locura a la esperanza: la guerra de 12 años en El Salvador”, de 15 de marzo de 1993, pág. 18. Disponible en:</w:t>
      </w:r>
      <w:r w:rsidRPr="00815295">
        <w:rPr>
          <w:sz w:val="16"/>
          <w:szCs w:val="16"/>
        </w:rPr>
        <w:t xml:space="preserve"> </w:t>
      </w:r>
      <w:hyperlink r:id="rId8" w:anchor="record-files-collapse-header" w:history="1">
        <w:r w:rsidRPr="00815295">
          <w:rPr>
            <w:rStyle w:val="Hipervnculo"/>
            <w:sz w:val="16"/>
            <w:szCs w:val="16"/>
            <w:lang w:val="es-ES"/>
          </w:rPr>
          <w:t>https://digitallibrary.un.org/record/183599?ln=es#record-files-collapse-header</w:t>
        </w:r>
      </w:hyperlink>
    </w:p>
  </w:footnote>
  <w:footnote w:id="103">
    <w:p w14:paraId="684CE47A" w14:textId="0E26FAEF" w:rsidR="00EB7CA4" w:rsidRPr="00815295" w:rsidRDefault="00EB7CA4" w:rsidP="00815295">
      <w:pPr>
        <w:pStyle w:val="Textonotapie"/>
        <w:spacing w:before="40" w:after="40"/>
        <w:rPr>
          <w:i/>
          <w:iCs/>
          <w:sz w:val="16"/>
          <w:szCs w:val="16"/>
          <w:lang w:val="es-ES"/>
        </w:rPr>
      </w:pPr>
      <w:r w:rsidRPr="00815295">
        <w:rPr>
          <w:rStyle w:val="Refdenotaalpie"/>
          <w:sz w:val="16"/>
          <w:szCs w:val="16"/>
        </w:rPr>
        <w:footnoteRef/>
      </w:r>
      <w:r w:rsidRPr="00815295">
        <w:rPr>
          <w:sz w:val="16"/>
          <w:szCs w:val="16"/>
        </w:rPr>
        <w:t xml:space="preserve"> </w:t>
      </w:r>
      <w:r w:rsidRPr="00815295">
        <w:rPr>
          <w:sz w:val="16"/>
          <w:szCs w:val="16"/>
          <w:lang w:val="es-ES"/>
        </w:rPr>
        <w:tab/>
      </w:r>
      <w:r w:rsidRPr="00815295">
        <w:rPr>
          <w:i/>
          <w:iCs/>
          <w:sz w:val="16"/>
          <w:szCs w:val="16"/>
          <w:lang w:val="es-ES"/>
        </w:rPr>
        <w:t>Cfr. Escrito de contestación</w:t>
      </w:r>
      <w:r w:rsidRPr="00815295">
        <w:rPr>
          <w:sz w:val="16"/>
          <w:szCs w:val="16"/>
          <w:lang w:val="es-ES"/>
        </w:rPr>
        <w:t xml:space="preserve">, de 29 de noviembre de 2022 (expediente de fondo, folio 147). </w:t>
      </w:r>
    </w:p>
  </w:footnote>
  <w:footnote w:id="104">
    <w:p w14:paraId="47A9D57D" w14:textId="69898672" w:rsidR="00936446" w:rsidRPr="00815295" w:rsidRDefault="00936446" w:rsidP="00815295">
      <w:pPr>
        <w:pStyle w:val="Textonotapie"/>
        <w:spacing w:before="40" w:after="40"/>
        <w:rPr>
          <w:sz w:val="16"/>
          <w:szCs w:val="16"/>
          <w:lang w:val="es-ES"/>
        </w:rPr>
      </w:pPr>
      <w:r w:rsidRPr="00815295">
        <w:rPr>
          <w:rStyle w:val="Refdenotaalpie"/>
          <w:rFonts w:eastAsia="Batang"/>
          <w:sz w:val="16"/>
          <w:szCs w:val="16"/>
        </w:rPr>
        <w:footnoteRef/>
      </w:r>
      <w:r w:rsidRPr="00815295">
        <w:rPr>
          <w:sz w:val="16"/>
          <w:szCs w:val="16"/>
        </w:rPr>
        <w:t xml:space="preserve"> </w:t>
      </w:r>
      <w:r w:rsidRPr="00815295">
        <w:rPr>
          <w:sz w:val="16"/>
          <w:szCs w:val="16"/>
        </w:rPr>
        <w:tab/>
      </w:r>
      <w:r w:rsidR="005F1B2F" w:rsidRPr="00815295">
        <w:rPr>
          <w:sz w:val="16"/>
          <w:szCs w:val="16"/>
        </w:rPr>
        <w:t xml:space="preserve">Ver, para un mayor desarrollo, </w:t>
      </w:r>
      <w:r w:rsidR="005F1B2F" w:rsidRPr="00815295">
        <w:rPr>
          <w:i/>
          <w:iCs/>
          <w:sz w:val="16"/>
          <w:szCs w:val="16"/>
        </w:rPr>
        <w:t>Caso Miembros de la Corporación Colectivo de Abogados “José Alvear Restrepo” Vs. Colombia. Excepciones Preliminares, Fondo, Reparaciones y Costas</w:t>
      </w:r>
      <w:r w:rsidR="005F1B2F" w:rsidRPr="00815295">
        <w:rPr>
          <w:sz w:val="16"/>
          <w:szCs w:val="16"/>
        </w:rPr>
        <w:t>. Sentencia de 18 de octubre de 2023. Serie C No. 506, párr. 471 a 475.</w:t>
      </w:r>
    </w:p>
  </w:footnote>
  <w:footnote w:id="105">
    <w:p w14:paraId="59700442" w14:textId="263975F8" w:rsidR="00936446" w:rsidRPr="00815295" w:rsidRDefault="00936446" w:rsidP="00815295">
      <w:pPr>
        <w:pStyle w:val="Textonotapie"/>
        <w:spacing w:before="40" w:after="40"/>
        <w:rPr>
          <w:rFonts w:cs="Open Sans"/>
          <w:sz w:val="16"/>
          <w:szCs w:val="16"/>
          <w:shd w:val="clear" w:color="auto" w:fill="FFFFFF"/>
        </w:rPr>
      </w:pPr>
      <w:r w:rsidRPr="00815295">
        <w:rPr>
          <w:rStyle w:val="Refdenotaalpie"/>
          <w:rFonts w:eastAsia="Batang"/>
          <w:sz w:val="16"/>
          <w:szCs w:val="16"/>
        </w:rPr>
        <w:footnoteRef/>
      </w:r>
      <w:r w:rsidRPr="00815295">
        <w:rPr>
          <w:sz w:val="16"/>
          <w:szCs w:val="16"/>
        </w:rPr>
        <w:t xml:space="preserve"> </w:t>
      </w:r>
      <w:r w:rsidRPr="00815295">
        <w:rPr>
          <w:sz w:val="16"/>
          <w:szCs w:val="16"/>
          <w:lang w:val="es-ES"/>
        </w:rPr>
        <w:tab/>
        <w:t>La Corte y su Presidencia, al analizar distintas solicitudes de medidas provisionales, ha reiterado que la labor de las personas defensoras “</w:t>
      </w:r>
      <w:r w:rsidRPr="00815295">
        <w:rPr>
          <w:sz w:val="16"/>
          <w:szCs w:val="16"/>
        </w:rPr>
        <w:t xml:space="preserve">constituye un aporte positivo y complementario a los esfuerzos realizados por el Estado </w:t>
      </w:r>
      <w:r w:rsidRPr="00815295">
        <w:rPr>
          <w:rFonts w:cstheme="minorHAnsi"/>
          <w:sz w:val="16"/>
          <w:szCs w:val="16"/>
        </w:rPr>
        <w:t>[en la] protección de los derechos de las personas bajo su jurisdicción”.</w:t>
      </w:r>
      <w:r w:rsidR="00AC5ADF" w:rsidRPr="00815295">
        <w:rPr>
          <w:rFonts w:cstheme="minorHAnsi"/>
          <w:sz w:val="16"/>
          <w:szCs w:val="16"/>
        </w:rPr>
        <w:t xml:space="preserve"> Ver, para un mayor desarrollo,</w:t>
      </w:r>
      <w:r w:rsidR="004F729D">
        <w:rPr>
          <w:rFonts w:cstheme="minorHAnsi"/>
          <w:sz w:val="16"/>
          <w:szCs w:val="16"/>
        </w:rPr>
        <w:t xml:space="preserve"> el</w:t>
      </w:r>
      <w:r w:rsidR="00AC5ADF" w:rsidRPr="00815295">
        <w:rPr>
          <w:rFonts w:cstheme="minorHAnsi"/>
          <w:sz w:val="16"/>
          <w:szCs w:val="16"/>
        </w:rPr>
        <w:t xml:space="preserve"> </w:t>
      </w:r>
      <w:r w:rsidR="00AC5ADF" w:rsidRPr="00815295">
        <w:rPr>
          <w:i/>
          <w:iCs/>
          <w:sz w:val="16"/>
          <w:szCs w:val="16"/>
        </w:rPr>
        <w:t>Caso Miembros de la Corporación Colectivo de Abogados “José Alvear Restrepo” Vs. Colombia</w:t>
      </w:r>
      <w:r w:rsidR="00AC5ADF" w:rsidRPr="00815295">
        <w:rPr>
          <w:sz w:val="16"/>
          <w:szCs w:val="16"/>
        </w:rPr>
        <w:t>, supra, párr. 972 a 983.</w:t>
      </w:r>
    </w:p>
  </w:footnote>
  <w:footnote w:id="106">
    <w:p w14:paraId="39604EBD" w14:textId="15620EA0" w:rsidR="00936446" w:rsidRPr="00815295" w:rsidRDefault="00936446" w:rsidP="00815295">
      <w:pPr>
        <w:pStyle w:val="Textonotapie"/>
        <w:spacing w:before="40" w:after="40"/>
        <w:rPr>
          <w:sz w:val="16"/>
          <w:szCs w:val="16"/>
        </w:rPr>
      </w:pPr>
      <w:r w:rsidRPr="00815295">
        <w:rPr>
          <w:rStyle w:val="Refdenotaalpie"/>
          <w:rFonts w:eastAsia="Batang"/>
          <w:sz w:val="16"/>
          <w:szCs w:val="16"/>
        </w:rPr>
        <w:footnoteRef/>
      </w:r>
      <w:r w:rsidRPr="00815295">
        <w:rPr>
          <w:sz w:val="16"/>
          <w:szCs w:val="16"/>
        </w:rPr>
        <w:t xml:space="preserve"> </w:t>
      </w:r>
      <w:r w:rsidRPr="00815295">
        <w:rPr>
          <w:sz w:val="16"/>
          <w:szCs w:val="16"/>
        </w:rPr>
        <w:tab/>
      </w:r>
      <w:r w:rsidR="003858C4" w:rsidRPr="00EB465B">
        <w:rPr>
          <w:i/>
          <w:sz w:val="16"/>
          <w:szCs w:val="16"/>
        </w:rPr>
        <w:t>Cfr</w:t>
      </w:r>
      <w:r w:rsidR="003858C4" w:rsidRPr="00EB465B">
        <w:rPr>
          <w:sz w:val="16"/>
          <w:szCs w:val="16"/>
        </w:rPr>
        <w:t xml:space="preserve">. </w:t>
      </w:r>
      <w:r w:rsidR="003858C4" w:rsidRPr="00EB465B">
        <w:rPr>
          <w:rFonts w:cs="Open Sans"/>
          <w:i/>
          <w:sz w:val="16"/>
          <w:szCs w:val="16"/>
          <w:shd w:val="clear" w:color="auto" w:fill="FFFFFF"/>
        </w:rPr>
        <w:t>Caso Valle Jaramillo y otros Vs. Colombia</w:t>
      </w:r>
      <w:r w:rsidR="003858C4" w:rsidRPr="00EB465B">
        <w:rPr>
          <w:rFonts w:cs="Open Sans"/>
          <w:sz w:val="16"/>
          <w:szCs w:val="16"/>
          <w:shd w:val="clear" w:color="auto" w:fill="FFFFFF"/>
        </w:rPr>
        <w:t xml:space="preserve">, </w:t>
      </w:r>
      <w:r w:rsidR="003858C4" w:rsidRPr="00EB465B">
        <w:rPr>
          <w:rFonts w:cs="Open Sans"/>
          <w:i/>
          <w:sz w:val="16"/>
          <w:szCs w:val="16"/>
          <w:shd w:val="clear" w:color="auto" w:fill="FFFFFF"/>
        </w:rPr>
        <w:t>supra</w:t>
      </w:r>
      <w:r w:rsidR="003858C4" w:rsidRPr="00EB465B">
        <w:rPr>
          <w:rFonts w:cs="Open Sans"/>
          <w:sz w:val="16"/>
          <w:szCs w:val="16"/>
          <w:shd w:val="clear" w:color="auto" w:fill="FFFFFF"/>
        </w:rPr>
        <w:t xml:space="preserve">, párr. 87, y </w:t>
      </w:r>
      <w:r w:rsidR="003858C4" w:rsidRPr="00CF6399">
        <w:rPr>
          <w:rFonts w:cs="Open Sans"/>
          <w:i/>
          <w:sz w:val="16"/>
          <w:szCs w:val="16"/>
          <w:shd w:val="clear" w:color="auto" w:fill="FFFFFF"/>
        </w:rPr>
        <w:t>Caso Miembros de la Corporación Colectivo de Abogados "José Alvear Restrepo" Vs. Colombia</w:t>
      </w:r>
      <w:r w:rsidR="003858C4">
        <w:rPr>
          <w:rFonts w:cs="Open Sans"/>
          <w:i/>
          <w:sz w:val="16"/>
          <w:szCs w:val="16"/>
          <w:shd w:val="clear" w:color="auto" w:fill="FFFFFF"/>
        </w:rPr>
        <w:t>, supra,</w:t>
      </w:r>
      <w:r w:rsidR="003858C4" w:rsidRPr="00CF6399">
        <w:rPr>
          <w:rFonts w:cs="Open Sans"/>
          <w:i/>
          <w:sz w:val="16"/>
          <w:szCs w:val="16"/>
          <w:shd w:val="clear" w:color="auto" w:fill="FFFFFF"/>
        </w:rPr>
        <w:t xml:space="preserve"> </w:t>
      </w:r>
      <w:r w:rsidR="003858C4" w:rsidRPr="00E85844">
        <w:rPr>
          <w:rFonts w:cs="Open Sans"/>
          <w:iCs/>
          <w:sz w:val="16"/>
          <w:szCs w:val="16"/>
          <w:shd w:val="clear" w:color="auto" w:fill="FFFFFF"/>
        </w:rPr>
        <w:t>párr. 471.</w:t>
      </w:r>
    </w:p>
  </w:footnote>
  <w:footnote w:id="107">
    <w:p w14:paraId="0522CF3A" w14:textId="53997638" w:rsidR="00936446" w:rsidRPr="00815295" w:rsidRDefault="00936446" w:rsidP="00815295">
      <w:pPr>
        <w:pStyle w:val="Textonotapie"/>
        <w:spacing w:before="40" w:after="40"/>
        <w:rPr>
          <w:sz w:val="16"/>
          <w:szCs w:val="16"/>
        </w:rPr>
      </w:pPr>
      <w:r w:rsidRPr="00815295">
        <w:rPr>
          <w:rStyle w:val="Refdenotaalpie"/>
          <w:rFonts w:eastAsia="Batang"/>
          <w:sz w:val="16"/>
          <w:szCs w:val="16"/>
        </w:rPr>
        <w:footnoteRef/>
      </w:r>
      <w:r w:rsidRPr="00815295">
        <w:rPr>
          <w:sz w:val="16"/>
          <w:szCs w:val="16"/>
        </w:rPr>
        <w:t xml:space="preserve"> </w:t>
      </w:r>
      <w:r w:rsidRPr="00815295">
        <w:rPr>
          <w:sz w:val="16"/>
          <w:szCs w:val="16"/>
        </w:rPr>
        <w:tab/>
      </w:r>
      <w:r w:rsidR="003858C4" w:rsidRPr="00EB465B">
        <w:rPr>
          <w:i/>
          <w:spacing w:val="-12"/>
          <w:sz w:val="16"/>
          <w:szCs w:val="16"/>
          <w:lang w:val="es-GT"/>
        </w:rPr>
        <w:t xml:space="preserve">Cfr. </w:t>
      </w:r>
      <w:r w:rsidR="003858C4" w:rsidRPr="00EB465B">
        <w:rPr>
          <w:i/>
          <w:sz w:val="16"/>
          <w:szCs w:val="16"/>
        </w:rPr>
        <w:t>Caso Valle Jaramillo y otros Vs. Colombia, supra</w:t>
      </w:r>
      <w:r w:rsidR="003858C4" w:rsidRPr="00EB465B">
        <w:rPr>
          <w:sz w:val="16"/>
          <w:szCs w:val="16"/>
        </w:rPr>
        <w:t xml:space="preserve">, párr. 88, y </w:t>
      </w:r>
      <w:r w:rsidR="003858C4" w:rsidRPr="00CF6399">
        <w:rPr>
          <w:rFonts w:cs="Open Sans"/>
          <w:i/>
          <w:sz w:val="16"/>
          <w:szCs w:val="16"/>
          <w:shd w:val="clear" w:color="auto" w:fill="FFFFFF"/>
        </w:rPr>
        <w:t>Caso Miembros de la Corporación Colectivo de Abogados "José Alvear Restrepo" Vs. Colombia</w:t>
      </w:r>
      <w:r w:rsidR="003858C4">
        <w:rPr>
          <w:rFonts w:cs="Open Sans"/>
          <w:i/>
          <w:sz w:val="16"/>
          <w:szCs w:val="16"/>
          <w:shd w:val="clear" w:color="auto" w:fill="FFFFFF"/>
        </w:rPr>
        <w:t>, supra,</w:t>
      </w:r>
      <w:r w:rsidR="003858C4" w:rsidRPr="00CF6399">
        <w:rPr>
          <w:rFonts w:cs="Open Sans"/>
          <w:i/>
          <w:sz w:val="16"/>
          <w:szCs w:val="16"/>
          <w:shd w:val="clear" w:color="auto" w:fill="FFFFFF"/>
        </w:rPr>
        <w:t xml:space="preserve"> </w:t>
      </w:r>
      <w:r w:rsidR="003858C4" w:rsidRPr="00E85844">
        <w:rPr>
          <w:rFonts w:cs="Open Sans"/>
          <w:iCs/>
          <w:sz w:val="16"/>
          <w:szCs w:val="16"/>
          <w:shd w:val="clear" w:color="auto" w:fill="FFFFFF"/>
        </w:rPr>
        <w:t>párr. 472.</w:t>
      </w:r>
    </w:p>
  </w:footnote>
  <w:footnote w:id="108">
    <w:p w14:paraId="6FF1D6DE" w14:textId="4D3F4B83" w:rsidR="00936446" w:rsidRPr="00815295" w:rsidRDefault="00936446" w:rsidP="00815295">
      <w:pPr>
        <w:pStyle w:val="Textonotapie"/>
        <w:spacing w:before="40" w:after="40"/>
        <w:rPr>
          <w:sz w:val="16"/>
          <w:szCs w:val="16"/>
        </w:rPr>
      </w:pPr>
      <w:r w:rsidRPr="00815295">
        <w:rPr>
          <w:rStyle w:val="Refdenotaalpie"/>
          <w:rFonts w:eastAsia="Batang"/>
          <w:sz w:val="16"/>
          <w:szCs w:val="16"/>
        </w:rPr>
        <w:footnoteRef/>
      </w:r>
      <w:r w:rsidRPr="00815295">
        <w:rPr>
          <w:sz w:val="16"/>
          <w:szCs w:val="16"/>
        </w:rPr>
        <w:t xml:space="preserve"> </w:t>
      </w:r>
      <w:r w:rsidRPr="00815295">
        <w:rPr>
          <w:sz w:val="16"/>
          <w:szCs w:val="16"/>
        </w:rPr>
        <w:tab/>
      </w:r>
      <w:r w:rsidR="003858C4" w:rsidRPr="00E85844">
        <w:rPr>
          <w:i/>
          <w:sz w:val="16"/>
          <w:szCs w:val="16"/>
        </w:rPr>
        <w:t>Cfr</w:t>
      </w:r>
      <w:r w:rsidR="003858C4" w:rsidRPr="00E85844">
        <w:rPr>
          <w:sz w:val="16"/>
          <w:szCs w:val="16"/>
        </w:rPr>
        <w:t xml:space="preserve">. </w:t>
      </w:r>
      <w:r w:rsidR="003858C4" w:rsidRPr="00E85844">
        <w:rPr>
          <w:rFonts w:cs="Open Sans"/>
          <w:i/>
          <w:sz w:val="16"/>
          <w:szCs w:val="16"/>
          <w:shd w:val="clear" w:color="auto" w:fill="FFFFFF"/>
        </w:rPr>
        <w:t>Caso Nogueira de Carvalho y otro Vs. Brasil</w:t>
      </w:r>
      <w:r w:rsidR="003858C4" w:rsidRPr="00E85844">
        <w:rPr>
          <w:rFonts w:cs="Open Sans"/>
          <w:sz w:val="16"/>
          <w:szCs w:val="16"/>
          <w:shd w:val="clear" w:color="auto" w:fill="FFFFFF"/>
        </w:rPr>
        <w:t xml:space="preserve">, </w:t>
      </w:r>
      <w:r w:rsidR="003858C4" w:rsidRPr="00E85844">
        <w:rPr>
          <w:rFonts w:cs="Open Sans"/>
          <w:i/>
          <w:sz w:val="16"/>
          <w:szCs w:val="16"/>
          <w:shd w:val="clear" w:color="auto" w:fill="FFFFFF"/>
        </w:rPr>
        <w:t>supra</w:t>
      </w:r>
      <w:r w:rsidR="003858C4" w:rsidRPr="00E85844">
        <w:rPr>
          <w:rFonts w:cs="Open Sans"/>
          <w:sz w:val="16"/>
          <w:szCs w:val="16"/>
          <w:shd w:val="clear" w:color="auto" w:fill="FFFFFF"/>
        </w:rPr>
        <w:t xml:space="preserve">, párr. 77, </w:t>
      </w:r>
      <w:r w:rsidR="003858C4" w:rsidRPr="00CF6399">
        <w:rPr>
          <w:rFonts w:cs="Open Sans"/>
          <w:i/>
          <w:sz w:val="16"/>
          <w:szCs w:val="16"/>
          <w:shd w:val="clear" w:color="auto" w:fill="FFFFFF"/>
        </w:rPr>
        <w:t>Caso Miembros de la Corporación Colectivo de Abogados "José Alvear Restrepo" Vs. Colombia</w:t>
      </w:r>
      <w:r w:rsidR="003858C4">
        <w:rPr>
          <w:rFonts w:cs="Open Sans"/>
          <w:i/>
          <w:sz w:val="16"/>
          <w:szCs w:val="16"/>
          <w:shd w:val="clear" w:color="auto" w:fill="FFFFFF"/>
        </w:rPr>
        <w:t>, supra,</w:t>
      </w:r>
      <w:r w:rsidR="003858C4" w:rsidRPr="00CF6399">
        <w:rPr>
          <w:rFonts w:cs="Open Sans"/>
          <w:i/>
          <w:sz w:val="16"/>
          <w:szCs w:val="16"/>
          <w:shd w:val="clear" w:color="auto" w:fill="FFFFFF"/>
        </w:rPr>
        <w:t xml:space="preserve"> </w:t>
      </w:r>
      <w:r w:rsidR="003858C4" w:rsidRPr="00E85844">
        <w:rPr>
          <w:rFonts w:cs="Open Sans"/>
          <w:iCs/>
          <w:sz w:val="16"/>
          <w:szCs w:val="16"/>
          <w:shd w:val="clear" w:color="auto" w:fill="FFFFFF"/>
        </w:rPr>
        <w:t>párr. 47</w:t>
      </w:r>
      <w:r w:rsidR="003858C4">
        <w:rPr>
          <w:rFonts w:cs="Open Sans"/>
          <w:iCs/>
          <w:sz w:val="16"/>
          <w:szCs w:val="16"/>
          <w:shd w:val="clear" w:color="auto" w:fill="FFFFFF"/>
        </w:rPr>
        <w:t>1</w:t>
      </w:r>
      <w:r w:rsidR="003858C4" w:rsidRPr="00E85844">
        <w:rPr>
          <w:rFonts w:cs="Open Sans"/>
          <w:iCs/>
          <w:sz w:val="16"/>
          <w:szCs w:val="16"/>
          <w:shd w:val="clear" w:color="auto" w:fill="FFFFFF"/>
        </w:rPr>
        <w:t>.</w:t>
      </w:r>
    </w:p>
  </w:footnote>
  <w:footnote w:id="109">
    <w:p w14:paraId="59D7038A" w14:textId="77777777" w:rsidR="003858C4" w:rsidRPr="00EB465B" w:rsidRDefault="003858C4" w:rsidP="003858C4">
      <w:pPr>
        <w:pStyle w:val="Textonotapie"/>
        <w:spacing w:before="40" w:after="40"/>
        <w:rPr>
          <w:sz w:val="16"/>
          <w:szCs w:val="16"/>
          <w:lang w:val="es-ES"/>
        </w:rPr>
      </w:pPr>
      <w:r w:rsidRPr="00EB465B">
        <w:rPr>
          <w:rStyle w:val="Refdenotaalpie"/>
          <w:sz w:val="16"/>
          <w:szCs w:val="16"/>
        </w:rPr>
        <w:footnoteRef/>
      </w:r>
      <w:r w:rsidRPr="00593DE3">
        <w:rPr>
          <w:sz w:val="16"/>
          <w:szCs w:val="16"/>
        </w:rPr>
        <w:t xml:space="preserve"> </w:t>
      </w:r>
      <w:r w:rsidRPr="00593DE3">
        <w:rPr>
          <w:sz w:val="16"/>
          <w:szCs w:val="16"/>
        </w:rPr>
        <w:tab/>
      </w:r>
      <w:r w:rsidRPr="00593DE3">
        <w:rPr>
          <w:i/>
          <w:iCs/>
          <w:sz w:val="16"/>
          <w:szCs w:val="16"/>
        </w:rPr>
        <w:t xml:space="preserve">Cfr. Caso Kawas Fernández Vs. </w:t>
      </w:r>
      <w:r w:rsidRPr="00E85844">
        <w:rPr>
          <w:i/>
          <w:iCs/>
          <w:sz w:val="16"/>
          <w:szCs w:val="16"/>
        </w:rPr>
        <w:t>Honduras, supra</w:t>
      </w:r>
      <w:r w:rsidRPr="00E85844">
        <w:rPr>
          <w:sz w:val="16"/>
          <w:szCs w:val="16"/>
        </w:rPr>
        <w:t xml:space="preserve">, párr. 146, y </w:t>
      </w:r>
      <w:r w:rsidRPr="00E85844">
        <w:rPr>
          <w:i/>
          <w:iCs/>
          <w:sz w:val="16"/>
          <w:szCs w:val="16"/>
        </w:rPr>
        <w:t xml:space="preserve">Caso Miembros de la Corporación Colectivo de Abogados "José Alvear Restrepo" Vs. </w:t>
      </w:r>
      <w:r w:rsidRPr="00EB465B">
        <w:rPr>
          <w:i/>
          <w:iCs/>
          <w:sz w:val="16"/>
          <w:szCs w:val="16"/>
          <w:lang w:val="es-ES"/>
        </w:rPr>
        <w:t>Colombia</w:t>
      </w:r>
      <w:r>
        <w:rPr>
          <w:i/>
          <w:iCs/>
          <w:sz w:val="16"/>
          <w:szCs w:val="16"/>
          <w:lang w:val="es-ES"/>
        </w:rPr>
        <w:t>, supra</w:t>
      </w:r>
      <w:r w:rsidRPr="00EB465B">
        <w:rPr>
          <w:sz w:val="16"/>
          <w:szCs w:val="16"/>
          <w:lang w:val="es-ES"/>
        </w:rPr>
        <w:t>, párr. 960.</w:t>
      </w:r>
    </w:p>
  </w:footnote>
  <w:footnote w:id="110">
    <w:p w14:paraId="28AFB7B3" w14:textId="77777777" w:rsidR="003858C4" w:rsidRPr="00EB465B" w:rsidRDefault="003858C4" w:rsidP="003858C4">
      <w:pPr>
        <w:pStyle w:val="Textonotapie"/>
        <w:spacing w:before="40" w:after="40"/>
        <w:rPr>
          <w:sz w:val="16"/>
          <w:szCs w:val="16"/>
        </w:rPr>
      </w:pPr>
      <w:r w:rsidRPr="00EB465B">
        <w:rPr>
          <w:rStyle w:val="Refdenotaalpie"/>
          <w:sz w:val="16"/>
          <w:szCs w:val="16"/>
        </w:rPr>
        <w:footnoteRef/>
      </w:r>
      <w:r w:rsidRPr="00EB465B">
        <w:rPr>
          <w:sz w:val="16"/>
          <w:szCs w:val="16"/>
        </w:rPr>
        <w:t xml:space="preserve"> </w:t>
      </w:r>
      <w:r w:rsidRPr="00EB465B">
        <w:rPr>
          <w:sz w:val="16"/>
          <w:szCs w:val="16"/>
        </w:rPr>
        <w:tab/>
      </w:r>
      <w:r w:rsidRPr="00EB465B">
        <w:rPr>
          <w:i/>
          <w:iCs/>
          <w:sz w:val="16"/>
          <w:szCs w:val="16"/>
        </w:rPr>
        <w:t xml:space="preserve">Cfr. Caso Huilca </w:t>
      </w:r>
      <w:proofErr w:type="spellStart"/>
      <w:r w:rsidRPr="00EB465B">
        <w:rPr>
          <w:i/>
          <w:iCs/>
          <w:sz w:val="16"/>
          <w:szCs w:val="16"/>
        </w:rPr>
        <w:t>Tecse</w:t>
      </w:r>
      <w:proofErr w:type="spellEnd"/>
      <w:r w:rsidRPr="00EB465B">
        <w:rPr>
          <w:i/>
          <w:iCs/>
          <w:sz w:val="16"/>
          <w:szCs w:val="16"/>
        </w:rPr>
        <w:t xml:space="preserve"> Vs. Perú</w:t>
      </w:r>
      <w:r w:rsidRPr="003C1133">
        <w:rPr>
          <w:i/>
          <w:iCs/>
          <w:sz w:val="16"/>
          <w:szCs w:val="16"/>
        </w:rPr>
        <w:t xml:space="preserve">. Fondo, Reparaciones y Costas. </w:t>
      </w:r>
      <w:r w:rsidRPr="00E85844">
        <w:rPr>
          <w:sz w:val="16"/>
          <w:szCs w:val="16"/>
        </w:rPr>
        <w:t>Sentencia de 3 de marzo de 2005. Serie C No. 121</w:t>
      </w:r>
      <w:r w:rsidRPr="00EB465B">
        <w:rPr>
          <w:sz w:val="16"/>
          <w:szCs w:val="16"/>
        </w:rPr>
        <w:t xml:space="preserve">, párr. 76, y </w:t>
      </w:r>
      <w:r w:rsidRPr="00EB465B">
        <w:rPr>
          <w:i/>
          <w:iCs/>
          <w:sz w:val="16"/>
          <w:szCs w:val="16"/>
          <w:lang w:val="es-ES"/>
        </w:rPr>
        <w:t>Caso Miembros de la Corporación Colectivo de Abogados "José Alvear Restrepo" Vs. Colombia</w:t>
      </w:r>
      <w:r>
        <w:rPr>
          <w:i/>
          <w:iCs/>
          <w:sz w:val="16"/>
          <w:szCs w:val="16"/>
          <w:lang w:val="es-ES"/>
        </w:rPr>
        <w:t>, supra</w:t>
      </w:r>
      <w:r w:rsidRPr="00EB465B">
        <w:rPr>
          <w:sz w:val="16"/>
          <w:szCs w:val="16"/>
          <w:lang w:val="es-ES"/>
        </w:rPr>
        <w:t>, párr. 960.</w:t>
      </w:r>
    </w:p>
  </w:footnote>
  <w:footnote w:id="111">
    <w:p w14:paraId="78271D73" w14:textId="77777777" w:rsidR="003858C4" w:rsidRPr="00EB465B" w:rsidRDefault="003858C4" w:rsidP="003858C4">
      <w:pPr>
        <w:pStyle w:val="Textonotapie"/>
        <w:spacing w:before="40" w:after="40"/>
        <w:rPr>
          <w:sz w:val="16"/>
          <w:szCs w:val="16"/>
          <w:lang w:val="es-ES"/>
        </w:rPr>
      </w:pPr>
      <w:r w:rsidRPr="00EB465B">
        <w:rPr>
          <w:rStyle w:val="Refdenotaalpie"/>
          <w:sz w:val="16"/>
          <w:szCs w:val="16"/>
        </w:rPr>
        <w:footnoteRef/>
      </w:r>
      <w:r w:rsidRPr="00EB465B">
        <w:rPr>
          <w:sz w:val="16"/>
          <w:szCs w:val="16"/>
        </w:rPr>
        <w:t xml:space="preserve"> </w:t>
      </w:r>
      <w:r w:rsidRPr="00EB465B">
        <w:rPr>
          <w:sz w:val="16"/>
          <w:szCs w:val="16"/>
          <w:lang w:val="es-ES"/>
        </w:rPr>
        <w:tab/>
        <w:t xml:space="preserve">Ver, en similar sentido, </w:t>
      </w:r>
      <w:r w:rsidRPr="00EB465B">
        <w:rPr>
          <w:i/>
          <w:iCs/>
          <w:sz w:val="16"/>
          <w:szCs w:val="16"/>
          <w:lang w:val="es-ES"/>
        </w:rPr>
        <w:t>Caso Miembros de la Corporación Colectivo de Abogados "José Alvear Restrepo" Vs. Colombia</w:t>
      </w:r>
      <w:r>
        <w:rPr>
          <w:i/>
          <w:iCs/>
          <w:sz w:val="16"/>
          <w:szCs w:val="16"/>
          <w:lang w:val="es-ES"/>
        </w:rPr>
        <w:t>, supra</w:t>
      </w:r>
      <w:r w:rsidRPr="00EB465B">
        <w:rPr>
          <w:sz w:val="16"/>
          <w:szCs w:val="16"/>
          <w:lang w:val="es-ES"/>
        </w:rPr>
        <w:t>, párr. 964.</w:t>
      </w:r>
    </w:p>
  </w:footnote>
  <w:footnote w:id="112">
    <w:p w14:paraId="78D0FFC9" w14:textId="00CDAFB0" w:rsidR="00EE77DC" w:rsidRPr="00815295" w:rsidRDefault="00EE77DC" w:rsidP="00815295">
      <w:pPr>
        <w:spacing w:before="40" w:after="40" w:line="240" w:lineRule="auto"/>
        <w:rPr>
          <w:sz w:val="16"/>
          <w:szCs w:val="16"/>
          <w:lang w:val="es-ES"/>
        </w:rPr>
      </w:pPr>
      <w:r w:rsidRPr="00815295">
        <w:rPr>
          <w:rStyle w:val="Refdenotaalpie"/>
          <w:rFonts w:eastAsia="Batang"/>
          <w:sz w:val="16"/>
          <w:szCs w:val="16"/>
        </w:rPr>
        <w:footnoteRef/>
      </w:r>
      <w:r w:rsidRPr="00815295">
        <w:rPr>
          <w:sz w:val="16"/>
          <w:szCs w:val="16"/>
          <w:lang w:val="es-ES"/>
        </w:rPr>
        <w:tab/>
      </w:r>
      <w:r w:rsidR="003858C4" w:rsidRPr="00EB465B">
        <w:rPr>
          <w:i/>
          <w:iCs/>
          <w:sz w:val="16"/>
          <w:szCs w:val="16"/>
          <w:lang w:val="es-ES"/>
        </w:rPr>
        <w:t>Cfr. Caso Nogueira de Carvalho y otro Vs. Brasil, supra</w:t>
      </w:r>
      <w:r w:rsidR="003858C4" w:rsidRPr="00EB465B">
        <w:rPr>
          <w:sz w:val="16"/>
          <w:szCs w:val="16"/>
          <w:lang w:val="es-ES"/>
        </w:rPr>
        <w:t xml:space="preserve">, párr. 77, y </w:t>
      </w:r>
      <w:r w:rsidR="003858C4" w:rsidRPr="00CD1601">
        <w:rPr>
          <w:i/>
          <w:iCs/>
          <w:sz w:val="16"/>
          <w:szCs w:val="16"/>
          <w:lang w:val="es-ES"/>
        </w:rPr>
        <w:t xml:space="preserve">Caso Baraona Bray Vs. Chile. Excepciones Preliminares, Fondo, Reparaciones y Costas. </w:t>
      </w:r>
      <w:r w:rsidR="003858C4" w:rsidRPr="00E85844">
        <w:rPr>
          <w:sz w:val="16"/>
          <w:szCs w:val="16"/>
          <w:lang w:val="es-ES"/>
        </w:rPr>
        <w:t>Sentencia de 24 de noviembre de 2022. Serie C No. 481, párr. 79.</w:t>
      </w:r>
    </w:p>
  </w:footnote>
  <w:footnote w:id="113">
    <w:p w14:paraId="67939AA4" w14:textId="1B5B0E84" w:rsidR="007253A9" w:rsidRPr="00815295" w:rsidRDefault="007253A9" w:rsidP="00815295">
      <w:pPr>
        <w:pStyle w:val="Textonotapie"/>
        <w:spacing w:before="40" w:after="40"/>
        <w:rPr>
          <w:sz w:val="16"/>
          <w:szCs w:val="16"/>
        </w:rPr>
      </w:pPr>
      <w:r w:rsidRPr="00815295">
        <w:rPr>
          <w:rStyle w:val="Refdenotaalpie"/>
          <w:sz w:val="16"/>
          <w:szCs w:val="16"/>
        </w:rPr>
        <w:footnoteRef/>
      </w:r>
      <w:r w:rsidRPr="00815295">
        <w:rPr>
          <w:sz w:val="16"/>
          <w:szCs w:val="16"/>
          <w:lang w:val="es-ES"/>
        </w:rPr>
        <w:t xml:space="preserve"> </w:t>
      </w:r>
      <w:r w:rsidRPr="00815295">
        <w:rPr>
          <w:sz w:val="16"/>
          <w:szCs w:val="16"/>
          <w:lang w:val="es-ES"/>
        </w:rPr>
        <w:tab/>
      </w:r>
      <w:r w:rsidR="003858C4" w:rsidRPr="00E85844">
        <w:rPr>
          <w:rFonts w:cs="Verdana-Italic"/>
          <w:i/>
          <w:iCs/>
          <w:sz w:val="16"/>
          <w:szCs w:val="16"/>
          <w:lang w:val="es-ES"/>
        </w:rPr>
        <w:t xml:space="preserve">Cfr. </w:t>
      </w:r>
      <w:r w:rsidR="003858C4" w:rsidRPr="00E85844">
        <w:rPr>
          <w:i/>
          <w:sz w:val="16"/>
          <w:szCs w:val="16"/>
          <w:lang w:val="es-ES"/>
        </w:rPr>
        <w:t>Caso Nogueira de Carvalho y otros Vs. Brasil, supra</w:t>
      </w:r>
      <w:r w:rsidR="003858C4" w:rsidRPr="00E85844">
        <w:rPr>
          <w:sz w:val="16"/>
          <w:szCs w:val="16"/>
          <w:lang w:val="es-ES"/>
        </w:rPr>
        <w:t xml:space="preserve">, párr. </w:t>
      </w:r>
      <w:r w:rsidR="003858C4" w:rsidRPr="00EB465B">
        <w:rPr>
          <w:sz w:val="16"/>
          <w:szCs w:val="16"/>
          <w:lang w:val="es-ES"/>
        </w:rPr>
        <w:t xml:space="preserve">74, y </w:t>
      </w:r>
      <w:r w:rsidR="003858C4" w:rsidRPr="00EB465B">
        <w:rPr>
          <w:i/>
          <w:iCs/>
          <w:sz w:val="16"/>
          <w:szCs w:val="16"/>
          <w:lang w:val="es-ES"/>
        </w:rPr>
        <w:t>Caso Miembros de la Corporación Colectivo de Abogados "José Alvear Restrepo" Vs. Colombia</w:t>
      </w:r>
      <w:r w:rsidR="003858C4">
        <w:rPr>
          <w:i/>
          <w:iCs/>
          <w:sz w:val="16"/>
          <w:szCs w:val="16"/>
          <w:lang w:val="es-ES"/>
        </w:rPr>
        <w:t>, supra</w:t>
      </w:r>
      <w:r w:rsidR="003858C4" w:rsidRPr="00EB465B">
        <w:rPr>
          <w:sz w:val="16"/>
          <w:szCs w:val="16"/>
          <w:lang w:val="es-ES"/>
        </w:rPr>
        <w:t>, párr</w:t>
      </w:r>
      <w:r w:rsidR="003858C4">
        <w:rPr>
          <w:sz w:val="16"/>
          <w:szCs w:val="16"/>
          <w:lang w:val="es-ES"/>
        </w:rPr>
        <w:t>s</w:t>
      </w:r>
      <w:r w:rsidR="003858C4" w:rsidRPr="00EB465B">
        <w:rPr>
          <w:sz w:val="16"/>
          <w:szCs w:val="16"/>
          <w:lang w:val="es-ES"/>
        </w:rPr>
        <w:t xml:space="preserve">. </w:t>
      </w:r>
      <w:r w:rsidR="003858C4">
        <w:rPr>
          <w:sz w:val="16"/>
          <w:szCs w:val="16"/>
          <w:lang w:val="es-ES"/>
        </w:rPr>
        <w:t>477 y 478</w:t>
      </w:r>
      <w:r w:rsidR="003858C4" w:rsidRPr="00EB465B">
        <w:rPr>
          <w:sz w:val="16"/>
          <w:szCs w:val="16"/>
          <w:lang w:val="es-ES"/>
        </w:rPr>
        <w:t>.</w:t>
      </w:r>
    </w:p>
  </w:footnote>
  <w:footnote w:id="114">
    <w:p w14:paraId="168AF913" w14:textId="7C3F1FAC" w:rsidR="00C2097B" w:rsidRPr="00815295" w:rsidRDefault="00C2097B"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00712C1C" w:rsidRPr="00815295">
        <w:rPr>
          <w:i/>
          <w:iCs/>
          <w:sz w:val="16"/>
          <w:szCs w:val="16"/>
        </w:rPr>
        <w:t xml:space="preserve">Cfr. Caso Miembros de la Corporación Colectivo de Abogados “José Alvear Restrepo” Vs. Colombia. supra, </w:t>
      </w:r>
      <w:r w:rsidR="00712C1C" w:rsidRPr="00815295">
        <w:rPr>
          <w:sz w:val="16"/>
          <w:szCs w:val="16"/>
        </w:rPr>
        <w:t>párr</w:t>
      </w:r>
      <w:r w:rsidR="003858C4">
        <w:rPr>
          <w:sz w:val="16"/>
          <w:szCs w:val="16"/>
        </w:rPr>
        <w:t>s</w:t>
      </w:r>
      <w:r w:rsidR="00712C1C" w:rsidRPr="00815295">
        <w:rPr>
          <w:sz w:val="16"/>
          <w:szCs w:val="16"/>
        </w:rPr>
        <w:t>. 9</w:t>
      </w:r>
      <w:r w:rsidR="003858C4">
        <w:rPr>
          <w:sz w:val="16"/>
          <w:szCs w:val="16"/>
        </w:rPr>
        <w:t>8</w:t>
      </w:r>
      <w:r w:rsidR="00712C1C" w:rsidRPr="00815295">
        <w:rPr>
          <w:sz w:val="16"/>
          <w:szCs w:val="16"/>
        </w:rPr>
        <w:t>2</w:t>
      </w:r>
      <w:r w:rsidR="003858C4">
        <w:rPr>
          <w:sz w:val="16"/>
          <w:szCs w:val="16"/>
        </w:rPr>
        <w:t xml:space="preserve"> y 992</w:t>
      </w:r>
      <w:r w:rsidR="00712C1C" w:rsidRPr="00815295">
        <w:rPr>
          <w:sz w:val="16"/>
          <w:szCs w:val="16"/>
        </w:rPr>
        <w:t>.</w:t>
      </w:r>
    </w:p>
  </w:footnote>
  <w:footnote w:id="115">
    <w:p w14:paraId="7AB04199" w14:textId="5BDEDFCF" w:rsidR="009762ED" w:rsidRPr="00815295" w:rsidRDefault="009762ED" w:rsidP="00815295">
      <w:pPr>
        <w:pStyle w:val="Textonotapie"/>
        <w:spacing w:before="40" w:after="40"/>
        <w:rPr>
          <w:sz w:val="16"/>
          <w:szCs w:val="16"/>
        </w:rPr>
      </w:pPr>
      <w:r w:rsidRPr="00815295">
        <w:rPr>
          <w:rStyle w:val="Refdenotaalpie"/>
          <w:rFonts w:eastAsia="Batang"/>
          <w:sz w:val="16"/>
          <w:szCs w:val="16"/>
          <w:lang w:val="es-CR"/>
        </w:rPr>
        <w:footnoteRef/>
      </w:r>
      <w:r w:rsidRPr="00815295">
        <w:rPr>
          <w:sz w:val="16"/>
          <w:szCs w:val="16"/>
        </w:rPr>
        <w:t xml:space="preserve"> </w:t>
      </w:r>
      <w:r w:rsidRPr="00815295">
        <w:rPr>
          <w:sz w:val="16"/>
          <w:szCs w:val="16"/>
        </w:rPr>
        <w:tab/>
        <w:t xml:space="preserve">Artículos 8.1 y 25 de la Convención Americana, en relación con </w:t>
      </w:r>
      <w:r w:rsidR="00F47311" w:rsidRPr="00815295">
        <w:rPr>
          <w:sz w:val="16"/>
          <w:szCs w:val="16"/>
        </w:rPr>
        <w:t>el</w:t>
      </w:r>
      <w:r w:rsidRPr="00815295">
        <w:rPr>
          <w:sz w:val="16"/>
          <w:szCs w:val="16"/>
        </w:rPr>
        <w:t xml:space="preserve"> artículo 1.1 del mismo Instrumento.</w:t>
      </w:r>
    </w:p>
  </w:footnote>
  <w:footnote w:id="116">
    <w:p w14:paraId="289B83DC" w14:textId="78D3017D" w:rsidR="00B5464E" w:rsidRPr="00815295" w:rsidRDefault="00B5464E" w:rsidP="00815295">
      <w:pPr>
        <w:pStyle w:val="Textonotapie"/>
        <w:tabs>
          <w:tab w:val="left" w:pos="426"/>
          <w:tab w:val="left" w:pos="567"/>
        </w:tabs>
        <w:spacing w:before="40" w:after="40"/>
        <w:rPr>
          <w:sz w:val="16"/>
          <w:szCs w:val="16"/>
        </w:rPr>
      </w:pPr>
      <w:r w:rsidRPr="00815295">
        <w:rPr>
          <w:rStyle w:val="Refdenotaalpie"/>
          <w:rFonts w:eastAsia="Batang"/>
          <w:sz w:val="16"/>
          <w:szCs w:val="16"/>
          <w:lang w:val="es-CR"/>
        </w:rPr>
        <w:footnoteRef/>
      </w:r>
      <w:r w:rsidRPr="00815295">
        <w:rPr>
          <w:sz w:val="16"/>
          <w:szCs w:val="16"/>
        </w:rPr>
        <w:t xml:space="preserve"> </w:t>
      </w:r>
      <w:r w:rsidRPr="00815295">
        <w:rPr>
          <w:sz w:val="16"/>
          <w:szCs w:val="16"/>
        </w:rPr>
        <w:tab/>
      </w:r>
      <w:r w:rsidRPr="00815295">
        <w:rPr>
          <w:sz w:val="16"/>
          <w:szCs w:val="16"/>
        </w:rPr>
        <w:tab/>
      </w:r>
      <w:r w:rsidRPr="00815295">
        <w:rPr>
          <w:sz w:val="16"/>
          <w:szCs w:val="16"/>
        </w:rPr>
        <w:tab/>
      </w:r>
      <w:r w:rsidR="00E8294E" w:rsidRPr="00EB465B">
        <w:rPr>
          <w:i/>
          <w:iCs/>
          <w:sz w:val="16"/>
          <w:szCs w:val="16"/>
        </w:rPr>
        <w:t>Cfr.</w:t>
      </w:r>
      <w:r w:rsidR="00E8294E" w:rsidRPr="00EB465B">
        <w:rPr>
          <w:iCs/>
          <w:sz w:val="16"/>
          <w:szCs w:val="16"/>
        </w:rPr>
        <w:t xml:space="preserve"> </w:t>
      </w:r>
      <w:r w:rsidR="00E8294E" w:rsidRPr="00EB465B">
        <w:rPr>
          <w:i/>
          <w:sz w:val="16"/>
          <w:szCs w:val="16"/>
        </w:rPr>
        <w:t>Caso Velásquez Rodríguez Vs. Honduras. Fondo, supra</w:t>
      </w:r>
      <w:r w:rsidR="00E8294E" w:rsidRPr="00EB465B">
        <w:rPr>
          <w:sz w:val="16"/>
          <w:szCs w:val="16"/>
        </w:rPr>
        <w:t>, párr. 166, y</w:t>
      </w:r>
      <w:r w:rsidR="00E8294E" w:rsidRPr="00EB465B">
        <w:rPr>
          <w:iCs/>
          <w:sz w:val="16"/>
          <w:szCs w:val="16"/>
        </w:rPr>
        <w:t xml:space="preserve"> </w:t>
      </w:r>
      <w:r w:rsidR="00E8294E" w:rsidRPr="00165ACA">
        <w:rPr>
          <w:i/>
          <w:sz w:val="16"/>
          <w:szCs w:val="16"/>
        </w:rPr>
        <w:t xml:space="preserve">Caso Garzón Guzmán y otros Vs. Ecuador. Fondo, Reparaciones y Costas. </w:t>
      </w:r>
      <w:r w:rsidR="00E8294E" w:rsidRPr="00A374C9">
        <w:rPr>
          <w:iCs/>
          <w:sz w:val="16"/>
          <w:szCs w:val="16"/>
        </w:rPr>
        <w:t>Sentencia de 1 de septiembre de 2021. Serie C No. 434</w:t>
      </w:r>
      <w:r w:rsidR="00E8294E">
        <w:rPr>
          <w:iCs/>
          <w:sz w:val="16"/>
          <w:szCs w:val="16"/>
        </w:rPr>
        <w:t>, párr. 66.</w:t>
      </w:r>
    </w:p>
  </w:footnote>
  <w:footnote w:id="117">
    <w:p w14:paraId="711E44CB" w14:textId="04329E7B" w:rsidR="00B5464E" w:rsidRPr="00815295" w:rsidRDefault="00B5464E" w:rsidP="00815295">
      <w:pPr>
        <w:pStyle w:val="Textonotapie"/>
        <w:tabs>
          <w:tab w:val="left" w:pos="426"/>
          <w:tab w:val="left" w:pos="567"/>
        </w:tabs>
        <w:spacing w:before="40" w:after="40"/>
        <w:rPr>
          <w:sz w:val="16"/>
          <w:szCs w:val="16"/>
        </w:rPr>
      </w:pPr>
      <w:r w:rsidRPr="00815295">
        <w:rPr>
          <w:rStyle w:val="Refdenotaalpie"/>
          <w:rFonts w:eastAsia="Batang"/>
          <w:sz w:val="16"/>
          <w:szCs w:val="16"/>
          <w:lang w:val="es-CR"/>
        </w:rPr>
        <w:footnoteRef/>
      </w:r>
      <w:r w:rsidRPr="00815295">
        <w:rPr>
          <w:sz w:val="16"/>
          <w:szCs w:val="16"/>
        </w:rPr>
        <w:t xml:space="preserve"> </w:t>
      </w:r>
      <w:r w:rsidRPr="00815295">
        <w:rPr>
          <w:sz w:val="16"/>
          <w:szCs w:val="16"/>
        </w:rPr>
        <w:tab/>
      </w:r>
      <w:r w:rsidRPr="00815295">
        <w:rPr>
          <w:sz w:val="16"/>
          <w:szCs w:val="16"/>
        </w:rPr>
        <w:tab/>
      </w:r>
      <w:r w:rsidRPr="00815295">
        <w:rPr>
          <w:sz w:val="16"/>
          <w:szCs w:val="16"/>
        </w:rPr>
        <w:tab/>
      </w:r>
      <w:r w:rsidR="00E8294E" w:rsidRPr="00EB465B">
        <w:rPr>
          <w:i/>
          <w:sz w:val="16"/>
          <w:szCs w:val="16"/>
        </w:rPr>
        <w:t>Cfr</w:t>
      </w:r>
      <w:r w:rsidR="00E8294E" w:rsidRPr="00EB465B">
        <w:rPr>
          <w:sz w:val="16"/>
          <w:szCs w:val="16"/>
        </w:rPr>
        <w:t xml:space="preserve">. </w:t>
      </w:r>
      <w:r w:rsidR="00E8294E" w:rsidRPr="00EB465B">
        <w:rPr>
          <w:i/>
          <w:sz w:val="16"/>
          <w:szCs w:val="16"/>
        </w:rPr>
        <w:t>Caso Goiburú y otros Vs. Paraguay. Fondo, Reparaciones y Costas.</w:t>
      </w:r>
      <w:r w:rsidR="00E8294E" w:rsidRPr="00EB465B">
        <w:rPr>
          <w:sz w:val="16"/>
          <w:szCs w:val="16"/>
        </w:rPr>
        <w:t xml:space="preserve"> Sentencia de 22 de septiembre de 2006. Serie C No. 153, párr. 128 y</w:t>
      </w:r>
      <w:r w:rsidR="00E8294E">
        <w:rPr>
          <w:sz w:val="16"/>
          <w:szCs w:val="16"/>
        </w:rPr>
        <w:t xml:space="preserve"> </w:t>
      </w:r>
      <w:r w:rsidR="00E8294E">
        <w:rPr>
          <w:i/>
          <w:iCs/>
          <w:sz w:val="16"/>
          <w:szCs w:val="16"/>
        </w:rPr>
        <w:t xml:space="preserve">Caso Ibsen Cárdenas e Ibsen Peña Vs. Bolivia. </w:t>
      </w:r>
      <w:r w:rsidR="00E8294E">
        <w:rPr>
          <w:sz w:val="16"/>
          <w:szCs w:val="16"/>
        </w:rPr>
        <w:t>Supervisión de Cumplimiento de Sentencia. Resolución de la Corte Interamericana de Derechos Humanos de 9 de septiembre de 2022, párr. 20.</w:t>
      </w:r>
    </w:p>
  </w:footnote>
  <w:footnote w:id="118">
    <w:p w14:paraId="31421097" w14:textId="143065E7" w:rsidR="00B5464E" w:rsidRPr="00815295" w:rsidRDefault="00B5464E" w:rsidP="00815295">
      <w:pPr>
        <w:pStyle w:val="Textonotapie"/>
        <w:tabs>
          <w:tab w:val="left" w:pos="426"/>
          <w:tab w:val="left" w:pos="567"/>
        </w:tabs>
        <w:spacing w:before="40" w:after="40"/>
        <w:rPr>
          <w:sz w:val="16"/>
          <w:szCs w:val="16"/>
        </w:rPr>
      </w:pPr>
      <w:r w:rsidRPr="00815295">
        <w:rPr>
          <w:rStyle w:val="Refdenotaalpie"/>
          <w:rFonts w:eastAsia="Batang"/>
          <w:sz w:val="16"/>
          <w:szCs w:val="16"/>
          <w:lang w:val="es-CR"/>
        </w:rPr>
        <w:footnoteRef/>
      </w:r>
      <w:r w:rsidRPr="00815295">
        <w:rPr>
          <w:sz w:val="16"/>
          <w:szCs w:val="16"/>
        </w:rPr>
        <w:t xml:space="preserve"> </w:t>
      </w:r>
      <w:r w:rsidRPr="00815295">
        <w:rPr>
          <w:sz w:val="16"/>
          <w:szCs w:val="16"/>
        </w:rPr>
        <w:tab/>
      </w:r>
      <w:r w:rsidRPr="00815295">
        <w:rPr>
          <w:sz w:val="16"/>
          <w:szCs w:val="16"/>
        </w:rPr>
        <w:tab/>
      </w:r>
      <w:r w:rsidRPr="00815295">
        <w:rPr>
          <w:sz w:val="16"/>
          <w:szCs w:val="16"/>
        </w:rPr>
        <w:tab/>
      </w:r>
      <w:r w:rsidR="00E8294E" w:rsidRPr="00EB465B">
        <w:rPr>
          <w:i/>
          <w:sz w:val="16"/>
          <w:szCs w:val="16"/>
        </w:rPr>
        <w:t>Cfr. Caso Velásquez Rodríguez Vs. Honduras. Fondo,</w:t>
      </w:r>
      <w:r w:rsidR="00E8294E" w:rsidRPr="00EB465B">
        <w:rPr>
          <w:sz w:val="16"/>
          <w:szCs w:val="16"/>
        </w:rPr>
        <w:t xml:space="preserve"> </w:t>
      </w:r>
      <w:r w:rsidR="00E8294E" w:rsidRPr="00EB465B">
        <w:rPr>
          <w:i/>
          <w:sz w:val="16"/>
          <w:szCs w:val="16"/>
        </w:rPr>
        <w:t>supra</w:t>
      </w:r>
      <w:r w:rsidR="00E8294E" w:rsidRPr="00EB465B">
        <w:rPr>
          <w:sz w:val="16"/>
          <w:szCs w:val="16"/>
        </w:rPr>
        <w:t xml:space="preserve">, párrs. 176 y 177, y </w:t>
      </w:r>
      <w:r w:rsidR="00E8294E" w:rsidRPr="00165ACA">
        <w:rPr>
          <w:i/>
          <w:sz w:val="16"/>
          <w:szCs w:val="16"/>
        </w:rPr>
        <w:t>Caso Garzón Guzmán y otros Vs. Ecuador</w:t>
      </w:r>
      <w:r w:rsidR="00E8294E">
        <w:rPr>
          <w:i/>
          <w:sz w:val="16"/>
          <w:szCs w:val="16"/>
        </w:rPr>
        <w:t>, supra</w:t>
      </w:r>
      <w:r w:rsidR="00E8294E">
        <w:rPr>
          <w:iCs/>
          <w:sz w:val="16"/>
          <w:szCs w:val="16"/>
        </w:rPr>
        <w:t>, párr. 66.</w:t>
      </w:r>
    </w:p>
  </w:footnote>
  <w:footnote w:id="119">
    <w:p w14:paraId="4E83399C" w14:textId="3953BD9B" w:rsidR="00B5464E" w:rsidRPr="00815295" w:rsidRDefault="00B5464E" w:rsidP="00815295">
      <w:pPr>
        <w:pStyle w:val="Textonotapie"/>
        <w:spacing w:before="40" w:after="40"/>
        <w:rPr>
          <w:spacing w:val="-2"/>
          <w:sz w:val="16"/>
          <w:szCs w:val="16"/>
        </w:rPr>
      </w:pPr>
      <w:r w:rsidRPr="00815295">
        <w:rPr>
          <w:rStyle w:val="Smbolodenotaalpie"/>
          <w:rFonts w:eastAsia="Batang"/>
          <w:sz w:val="16"/>
          <w:szCs w:val="16"/>
        </w:rPr>
        <w:footnoteRef/>
      </w:r>
      <w:r w:rsidRPr="00815295">
        <w:rPr>
          <w:spacing w:val="-4"/>
          <w:sz w:val="16"/>
          <w:szCs w:val="16"/>
        </w:rPr>
        <w:t xml:space="preserve"> </w:t>
      </w:r>
      <w:r w:rsidRPr="00815295">
        <w:rPr>
          <w:spacing w:val="-4"/>
          <w:sz w:val="16"/>
          <w:szCs w:val="16"/>
        </w:rPr>
        <w:tab/>
      </w:r>
      <w:r w:rsidR="00E8294E" w:rsidRPr="00EB465B">
        <w:rPr>
          <w:i/>
          <w:spacing w:val="-4"/>
          <w:sz w:val="16"/>
          <w:szCs w:val="16"/>
        </w:rPr>
        <w:t xml:space="preserve">Cfr. </w:t>
      </w:r>
      <w:r w:rsidR="00E8294E" w:rsidRPr="00EB465B">
        <w:rPr>
          <w:i/>
          <w:sz w:val="16"/>
          <w:szCs w:val="16"/>
        </w:rPr>
        <w:t>Caso Velásquez Rodríguez Vs. Honduras. Fondo, supra</w:t>
      </w:r>
      <w:r w:rsidR="00E8294E" w:rsidRPr="00EB465B">
        <w:rPr>
          <w:sz w:val="16"/>
          <w:szCs w:val="16"/>
        </w:rPr>
        <w:t>, párr</w:t>
      </w:r>
      <w:r w:rsidR="00E8294E" w:rsidRPr="00EB465B">
        <w:rPr>
          <w:rFonts w:cs="Verdana"/>
          <w:spacing w:val="-4"/>
          <w:sz w:val="16"/>
          <w:szCs w:val="16"/>
        </w:rPr>
        <w:t>. 177</w:t>
      </w:r>
      <w:r w:rsidR="00E8294E" w:rsidRPr="00EB465B">
        <w:rPr>
          <w:spacing w:val="-2"/>
          <w:sz w:val="16"/>
          <w:szCs w:val="16"/>
        </w:rPr>
        <w:t xml:space="preserve">, y </w:t>
      </w:r>
      <w:r w:rsidR="00E8294E" w:rsidRPr="002B2A59">
        <w:rPr>
          <w:i/>
          <w:sz w:val="16"/>
          <w:szCs w:val="16"/>
        </w:rPr>
        <w:t xml:space="preserve">Caso Gutiérrez Navas y otros Vs. Honduras. Fondo, Reparaciones y Costas. </w:t>
      </w:r>
      <w:r w:rsidR="00E8294E" w:rsidRPr="00E85844">
        <w:rPr>
          <w:iCs/>
          <w:sz w:val="16"/>
          <w:szCs w:val="16"/>
        </w:rPr>
        <w:t>Sentencia de 29 de noviembre de 2023. Serie C No. 514</w:t>
      </w:r>
      <w:r w:rsidR="00E8294E">
        <w:rPr>
          <w:i/>
          <w:sz w:val="16"/>
          <w:szCs w:val="16"/>
        </w:rPr>
        <w:t xml:space="preserve">, </w:t>
      </w:r>
      <w:r w:rsidR="00E8294E">
        <w:rPr>
          <w:iCs/>
          <w:sz w:val="16"/>
          <w:szCs w:val="16"/>
        </w:rPr>
        <w:t>párr. 150.</w:t>
      </w:r>
    </w:p>
  </w:footnote>
  <w:footnote w:id="120">
    <w:p w14:paraId="1B45FDD3" w14:textId="5683B13D" w:rsidR="00B5464E" w:rsidRPr="00815295" w:rsidRDefault="00B5464E" w:rsidP="00815295">
      <w:pPr>
        <w:pStyle w:val="Textonotapie"/>
        <w:spacing w:before="40" w:after="40"/>
        <w:rPr>
          <w:spacing w:val="-2"/>
          <w:sz w:val="16"/>
          <w:szCs w:val="16"/>
        </w:rPr>
      </w:pPr>
      <w:r w:rsidRPr="00815295">
        <w:rPr>
          <w:rStyle w:val="Smbolodenotaalpie"/>
          <w:rFonts w:eastAsia="Batang"/>
          <w:sz w:val="16"/>
          <w:szCs w:val="16"/>
        </w:rPr>
        <w:footnoteRef/>
      </w:r>
      <w:r w:rsidRPr="00815295">
        <w:rPr>
          <w:spacing w:val="-4"/>
          <w:sz w:val="16"/>
          <w:szCs w:val="16"/>
        </w:rPr>
        <w:t xml:space="preserve"> </w:t>
      </w:r>
      <w:r w:rsidRPr="00815295">
        <w:rPr>
          <w:spacing w:val="-4"/>
          <w:sz w:val="16"/>
          <w:szCs w:val="16"/>
        </w:rPr>
        <w:tab/>
      </w:r>
      <w:r w:rsidR="00E8294E" w:rsidRPr="00EB465B">
        <w:rPr>
          <w:i/>
          <w:spacing w:val="-4"/>
          <w:sz w:val="16"/>
          <w:szCs w:val="16"/>
        </w:rPr>
        <w:t>Cfr</w:t>
      </w:r>
      <w:r w:rsidR="00E8294E" w:rsidRPr="00EB465B">
        <w:rPr>
          <w:spacing w:val="-4"/>
          <w:sz w:val="16"/>
          <w:szCs w:val="16"/>
        </w:rPr>
        <w:t xml:space="preserve">. </w:t>
      </w:r>
      <w:r w:rsidR="00E8294E" w:rsidRPr="00EB465B">
        <w:rPr>
          <w:i/>
          <w:spacing w:val="-4"/>
          <w:sz w:val="16"/>
          <w:szCs w:val="16"/>
        </w:rPr>
        <w:t>Caso Juan Humberto Sánchez Vs. Honduras. Excepción Preliminar, Fondo, Reparaciones y Costas.</w:t>
      </w:r>
      <w:r w:rsidR="00E8294E" w:rsidRPr="00EB465B">
        <w:rPr>
          <w:spacing w:val="-4"/>
          <w:sz w:val="16"/>
          <w:szCs w:val="16"/>
        </w:rPr>
        <w:t xml:space="preserve"> Sentencia de 7 de junio de 2003. Serie C No. 99, </w:t>
      </w:r>
      <w:r w:rsidR="00E8294E" w:rsidRPr="00EB465B">
        <w:rPr>
          <w:rFonts w:cs="Verdana"/>
          <w:spacing w:val="-4"/>
          <w:sz w:val="16"/>
          <w:szCs w:val="16"/>
        </w:rPr>
        <w:t>párr. 127,</w:t>
      </w:r>
      <w:r w:rsidR="00E8294E" w:rsidRPr="00EB465B">
        <w:rPr>
          <w:spacing w:val="-4"/>
          <w:sz w:val="16"/>
          <w:szCs w:val="16"/>
        </w:rPr>
        <w:t xml:space="preserve"> </w:t>
      </w:r>
      <w:r w:rsidR="00E8294E" w:rsidRPr="00EB465B">
        <w:rPr>
          <w:sz w:val="16"/>
          <w:szCs w:val="16"/>
        </w:rPr>
        <w:t xml:space="preserve">y </w:t>
      </w:r>
      <w:r w:rsidR="00E8294E" w:rsidRPr="009B7A8B">
        <w:rPr>
          <w:i/>
          <w:sz w:val="16"/>
          <w:szCs w:val="16"/>
        </w:rPr>
        <w:t xml:space="preserve">Caso López Sosa Vs. Paraguay. Fondo, Reparaciones y Costas. </w:t>
      </w:r>
      <w:r w:rsidR="00E8294E" w:rsidRPr="00E85844">
        <w:rPr>
          <w:iCs/>
          <w:sz w:val="16"/>
          <w:szCs w:val="16"/>
        </w:rPr>
        <w:t>Sentencia de 17 de mayo de 2023. Serie C No. 489</w:t>
      </w:r>
      <w:r w:rsidR="00E8294E">
        <w:rPr>
          <w:iCs/>
          <w:sz w:val="16"/>
          <w:szCs w:val="16"/>
        </w:rPr>
        <w:t>, párr. 110.</w:t>
      </w:r>
      <w:r w:rsidRPr="00815295">
        <w:rPr>
          <w:rStyle w:val="Textoennegrita"/>
          <w:rFonts w:eastAsia="MS Mincho"/>
          <w:color w:val="000000"/>
          <w:sz w:val="16"/>
          <w:szCs w:val="16"/>
        </w:rPr>
        <w:t xml:space="preserve"> </w:t>
      </w:r>
    </w:p>
  </w:footnote>
  <w:footnote w:id="121">
    <w:p w14:paraId="67274D8F" w14:textId="5A5F4B46" w:rsidR="00B5464E" w:rsidRPr="00815295" w:rsidRDefault="00B5464E" w:rsidP="00815295">
      <w:pPr>
        <w:pStyle w:val="Sinespaciado"/>
        <w:spacing w:before="40" w:after="40"/>
        <w:jc w:val="both"/>
        <w:rPr>
          <w:rFonts w:ascii="Verdana" w:hAnsi="Verdana"/>
          <w:sz w:val="16"/>
          <w:szCs w:val="16"/>
        </w:rPr>
      </w:pPr>
      <w:r w:rsidRPr="00815295">
        <w:rPr>
          <w:rStyle w:val="Smbolodenotaalpie"/>
          <w:rFonts w:ascii="Verdana" w:hAnsi="Verdana"/>
          <w:sz w:val="16"/>
          <w:szCs w:val="16"/>
        </w:rPr>
        <w:footnoteRef/>
      </w:r>
      <w:r w:rsidRPr="00815295">
        <w:rPr>
          <w:rFonts w:ascii="Verdana" w:hAnsi="Verdana"/>
          <w:spacing w:val="-4"/>
          <w:sz w:val="16"/>
          <w:szCs w:val="16"/>
        </w:rPr>
        <w:t xml:space="preserve"> </w:t>
      </w:r>
      <w:r w:rsidRPr="00815295">
        <w:rPr>
          <w:rFonts w:ascii="Verdana" w:hAnsi="Verdana"/>
          <w:spacing w:val="-4"/>
          <w:sz w:val="16"/>
          <w:szCs w:val="16"/>
        </w:rPr>
        <w:tab/>
      </w:r>
      <w:r w:rsidR="00E8294E" w:rsidRPr="00EB465B">
        <w:rPr>
          <w:rFonts w:ascii="Verdana" w:hAnsi="Verdana"/>
          <w:i/>
          <w:spacing w:val="-4"/>
          <w:sz w:val="16"/>
          <w:szCs w:val="16"/>
        </w:rPr>
        <w:t xml:space="preserve">Cfr. </w:t>
      </w:r>
      <w:r w:rsidR="00E8294E" w:rsidRPr="00EB465B">
        <w:rPr>
          <w:rFonts w:ascii="Verdana" w:hAnsi="Verdana"/>
          <w:i/>
          <w:sz w:val="16"/>
          <w:szCs w:val="16"/>
        </w:rPr>
        <w:t>Caso de las Hermanas Serrano Cruz Vs. El Salvador, supra</w:t>
      </w:r>
      <w:r w:rsidR="00E8294E" w:rsidRPr="00EB465B">
        <w:rPr>
          <w:rFonts w:ascii="Verdana" w:hAnsi="Verdana"/>
          <w:sz w:val="16"/>
          <w:szCs w:val="16"/>
        </w:rPr>
        <w:t xml:space="preserve">, párr. 83, y </w:t>
      </w:r>
      <w:r w:rsidR="00E8294E" w:rsidRPr="00E85844">
        <w:rPr>
          <w:rFonts w:ascii="Verdana" w:hAnsi="Verdana"/>
          <w:i/>
          <w:iCs/>
          <w:sz w:val="16"/>
          <w:szCs w:val="16"/>
        </w:rPr>
        <w:t>Caso Miembros de la Corporación Colectivo de Abogados "José Alvear Restrepo" Vs. Colombia. Excepciones Preliminares, Fondo, Reparaciones y Costas</w:t>
      </w:r>
      <w:r w:rsidR="00E8294E">
        <w:rPr>
          <w:rFonts w:ascii="Verdana" w:hAnsi="Verdana"/>
          <w:sz w:val="16"/>
          <w:szCs w:val="16"/>
        </w:rPr>
        <w:t>,</w:t>
      </w:r>
      <w:r w:rsidR="00E8294E">
        <w:rPr>
          <w:rFonts w:ascii="Verdana" w:hAnsi="Verdana"/>
          <w:i/>
          <w:iCs/>
          <w:sz w:val="16"/>
          <w:szCs w:val="16"/>
        </w:rPr>
        <w:t xml:space="preserve"> supra, </w:t>
      </w:r>
      <w:r w:rsidR="00E8294E">
        <w:rPr>
          <w:rFonts w:ascii="Verdana" w:hAnsi="Verdana"/>
          <w:sz w:val="16"/>
          <w:szCs w:val="16"/>
        </w:rPr>
        <w:t>párr. 741.</w:t>
      </w:r>
    </w:p>
  </w:footnote>
  <w:footnote w:id="122">
    <w:p w14:paraId="3664193F" w14:textId="721314B3" w:rsidR="00E8294E" w:rsidRPr="00EB465B" w:rsidRDefault="00E8294E" w:rsidP="00E8294E">
      <w:pPr>
        <w:pStyle w:val="Textonotapie"/>
        <w:spacing w:before="40" w:after="40"/>
        <w:rPr>
          <w:sz w:val="16"/>
          <w:szCs w:val="16"/>
        </w:rPr>
      </w:pPr>
      <w:r w:rsidRPr="00EB465B">
        <w:rPr>
          <w:rStyle w:val="Refdenotaalpie"/>
          <w:sz w:val="16"/>
          <w:szCs w:val="16"/>
        </w:rPr>
        <w:footnoteRef/>
      </w:r>
      <w:r w:rsidRPr="00EB465B">
        <w:rPr>
          <w:sz w:val="16"/>
          <w:szCs w:val="16"/>
        </w:rPr>
        <w:t xml:space="preserve"> </w:t>
      </w:r>
      <w:r w:rsidRPr="00EB465B">
        <w:rPr>
          <w:sz w:val="16"/>
          <w:szCs w:val="16"/>
        </w:rPr>
        <w:tab/>
      </w:r>
      <w:r w:rsidRPr="00EB465B">
        <w:rPr>
          <w:i/>
          <w:iCs/>
          <w:sz w:val="16"/>
          <w:szCs w:val="16"/>
        </w:rPr>
        <w:t>Cfr</w:t>
      </w:r>
      <w:r w:rsidRPr="00EB465B">
        <w:rPr>
          <w:sz w:val="16"/>
          <w:szCs w:val="16"/>
        </w:rPr>
        <w:t>. Escrito de contestación</w:t>
      </w:r>
      <w:r>
        <w:rPr>
          <w:sz w:val="16"/>
          <w:szCs w:val="16"/>
        </w:rPr>
        <w:t>, de 29 de noviembre de 2022</w:t>
      </w:r>
      <w:r w:rsidRPr="00EB465B">
        <w:rPr>
          <w:sz w:val="16"/>
          <w:szCs w:val="16"/>
        </w:rPr>
        <w:t xml:space="preserve"> (expediente de fondo, folio 158).</w:t>
      </w:r>
    </w:p>
  </w:footnote>
  <w:footnote w:id="123">
    <w:p w14:paraId="3929468D" w14:textId="77777777" w:rsidR="00E8294E" w:rsidRPr="00EB465B" w:rsidRDefault="00E8294E" w:rsidP="00E8294E">
      <w:pPr>
        <w:pStyle w:val="Textonotapie"/>
        <w:spacing w:before="40" w:after="40"/>
        <w:rPr>
          <w:sz w:val="16"/>
          <w:szCs w:val="16"/>
          <w:lang w:val="es-ES"/>
        </w:rPr>
      </w:pPr>
      <w:r w:rsidRPr="00EB465B">
        <w:rPr>
          <w:rStyle w:val="Refdenotaalpie"/>
          <w:sz w:val="16"/>
          <w:szCs w:val="16"/>
        </w:rPr>
        <w:footnoteRef/>
      </w:r>
      <w:r w:rsidRPr="00EB465B">
        <w:rPr>
          <w:sz w:val="16"/>
          <w:szCs w:val="16"/>
        </w:rPr>
        <w:t xml:space="preserve"> </w:t>
      </w:r>
      <w:r w:rsidRPr="00EB465B">
        <w:rPr>
          <w:sz w:val="16"/>
          <w:szCs w:val="16"/>
        </w:rPr>
        <w:tab/>
      </w:r>
      <w:r w:rsidRPr="00EB465B">
        <w:rPr>
          <w:i/>
          <w:iCs/>
          <w:sz w:val="16"/>
          <w:szCs w:val="16"/>
        </w:rPr>
        <w:t>Cfr</w:t>
      </w:r>
      <w:r w:rsidRPr="00EB465B">
        <w:rPr>
          <w:sz w:val="16"/>
          <w:szCs w:val="16"/>
        </w:rPr>
        <w:t xml:space="preserve">. Escrito de los fiscales J.C.L.B. y H.M.Q. dirigido al Juzgado Cuarto de Instrucción de San Salvador, de 20 de febrero de 2018 (expediente de prueba, folios 1353 a 1354). </w:t>
      </w:r>
    </w:p>
  </w:footnote>
  <w:footnote w:id="124">
    <w:p w14:paraId="7F845FB1" w14:textId="77777777" w:rsidR="00E8294E" w:rsidRPr="00EB465B" w:rsidRDefault="00E8294E" w:rsidP="00E8294E">
      <w:pPr>
        <w:pStyle w:val="Textonotapie"/>
        <w:spacing w:before="40" w:after="40"/>
        <w:rPr>
          <w:sz w:val="16"/>
          <w:szCs w:val="16"/>
          <w:lang w:val="es-ES"/>
        </w:rPr>
      </w:pPr>
      <w:r w:rsidRPr="00EB465B">
        <w:rPr>
          <w:rStyle w:val="Refdenotaalpie"/>
          <w:sz w:val="16"/>
          <w:szCs w:val="16"/>
        </w:rPr>
        <w:footnoteRef/>
      </w:r>
      <w:r w:rsidRPr="00EB465B">
        <w:rPr>
          <w:sz w:val="16"/>
          <w:szCs w:val="16"/>
        </w:rPr>
        <w:t xml:space="preserve"> </w:t>
      </w:r>
      <w:r w:rsidRPr="00EB465B">
        <w:rPr>
          <w:sz w:val="16"/>
          <w:szCs w:val="16"/>
        </w:rPr>
        <w:tab/>
      </w:r>
      <w:r w:rsidRPr="00EB465B">
        <w:rPr>
          <w:i/>
          <w:iCs/>
          <w:sz w:val="16"/>
          <w:szCs w:val="16"/>
        </w:rPr>
        <w:t>Cfr</w:t>
      </w:r>
      <w:r w:rsidRPr="00EB465B">
        <w:rPr>
          <w:sz w:val="16"/>
          <w:szCs w:val="16"/>
        </w:rPr>
        <w:t>. Denuncia de delitos de orden público presentados por IDHUCA ante el Fiscal General de la República, de 28 de marzo de 2003 (expediente de prueba, folios 178 a 188).</w:t>
      </w:r>
    </w:p>
  </w:footnote>
  <w:footnote w:id="125">
    <w:p w14:paraId="7A8424D9" w14:textId="77777777" w:rsidR="00E8294E" w:rsidRPr="00EB465B" w:rsidRDefault="00E8294E" w:rsidP="00E8294E">
      <w:pPr>
        <w:pStyle w:val="Textonotapie"/>
        <w:spacing w:before="40" w:after="40"/>
        <w:rPr>
          <w:sz w:val="16"/>
          <w:szCs w:val="16"/>
        </w:rPr>
      </w:pPr>
      <w:r w:rsidRPr="00EB465B">
        <w:rPr>
          <w:rStyle w:val="Refdenotaalpie"/>
          <w:sz w:val="16"/>
          <w:szCs w:val="16"/>
        </w:rPr>
        <w:footnoteRef/>
      </w:r>
      <w:r w:rsidRPr="00EB465B">
        <w:rPr>
          <w:sz w:val="16"/>
          <w:szCs w:val="16"/>
        </w:rPr>
        <w:t xml:space="preserve"> </w:t>
      </w:r>
      <w:r w:rsidRPr="00EB465B">
        <w:rPr>
          <w:sz w:val="16"/>
          <w:szCs w:val="16"/>
          <w:lang w:val="es-ES"/>
        </w:rPr>
        <w:tab/>
      </w:r>
      <w:r w:rsidRPr="00EB465B">
        <w:rPr>
          <w:i/>
          <w:iCs/>
          <w:sz w:val="16"/>
          <w:szCs w:val="16"/>
        </w:rPr>
        <w:t xml:space="preserve">Cfr. </w:t>
      </w:r>
      <w:r w:rsidRPr="00564BBE">
        <w:rPr>
          <w:i/>
          <w:iCs/>
          <w:sz w:val="16"/>
          <w:szCs w:val="16"/>
        </w:rPr>
        <w:t xml:space="preserve">Caso Trujillo </w:t>
      </w:r>
      <w:proofErr w:type="spellStart"/>
      <w:r w:rsidRPr="00564BBE">
        <w:rPr>
          <w:i/>
          <w:iCs/>
          <w:sz w:val="16"/>
          <w:szCs w:val="16"/>
        </w:rPr>
        <w:t>Oroza</w:t>
      </w:r>
      <w:proofErr w:type="spellEnd"/>
      <w:r w:rsidRPr="00564BBE">
        <w:rPr>
          <w:i/>
          <w:iCs/>
          <w:sz w:val="16"/>
          <w:szCs w:val="16"/>
        </w:rPr>
        <w:t xml:space="preserve"> Vs. Bolivia. Reparaciones y Costas. </w:t>
      </w:r>
      <w:r w:rsidRPr="00E85844">
        <w:rPr>
          <w:sz w:val="16"/>
          <w:szCs w:val="16"/>
        </w:rPr>
        <w:t>Sentencia de 27 de febrero de 2002. Serie C No. 92, párr. 100</w:t>
      </w:r>
      <w:r>
        <w:rPr>
          <w:i/>
          <w:iCs/>
          <w:sz w:val="16"/>
          <w:szCs w:val="16"/>
        </w:rPr>
        <w:t xml:space="preserve"> </w:t>
      </w:r>
      <w:r w:rsidRPr="00EB465B">
        <w:rPr>
          <w:sz w:val="16"/>
          <w:szCs w:val="16"/>
        </w:rPr>
        <w:t>, y</w:t>
      </w:r>
      <w:r>
        <w:rPr>
          <w:sz w:val="16"/>
          <w:szCs w:val="16"/>
        </w:rPr>
        <w:t xml:space="preserve"> </w:t>
      </w:r>
      <w:r w:rsidRPr="00E85844">
        <w:rPr>
          <w:i/>
          <w:iCs/>
          <w:sz w:val="16"/>
          <w:szCs w:val="16"/>
        </w:rPr>
        <w:t>Caso Honorato y otros Vs. Brasil. Excepciones Preliminares, Fondo, Reparaciones y Costas.</w:t>
      </w:r>
      <w:r w:rsidRPr="00564BBE">
        <w:rPr>
          <w:sz w:val="16"/>
          <w:szCs w:val="16"/>
        </w:rPr>
        <w:t xml:space="preserve"> Sentencia de 27 de noviembre de 2023. Serie C No. 508</w:t>
      </w:r>
      <w:r>
        <w:rPr>
          <w:sz w:val="16"/>
          <w:szCs w:val="16"/>
        </w:rPr>
        <w:t>, párr. 125</w:t>
      </w:r>
      <w:r w:rsidRPr="00EB465B">
        <w:rPr>
          <w:sz w:val="16"/>
          <w:szCs w:val="16"/>
        </w:rPr>
        <w:t>.</w:t>
      </w:r>
    </w:p>
  </w:footnote>
  <w:footnote w:id="126">
    <w:p w14:paraId="3A86A1CD" w14:textId="77777777" w:rsidR="00E8294E" w:rsidRPr="00EB465B" w:rsidRDefault="00E8294E" w:rsidP="00E8294E">
      <w:pPr>
        <w:pStyle w:val="Textonotapie"/>
        <w:spacing w:before="40" w:after="40"/>
        <w:rPr>
          <w:sz w:val="16"/>
          <w:szCs w:val="16"/>
        </w:rPr>
      </w:pPr>
      <w:r w:rsidRPr="00EB465B">
        <w:rPr>
          <w:rStyle w:val="Refdenotaalpie"/>
          <w:sz w:val="16"/>
          <w:szCs w:val="16"/>
        </w:rPr>
        <w:footnoteRef/>
      </w:r>
      <w:r w:rsidRPr="00EB465B">
        <w:rPr>
          <w:sz w:val="16"/>
          <w:szCs w:val="16"/>
        </w:rPr>
        <w:t xml:space="preserve"> </w:t>
      </w:r>
      <w:r w:rsidRPr="00EB465B">
        <w:rPr>
          <w:sz w:val="16"/>
          <w:szCs w:val="16"/>
        </w:rPr>
        <w:tab/>
      </w:r>
      <w:r w:rsidRPr="00E85844">
        <w:rPr>
          <w:i/>
          <w:iCs/>
          <w:sz w:val="16"/>
          <w:szCs w:val="16"/>
        </w:rPr>
        <w:t>Cfr</w:t>
      </w:r>
      <w:r>
        <w:rPr>
          <w:sz w:val="16"/>
          <w:szCs w:val="16"/>
        </w:rPr>
        <w:t xml:space="preserve">. </w:t>
      </w:r>
      <w:r w:rsidRPr="00EB465B">
        <w:rPr>
          <w:i/>
          <w:iCs/>
          <w:sz w:val="16"/>
          <w:szCs w:val="16"/>
        </w:rPr>
        <w:t>Caso Velásquez Rodríguez Vs. Honduras, Fondo, supra,</w:t>
      </w:r>
      <w:r w:rsidRPr="00EB465B">
        <w:rPr>
          <w:sz w:val="16"/>
          <w:szCs w:val="16"/>
        </w:rPr>
        <w:t xml:space="preserve"> párr. 181, y </w:t>
      </w:r>
      <w:r w:rsidRPr="00E85844">
        <w:rPr>
          <w:i/>
          <w:iCs/>
          <w:sz w:val="16"/>
          <w:szCs w:val="16"/>
        </w:rPr>
        <w:t>Caso Guzmán Medina y otros Vs. Colombia</w:t>
      </w:r>
      <w:r>
        <w:rPr>
          <w:i/>
          <w:iCs/>
          <w:sz w:val="16"/>
          <w:szCs w:val="16"/>
        </w:rPr>
        <w:t xml:space="preserve">, supra, </w:t>
      </w:r>
      <w:r>
        <w:rPr>
          <w:sz w:val="16"/>
          <w:szCs w:val="16"/>
        </w:rPr>
        <w:t>párr. 92.</w:t>
      </w:r>
    </w:p>
  </w:footnote>
  <w:footnote w:id="127">
    <w:p w14:paraId="4DD3ECA0" w14:textId="77777777" w:rsidR="00E8294E" w:rsidRPr="00EB465B" w:rsidRDefault="00E8294E" w:rsidP="00E8294E">
      <w:pPr>
        <w:pStyle w:val="Textonotapie"/>
        <w:spacing w:before="40" w:after="40"/>
        <w:rPr>
          <w:sz w:val="16"/>
          <w:szCs w:val="16"/>
          <w:lang w:val="es-ES"/>
        </w:rPr>
      </w:pPr>
      <w:r w:rsidRPr="00EB465B">
        <w:rPr>
          <w:rStyle w:val="Refdenotaalpie"/>
          <w:sz w:val="16"/>
          <w:szCs w:val="16"/>
        </w:rPr>
        <w:footnoteRef/>
      </w:r>
      <w:r w:rsidRPr="00EB465B">
        <w:rPr>
          <w:sz w:val="16"/>
          <w:szCs w:val="16"/>
        </w:rPr>
        <w:t xml:space="preserve"> </w:t>
      </w:r>
      <w:r w:rsidRPr="00EB465B">
        <w:rPr>
          <w:sz w:val="16"/>
          <w:szCs w:val="16"/>
          <w:lang w:val="es-ES"/>
        </w:rPr>
        <w:tab/>
      </w:r>
      <w:r w:rsidRPr="00EB465B">
        <w:rPr>
          <w:i/>
          <w:iCs/>
          <w:sz w:val="16"/>
          <w:szCs w:val="16"/>
          <w:lang w:val="es-ES"/>
        </w:rPr>
        <w:t xml:space="preserve">Cfr. </w:t>
      </w:r>
      <w:r w:rsidRPr="008311B7">
        <w:rPr>
          <w:i/>
          <w:iCs/>
          <w:sz w:val="16"/>
          <w:szCs w:val="16"/>
        </w:rPr>
        <w:t xml:space="preserve">Caso Vereda La Esperanza Vs. Colombia. </w:t>
      </w:r>
      <w:r w:rsidRPr="00E85844">
        <w:rPr>
          <w:sz w:val="16"/>
          <w:szCs w:val="16"/>
        </w:rPr>
        <w:t>Excepciones Preliminares, Fondo, Reparaciones y Costas. Sentencia de 31 de agosto de 2017. Serie C No. 341</w:t>
      </w:r>
      <w:r>
        <w:rPr>
          <w:sz w:val="16"/>
          <w:szCs w:val="16"/>
        </w:rPr>
        <w:t>, párr. 220,</w:t>
      </w:r>
      <w:r w:rsidRPr="008311B7" w:rsidDel="008311B7">
        <w:rPr>
          <w:i/>
          <w:iCs/>
          <w:sz w:val="16"/>
          <w:szCs w:val="16"/>
        </w:rPr>
        <w:t xml:space="preserve"> </w:t>
      </w:r>
      <w:r w:rsidRPr="00EB465B">
        <w:rPr>
          <w:sz w:val="16"/>
          <w:szCs w:val="16"/>
        </w:rPr>
        <w:t xml:space="preserve">y </w:t>
      </w:r>
      <w:r w:rsidRPr="00EB465B">
        <w:rPr>
          <w:rFonts w:cs="Open Sans"/>
          <w:i/>
          <w:iCs/>
          <w:sz w:val="16"/>
          <w:szCs w:val="16"/>
          <w:shd w:val="clear" w:color="auto" w:fill="FFFFFF"/>
        </w:rPr>
        <w:t xml:space="preserve">Caso Integrantes y Militantes de la Unión Patriótica Vs. Colombia, Excepciones Preliminares, Fondo, Reparaciones y Costas. Sentencia de 27 de julio de 2022. Serie C No. 455., </w:t>
      </w:r>
      <w:r w:rsidRPr="00EB465B">
        <w:rPr>
          <w:rFonts w:cs="Open Sans"/>
          <w:sz w:val="16"/>
          <w:szCs w:val="16"/>
          <w:shd w:val="clear" w:color="auto" w:fill="FFFFFF"/>
        </w:rPr>
        <w:t>párr. 479.</w:t>
      </w:r>
    </w:p>
  </w:footnote>
  <w:footnote w:id="128">
    <w:p w14:paraId="56299A61" w14:textId="77777777" w:rsidR="00E8294E" w:rsidRPr="00EB465B" w:rsidRDefault="00E8294E" w:rsidP="00E8294E">
      <w:pPr>
        <w:pStyle w:val="Textonotapie"/>
        <w:spacing w:before="40" w:after="40"/>
        <w:rPr>
          <w:sz w:val="16"/>
          <w:szCs w:val="16"/>
          <w:lang w:val="pt-BR"/>
        </w:rPr>
      </w:pPr>
      <w:r w:rsidRPr="00EB465B">
        <w:rPr>
          <w:rStyle w:val="Refdenotaalpie"/>
          <w:sz w:val="16"/>
          <w:szCs w:val="16"/>
        </w:rPr>
        <w:footnoteRef/>
      </w:r>
      <w:r w:rsidRPr="00EB465B">
        <w:rPr>
          <w:sz w:val="16"/>
          <w:szCs w:val="16"/>
        </w:rPr>
        <w:t xml:space="preserve"> </w:t>
      </w:r>
      <w:r w:rsidRPr="00EB465B">
        <w:rPr>
          <w:sz w:val="16"/>
          <w:szCs w:val="16"/>
        </w:rPr>
        <w:tab/>
      </w:r>
      <w:r w:rsidRPr="00EB465B">
        <w:rPr>
          <w:i/>
          <w:iCs/>
          <w:sz w:val="16"/>
          <w:szCs w:val="16"/>
        </w:rPr>
        <w:t xml:space="preserve">Cfr. Caso Velásquez Rodríguez Vs. Honduras. Fondo, supra, </w:t>
      </w:r>
      <w:r w:rsidRPr="00EB465B">
        <w:rPr>
          <w:sz w:val="16"/>
          <w:szCs w:val="16"/>
        </w:rPr>
        <w:t xml:space="preserve">párr. 181, y </w:t>
      </w:r>
      <w:r w:rsidRPr="00EB465B">
        <w:rPr>
          <w:rFonts w:cs="Open Sans"/>
          <w:i/>
          <w:iCs/>
          <w:sz w:val="16"/>
          <w:szCs w:val="16"/>
          <w:shd w:val="clear" w:color="auto" w:fill="FFFFFF"/>
        </w:rPr>
        <w:t xml:space="preserve">Caso Integrantes y Militantes de la Unión Patriótica Vs. </w:t>
      </w:r>
      <w:r w:rsidRPr="00EB465B">
        <w:rPr>
          <w:rFonts w:cs="Open Sans"/>
          <w:i/>
          <w:iCs/>
          <w:sz w:val="16"/>
          <w:szCs w:val="16"/>
          <w:shd w:val="clear" w:color="auto" w:fill="FFFFFF"/>
          <w:lang w:val="pt-BR"/>
        </w:rPr>
        <w:t>Colombia, supra,</w:t>
      </w:r>
      <w:r w:rsidRPr="00EB465B">
        <w:rPr>
          <w:rFonts w:cs="Open Sans"/>
          <w:sz w:val="16"/>
          <w:szCs w:val="16"/>
          <w:shd w:val="clear" w:color="auto" w:fill="FFFFFF"/>
          <w:lang w:val="pt-BR"/>
        </w:rPr>
        <w:t xml:space="preserve"> párr. 479.</w:t>
      </w:r>
    </w:p>
  </w:footnote>
  <w:footnote w:id="129">
    <w:p w14:paraId="1514566E" w14:textId="77777777" w:rsidR="00E8294E" w:rsidRPr="00EB465B" w:rsidRDefault="00E8294E" w:rsidP="00E8294E">
      <w:pPr>
        <w:pStyle w:val="Textonotapie"/>
        <w:spacing w:before="40" w:after="40"/>
        <w:rPr>
          <w:sz w:val="16"/>
          <w:szCs w:val="16"/>
        </w:rPr>
      </w:pPr>
      <w:r w:rsidRPr="00EB465B">
        <w:rPr>
          <w:rStyle w:val="Refdenotaalpie"/>
          <w:sz w:val="16"/>
          <w:szCs w:val="16"/>
        </w:rPr>
        <w:footnoteRef/>
      </w:r>
      <w:r w:rsidRPr="00EB465B">
        <w:rPr>
          <w:sz w:val="16"/>
          <w:szCs w:val="16"/>
          <w:lang w:val="pt-BR"/>
        </w:rPr>
        <w:t xml:space="preserve"> </w:t>
      </w:r>
      <w:r w:rsidRPr="00EB465B">
        <w:rPr>
          <w:sz w:val="16"/>
          <w:szCs w:val="16"/>
          <w:lang w:val="pt-BR"/>
        </w:rPr>
        <w:tab/>
      </w:r>
      <w:r w:rsidRPr="00EB465B">
        <w:rPr>
          <w:i/>
          <w:iCs/>
          <w:sz w:val="16"/>
          <w:szCs w:val="16"/>
          <w:lang w:val="pt-BR"/>
        </w:rPr>
        <w:t xml:space="preserve">Cfr. Caso Gomes Lund y otros ("Guerrilha do Araguaia") Vs. </w:t>
      </w:r>
      <w:r w:rsidRPr="00EB465B">
        <w:rPr>
          <w:i/>
          <w:iCs/>
          <w:sz w:val="16"/>
          <w:szCs w:val="16"/>
        </w:rPr>
        <w:t>Brasil. Excepciones Preliminares, Fondo, Reparaciones y Costas</w:t>
      </w:r>
      <w:r w:rsidRPr="00EB465B">
        <w:rPr>
          <w:sz w:val="16"/>
          <w:szCs w:val="16"/>
        </w:rPr>
        <w:t>. Sentencia de 24 de noviembre de 2010. Serie C No. 219</w:t>
      </w:r>
      <w:r w:rsidRPr="00EB465B">
        <w:rPr>
          <w:i/>
          <w:iCs/>
          <w:sz w:val="16"/>
          <w:szCs w:val="16"/>
        </w:rPr>
        <w:t xml:space="preserve">, </w:t>
      </w:r>
      <w:r w:rsidRPr="00EB465B">
        <w:rPr>
          <w:sz w:val="16"/>
          <w:szCs w:val="16"/>
        </w:rPr>
        <w:t>párr. 200, y</w:t>
      </w:r>
      <w:r w:rsidRPr="00EB465B">
        <w:rPr>
          <w:i/>
          <w:iCs/>
          <w:sz w:val="16"/>
          <w:szCs w:val="16"/>
        </w:rPr>
        <w:t xml:space="preserve"> </w:t>
      </w:r>
      <w:r w:rsidRPr="00EB465B">
        <w:rPr>
          <w:rFonts w:cs="Open Sans"/>
          <w:i/>
          <w:iCs/>
          <w:sz w:val="16"/>
          <w:szCs w:val="16"/>
          <w:shd w:val="clear" w:color="auto" w:fill="FFFFFF"/>
        </w:rPr>
        <w:t>Caso Integrantes y Militantes de la Unión Patriótica Vs. Colombia, supra,</w:t>
      </w:r>
      <w:r w:rsidRPr="00EB465B">
        <w:rPr>
          <w:rFonts w:cs="Open Sans"/>
          <w:sz w:val="16"/>
          <w:szCs w:val="16"/>
          <w:shd w:val="clear" w:color="auto" w:fill="FFFFFF"/>
        </w:rPr>
        <w:t xml:space="preserve"> párr. 479.</w:t>
      </w:r>
    </w:p>
  </w:footnote>
  <w:footnote w:id="130">
    <w:p w14:paraId="48446F9C" w14:textId="77777777" w:rsidR="00E8294E" w:rsidRPr="00EB465B" w:rsidRDefault="00E8294E" w:rsidP="00E8294E">
      <w:pPr>
        <w:pStyle w:val="Textonotapie"/>
        <w:spacing w:before="40" w:after="40"/>
        <w:rPr>
          <w:sz w:val="16"/>
          <w:szCs w:val="16"/>
          <w:lang w:val="es-ES"/>
        </w:rPr>
      </w:pPr>
      <w:r w:rsidRPr="00EB465B">
        <w:rPr>
          <w:rStyle w:val="Refdenotaalpie"/>
          <w:rFonts w:eastAsia="Batang" w:cstheme="minorHAnsi"/>
          <w:sz w:val="16"/>
          <w:szCs w:val="16"/>
        </w:rPr>
        <w:footnoteRef/>
      </w:r>
      <w:r w:rsidRPr="00EB465B">
        <w:rPr>
          <w:rFonts w:cstheme="minorHAnsi"/>
          <w:sz w:val="16"/>
          <w:szCs w:val="16"/>
        </w:rPr>
        <w:t xml:space="preserve"> </w:t>
      </w:r>
      <w:r w:rsidRPr="00EB465B">
        <w:rPr>
          <w:rFonts w:cstheme="minorHAnsi"/>
          <w:sz w:val="16"/>
          <w:szCs w:val="16"/>
        </w:rPr>
        <w:tab/>
      </w:r>
      <w:r w:rsidRPr="00EB465B">
        <w:rPr>
          <w:rFonts w:cstheme="minorHAnsi"/>
          <w:i/>
          <w:iCs/>
          <w:sz w:val="16"/>
          <w:szCs w:val="16"/>
          <w:shd w:val="clear" w:color="auto" w:fill="FFFFFF"/>
          <w:lang w:val="es-ES"/>
        </w:rPr>
        <w:t xml:space="preserve">Cfr. </w:t>
      </w:r>
      <w:r w:rsidRPr="00593AD4">
        <w:rPr>
          <w:rFonts w:cstheme="minorHAnsi"/>
          <w:i/>
          <w:iCs/>
          <w:sz w:val="16"/>
          <w:szCs w:val="16"/>
          <w:shd w:val="clear" w:color="auto" w:fill="FFFFFF"/>
        </w:rPr>
        <w:t xml:space="preserve">Caso Flores Bedregal y otras Vs. Bolivia. Excepciones Preliminares, Fondo, Reparaciones y Costas. </w:t>
      </w:r>
      <w:r w:rsidRPr="00E85844">
        <w:rPr>
          <w:rFonts w:cstheme="minorHAnsi"/>
          <w:sz w:val="16"/>
          <w:szCs w:val="16"/>
          <w:shd w:val="clear" w:color="auto" w:fill="FFFFFF"/>
        </w:rPr>
        <w:t>Sentencia de 17 de octubre de 2022. Serie C No. 467,</w:t>
      </w:r>
      <w:r w:rsidRPr="00EB465B">
        <w:rPr>
          <w:rFonts w:cstheme="minorHAnsi"/>
          <w:sz w:val="16"/>
          <w:szCs w:val="16"/>
        </w:rPr>
        <w:t xml:space="preserve"> párr. 136, y </w:t>
      </w:r>
      <w:r w:rsidRPr="008311B7">
        <w:rPr>
          <w:rFonts w:cs="Open Sans"/>
          <w:i/>
          <w:iCs/>
          <w:sz w:val="16"/>
          <w:szCs w:val="16"/>
          <w:shd w:val="clear" w:color="auto" w:fill="FFFFFF"/>
        </w:rPr>
        <w:t>Caso Guzmán Medina y otros Vs. Colombia</w:t>
      </w:r>
      <w:r>
        <w:rPr>
          <w:rFonts w:cs="Open Sans"/>
          <w:i/>
          <w:iCs/>
          <w:sz w:val="16"/>
          <w:szCs w:val="16"/>
          <w:shd w:val="clear" w:color="auto" w:fill="FFFFFF"/>
        </w:rPr>
        <w:t xml:space="preserve">, supra, </w:t>
      </w:r>
      <w:r>
        <w:rPr>
          <w:rFonts w:cs="Open Sans"/>
          <w:sz w:val="16"/>
          <w:szCs w:val="16"/>
          <w:shd w:val="clear" w:color="auto" w:fill="FFFFFF"/>
        </w:rPr>
        <w:t>párr. 93.</w:t>
      </w:r>
    </w:p>
  </w:footnote>
  <w:footnote w:id="131">
    <w:p w14:paraId="5B6EB35F" w14:textId="77777777" w:rsidR="007B5B88" w:rsidRPr="00815295" w:rsidRDefault="007B5B88"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xml:space="preserve">. </w:t>
      </w:r>
      <w:r w:rsidRPr="00815295">
        <w:rPr>
          <w:i/>
          <w:iCs/>
          <w:sz w:val="16"/>
          <w:szCs w:val="16"/>
        </w:rPr>
        <w:t xml:space="preserve">Caso Gelman Vs. Uruguay. Fondo y Reparaciones. </w:t>
      </w:r>
      <w:r w:rsidRPr="00815295">
        <w:rPr>
          <w:sz w:val="16"/>
          <w:szCs w:val="16"/>
        </w:rPr>
        <w:t>Sentencia de 24 de febrero de 2011. Serie C No. 221</w:t>
      </w:r>
      <w:r w:rsidRPr="00815295">
        <w:rPr>
          <w:i/>
          <w:iCs/>
          <w:sz w:val="16"/>
          <w:szCs w:val="16"/>
        </w:rPr>
        <w:t>,</w:t>
      </w:r>
      <w:r w:rsidRPr="00815295">
        <w:rPr>
          <w:sz w:val="16"/>
          <w:szCs w:val="16"/>
        </w:rPr>
        <w:t xml:space="preserve"> párr. 260, y </w:t>
      </w:r>
      <w:r w:rsidRPr="00815295">
        <w:rPr>
          <w:rFonts w:cs="Open Sans"/>
          <w:i/>
          <w:iCs/>
          <w:sz w:val="16"/>
          <w:szCs w:val="16"/>
          <w:shd w:val="clear" w:color="auto" w:fill="FFFFFF"/>
        </w:rPr>
        <w:t xml:space="preserve">Caso Familia Julien Grisonas Vs. Argentina. Excepciones Preliminares, Fondo, Reparaciones y Costas. </w:t>
      </w:r>
      <w:r w:rsidRPr="00815295">
        <w:rPr>
          <w:rFonts w:cs="Open Sans"/>
          <w:sz w:val="16"/>
          <w:szCs w:val="16"/>
          <w:shd w:val="clear" w:color="auto" w:fill="FFFFFF"/>
        </w:rPr>
        <w:t>Sentencia de 23 de septiembre de 2021. Serie C No. 437, párr. 220.</w:t>
      </w:r>
    </w:p>
  </w:footnote>
  <w:footnote w:id="132">
    <w:p w14:paraId="40E41A47" w14:textId="77777777" w:rsidR="007B5B88" w:rsidRPr="00815295" w:rsidRDefault="007B5B88"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xml:space="preserve"> Consejo de Derechos Humanos, Informe del Grupo de Trabajo sobre las Desapariciones Forzadas o Involuntarias, Comentario general sobre el derecho a la verdad en relación con las desapariciones forzadas, 26 de enero de 2011, U.N. Doc. A/HRC/16/48, párr. 39. También el Comité de Derechos Humanos ha señalado, en casos de desapariciones forzadas, que es obligación del Estado proporcionar a los familiares “información detallada” sobre la investigación efectuada, tanto respecto de lo sucedido como del destino de los restos de las personas desaparecidas. </w:t>
      </w:r>
      <w:r w:rsidRPr="00815295">
        <w:rPr>
          <w:i/>
          <w:iCs/>
          <w:sz w:val="16"/>
          <w:szCs w:val="16"/>
        </w:rPr>
        <w:t>Cfr</w:t>
      </w:r>
      <w:r w:rsidRPr="00815295">
        <w:rPr>
          <w:sz w:val="16"/>
          <w:szCs w:val="16"/>
        </w:rPr>
        <w:t xml:space="preserve">. Comité de Derechos Humanos, </w:t>
      </w:r>
      <w:r w:rsidRPr="00815295">
        <w:rPr>
          <w:i/>
          <w:iCs/>
          <w:sz w:val="16"/>
          <w:szCs w:val="16"/>
        </w:rPr>
        <w:t>inter alia</w:t>
      </w:r>
      <w:r w:rsidRPr="00815295">
        <w:rPr>
          <w:sz w:val="16"/>
          <w:szCs w:val="16"/>
        </w:rPr>
        <w:t>, Tikanath y Ramhari Kandel Vs. Nepal, U.N. Doc. CCPR/C/123/D/2560/2015, Comunicación No. 2560/2015, 16 de agosto de 2019, párr. 9; Midiam Iricelda Valdez Cantú y María Hortencia Rivas Rodrígez Vs. México, U.N. Doc. CCPR/C/127/D/2766/2016, Comunicación No. 2766/2016, 29 de noviembre de 2019, párr. 14, y Malika y Merouane Bendjael Vs. Argelia, U.N. Doc. CCPR/C/128/D/2893/2016, Comunicación No. 2893/2016, 3 de noviembre de 2020, párr. 10. Véase, además, Comisión de Derechos Humanos, Informe de Diane Orentlicher, Experta independiente encargada de actualizar el Conjunto de principios para la lucha contra la impunidad, E/CN.4/2005/102/Add.1, 8 de febrero de 2005, Principio 34, y Comisión de Derechos Humanos, Informe de la Oficina del Alto Comisionado de las Naciones Unidas para los Derechos Humanos, Estudio sobre el derecho a la verdad, U.N. Doc. E/CN.4/2006/91, 9 de enero de 2006, párr. 28.</w:t>
      </w:r>
    </w:p>
  </w:footnote>
  <w:footnote w:id="133">
    <w:p w14:paraId="5A1F0233" w14:textId="77777777" w:rsidR="00E8294E" w:rsidRPr="00EB465B" w:rsidRDefault="00E8294E" w:rsidP="00E8294E">
      <w:pPr>
        <w:pStyle w:val="Textonotapie"/>
        <w:spacing w:before="40" w:after="40"/>
        <w:rPr>
          <w:b/>
          <w:bCs/>
          <w:sz w:val="16"/>
          <w:szCs w:val="16"/>
          <w:lang w:val="pt-BR"/>
        </w:rPr>
      </w:pPr>
      <w:r w:rsidRPr="00EB465B">
        <w:rPr>
          <w:rStyle w:val="Refdenotaalpie"/>
          <w:sz w:val="16"/>
          <w:szCs w:val="16"/>
        </w:rPr>
        <w:footnoteRef/>
      </w:r>
      <w:r w:rsidRPr="00EB465B">
        <w:rPr>
          <w:sz w:val="16"/>
          <w:szCs w:val="16"/>
        </w:rPr>
        <w:t xml:space="preserve"> </w:t>
      </w:r>
      <w:r w:rsidRPr="00EB465B">
        <w:rPr>
          <w:sz w:val="16"/>
          <w:szCs w:val="16"/>
        </w:rPr>
        <w:tab/>
      </w:r>
      <w:r w:rsidRPr="00EB465B">
        <w:rPr>
          <w:i/>
          <w:iCs/>
          <w:sz w:val="16"/>
          <w:szCs w:val="16"/>
        </w:rPr>
        <w:t>Cfr</w:t>
      </w:r>
      <w:r w:rsidRPr="00EB465B">
        <w:rPr>
          <w:sz w:val="16"/>
          <w:szCs w:val="16"/>
        </w:rPr>
        <w:t xml:space="preserve">. </w:t>
      </w:r>
      <w:r w:rsidRPr="00EB465B">
        <w:rPr>
          <w:rFonts w:cs="Open Sans"/>
          <w:i/>
          <w:iCs/>
          <w:sz w:val="16"/>
          <w:szCs w:val="16"/>
          <w:shd w:val="clear" w:color="auto" w:fill="FFFFFF"/>
        </w:rPr>
        <w:t>Caso Familia Julien Grisonas Vs. Argentina</w:t>
      </w:r>
      <w:r>
        <w:rPr>
          <w:i/>
          <w:iCs/>
          <w:sz w:val="16"/>
          <w:szCs w:val="16"/>
        </w:rPr>
        <w:t xml:space="preserve">, supra, </w:t>
      </w:r>
      <w:r>
        <w:rPr>
          <w:sz w:val="16"/>
          <w:szCs w:val="16"/>
        </w:rPr>
        <w:t>párr. 165,</w:t>
      </w:r>
      <w:r w:rsidRPr="00EB465B">
        <w:rPr>
          <w:sz w:val="16"/>
          <w:szCs w:val="16"/>
        </w:rPr>
        <w:t xml:space="preserve">y </w:t>
      </w:r>
      <w:r w:rsidRPr="00EB465B">
        <w:rPr>
          <w:i/>
          <w:iCs/>
          <w:sz w:val="16"/>
          <w:szCs w:val="16"/>
        </w:rPr>
        <w:t>Caso Integrantes y Militantes de la Unión Patriótica Vs. Colombia</w:t>
      </w:r>
      <w:r w:rsidRPr="00EB465B">
        <w:rPr>
          <w:sz w:val="16"/>
          <w:szCs w:val="16"/>
        </w:rPr>
        <w:t xml:space="preserve">, </w:t>
      </w:r>
      <w:r w:rsidRPr="00EB465B">
        <w:rPr>
          <w:i/>
          <w:iCs/>
          <w:sz w:val="16"/>
          <w:szCs w:val="16"/>
        </w:rPr>
        <w:t>supra</w:t>
      </w:r>
      <w:r w:rsidRPr="00EB465B">
        <w:rPr>
          <w:sz w:val="16"/>
          <w:szCs w:val="16"/>
        </w:rPr>
        <w:t xml:space="preserve">, párr. 467. Véase también, Naciones Unidas, Consejo de Derechos Humanos, Informe del Relator Especial sobre la promoción de la verdad, la justicia, la reparación y las garantías de no repetición, Doc. A/HRC/27/56, 27 de agosto de 2014, párr. 22, e Informe del Secretario General, El Estado de derecho y la justicia de transición en las sociedades que sufren o han sufrido conflictos, Doc. </w:t>
      </w:r>
      <w:r w:rsidRPr="00EB465B">
        <w:rPr>
          <w:sz w:val="16"/>
          <w:szCs w:val="16"/>
          <w:lang w:val="pt-BR"/>
        </w:rPr>
        <w:t xml:space="preserve">S/2004/616, 3 de agosto de 2004, párr. 39. </w:t>
      </w:r>
    </w:p>
  </w:footnote>
  <w:footnote w:id="134">
    <w:p w14:paraId="55458DFD" w14:textId="77777777" w:rsidR="00CB55EA" w:rsidRPr="00815295" w:rsidRDefault="00CB55EA" w:rsidP="00815295">
      <w:pPr>
        <w:pStyle w:val="Textonotapie"/>
        <w:spacing w:before="40" w:after="40"/>
        <w:rPr>
          <w:sz w:val="16"/>
          <w:szCs w:val="16"/>
        </w:rPr>
      </w:pPr>
      <w:r w:rsidRPr="00815295">
        <w:rPr>
          <w:rStyle w:val="Refdenotaalpie"/>
          <w:rFonts w:eastAsia="Batang"/>
          <w:sz w:val="16"/>
          <w:szCs w:val="16"/>
        </w:rPr>
        <w:footnoteRef/>
      </w:r>
      <w:r w:rsidRPr="00815295">
        <w:rPr>
          <w:sz w:val="16"/>
          <w:szCs w:val="16"/>
          <w:lang w:val="pt-BR"/>
        </w:rPr>
        <w:t xml:space="preserve"> </w:t>
      </w:r>
      <w:r w:rsidRPr="00815295">
        <w:rPr>
          <w:sz w:val="16"/>
          <w:szCs w:val="16"/>
          <w:lang w:val="pt-BR"/>
        </w:rPr>
        <w:tab/>
      </w:r>
      <w:r w:rsidRPr="00815295">
        <w:rPr>
          <w:i/>
          <w:sz w:val="16"/>
          <w:szCs w:val="16"/>
          <w:lang w:val="pt-BR"/>
        </w:rPr>
        <w:t>Cfr</w:t>
      </w:r>
      <w:r w:rsidRPr="00815295">
        <w:rPr>
          <w:sz w:val="16"/>
          <w:szCs w:val="16"/>
          <w:lang w:val="pt-BR"/>
        </w:rPr>
        <w:t xml:space="preserve">. </w:t>
      </w:r>
      <w:r w:rsidRPr="00815295">
        <w:rPr>
          <w:rFonts w:cs="Open Sans"/>
          <w:i/>
          <w:sz w:val="16"/>
          <w:szCs w:val="16"/>
          <w:shd w:val="clear" w:color="auto" w:fill="FFFFFF"/>
          <w:lang w:val="pt-BR"/>
        </w:rPr>
        <w:t xml:space="preserve">Caso Nogueira de Carvalho y otro Vs. </w:t>
      </w:r>
      <w:r w:rsidRPr="00593DE3">
        <w:rPr>
          <w:rFonts w:cs="Open Sans"/>
          <w:i/>
          <w:sz w:val="16"/>
          <w:szCs w:val="16"/>
          <w:shd w:val="clear" w:color="auto" w:fill="FFFFFF"/>
        </w:rPr>
        <w:t>Brasil</w:t>
      </w:r>
      <w:r w:rsidRPr="00593DE3">
        <w:rPr>
          <w:rFonts w:cs="Open Sans"/>
          <w:sz w:val="16"/>
          <w:szCs w:val="16"/>
          <w:shd w:val="clear" w:color="auto" w:fill="FFFFFF"/>
        </w:rPr>
        <w:t xml:space="preserve">, </w:t>
      </w:r>
      <w:r w:rsidRPr="00593DE3">
        <w:rPr>
          <w:rFonts w:cs="Open Sans"/>
          <w:i/>
          <w:sz w:val="16"/>
          <w:szCs w:val="16"/>
          <w:shd w:val="clear" w:color="auto" w:fill="FFFFFF"/>
        </w:rPr>
        <w:t>supra</w:t>
      </w:r>
      <w:r w:rsidRPr="00593DE3">
        <w:rPr>
          <w:rFonts w:cs="Open Sans"/>
          <w:sz w:val="16"/>
          <w:szCs w:val="16"/>
          <w:shd w:val="clear" w:color="auto" w:fill="FFFFFF"/>
        </w:rPr>
        <w:t xml:space="preserve">, párr. 76, y </w:t>
      </w:r>
      <w:r w:rsidRPr="00593DE3">
        <w:rPr>
          <w:rFonts w:cs="Open Sans"/>
          <w:i/>
          <w:sz w:val="16"/>
          <w:szCs w:val="16"/>
          <w:shd w:val="clear" w:color="auto" w:fill="FFFFFF"/>
        </w:rPr>
        <w:t xml:space="preserve">Caso Sales Pimenta Vs. </w:t>
      </w:r>
      <w:r w:rsidRPr="00815295">
        <w:rPr>
          <w:rFonts w:cs="Open Sans"/>
          <w:i/>
          <w:sz w:val="16"/>
          <w:szCs w:val="16"/>
          <w:shd w:val="clear" w:color="auto" w:fill="FFFFFF"/>
        </w:rPr>
        <w:t>Brasil</w:t>
      </w:r>
      <w:r w:rsidRPr="00815295">
        <w:rPr>
          <w:rFonts w:cs="Open Sans"/>
          <w:sz w:val="16"/>
          <w:szCs w:val="16"/>
          <w:shd w:val="clear" w:color="auto" w:fill="FFFFFF"/>
        </w:rPr>
        <w:t xml:space="preserve">, </w:t>
      </w:r>
      <w:r w:rsidRPr="00815295">
        <w:rPr>
          <w:rFonts w:cs="Open Sans"/>
          <w:i/>
          <w:sz w:val="16"/>
          <w:szCs w:val="16"/>
          <w:shd w:val="clear" w:color="auto" w:fill="FFFFFF"/>
        </w:rPr>
        <w:t>supra</w:t>
      </w:r>
      <w:r w:rsidRPr="00815295">
        <w:rPr>
          <w:rFonts w:cs="Open Sans"/>
          <w:sz w:val="16"/>
          <w:szCs w:val="16"/>
          <w:shd w:val="clear" w:color="auto" w:fill="FFFFFF"/>
        </w:rPr>
        <w:t>, párr. 89.</w:t>
      </w:r>
    </w:p>
  </w:footnote>
  <w:footnote w:id="135">
    <w:p w14:paraId="5F9C24C8" w14:textId="2B40B958" w:rsidR="00C2639A" w:rsidRPr="00815295" w:rsidRDefault="00C2639A" w:rsidP="00815295">
      <w:pPr>
        <w:pStyle w:val="Textonotapie"/>
        <w:spacing w:before="40" w:after="40"/>
        <w:rPr>
          <w:sz w:val="16"/>
          <w:szCs w:val="16"/>
        </w:rPr>
      </w:pPr>
      <w:r w:rsidRPr="00815295">
        <w:rPr>
          <w:rStyle w:val="Refdenotaalpie"/>
          <w:rFonts w:eastAsia="Batang"/>
          <w:sz w:val="16"/>
          <w:szCs w:val="16"/>
          <w:lang w:val="es-CR"/>
        </w:rPr>
        <w:footnoteRef/>
      </w:r>
      <w:r w:rsidRPr="00815295">
        <w:rPr>
          <w:sz w:val="16"/>
          <w:szCs w:val="16"/>
        </w:rPr>
        <w:t xml:space="preserve"> </w:t>
      </w:r>
      <w:r w:rsidRPr="00815295">
        <w:rPr>
          <w:sz w:val="16"/>
          <w:szCs w:val="16"/>
        </w:rPr>
        <w:tab/>
        <w:t>Artículo</w:t>
      </w:r>
      <w:r w:rsidR="00F47311" w:rsidRPr="00815295">
        <w:rPr>
          <w:sz w:val="16"/>
          <w:szCs w:val="16"/>
        </w:rPr>
        <w:t>s</w:t>
      </w:r>
      <w:r w:rsidRPr="00815295">
        <w:rPr>
          <w:sz w:val="16"/>
          <w:szCs w:val="16"/>
        </w:rPr>
        <w:t xml:space="preserve"> 5.1</w:t>
      </w:r>
      <w:r w:rsidR="00F47311" w:rsidRPr="00815295">
        <w:rPr>
          <w:sz w:val="16"/>
          <w:szCs w:val="16"/>
        </w:rPr>
        <w:t>, 17 y 19</w:t>
      </w:r>
      <w:r w:rsidRPr="00815295">
        <w:rPr>
          <w:sz w:val="16"/>
          <w:szCs w:val="16"/>
        </w:rPr>
        <w:t xml:space="preserve"> de la Convención Americana, en relación con el artículo 1.1 del mismo Instrumento. </w:t>
      </w:r>
    </w:p>
  </w:footnote>
  <w:footnote w:id="136">
    <w:p w14:paraId="757BBB1B" w14:textId="77777777" w:rsidR="0006149F" w:rsidRPr="00EB465B" w:rsidRDefault="0006149F" w:rsidP="0006149F">
      <w:pPr>
        <w:pStyle w:val="Textonotapie"/>
        <w:tabs>
          <w:tab w:val="left" w:pos="426"/>
        </w:tabs>
        <w:spacing w:before="40" w:after="40"/>
        <w:ind w:right="-90"/>
        <w:rPr>
          <w:rFonts w:cs="Verdana"/>
          <w:sz w:val="16"/>
          <w:szCs w:val="16"/>
        </w:rPr>
      </w:pPr>
      <w:r w:rsidRPr="00EB465B">
        <w:rPr>
          <w:rStyle w:val="Refdenotaalpie"/>
          <w:rFonts w:eastAsia="Batang"/>
          <w:sz w:val="16"/>
          <w:szCs w:val="16"/>
          <w:lang w:val="es-CR"/>
        </w:rPr>
        <w:footnoteRef/>
      </w:r>
      <w:r w:rsidRPr="00EB465B">
        <w:rPr>
          <w:sz w:val="16"/>
          <w:szCs w:val="16"/>
        </w:rPr>
        <w:t xml:space="preserve"> </w:t>
      </w:r>
      <w:r w:rsidRPr="00EB465B">
        <w:rPr>
          <w:sz w:val="16"/>
          <w:szCs w:val="16"/>
        </w:rPr>
        <w:tab/>
      </w:r>
      <w:r w:rsidRPr="00EB465B">
        <w:rPr>
          <w:sz w:val="16"/>
          <w:szCs w:val="16"/>
        </w:rPr>
        <w:tab/>
      </w:r>
      <w:r w:rsidRPr="00EB465B">
        <w:rPr>
          <w:i/>
          <w:sz w:val="16"/>
          <w:szCs w:val="16"/>
        </w:rPr>
        <w:t xml:space="preserve">Cfr. </w:t>
      </w:r>
      <w:r w:rsidRPr="00EB465B">
        <w:rPr>
          <w:i/>
          <w:iCs/>
          <w:sz w:val="16"/>
          <w:szCs w:val="16"/>
        </w:rPr>
        <w:t>Caso Blake Vs. Guatemala. Fondo.</w:t>
      </w:r>
      <w:r w:rsidRPr="00EB465B">
        <w:rPr>
          <w:iCs/>
          <w:sz w:val="16"/>
          <w:szCs w:val="16"/>
        </w:rPr>
        <w:t xml:space="preserve"> Sentencia de 24 de enero de 1998. Serie C No. 36, párr</w:t>
      </w:r>
      <w:r w:rsidRPr="00EB465B">
        <w:rPr>
          <w:sz w:val="16"/>
          <w:szCs w:val="16"/>
        </w:rPr>
        <w:t xml:space="preserve">. 114, y </w:t>
      </w:r>
      <w:r w:rsidRPr="00E85DC1">
        <w:rPr>
          <w:bCs/>
          <w:i/>
          <w:sz w:val="16"/>
          <w:szCs w:val="16"/>
        </w:rPr>
        <w:t>Caso Garzón Guzmán y otros Vs. Ecuador</w:t>
      </w:r>
      <w:r>
        <w:rPr>
          <w:bCs/>
          <w:i/>
          <w:sz w:val="16"/>
          <w:szCs w:val="16"/>
        </w:rPr>
        <w:t xml:space="preserve">, supra, </w:t>
      </w:r>
      <w:r>
        <w:rPr>
          <w:bCs/>
          <w:iCs/>
          <w:sz w:val="16"/>
          <w:szCs w:val="16"/>
        </w:rPr>
        <w:t>párr. 90.</w:t>
      </w:r>
    </w:p>
  </w:footnote>
  <w:footnote w:id="137">
    <w:p w14:paraId="48EB905D" w14:textId="2916B2C1" w:rsidR="00C04EBD" w:rsidRPr="00815295" w:rsidRDefault="00C04EBD"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Alegatos Finales Orales rendidas por el Estado de El Salvador en la Audiencia Pública del presente caso celebrada en el marco del 163 Periodo Ordinario de Sesiones, de 22 de noviembre de 2023.</w:t>
      </w:r>
    </w:p>
  </w:footnote>
  <w:footnote w:id="138">
    <w:p w14:paraId="7F0B72FB" w14:textId="70FF5428" w:rsidR="00C04EBD" w:rsidRPr="00815295" w:rsidRDefault="00C04EBD"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0006149F" w:rsidRPr="00EB465B">
        <w:rPr>
          <w:i/>
          <w:iCs/>
          <w:sz w:val="16"/>
          <w:szCs w:val="16"/>
        </w:rPr>
        <w:t>Cfr</w:t>
      </w:r>
      <w:r w:rsidR="0006149F" w:rsidRPr="00EB465B">
        <w:rPr>
          <w:sz w:val="16"/>
          <w:szCs w:val="16"/>
        </w:rPr>
        <w:t>. Alegatos finales escritos del Estado</w:t>
      </w:r>
      <w:r w:rsidR="0006149F">
        <w:rPr>
          <w:sz w:val="16"/>
          <w:szCs w:val="16"/>
        </w:rPr>
        <w:t>, de 8 de enero de 2024</w:t>
      </w:r>
      <w:r w:rsidR="0006149F" w:rsidRPr="00EB465B">
        <w:rPr>
          <w:sz w:val="16"/>
          <w:szCs w:val="16"/>
        </w:rPr>
        <w:t xml:space="preserve"> (expediente de fondo, folios 387 y 388).</w:t>
      </w:r>
    </w:p>
  </w:footnote>
  <w:footnote w:id="139">
    <w:p w14:paraId="46537D9F" w14:textId="64CAF093" w:rsidR="00A84835" w:rsidRPr="00815295" w:rsidRDefault="00A84835"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xml:space="preserve">. Declaración de Ana </w:t>
      </w:r>
      <w:r w:rsidR="00F01B69" w:rsidRPr="00815295">
        <w:rPr>
          <w:sz w:val="16"/>
          <w:szCs w:val="16"/>
        </w:rPr>
        <w:t>Gladis</w:t>
      </w:r>
      <w:r w:rsidRPr="00815295">
        <w:rPr>
          <w:sz w:val="16"/>
          <w:szCs w:val="16"/>
        </w:rPr>
        <w:t xml:space="preserve"> Pérez rendida en audiencia pública celebrada el 22 de noviembre de 2023 en el marco del 163° periodo ordinario de sesiones.</w:t>
      </w:r>
    </w:p>
  </w:footnote>
  <w:footnote w:id="140">
    <w:p w14:paraId="4E596D1C" w14:textId="2099B3A5" w:rsidR="00CE13D0" w:rsidRPr="00815295" w:rsidRDefault="00CE13D0"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Declaración de Francisco Alfredo Álvarez Sol</w:t>
      </w:r>
      <w:r w:rsidR="00712C1C" w:rsidRPr="00815295">
        <w:rPr>
          <w:sz w:val="16"/>
          <w:szCs w:val="16"/>
        </w:rPr>
        <w:t>í</w:t>
      </w:r>
      <w:r w:rsidRPr="00815295">
        <w:rPr>
          <w:sz w:val="16"/>
          <w:szCs w:val="16"/>
        </w:rPr>
        <w:t>s rendida en audiencia pública celebrada el 22 de noviembre de 2023 en el marco del 163° periodo ordinario de sesiones.</w:t>
      </w:r>
    </w:p>
  </w:footnote>
  <w:footnote w:id="141">
    <w:p w14:paraId="2865FC96" w14:textId="77777777" w:rsidR="00A84835" w:rsidRPr="00815295" w:rsidRDefault="00A84835"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Declaración ante fedatario público de Ana Gabriela Álvarez Cuéllar, de 9 de noviembre de 2023 (expediente de prueba, folio 2334).</w:t>
      </w:r>
    </w:p>
  </w:footnote>
  <w:footnote w:id="142">
    <w:p w14:paraId="1B5E978C" w14:textId="5AA35259" w:rsidR="00A84835" w:rsidRPr="00815295" w:rsidRDefault="00A84835"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0006149F" w:rsidRPr="00EB465B">
        <w:rPr>
          <w:i/>
          <w:iCs/>
          <w:sz w:val="16"/>
          <w:szCs w:val="16"/>
        </w:rPr>
        <w:t>Cfr</w:t>
      </w:r>
      <w:r w:rsidR="0006149F" w:rsidRPr="00EB465B">
        <w:rPr>
          <w:sz w:val="16"/>
          <w:szCs w:val="16"/>
        </w:rPr>
        <w:t>. Declaración ante fedatario público de Ana Gabriela Álvarez Cuéllar, de 9 de noviembre de 2023 (expediente de prueba, folio</w:t>
      </w:r>
      <w:r w:rsidR="0006149F">
        <w:rPr>
          <w:sz w:val="16"/>
          <w:szCs w:val="16"/>
        </w:rPr>
        <w:t>s</w:t>
      </w:r>
      <w:r w:rsidR="0006149F" w:rsidRPr="00EB465B">
        <w:rPr>
          <w:sz w:val="16"/>
          <w:szCs w:val="16"/>
        </w:rPr>
        <w:t xml:space="preserve"> 2336</w:t>
      </w:r>
      <w:r w:rsidR="0006149F">
        <w:rPr>
          <w:sz w:val="16"/>
          <w:szCs w:val="16"/>
        </w:rPr>
        <w:t xml:space="preserve"> y 2337</w:t>
      </w:r>
      <w:r w:rsidR="0006149F" w:rsidRPr="00EB465B">
        <w:rPr>
          <w:sz w:val="16"/>
          <w:szCs w:val="16"/>
        </w:rPr>
        <w:t xml:space="preserve">), y Declaración ante fedatario público de Javier Ernesto Álvarez Cuéllar, de </w:t>
      </w:r>
      <w:r w:rsidR="00535D4E">
        <w:rPr>
          <w:sz w:val="16"/>
          <w:szCs w:val="16"/>
        </w:rPr>
        <w:t>31</w:t>
      </w:r>
      <w:r w:rsidR="0006149F" w:rsidRPr="00EB465B">
        <w:rPr>
          <w:sz w:val="16"/>
          <w:szCs w:val="16"/>
        </w:rPr>
        <w:t xml:space="preserve"> de octubre de 2023 (expediente de prueba, folio 2353).</w:t>
      </w:r>
    </w:p>
  </w:footnote>
  <w:footnote w:id="143">
    <w:p w14:paraId="16E88E6F" w14:textId="77777777" w:rsidR="00A84835" w:rsidRPr="00815295" w:rsidRDefault="00A84835"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Declaración ante fedatario público de Ana Gabriela Álvarez Cuéllar, de 9 de noviembre de 2023 (expediente de prueba, folio 2336).</w:t>
      </w:r>
    </w:p>
  </w:footnote>
  <w:footnote w:id="144">
    <w:p w14:paraId="72ACF11E" w14:textId="77777777" w:rsidR="00A84835" w:rsidRPr="00815295" w:rsidRDefault="00A84835"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Declaración ante fedatario público de Ana Gabriela Álvarez Cuéllar, de 9 de noviembre de 2023 (expediente de prueba, folio 2336).</w:t>
      </w:r>
    </w:p>
  </w:footnote>
  <w:footnote w:id="145">
    <w:p w14:paraId="0281C159" w14:textId="77777777" w:rsidR="0006149F" w:rsidRPr="00EB465B" w:rsidRDefault="0006149F" w:rsidP="0006149F">
      <w:pPr>
        <w:pStyle w:val="Textonotapie"/>
        <w:spacing w:before="40" w:after="40"/>
        <w:rPr>
          <w:rFonts w:eastAsiaTheme="minorHAnsi" w:cs="MinionPro-Bold"/>
          <w:bCs/>
          <w:sz w:val="16"/>
          <w:szCs w:val="16"/>
        </w:rPr>
      </w:pPr>
      <w:r w:rsidRPr="00EB465B">
        <w:rPr>
          <w:rStyle w:val="Refdenotaalpie"/>
          <w:rFonts w:eastAsia="MS Mincho"/>
          <w:sz w:val="16"/>
          <w:szCs w:val="16"/>
        </w:rPr>
        <w:footnoteRef/>
      </w:r>
      <w:r w:rsidRPr="00EB465B">
        <w:rPr>
          <w:sz w:val="16"/>
          <w:szCs w:val="16"/>
        </w:rPr>
        <w:t xml:space="preserve"> </w:t>
      </w:r>
      <w:r w:rsidRPr="00EB465B">
        <w:rPr>
          <w:sz w:val="16"/>
          <w:szCs w:val="16"/>
        </w:rPr>
        <w:tab/>
      </w:r>
      <w:bookmarkStart w:id="148" w:name="_Hlk165043823"/>
      <w:r w:rsidRPr="00EB465B">
        <w:rPr>
          <w:i/>
          <w:iCs/>
          <w:sz w:val="16"/>
          <w:szCs w:val="16"/>
        </w:rPr>
        <w:t xml:space="preserve">Cfr. Condición jurídica y derechos humanos del niño. </w:t>
      </w:r>
      <w:r w:rsidRPr="00EB465B">
        <w:rPr>
          <w:i/>
          <w:sz w:val="16"/>
          <w:szCs w:val="16"/>
        </w:rPr>
        <w:t>Opinión Consultiva OC-17/02 de 28 de agosto de 2002</w:t>
      </w:r>
      <w:r w:rsidRPr="00EB465B">
        <w:rPr>
          <w:sz w:val="16"/>
          <w:szCs w:val="16"/>
        </w:rPr>
        <w:t>. Serie A No. 17,</w:t>
      </w:r>
      <w:r w:rsidRPr="00EB465B">
        <w:rPr>
          <w:iCs/>
          <w:sz w:val="16"/>
          <w:szCs w:val="16"/>
        </w:rPr>
        <w:t xml:space="preserve"> </w:t>
      </w:r>
      <w:r w:rsidRPr="00EB465B">
        <w:rPr>
          <w:sz w:val="16"/>
          <w:szCs w:val="16"/>
        </w:rPr>
        <w:t>párr.</w:t>
      </w:r>
      <w:r w:rsidRPr="00EB465B">
        <w:rPr>
          <w:bCs/>
          <w:iCs/>
          <w:sz w:val="16"/>
          <w:szCs w:val="16"/>
        </w:rPr>
        <w:t xml:space="preserve"> </w:t>
      </w:r>
      <w:r w:rsidRPr="00EB465B">
        <w:rPr>
          <w:sz w:val="16"/>
          <w:szCs w:val="16"/>
        </w:rPr>
        <w:t xml:space="preserve">66, y </w:t>
      </w:r>
      <w:r w:rsidRPr="00211D73">
        <w:rPr>
          <w:i/>
          <w:sz w:val="16"/>
          <w:szCs w:val="16"/>
        </w:rPr>
        <w:t>Caso Tabares Toro y otros Vs. Colombia</w:t>
      </w:r>
      <w:r w:rsidRPr="00EB465B">
        <w:rPr>
          <w:rStyle w:val="Textoennegrita"/>
          <w:b w:val="0"/>
          <w:bCs w:val="0"/>
          <w:sz w:val="16"/>
          <w:szCs w:val="16"/>
        </w:rPr>
        <w:t xml:space="preserve">, </w:t>
      </w:r>
      <w:r w:rsidRPr="00EB465B">
        <w:rPr>
          <w:rStyle w:val="Textoennegrita"/>
          <w:b w:val="0"/>
          <w:bCs w:val="0"/>
          <w:i/>
          <w:iCs/>
          <w:sz w:val="16"/>
          <w:szCs w:val="16"/>
        </w:rPr>
        <w:t>supra</w:t>
      </w:r>
      <w:r w:rsidRPr="00EB465B">
        <w:rPr>
          <w:rStyle w:val="Textoennegrita"/>
          <w:b w:val="0"/>
          <w:bCs w:val="0"/>
          <w:sz w:val="16"/>
          <w:szCs w:val="16"/>
        </w:rPr>
        <w:t>,</w:t>
      </w:r>
      <w:r w:rsidRPr="00EB465B">
        <w:rPr>
          <w:bCs/>
          <w:sz w:val="16"/>
          <w:szCs w:val="16"/>
        </w:rPr>
        <w:t xml:space="preserve"> </w:t>
      </w:r>
      <w:r w:rsidRPr="00EB465B">
        <w:rPr>
          <w:bCs/>
          <w:iCs/>
          <w:sz w:val="16"/>
          <w:szCs w:val="16"/>
        </w:rPr>
        <w:t xml:space="preserve">párr. </w:t>
      </w:r>
      <w:r>
        <w:rPr>
          <w:bCs/>
          <w:iCs/>
          <w:sz w:val="16"/>
          <w:szCs w:val="16"/>
        </w:rPr>
        <w:t>113</w:t>
      </w:r>
      <w:r w:rsidRPr="00EB465B">
        <w:rPr>
          <w:bCs/>
          <w:iCs/>
          <w:sz w:val="16"/>
          <w:szCs w:val="16"/>
        </w:rPr>
        <w:t>.</w:t>
      </w:r>
    </w:p>
    <w:bookmarkEnd w:id="148"/>
  </w:footnote>
  <w:footnote w:id="146">
    <w:p w14:paraId="46E32263" w14:textId="77777777" w:rsidR="0006149F" w:rsidRPr="00EB465B" w:rsidRDefault="0006149F" w:rsidP="0006149F">
      <w:pPr>
        <w:pStyle w:val="Textonotapie"/>
        <w:spacing w:before="40" w:after="40"/>
        <w:rPr>
          <w:rFonts w:eastAsiaTheme="minorHAnsi" w:cs="MinionPro-Bold"/>
          <w:bCs/>
          <w:sz w:val="16"/>
          <w:szCs w:val="16"/>
        </w:rPr>
      </w:pPr>
      <w:r w:rsidRPr="00EB465B">
        <w:rPr>
          <w:rStyle w:val="Refdenotaalpie"/>
          <w:rFonts w:eastAsia="MS Mincho"/>
          <w:sz w:val="16"/>
          <w:szCs w:val="16"/>
        </w:rPr>
        <w:footnoteRef/>
      </w:r>
      <w:r w:rsidRPr="00EB465B">
        <w:rPr>
          <w:sz w:val="16"/>
          <w:szCs w:val="16"/>
        </w:rPr>
        <w:t xml:space="preserve"> </w:t>
      </w:r>
      <w:r w:rsidRPr="00EB465B">
        <w:rPr>
          <w:sz w:val="16"/>
          <w:szCs w:val="16"/>
        </w:rPr>
        <w:tab/>
      </w:r>
      <w:r w:rsidRPr="00EB465B">
        <w:rPr>
          <w:i/>
          <w:sz w:val="16"/>
          <w:szCs w:val="16"/>
        </w:rPr>
        <w:t>Cfr</w:t>
      </w:r>
      <w:r w:rsidRPr="00EB465B">
        <w:rPr>
          <w:sz w:val="16"/>
          <w:szCs w:val="16"/>
        </w:rPr>
        <w:t xml:space="preserve">. </w:t>
      </w:r>
      <w:r w:rsidRPr="00EB465B">
        <w:rPr>
          <w:i/>
          <w:sz w:val="16"/>
          <w:szCs w:val="16"/>
        </w:rPr>
        <w:t>Opinión Consultiva OC-17/02</w:t>
      </w:r>
      <w:r w:rsidRPr="00EB465B">
        <w:rPr>
          <w:sz w:val="16"/>
          <w:szCs w:val="16"/>
        </w:rPr>
        <w:t xml:space="preserve">, párr. 66, y </w:t>
      </w:r>
      <w:r w:rsidRPr="00EB465B">
        <w:rPr>
          <w:rFonts w:cs="Open Sans"/>
          <w:i/>
          <w:iCs/>
          <w:sz w:val="16"/>
          <w:szCs w:val="16"/>
          <w:shd w:val="clear" w:color="auto" w:fill="FFFFFF"/>
        </w:rPr>
        <w:t xml:space="preserve">Caso Córdoba Vs. Paraguay. Fondo, Reparaciones y Costas. </w:t>
      </w:r>
      <w:r w:rsidRPr="00EB465B">
        <w:rPr>
          <w:rFonts w:cs="Open Sans"/>
          <w:sz w:val="16"/>
          <w:szCs w:val="16"/>
          <w:shd w:val="clear" w:color="auto" w:fill="FFFFFF"/>
        </w:rPr>
        <w:t>Sentencia de 5 de septiembre de 2023. Serie C No. 505</w:t>
      </w:r>
      <w:r w:rsidRPr="00EB465B">
        <w:rPr>
          <w:sz w:val="16"/>
          <w:szCs w:val="16"/>
        </w:rPr>
        <w:t xml:space="preserve">, párr. </w:t>
      </w:r>
      <w:r>
        <w:rPr>
          <w:sz w:val="16"/>
          <w:szCs w:val="16"/>
        </w:rPr>
        <w:t>24</w:t>
      </w:r>
      <w:r w:rsidRPr="00EB465B">
        <w:rPr>
          <w:sz w:val="16"/>
          <w:szCs w:val="16"/>
        </w:rPr>
        <w:t>.</w:t>
      </w:r>
      <w:r w:rsidRPr="00EB465B">
        <w:rPr>
          <w:i/>
          <w:sz w:val="16"/>
          <w:szCs w:val="16"/>
        </w:rPr>
        <w:t xml:space="preserve"> </w:t>
      </w:r>
    </w:p>
  </w:footnote>
  <w:footnote w:id="147">
    <w:p w14:paraId="12AB0C82" w14:textId="77777777" w:rsidR="0006149F" w:rsidRPr="00EB465B" w:rsidRDefault="0006149F" w:rsidP="0006149F">
      <w:pPr>
        <w:pStyle w:val="Textonotapie"/>
        <w:spacing w:before="40" w:after="40"/>
        <w:rPr>
          <w:sz w:val="16"/>
          <w:szCs w:val="16"/>
        </w:rPr>
      </w:pPr>
      <w:r w:rsidRPr="00EB465B">
        <w:rPr>
          <w:rStyle w:val="Refdenotaalpie"/>
          <w:rFonts w:eastAsia="MS Mincho"/>
          <w:sz w:val="16"/>
          <w:szCs w:val="16"/>
        </w:rPr>
        <w:footnoteRef/>
      </w:r>
      <w:r w:rsidRPr="00EB465B">
        <w:rPr>
          <w:sz w:val="16"/>
          <w:szCs w:val="16"/>
        </w:rPr>
        <w:t xml:space="preserve"> </w:t>
      </w:r>
      <w:r w:rsidRPr="00EB465B">
        <w:rPr>
          <w:sz w:val="16"/>
          <w:szCs w:val="16"/>
        </w:rPr>
        <w:tab/>
      </w:r>
      <w:r w:rsidRPr="00EB465B">
        <w:rPr>
          <w:i/>
          <w:iCs/>
          <w:sz w:val="16"/>
          <w:szCs w:val="16"/>
        </w:rPr>
        <w:t>Cfr</w:t>
      </w:r>
      <w:r w:rsidRPr="00EB465B">
        <w:rPr>
          <w:sz w:val="16"/>
          <w:szCs w:val="16"/>
        </w:rPr>
        <w:t xml:space="preserve">. </w:t>
      </w:r>
      <w:r w:rsidRPr="00EB465B">
        <w:rPr>
          <w:i/>
          <w:sz w:val="16"/>
          <w:szCs w:val="16"/>
        </w:rPr>
        <w:t>Opinión Consultiva OC-17/02</w:t>
      </w:r>
      <w:r w:rsidRPr="00EB465B">
        <w:rPr>
          <w:rStyle w:val="Textoennegrita"/>
          <w:b w:val="0"/>
          <w:bCs w:val="0"/>
          <w:sz w:val="16"/>
          <w:szCs w:val="16"/>
          <w:shd w:val="clear" w:color="auto" w:fill="FFFFFF"/>
        </w:rPr>
        <w:t xml:space="preserve">, </w:t>
      </w:r>
      <w:r w:rsidRPr="00EB465B">
        <w:rPr>
          <w:rStyle w:val="Textoennegrita"/>
          <w:b w:val="0"/>
          <w:bCs w:val="0"/>
          <w:i/>
          <w:iCs/>
          <w:sz w:val="16"/>
          <w:szCs w:val="16"/>
          <w:shd w:val="clear" w:color="auto" w:fill="FFFFFF"/>
        </w:rPr>
        <w:t>supra</w:t>
      </w:r>
      <w:r w:rsidRPr="00EB465B">
        <w:rPr>
          <w:sz w:val="16"/>
          <w:szCs w:val="16"/>
        </w:rPr>
        <w:t xml:space="preserve">, párr. 7, y </w:t>
      </w:r>
      <w:r w:rsidRPr="00EB465B">
        <w:rPr>
          <w:i/>
          <w:iCs/>
          <w:sz w:val="16"/>
          <w:szCs w:val="16"/>
        </w:rPr>
        <w:t>Caso María y otros Vs. Argentina</w:t>
      </w:r>
      <w:r>
        <w:rPr>
          <w:rFonts w:cs="Arial"/>
          <w:i/>
          <w:sz w:val="16"/>
          <w:szCs w:val="16"/>
          <w:shd w:val="clear" w:color="auto" w:fill="FFFFFF"/>
        </w:rPr>
        <w:t xml:space="preserve">, supra, </w:t>
      </w:r>
      <w:r>
        <w:rPr>
          <w:rFonts w:cs="Arial"/>
          <w:iCs/>
          <w:sz w:val="16"/>
          <w:szCs w:val="16"/>
          <w:shd w:val="clear" w:color="auto" w:fill="FFFFFF"/>
        </w:rPr>
        <w:t>párr. 87.</w:t>
      </w:r>
      <w:r>
        <w:rPr>
          <w:rFonts w:cs="Arial"/>
          <w:i/>
          <w:sz w:val="16"/>
          <w:szCs w:val="16"/>
          <w:shd w:val="clear" w:color="auto" w:fill="FFFFFF"/>
        </w:rPr>
        <w:t xml:space="preserve"> </w:t>
      </w:r>
    </w:p>
  </w:footnote>
  <w:footnote w:id="148">
    <w:p w14:paraId="21F4CF97" w14:textId="77777777" w:rsidR="0006149F" w:rsidRPr="00EB465B" w:rsidRDefault="0006149F" w:rsidP="0006149F">
      <w:pPr>
        <w:pStyle w:val="Textonotapie"/>
        <w:spacing w:before="40" w:after="40"/>
        <w:rPr>
          <w:sz w:val="16"/>
          <w:szCs w:val="16"/>
        </w:rPr>
      </w:pPr>
      <w:r w:rsidRPr="00EB465B">
        <w:rPr>
          <w:rStyle w:val="Refdenotaalpie"/>
          <w:sz w:val="16"/>
          <w:szCs w:val="16"/>
        </w:rPr>
        <w:footnoteRef/>
      </w:r>
      <w:r w:rsidRPr="00EB465B">
        <w:rPr>
          <w:sz w:val="16"/>
          <w:szCs w:val="16"/>
        </w:rPr>
        <w:t xml:space="preserve"> </w:t>
      </w:r>
      <w:r w:rsidRPr="00EB465B">
        <w:rPr>
          <w:sz w:val="16"/>
          <w:szCs w:val="16"/>
        </w:rPr>
        <w:tab/>
      </w:r>
      <w:r w:rsidRPr="00EB465B">
        <w:rPr>
          <w:i/>
          <w:iCs/>
          <w:sz w:val="16"/>
          <w:szCs w:val="16"/>
        </w:rPr>
        <w:t xml:space="preserve">Cfr. </w:t>
      </w:r>
      <w:r w:rsidRPr="00EB465B">
        <w:rPr>
          <w:rFonts w:cs="Open Sans"/>
          <w:i/>
          <w:iCs/>
          <w:sz w:val="16"/>
          <w:szCs w:val="16"/>
          <w:shd w:val="clear" w:color="auto" w:fill="FFFFFF"/>
        </w:rPr>
        <w:t>Caso Rochac Hernández y otros Vs. El Salvador</w:t>
      </w:r>
      <w:r>
        <w:rPr>
          <w:rFonts w:cs="Open Sans"/>
          <w:i/>
          <w:iCs/>
          <w:sz w:val="16"/>
          <w:szCs w:val="16"/>
          <w:shd w:val="clear" w:color="auto" w:fill="FFFFFF"/>
        </w:rPr>
        <w:t>, supra</w:t>
      </w:r>
      <w:r w:rsidRPr="00EB465B">
        <w:rPr>
          <w:rFonts w:cs="Open Sans"/>
          <w:sz w:val="16"/>
          <w:szCs w:val="16"/>
          <w:shd w:val="clear" w:color="auto" w:fill="FFFFFF"/>
        </w:rPr>
        <w:t>, párr. 110</w:t>
      </w:r>
      <w:r>
        <w:rPr>
          <w:rFonts w:cs="Open Sans"/>
          <w:sz w:val="16"/>
          <w:szCs w:val="16"/>
          <w:shd w:val="clear" w:color="auto" w:fill="FFFFFF"/>
        </w:rPr>
        <w:t xml:space="preserve">, y </w:t>
      </w:r>
      <w:r w:rsidRPr="009E3736">
        <w:rPr>
          <w:rFonts w:cs="Open Sans"/>
          <w:sz w:val="16"/>
          <w:szCs w:val="16"/>
          <w:shd w:val="clear" w:color="auto" w:fill="FFFFFF"/>
        </w:rPr>
        <w:t>Caso Masacre de la Aldea Los Josefinos Vs. Guatemala. Excepción Preliminar, Fondo, Reparaciones y Costas. Sentencia de 3 de noviembre de 2021. Serie C No. 442</w:t>
      </w:r>
      <w:r>
        <w:rPr>
          <w:rFonts w:cs="Open Sans"/>
          <w:sz w:val="16"/>
          <w:szCs w:val="16"/>
          <w:shd w:val="clear" w:color="auto" w:fill="FFFFFF"/>
        </w:rPr>
        <w:t>, párr. 89.</w:t>
      </w:r>
    </w:p>
  </w:footnote>
  <w:footnote w:id="149">
    <w:p w14:paraId="47CCA72D" w14:textId="77777777" w:rsidR="0006149F" w:rsidRPr="00EB465B" w:rsidRDefault="0006149F" w:rsidP="0006149F">
      <w:pPr>
        <w:pStyle w:val="Textonotapie"/>
        <w:spacing w:before="40" w:after="40"/>
        <w:rPr>
          <w:sz w:val="16"/>
          <w:szCs w:val="16"/>
        </w:rPr>
      </w:pPr>
      <w:r w:rsidRPr="00EB465B">
        <w:rPr>
          <w:rStyle w:val="Refdenotaalpie"/>
          <w:sz w:val="16"/>
          <w:szCs w:val="16"/>
        </w:rPr>
        <w:footnoteRef/>
      </w:r>
      <w:r w:rsidRPr="00EB465B">
        <w:rPr>
          <w:sz w:val="16"/>
          <w:szCs w:val="16"/>
        </w:rPr>
        <w:t xml:space="preserve"> </w:t>
      </w:r>
      <w:r w:rsidRPr="00EB465B">
        <w:rPr>
          <w:sz w:val="16"/>
          <w:szCs w:val="16"/>
        </w:rPr>
        <w:tab/>
      </w:r>
      <w:r w:rsidRPr="00EB465B">
        <w:rPr>
          <w:i/>
          <w:iCs/>
          <w:sz w:val="16"/>
          <w:szCs w:val="16"/>
        </w:rPr>
        <w:t>Cfr. Condición jurídica y derechos humanos del niño. Opinión Consultiva OC-17/02 de 28 de agosto de 2002</w:t>
      </w:r>
      <w:r w:rsidRPr="00EB465B">
        <w:rPr>
          <w:sz w:val="16"/>
          <w:szCs w:val="16"/>
        </w:rPr>
        <w:t xml:space="preserve">. Serie A No. 17, párr. 54, y </w:t>
      </w:r>
      <w:r w:rsidRPr="00E85844">
        <w:rPr>
          <w:i/>
          <w:iCs/>
          <w:sz w:val="16"/>
          <w:szCs w:val="16"/>
        </w:rPr>
        <w:t>Caso Miembros de la Corporación Colectivo de Abogados "José Alvear Restrepo" Vs. Colombia</w:t>
      </w:r>
      <w:r>
        <w:rPr>
          <w:sz w:val="16"/>
          <w:szCs w:val="16"/>
        </w:rPr>
        <w:t xml:space="preserve">, </w:t>
      </w:r>
      <w:r w:rsidRPr="00E85844">
        <w:rPr>
          <w:i/>
          <w:iCs/>
          <w:sz w:val="16"/>
          <w:szCs w:val="16"/>
        </w:rPr>
        <w:t>supra</w:t>
      </w:r>
      <w:r w:rsidRPr="00EB465B">
        <w:rPr>
          <w:sz w:val="16"/>
          <w:szCs w:val="16"/>
        </w:rPr>
        <w:t>, párr. 631.</w:t>
      </w:r>
    </w:p>
  </w:footnote>
  <w:footnote w:id="150">
    <w:p w14:paraId="11364297" w14:textId="77777777" w:rsidR="0006149F" w:rsidRPr="00EB465B" w:rsidRDefault="0006149F" w:rsidP="0006149F">
      <w:pPr>
        <w:pStyle w:val="Textonotapie"/>
        <w:spacing w:before="40" w:after="40"/>
        <w:rPr>
          <w:sz w:val="16"/>
          <w:szCs w:val="16"/>
        </w:rPr>
      </w:pPr>
      <w:r w:rsidRPr="00EB465B">
        <w:rPr>
          <w:rStyle w:val="Refdenotaalpie"/>
          <w:sz w:val="16"/>
          <w:szCs w:val="16"/>
        </w:rPr>
        <w:footnoteRef/>
      </w:r>
      <w:r w:rsidRPr="00EB465B">
        <w:rPr>
          <w:sz w:val="16"/>
          <w:szCs w:val="16"/>
        </w:rPr>
        <w:t xml:space="preserve"> </w:t>
      </w:r>
      <w:r w:rsidRPr="00EB465B">
        <w:rPr>
          <w:sz w:val="16"/>
          <w:szCs w:val="16"/>
        </w:rPr>
        <w:tab/>
      </w:r>
      <w:r w:rsidRPr="00EB465B">
        <w:rPr>
          <w:i/>
          <w:iCs/>
          <w:sz w:val="16"/>
          <w:szCs w:val="16"/>
        </w:rPr>
        <w:t>Cfr. Caso de los “Niños de la Calle” (Villagrán Morales y otros) Vs. Guatemala. Fondo</w:t>
      </w:r>
      <w:r w:rsidRPr="00EB465B">
        <w:rPr>
          <w:sz w:val="16"/>
          <w:szCs w:val="16"/>
        </w:rPr>
        <w:t xml:space="preserve">. Sentencia de 19 de noviembre de 1999. Serie C No. 63, párrs. 192 a 194, y </w:t>
      </w:r>
      <w:r w:rsidRPr="00EB465B">
        <w:rPr>
          <w:i/>
          <w:iCs/>
          <w:sz w:val="16"/>
          <w:szCs w:val="16"/>
        </w:rPr>
        <w:t>Caso Miembros de la Corporación Colectivo de Abogados "José Alvear Restrepo" Vs. Colombia</w:t>
      </w:r>
      <w:r>
        <w:rPr>
          <w:i/>
          <w:iCs/>
          <w:sz w:val="16"/>
          <w:szCs w:val="16"/>
        </w:rPr>
        <w:t>, supra</w:t>
      </w:r>
      <w:r w:rsidRPr="00EB465B">
        <w:rPr>
          <w:sz w:val="16"/>
          <w:szCs w:val="16"/>
        </w:rPr>
        <w:t>, párr. 631.</w:t>
      </w:r>
    </w:p>
  </w:footnote>
  <w:footnote w:id="151">
    <w:p w14:paraId="69A55B24" w14:textId="77777777" w:rsidR="0006149F" w:rsidRPr="00EB465B" w:rsidRDefault="0006149F" w:rsidP="0006149F">
      <w:pPr>
        <w:pStyle w:val="Textonotapie"/>
        <w:spacing w:before="40" w:after="40"/>
        <w:rPr>
          <w:sz w:val="16"/>
          <w:szCs w:val="16"/>
        </w:rPr>
      </w:pPr>
      <w:r w:rsidRPr="00EB465B">
        <w:rPr>
          <w:rStyle w:val="Refdenotaalpie"/>
          <w:sz w:val="16"/>
          <w:szCs w:val="16"/>
        </w:rPr>
        <w:footnoteRef/>
      </w:r>
      <w:r w:rsidRPr="00EB465B">
        <w:rPr>
          <w:sz w:val="16"/>
          <w:szCs w:val="16"/>
        </w:rPr>
        <w:t xml:space="preserve"> </w:t>
      </w:r>
      <w:r w:rsidRPr="00EB465B">
        <w:rPr>
          <w:sz w:val="16"/>
          <w:szCs w:val="16"/>
        </w:rPr>
        <w:tab/>
        <w:t xml:space="preserve">Cfr. Enfoques diferenciados respecto de determinados grupos de personas privadas de la libertad (Interpretación y alcance de los artículos 1.1, 4.1, 5, 11.2, 12, 13, 17.1, 19, 24 y 26 de la Convención Americana sobre Derechos Humanos y de otros instrumentos que conciernen a la protección de los derechos humanos). Opinión Consultiva OC-29/22 de 30 de mayo de 2022. Serie A No. 29, párr. 54, , y </w:t>
      </w:r>
      <w:r w:rsidRPr="00EB465B">
        <w:rPr>
          <w:i/>
          <w:iCs/>
          <w:sz w:val="16"/>
          <w:szCs w:val="16"/>
        </w:rPr>
        <w:t>Caso Miembros de la Corporación Colectivo de Abogados "José Alvear Restrepo" Vs. Colombia</w:t>
      </w:r>
      <w:r>
        <w:rPr>
          <w:i/>
          <w:iCs/>
          <w:sz w:val="16"/>
          <w:szCs w:val="16"/>
        </w:rPr>
        <w:t>, supra</w:t>
      </w:r>
      <w:r w:rsidRPr="00EB465B">
        <w:rPr>
          <w:sz w:val="16"/>
          <w:szCs w:val="16"/>
        </w:rPr>
        <w:t>, párr. 631.</w:t>
      </w:r>
    </w:p>
  </w:footnote>
  <w:footnote w:id="152">
    <w:p w14:paraId="22102794" w14:textId="469B161F" w:rsidR="00A84835" w:rsidRPr="00815295" w:rsidRDefault="00A84835"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xml:space="preserve">. Declaración ante fedatario público de Javier Ernesto Álvarez Cuéllar, de </w:t>
      </w:r>
      <w:r w:rsidR="00535D4E">
        <w:rPr>
          <w:sz w:val="16"/>
          <w:szCs w:val="16"/>
        </w:rPr>
        <w:t>3</w:t>
      </w:r>
      <w:r w:rsidRPr="00815295">
        <w:rPr>
          <w:sz w:val="16"/>
          <w:szCs w:val="16"/>
        </w:rPr>
        <w:t>1 de octubre de 2023 (expediente de prueba, folio 2353).</w:t>
      </w:r>
    </w:p>
  </w:footnote>
  <w:footnote w:id="153">
    <w:p w14:paraId="60CB1A54" w14:textId="4F42D040" w:rsidR="00A84835" w:rsidRPr="00815295" w:rsidRDefault="00A84835"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Declaración ante fedatario público de Ana Gabriela Álvarez Cuéllar, de 9 de noviembre de 2023 (expediente de prueba, folio 2335)</w:t>
      </w:r>
      <w:r w:rsidR="0006149F">
        <w:rPr>
          <w:sz w:val="16"/>
          <w:szCs w:val="16"/>
        </w:rPr>
        <w:t>.</w:t>
      </w:r>
    </w:p>
  </w:footnote>
  <w:footnote w:id="154">
    <w:p w14:paraId="039B724A" w14:textId="09E1B59E" w:rsidR="005452B9" w:rsidRPr="00815295" w:rsidRDefault="005452B9"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Declaración ante fedatario público de Ana Gabriela Álvarez Cuéllar, de 9 de noviembre de 2023 (expediente de prueba, folio 2334).</w:t>
      </w:r>
    </w:p>
  </w:footnote>
  <w:footnote w:id="155">
    <w:p w14:paraId="1DFDAAFF" w14:textId="0CD80B30" w:rsidR="0056590B" w:rsidRPr="00815295" w:rsidRDefault="0056590B"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Declaración ante fedatario público de Ana Gabriela Álvarez Cuéllar, de 9 de noviembre de 2023 (expediente de prueba, folio 2336).</w:t>
      </w:r>
    </w:p>
  </w:footnote>
  <w:footnote w:id="156">
    <w:p w14:paraId="0776C9CC" w14:textId="307DB70D" w:rsidR="005452B9" w:rsidRPr="00815295" w:rsidRDefault="005452B9"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Declaración ante fedatario público de Ana Gabriela Álvarez Cuéllar, de 9 de noviembre de 2023 (expediente de prueba, folio 2334).</w:t>
      </w:r>
    </w:p>
  </w:footnote>
  <w:footnote w:id="157">
    <w:p w14:paraId="18D2EB1D" w14:textId="1E4B71F7" w:rsidR="005452B9" w:rsidRPr="00815295" w:rsidRDefault="005452B9"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Declaración ante fedatario público de Ana Gabriela Álvarez Cuéllar, de 9 de noviembre de 2023 (expediente de prueba, folio 2335).</w:t>
      </w:r>
    </w:p>
  </w:footnote>
  <w:footnote w:id="158">
    <w:p w14:paraId="53FE4FED" w14:textId="77777777" w:rsidR="00A84835" w:rsidRPr="00815295" w:rsidRDefault="00A84835"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Declaración ante fedatario público de Ana Gabriela Álvarez Cuéllar, de 9 de noviembre de 2023 (expediente de prueba, folio 2336).</w:t>
      </w:r>
    </w:p>
  </w:footnote>
  <w:footnote w:id="159">
    <w:p w14:paraId="3928C758" w14:textId="5B1B5A17" w:rsidR="00A84835" w:rsidRPr="00815295" w:rsidRDefault="00A84835"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xml:space="preserve">. Declaración ante fedatario público de Javier Ernesto Álvarez Cuéllar, de </w:t>
      </w:r>
      <w:r w:rsidR="00535D4E">
        <w:rPr>
          <w:sz w:val="16"/>
          <w:szCs w:val="16"/>
        </w:rPr>
        <w:t>31</w:t>
      </w:r>
      <w:r w:rsidRPr="00815295">
        <w:rPr>
          <w:sz w:val="16"/>
          <w:szCs w:val="16"/>
        </w:rPr>
        <w:t xml:space="preserve"> de octubre de 2023 (expediente de prueba, folio 2354).</w:t>
      </w:r>
    </w:p>
  </w:footnote>
  <w:footnote w:id="160">
    <w:p w14:paraId="062C5A21" w14:textId="5A513027" w:rsidR="00323E13" w:rsidRPr="00815295" w:rsidRDefault="00323E13"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xml:space="preserve">. Declaración ante fedatario público de Javier Ernesto Álvarez Cuéllar, de </w:t>
      </w:r>
      <w:r w:rsidR="00535D4E">
        <w:rPr>
          <w:sz w:val="16"/>
          <w:szCs w:val="16"/>
        </w:rPr>
        <w:t>31</w:t>
      </w:r>
      <w:r w:rsidRPr="00815295">
        <w:rPr>
          <w:sz w:val="16"/>
          <w:szCs w:val="16"/>
        </w:rPr>
        <w:t xml:space="preserve"> de octubre de 2023 (expediente de prueba, folio 2352).</w:t>
      </w:r>
    </w:p>
  </w:footnote>
  <w:footnote w:id="161">
    <w:p w14:paraId="639B624A" w14:textId="1879897E" w:rsidR="00BE2DC6" w:rsidRPr="00815295" w:rsidRDefault="00BE2DC6"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xml:space="preserve">. Declaración ante fedatario público de Javier Ernesto Álvarez Cuéllar, de </w:t>
      </w:r>
      <w:r w:rsidR="00535D4E">
        <w:rPr>
          <w:sz w:val="16"/>
          <w:szCs w:val="16"/>
        </w:rPr>
        <w:t>31</w:t>
      </w:r>
      <w:r w:rsidRPr="00815295">
        <w:rPr>
          <w:sz w:val="16"/>
          <w:szCs w:val="16"/>
        </w:rPr>
        <w:t xml:space="preserve"> de octubre de 2023 (expediente de prueba, folio 2354).</w:t>
      </w:r>
    </w:p>
  </w:footnote>
  <w:footnote w:id="162">
    <w:p w14:paraId="306FE4CB" w14:textId="77B23F3B" w:rsidR="00BE2DC6" w:rsidRPr="00815295" w:rsidRDefault="00BE2DC6"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xml:space="preserve">. Declaración ante fedatario público de Javier Ernesto Álvarez Cuéllar, de </w:t>
      </w:r>
      <w:r w:rsidR="00535D4E">
        <w:rPr>
          <w:sz w:val="16"/>
          <w:szCs w:val="16"/>
        </w:rPr>
        <w:t>31</w:t>
      </w:r>
      <w:r w:rsidRPr="00815295">
        <w:rPr>
          <w:sz w:val="16"/>
          <w:szCs w:val="16"/>
        </w:rPr>
        <w:t xml:space="preserve"> de octubre de 2023 (expediente de prueba, folio 2354).</w:t>
      </w:r>
    </w:p>
  </w:footnote>
  <w:footnote w:id="163">
    <w:p w14:paraId="0815E819" w14:textId="12EC9F43" w:rsidR="003A7436" w:rsidRPr="00815295" w:rsidRDefault="003A7436" w:rsidP="00815295">
      <w:pPr>
        <w:pStyle w:val="Textonotapie"/>
        <w:spacing w:before="40" w:after="40"/>
        <w:rPr>
          <w:sz w:val="16"/>
          <w:szCs w:val="16"/>
          <w:lang w:eastAsia="es-PE"/>
        </w:rPr>
      </w:pPr>
      <w:r w:rsidRPr="00815295">
        <w:rPr>
          <w:rStyle w:val="Refdenotaalpie"/>
          <w:rFonts w:eastAsia="Calibri"/>
          <w:sz w:val="16"/>
          <w:szCs w:val="16"/>
        </w:rPr>
        <w:footnoteRef/>
      </w:r>
      <w:r w:rsidRPr="00815295">
        <w:rPr>
          <w:sz w:val="16"/>
          <w:szCs w:val="16"/>
        </w:rPr>
        <w:t xml:space="preserve"> </w:t>
      </w:r>
      <w:r w:rsidRPr="00815295">
        <w:rPr>
          <w:sz w:val="16"/>
          <w:szCs w:val="16"/>
        </w:rPr>
        <w:tab/>
      </w:r>
      <w:r w:rsidR="00992937" w:rsidRPr="00EB465B">
        <w:rPr>
          <w:i/>
          <w:sz w:val="16"/>
          <w:szCs w:val="16"/>
          <w:lang w:eastAsia="es-PE"/>
        </w:rPr>
        <w:t>Cfr. Caso Velásquez Rodríguez Vs. Honduras. Reparaciones y Costas</w:t>
      </w:r>
      <w:r w:rsidR="00992937" w:rsidRPr="00EB465B">
        <w:rPr>
          <w:sz w:val="16"/>
          <w:szCs w:val="16"/>
          <w:lang w:eastAsia="es-PE"/>
        </w:rPr>
        <w:t xml:space="preserve">. Sentencia de 21 de julio de 1989. Serie C No. 7, párr. 25, y </w:t>
      </w:r>
      <w:r w:rsidR="00992937" w:rsidRPr="00E85844">
        <w:rPr>
          <w:i/>
          <w:iCs/>
          <w:sz w:val="16"/>
          <w:szCs w:val="16"/>
          <w:lang w:eastAsia="es-PE"/>
        </w:rPr>
        <w:t>Caso Gutiérrez Navas y otros Vs. Honduras, supra,</w:t>
      </w:r>
      <w:r w:rsidR="00992937">
        <w:rPr>
          <w:sz w:val="16"/>
          <w:szCs w:val="16"/>
          <w:lang w:eastAsia="es-PE"/>
        </w:rPr>
        <w:t xml:space="preserve"> párr. 320.</w:t>
      </w:r>
    </w:p>
  </w:footnote>
  <w:footnote w:id="164">
    <w:p w14:paraId="4B75B217" w14:textId="7251E177" w:rsidR="003A7436" w:rsidRPr="00815295" w:rsidRDefault="003A7436" w:rsidP="00815295">
      <w:pPr>
        <w:pStyle w:val="Textonotapie"/>
        <w:spacing w:before="40" w:after="40"/>
        <w:rPr>
          <w:sz w:val="16"/>
          <w:szCs w:val="16"/>
          <w:lang w:eastAsia="es-PE"/>
        </w:rPr>
      </w:pPr>
      <w:r w:rsidRPr="00815295">
        <w:rPr>
          <w:rStyle w:val="Refdenotaalpie"/>
          <w:rFonts w:eastAsia="MS Mincho"/>
          <w:sz w:val="16"/>
          <w:szCs w:val="16"/>
        </w:rPr>
        <w:footnoteRef/>
      </w:r>
      <w:r w:rsidRPr="00815295">
        <w:rPr>
          <w:sz w:val="16"/>
          <w:szCs w:val="16"/>
        </w:rPr>
        <w:t xml:space="preserve"> </w:t>
      </w:r>
      <w:r w:rsidRPr="00815295">
        <w:rPr>
          <w:sz w:val="16"/>
          <w:szCs w:val="16"/>
        </w:rPr>
        <w:tab/>
      </w:r>
      <w:r w:rsidR="00992937" w:rsidRPr="00EB465B">
        <w:rPr>
          <w:i/>
          <w:sz w:val="16"/>
          <w:szCs w:val="16"/>
          <w:lang w:eastAsia="es-PE"/>
        </w:rPr>
        <w:t>Cfr. Caso Velásquez Rodríguez Vs. Honduras</w:t>
      </w:r>
      <w:r w:rsidR="00992937" w:rsidRPr="00EB465B">
        <w:rPr>
          <w:sz w:val="16"/>
          <w:szCs w:val="16"/>
          <w:lang w:eastAsia="es-PE"/>
        </w:rPr>
        <w:t xml:space="preserve">. Reparaciones y Costas, </w:t>
      </w:r>
      <w:r w:rsidR="00992937" w:rsidRPr="00EB465B">
        <w:rPr>
          <w:i/>
          <w:sz w:val="16"/>
          <w:szCs w:val="16"/>
          <w:lang w:eastAsia="es-PE"/>
        </w:rPr>
        <w:t>supra</w:t>
      </w:r>
      <w:r w:rsidR="00992937" w:rsidRPr="00EB465B">
        <w:rPr>
          <w:sz w:val="16"/>
          <w:szCs w:val="16"/>
          <w:lang w:eastAsia="es-PE"/>
        </w:rPr>
        <w:t xml:space="preserve">, párrs. 25 y 26, </w:t>
      </w:r>
      <w:r w:rsidR="00992937" w:rsidRPr="00EB465B">
        <w:rPr>
          <w:i/>
          <w:iCs/>
          <w:sz w:val="16"/>
          <w:szCs w:val="16"/>
          <w:lang w:eastAsia="es-PE"/>
        </w:rPr>
        <w:t xml:space="preserve">y </w:t>
      </w:r>
      <w:r w:rsidR="00992937" w:rsidRPr="00C2737F">
        <w:rPr>
          <w:i/>
          <w:iCs/>
          <w:sz w:val="16"/>
          <w:szCs w:val="16"/>
          <w:lang w:eastAsia="es-PE"/>
        </w:rPr>
        <w:t>Caso Gutiérrez Navas y otros Vs. Honduras, supra,</w:t>
      </w:r>
      <w:r w:rsidR="00992937">
        <w:rPr>
          <w:sz w:val="16"/>
          <w:szCs w:val="16"/>
          <w:lang w:eastAsia="es-PE"/>
        </w:rPr>
        <w:t xml:space="preserve"> párr. 321.</w:t>
      </w:r>
    </w:p>
  </w:footnote>
  <w:footnote w:id="165">
    <w:p w14:paraId="7D3E003B" w14:textId="6A2565B3" w:rsidR="003A7436" w:rsidRPr="00815295" w:rsidRDefault="003A7436" w:rsidP="00815295">
      <w:pPr>
        <w:pStyle w:val="Textonotapie"/>
        <w:spacing w:before="40" w:after="40"/>
        <w:rPr>
          <w:sz w:val="16"/>
          <w:szCs w:val="16"/>
          <w:lang w:eastAsia="es-PE"/>
        </w:rPr>
      </w:pPr>
      <w:r w:rsidRPr="00815295">
        <w:rPr>
          <w:rStyle w:val="Refdenotaalpie"/>
          <w:rFonts w:eastAsia="Calibri"/>
          <w:sz w:val="16"/>
          <w:szCs w:val="16"/>
        </w:rPr>
        <w:footnoteRef/>
      </w:r>
      <w:r w:rsidRPr="00815295">
        <w:rPr>
          <w:sz w:val="16"/>
          <w:szCs w:val="16"/>
        </w:rPr>
        <w:t xml:space="preserve"> </w:t>
      </w:r>
      <w:r w:rsidRPr="00815295">
        <w:rPr>
          <w:sz w:val="16"/>
          <w:szCs w:val="16"/>
        </w:rPr>
        <w:tab/>
      </w:r>
      <w:r w:rsidR="00992937" w:rsidRPr="00EB465B">
        <w:rPr>
          <w:i/>
          <w:sz w:val="16"/>
          <w:szCs w:val="16"/>
        </w:rPr>
        <w:t>Cfr.</w:t>
      </w:r>
      <w:r w:rsidR="00992937" w:rsidRPr="00EB465B">
        <w:rPr>
          <w:bCs/>
          <w:i/>
          <w:sz w:val="16"/>
          <w:szCs w:val="16"/>
        </w:rPr>
        <w:t xml:space="preserve"> Caso de la Masacre de Las Dos Erres Vs. Guatemala. Excepción Preliminar, Fondo, Reparaciones y Costas. </w:t>
      </w:r>
      <w:r w:rsidR="00992937" w:rsidRPr="00EB465B">
        <w:rPr>
          <w:bCs/>
          <w:sz w:val="16"/>
          <w:szCs w:val="16"/>
        </w:rPr>
        <w:t>Sentencia de 24 de noviembre de 2009. Serie C No. 211</w:t>
      </w:r>
      <w:r w:rsidR="00992937" w:rsidRPr="00EB465B">
        <w:rPr>
          <w:sz w:val="16"/>
          <w:szCs w:val="16"/>
        </w:rPr>
        <w:t xml:space="preserve">, párr. 226, y </w:t>
      </w:r>
      <w:r w:rsidR="00992937" w:rsidRPr="00C2737F">
        <w:rPr>
          <w:i/>
          <w:iCs/>
          <w:sz w:val="16"/>
          <w:szCs w:val="16"/>
          <w:lang w:eastAsia="es-PE"/>
        </w:rPr>
        <w:t>Caso Gutiérrez Navas y otros Vs. Honduras, supra,</w:t>
      </w:r>
      <w:r w:rsidR="00992937">
        <w:rPr>
          <w:sz w:val="16"/>
          <w:szCs w:val="16"/>
          <w:lang w:eastAsia="es-PE"/>
        </w:rPr>
        <w:t xml:space="preserve"> párr. 320.</w:t>
      </w:r>
    </w:p>
  </w:footnote>
  <w:footnote w:id="166">
    <w:p w14:paraId="4E9BDC81" w14:textId="1FA98F43" w:rsidR="003A7436" w:rsidRPr="00815295" w:rsidRDefault="003A7436" w:rsidP="00815295">
      <w:pPr>
        <w:pStyle w:val="Textonotapie"/>
        <w:spacing w:before="40" w:after="40"/>
        <w:rPr>
          <w:rFonts w:cstheme="minorBidi"/>
          <w:bCs/>
          <w:sz w:val="16"/>
          <w:szCs w:val="16"/>
        </w:rPr>
      </w:pPr>
      <w:r w:rsidRPr="00815295">
        <w:rPr>
          <w:rStyle w:val="Refdenotaalpie"/>
          <w:rFonts w:eastAsia="Calibri"/>
          <w:sz w:val="16"/>
          <w:szCs w:val="16"/>
        </w:rPr>
        <w:footnoteRef/>
      </w:r>
      <w:r w:rsidRPr="00815295">
        <w:rPr>
          <w:sz w:val="16"/>
          <w:szCs w:val="16"/>
        </w:rPr>
        <w:t xml:space="preserve"> </w:t>
      </w:r>
      <w:r w:rsidRPr="00815295">
        <w:rPr>
          <w:sz w:val="16"/>
          <w:szCs w:val="16"/>
        </w:rPr>
        <w:tab/>
      </w:r>
      <w:r w:rsidR="00992937" w:rsidRPr="00EB465B">
        <w:rPr>
          <w:i/>
          <w:sz w:val="16"/>
          <w:szCs w:val="16"/>
        </w:rPr>
        <w:t>Cfr. Caso Ticona Estrada Vs. Bolivia. Fondo, Reparaciones y Costas</w:t>
      </w:r>
      <w:r w:rsidR="00992937" w:rsidRPr="00EB465B">
        <w:rPr>
          <w:sz w:val="16"/>
          <w:szCs w:val="16"/>
        </w:rPr>
        <w:t>. Sentencia de 27 de noviembre de 2008. Serie C No. 191, párr. 110, y</w:t>
      </w:r>
      <w:r w:rsidR="00992937" w:rsidRPr="00EB465B">
        <w:rPr>
          <w:i/>
          <w:iCs/>
          <w:sz w:val="16"/>
          <w:szCs w:val="16"/>
          <w:lang w:eastAsia="es-PE"/>
        </w:rPr>
        <w:t xml:space="preserve"> </w:t>
      </w:r>
      <w:r w:rsidR="00992937" w:rsidRPr="00C2737F">
        <w:rPr>
          <w:i/>
          <w:iCs/>
          <w:sz w:val="16"/>
          <w:szCs w:val="16"/>
          <w:lang w:eastAsia="es-PE"/>
        </w:rPr>
        <w:t>Caso Gutiérrez Navas y otros Vs. Honduras, supra,</w:t>
      </w:r>
      <w:r w:rsidR="00992937">
        <w:rPr>
          <w:sz w:val="16"/>
          <w:szCs w:val="16"/>
          <w:lang w:eastAsia="es-PE"/>
        </w:rPr>
        <w:t xml:space="preserve"> párr. 322.</w:t>
      </w:r>
    </w:p>
  </w:footnote>
  <w:footnote w:id="167">
    <w:p w14:paraId="4C67317B" w14:textId="11FDFE38" w:rsidR="003A7436" w:rsidRPr="00815295" w:rsidRDefault="003A7436" w:rsidP="00815295">
      <w:pPr>
        <w:pStyle w:val="Textonotapie"/>
        <w:spacing w:before="40" w:after="40"/>
        <w:rPr>
          <w:sz w:val="16"/>
          <w:szCs w:val="16"/>
          <w:lang w:eastAsia="es-PE"/>
        </w:rPr>
      </w:pPr>
      <w:r w:rsidRPr="00815295">
        <w:rPr>
          <w:rStyle w:val="Refdenotaalpie"/>
          <w:rFonts w:eastAsia="Calibri"/>
          <w:sz w:val="16"/>
          <w:szCs w:val="16"/>
        </w:rPr>
        <w:footnoteRef/>
      </w:r>
      <w:r w:rsidRPr="00815295">
        <w:rPr>
          <w:rFonts w:cs="Verdana"/>
          <w:bCs/>
          <w:sz w:val="16"/>
          <w:szCs w:val="16"/>
        </w:rPr>
        <w:tab/>
      </w:r>
      <w:r w:rsidR="00992937" w:rsidRPr="00EB465B">
        <w:rPr>
          <w:i/>
          <w:sz w:val="16"/>
          <w:szCs w:val="16"/>
        </w:rPr>
        <w:t>Cfr.</w:t>
      </w:r>
      <w:r w:rsidR="00992937" w:rsidRPr="00EB465B">
        <w:rPr>
          <w:bCs/>
          <w:i/>
          <w:sz w:val="16"/>
          <w:szCs w:val="16"/>
        </w:rPr>
        <w:t xml:space="preserve"> Caso Velásquez Rodríguez Vs. Honduras. </w:t>
      </w:r>
      <w:r w:rsidR="00992937" w:rsidRPr="00EB465B">
        <w:rPr>
          <w:i/>
          <w:sz w:val="16"/>
          <w:szCs w:val="16"/>
        </w:rPr>
        <w:t>Reparaciones y Costas, supra</w:t>
      </w:r>
      <w:r w:rsidR="00992937" w:rsidRPr="00EB465B">
        <w:rPr>
          <w:sz w:val="16"/>
          <w:szCs w:val="16"/>
        </w:rPr>
        <w:t>, párrs. 25 a 27, y</w:t>
      </w:r>
      <w:r w:rsidR="00992937">
        <w:rPr>
          <w:sz w:val="16"/>
          <w:szCs w:val="16"/>
        </w:rPr>
        <w:t xml:space="preserve"> </w:t>
      </w:r>
      <w:r w:rsidR="00992937" w:rsidRPr="00C2737F">
        <w:rPr>
          <w:i/>
          <w:iCs/>
          <w:sz w:val="16"/>
          <w:szCs w:val="16"/>
          <w:lang w:eastAsia="es-PE"/>
        </w:rPr>
        <w:t>Caso Gutiérrez Navas y otros Vs. Honduras, supra,</w:t>
      </w:r>
      <w:r w:rsidR="00992937">
        <w:rPr>
          <w:sz w:val="16"/>
          <w:szCs w:val="16"/>
          <w:lang w:eastAsia="es-PE"/>
        </w:rPr>
        <w:t xml:space="preserve"> párr. 323.</w:t>
      </w:r>
    </w:p>
  </w:footnote>
  <w:footnote w:id="168">
    <w:p w14:paraId="17B2AB62" w14:textId="5FB50E6F" w:rsidR="00E50A3A" w:rsidRPr="00815295" w:rsidRDefault="00E50A3A"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Comunicación del representante de 23 de junio de 2022 (expediente de fondo, folio 62).</w:t>
      </w:r>
    </w:p>
  </w:footnote>
  <w:footnote w:id="169">
    <w:p w14:paraId="533CE241" w14:textId="7B3E0837" w:rsidR="0023020F" w:rsidRPr="00815295" w:rsidRDefault="0023020F" w:rsidP="00815295">
      <w:pPr>
        <w:pStyle w:val="Textonotapie"/>
        <w:spacing w:before="40" w:after="40"/>
        <w:rPr>
          <w:i/>
          <w:iCs/>
          <w:sz w:val="16"/>
          <w:szCs w:val="16"/>
        </w:rPr>
      </w:pPr>
      <w:r w:rsidRPr="00815295">
        <w:rPr>
          <w:rStyle w:val="Refdenotaalpie"/>
          <w:sz w:val="16"/>
          <w:szCs w:val="16"/>
        </w:rPr>
        <w:footnoteRef/>
      </w:r>
      <w:r w:rsidRPr="00815295">
        <w:rPr>
          <w:sz w:val="16"/>
          <w:szCs w:val="16"/>
        </w:rPr>
        <w:t xml:space="preserve"> </w:t>
      </w:r>
      <w:r w:rsidR="009435A4" w:rsidRPr="00815295">
        <w:rPr>
          <w:sz w:val="16"/>
          <w:szCs w:val="16"/>
        </w:rPr>
        <w:tab/>
      </w:r>
      <w:r w:rsidR="00992937" w:rsidRPr="00EB465B">
        <w:rPr>
          <w:i/>
          <w:iCs/>
          <w:sz w:val="16"/>
          <w:szCs w:val="16"/>
        </w:rPr>
        <w:t>Cfr. Caso Velásquez Rodríguez Vs. Honduras</w:t>
      </w:r>
      <w:r w:rsidR="00992937">
        <w:rPr>
          <w:i/>
          <w:iCs/>
          <w:sz w:val="16"/>
          <w:szCs w:val="16"/>
        </w:rPr>
        <w:t xml:space="preserve">. Fondo, </w:t>
      </w:r>
      <w:r w:rsidR="00992937" w:rsidRPr="00EB465B">
        <w:rPr>
          <w:i/>
          <w:iCs/>
          <w:sz w:val="16"/>
          <w:szCs w:val="16"/>
        </w:rPr>
        <w:t>supra,</w:t>
      </w:r>
      <w:r w:rsidR="00992937" w:rsidRPr="00EB465B">
        <w:rPr>
          <w:sz w:val="16"/>
          <w:szCs w:val="16"/>
        </w:rPr>
        <w:t xml:space="preserve"> párr. 174, y </w:t>
      </w:r>
      <w:r w:rsidR="00992937" w:rsidRPr="001B181F">
        <w:rPr>
          <w:i/>
          <w:iCs/>
          <w:sz w:val="16"/>
          <w:szCs w:val="16"/>
        </w:rPr>
        <w:t>Caso Gutiérrez Navas y otros Vs. Honduras</w:t>
      </w:r>
      <w:r w:rsidR="00992937">
        <w:rPr>
          <w:i/>
          <w:iCs/>
          <w:sz w:val="16"/>
          <w:szCs w:val="16"/>
        </w:rPr>
        <w:t xml:space="preserve">, supra, </w:t>
      </w:r>
      <w:r w:rsidR="00992937" w:rsidRPr="00EB465B">
        <w:rPr>
          <w:sz w:val="16"/>
          <w:szCs w:val="16"/>
        </w:rPr>
        <w:t xml:space="preserve">párr. </w:t>
      </w:r>
      <w:r w:rsidR="00992937">
        <w:rPr>
          <w:sz w:val="16"/>
          <w:szCs w:val="16"/>
        </w:rPr>
        <w:t>327</w:t>
      </w:r>
      <w:r w:rsidR="00992937" w:rsidRPr="00EB465B">
        <w:rPr>
          <w:sz w:val="16"/>
          <w:szCs w:val="16"/>
        </w:rPr>
        <w:t>.</w:t>
      </w:r>
    </w:p>
  </w:footnote>
  <w:footnote w:id="170">
    <w:p w14:paraId="1BC35AD8" w14:textId="437ACED8" w:rsidR="0023020F" w:rsidRPr="00815295" w:rsidRDefault="0023020F"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007C24FD" w:rsidRPr="00815295">
        <w:rPr>
          <w:sz w:val="16"/>
          <w:szCs w:val="16"/>
        </w:rPr>
        <w:tab/>
      </w:r>
      <w:r w:rsidR="007379D7" w:rsidRPr="00815295">
        <w:rPr>
          <w:i/>
          <w:iCs/>
          <w:sz w:val="16"/>
          <w:szCs w:val="16"/>
        </w:rPr>
        <w:t xml:space="preserve">Cfr. Caso Myrna Mack Chang Vs. Guatemala. Fondo, Reparaciones y Costas. </w:t>
      </w:r>
      <w:r w:rsidR="007379D7" w:rsidRPr="00815295">
        <w:rPr>
          <w:sz w:val="16"/>
          <w:szCs w:val="16"/>
        </w:rPr>
        <w:t xml:space="preserve">Sentencia de 25 de noviembre de 2003. Serie C No. 101, párr. 277, y </w:t>
      </w:r>
      <w:r w:rsidR="007C24FD" w:rsidRPr="00815295">
        <w:rPr>
          <w:i/>
          <w:iCs/>
          <w:sz w:val="16"/>
          <w:szCs w:val="16"/>
        </w:rPr>
        <w:t xml:space="preserve">Caso Núñez Naranjo y otros Vs. Ecuador, supra, </w:t>
      </w:r>
      <w:r w:rsidR="007C24FD" w:rsidRPr="00815295">
        <w:rPr>
          <w:sz w:val="16"/>
          <w:szCs w:val="16"/>
        </w:rPr>
        <w:t xml:space="preserve">párr. 144. </w:t>
      </w:r>
    </w:p>
  </w:footnote>
  <w:footnote w:id="171">
    <w:p w14:paraId="76B677DD" w14:textId="7130759E" w:rsidR="000004C2" w:rsidRPr="00815295" w:rsidRDefault="000004C2"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 Caso del Caracazo Vs. Venezuela. Reparaciones y Costas</w:t>
      </w:r>
      <w:r w:rsidRPr="00815295">
        <w:rPr>
          <w:sz w:val="16"/>
          <w:szCs w:val="16"/>
        </w:rPr>
        <w:t xml:space="preserve">. Sentencia de 29 de agosto de 2002. Serie C No. 95, párr. 118, y </w:t>
      </w:r>
      <w:r w:rsidRPr="00815295">
        <w:rPr>
          <w:i/>
          <w:iCs/>
          <w:sz w:val="16"/>
          <w:szCs w:val="16"/>
        </w:rPr>
        <w:t>Caso Guzmán Medina y otros Vs. Colombia</w:t>
      </w:r>
      <w:r w:rsidR="002B66AB" w:rsidRPr="00815295">
        <w:rPr>
          <w:i/>
          <w:iCs/>
          <w:sz w:val="16"/>
          <w:szCs w:val="16"/>
        </w:rPr>
        <w:t>, supra</w:t>
      </w:r>
      <w:r w:rsidRPr="00815295">
        <w:rPr>
          <w:sz w:val="16"/>
          <w:szCs w:val="16"/>
        </w:rPr>
        <w:t>, párr. 121.</w:t>
      </w:r>
    </w:p>
  </w:footnote>
  <w:footnote w:id="172">
    <w:p w14:paraId="436A1D12" w14:textId="5E3EFD84" w:rsidR="00F62556" w:rsidRPr="00815295" w:rsidRDefault="00F62556"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00086CC9" w:rsidRPr="00815295">
        <w:rPr>
          <w:i/>
          <w:iCs/>
          <w:sz w:val="16"/>
          <w:szCs w:val="16"/>
        </w:rPr>
        <w:t>Cfr. Caso Neira Alegría y otros Vs. Perú. Reparaciones y Costas.</w:t>
      </w:r>
      <w:r w:rsidR="00086CC9" w:rsidRPr="00815295">
        <w:rPr>
          <w:sz w:val="16"/>
          <w:szCs w:val="16"/>
        </w:rPr>
        <w:t xml:space="preserve"> Sentencia de 19 de septiembre de 1996. Serie C No. 29, párr. 69, y </w:t>
      </w:r>
      <w:r w:rsidR="00086CC9" w:rsidRPr="00815295">
        <w:rPr>
          <w:i/>
          <w:iCs/>
          <w:sz w:val="16"/>
          <w:szCs w:val="16"/>
        </w:rPr>
        <w:t>Caso Núñez Naranjo y otros Vs. Ecuador, supra</w:t>
      </w:r>
      <w:r w:rsidR="00086CC9" w:rsidRPr="00815295">
        <w:rPr>
          <w:sz w:val="16"/>
          <w:szCs w:val="16"/>
        </w:rPr>
        <w:t>, párr. 148</w:t>
      </w:r>
    </w:p>
  </w:footnote>
  <w:footnote w:id="173">
    <w:p w14:paraId="0F68196F" w14:textId="545DC3A2" w:rsidR="00F62556" w:rsidRPr="00815295" w:rsidRDefault="00F62556"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00086CC9" w:rsidRPr="00815295">
        <w:rPr>
          <w:i/>
          <w:iCs/>
          <w:sz w:val="16"/>
          <w:szCs w:val="16"/>
        </w:rPr>
        <w:t xml:space="preserve">Cfr. Caso Ticona Estrada y otros Vs. Bolivia, supra, </w:t>
      </w:r>
      <w:r w:rsidR="00086CC9" w:rsidRPr="00815295">
        <w:rPr>
          <w:sz w:val="16"/>
          <w:szCs w:val="16"/>
        </w:rPr>
        <w:t xml:space="preserve">párr. 155, y </w:t>
      </w:r>
      <w:r w:rsidR="00086CC9" w:rsidRPr="00815295">
        <w:rPr>
          <w:i/>
          <w:iCs/>
          <w:sz w:val="16"/>
          <w:szCs w:val="16"/>
        </w:rPr>
        <w:t xml:space="preserve">Caso Núñez Naranjo y otros Vs. Ecuador, supra, </w:t>
      </w:r>
      <w:r w:rsidR="00086CC9" w:rsidRPr="00815295">
        <w:rPr>
          <w:sz w:val="16"/>
          <w:szCs w:val="16"/>
        </w:rPr>
        <w:t>párr. 148.</w:t>
      </w:r>
    </w:p>
  </w:footnote>
  <w:footnote w:id="174">
    <w:p w14:paraId="49F6921F" w14:textId="19DEA3D2" w:rsidR="00926F27" w:rsidRPr="00815295" w:rsidRDefault="00926F27" w:rsidP="00815295">
      <w:pPr>
        <w:pStyle w:val="Textonotapie"/>
        <w:spacing w:before="40" w:after="40"/>
        <w:rPr>
          <w:i/>
          <w:iCs/>
          <w:sz w:val="16"/>
          <w:szCs w:val="16"/>
          <w:lang w:val="es-ES"/>
        </w:rPr>
      </w:pPr>
      <w:r w:rsidRPr="00815295">
        <w:rPr>
          <w:rStyle w:val="Refdenotaalpie"/>
          <w:sz w:val="16"/>
          <w:szCs w:val="16"/>
        </w:rPr>
        <w:footnoteRef/>
      </w:r>
      <w:r w:rsidRPr="00815295">
        <w:rPr>
          <w:sz w:val="16"/>
          <w:szCs w:val="16"/>
        </w:rPr>
        <w:t xml:space="preserve"> </w:t>
      </w:r>
      <w:r w:rsidRPr="00815295">
        <w:rPr>
          <w:sz w:val="16"/>
          <w:szCs w:val="16"/>
        </w:rPr>
        <w:tab/>
      </w:r>
      <w:r w:rsidR="00086CC9" w:rsidRPr="00815295">
        <w:rPr>
          <w:i/>
          <w:iCs/>
          <w:sz w:val="16"/>
          <w:szCs w:val="16"/>
        </w:rPr>
        <w:t>Cfr</w:t>
      </w:r>
      <w:r w:rsidR="00086CC9" w:rsidRPr="00815295">
        <w:rPr>
          <w:sz w:val="16"/>
          <w:szCs w:val="16"/>
        </w:rPr>
        <w:t xml:space="preserve">. </w:t>
      </w:r>
      <w:r w:rsidR="00086CC9" w:rsidRPr="00815295">
        <w:rPr>
          <w:i/>
          <w:iCs/>
          <w:sz w:val="16"/>
          <w:szCs w:val="16"/>
        </w:rPr>
        <w:t>Caso Contreras y otros Vs. El Salvador, supra</w:t>
      </w:r>
      <w:r w:rsidR="00086CC9" w:rsidRPr="00815295">
        <w:rPr>
          <w:sz w:val="16"/>
          <w:szCs w:val="16"/>
        </w:rPr>
        <w:t xml:space="preserve">, párrs. 191 y 192, y </w:t>
      </w:r>
      <w:r w:rsidR="00086CC9" w:rsidRPr="00815295">
        <w:rPr>
          <w:i/>
          <w:iCs/>
          <w:sz w:val="16"/>
          <w:szCs w:val="16"/>
        </w:rPr>
        <w:t>Caso Guzmán Medina y otros Vs. Colombia, supra</w:t>
      </w:r>
      <w:r w:rsidR="00086CC9" w:rsidRPr="00815295">
        <w:rPr>
          <w:sz w:val="16"/>
          <w:szCs w:val="16"/>
        </w:rPr>
        <w:t>, párr. 128.</w:t>
      </w:r>
    </w:p>
  </w:footnote>
  <w:footnote w:id="175">
    <w:p w14:paraId="0F3E61BB" w14:textId="2C51F651" w:rsidR="001972DF" w:rsidRPr="00815295" w:rsidRDefault="001972DF"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xml:space="preserve">. Declaración de Ana </w:t>
      </w:r>
      <w:r w:rsidR="00F01B69" w:rsidRPr="00815295">
        <w:rPr>
          <w:sz w:val="16"/>
          <w:szCs w:val="16"/>
        </w:rPr>
        <w:t>Gladis</w:t>
      </w:r>
      <w:r w:rsidRPr="00815295">
        <w:rPr>
          <w:sz w:val="16"/>
          <w:szCs w:val="16"/>
        </w:rPr>
        <w:t xml:space="preserve"> Pérez rendida en la audiencia pública celebrada el día 22 de noviembre de 2023 en el marco del 163º Período Ordinario de Sesiones.</w:t>
      </w:r>
    </w:p>
  </w:footnote>
  <w:footnote w:id="176">
    <w:p w14:paraId="26A2211C" w14:textId="1D5DD03F" w:rsidR="004568A8" w:rsidRPr="00815295" w:rsidRDefault="004568A8"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00E16C4C" w:rsidRPr="00815295">
        <w:rPr>
          <w:sz w:val="16"/>
          <w:szCs w:val="16"/>
        </w:rPr>
        <w:tab/>
      </w:r>
      <w:r w:rsidR="00E16C4C" w:rsidRPr="00815295">
        <w:rPr>
          <w:i/>
          <w:iCs/>
          <w:sz w:val="16"/>
          <w:szCs w:val="16"/>
        </w:rPr>
        <w:t>Cfr</w:t>
      </w:r>
      <w:r w:rsidR="00E16C4C" w:rsidRPr="00815295">
        <w:rPr>
          <w:sz w:val="16"/>
          <w:szCs w:val="16"/>
        </w:rPr>
        <w:t xml:space="preserve">. </w:t>
      </w:r>
      <w:r w:rsidR="00E16C4C" w:rsidRPr="00815295">
        <w:rPr>
          <w:i/>
          <w:iCs/>
          <w:sz w:val="16"/>
          <w:szCs w:val="16"/>
        </w:rPr>
        <w:t>Caso Poblete Vilches y otros Vs. Chile. Fondo, Reparaciones y Costas.</w:t>
      </w:r>
      <w:r w:rsidR="00E16C4C" w:rsidRPr="00815295">
        <w:rPr>
          <w:sz w:val="16"/>
          <w:szCs w:val="16"/>
        </w:rPr>
        <w:t xml:space="preserve"> Sentencia de 8 de marzo de 2018. Serie C No. 349, párr. 231, y </w:t>
      </w:r>
      <w:r w:rsidR="00E16C4C" w:rsidRPr="00815295">
        <w:rPr>
          <w:i/>
          <w:iCs/>
          <w:sz w:val="16"/>
          <w:szCs w:val="16"/>
        </w:rPr>
        <w:t>Caso María y otros Vs. Argentina</w:t>
      </w:r>
      <w:r w:rsidR="00086CC9" w:rsidRPr="00815295">
        <w:rPr>
          <w:i/>
          <w:iCs/>
          <w:sz w:val="16"/>
          <w:szCs w:val="16"/>
        </w:rPr>
        <w:t>, supra</w:t>
      </w:r>
      <w:r w:rsidR="00E16C4C" w:rsidRPr="00815295">
        <w:rPr>
          <w:sz w:val="16"/>
          <w:szCs w:val="16"/>
        </w:rPr>
        <w:t>, párr. 178.</w:t>
      </w:r>
    </w:p>
  </w:footnote>
  <w:footnote w:id="177">
    <w:p w14:paraId="0124CD63" w14:textId="3FCCE651" w:rsidR="004568A8" w:rsidRPr="00815295" w:rsidRDefault="004568A8"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00E16C4C" w:rsidRPr="00815295">
        <w:rPr>
          <w:sz w:val="16"/>
          <w:szCs w:val="16"/>
        </w:rPr>
        <w:tab/>
      </w:r>
      <w:r w:rsidR="00E16C4C" w:rsidRPr="00815295">
        <w:rPr>
          <w:i/>
          <w:iCs/>
          <w:sz w:val="16"/>
          <w:szCs w:val="16"/>
        </w:rPr>
        <w:t>Cfr</w:t>
      </w:r>
      <w:r w:rsidR="00E16C4C" w:rsidRPr="00815295">
        <w:rPr>
          <w:sz w:val="16"/>
          <w:szCs w:val="16"/>
        </w:rPr>
        <w:t xml:space="preserve">. </w:t>
      </w:r>
      <w:r w:rsidR="00E16C4C" w:rsidRPr="00815295">
        <w:rPr>
          <w:i/>
          <w:iCs/>
          <w:sz w:val="16"/>
          <w:szCs w:val="16"/>
        </w:rPr>
        <w:t>Caso de la Masacre de Las Dos Erres Vs. Guatemala, supra,</w:t>
      </w:r>
      <w:r w:rsidR="00E16C4C" w:rsidRPr="00815295">
        <w:rPr>
          <w:sz w:val="16"/>
          <w:szCs w:val="16"/>
        </w:rPr>
        <w:t xml:space="preserve"> párr. 270, y </w:t>
      </w:r>
      <w:r w:rsidR="00E16C4C" w:rsidRPr="00815295">
        <w:rPr>
          <w:i/>
          <w:iCs/>
          <w:sz w:val="16"/>
          <w:szCs w:val="16"/>
        </w:rPr>
        <w:t xml:space="preserve">Caso María y otros Vs. Argentina, supra, </w:t>
      </w:r>
      <w:r w:rsidR="00E16C4C" w:rsidRPr="00815295">
        <w:rPr>
          <w:sz w:val="16"/>
          <w:szCs w:val="16"/>
        </w:rPr>
        <w:t xml:space="preserve">párr. 178. </w:t>
      </w:r>
    </w:p>
  </w:footnote>
  <w:footnote w:id="178">
    <w:p w14:paraId="1AC80D2B" w14:textId="490EE2F7" w:rsidR="00A71AD6" w:rsidRPr="00815295" w:rsidRDefault="00A71AD6"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00E16C4C" w:rsidRPr="00815295">
        <w:rPr>
          <w:sz w:val="16"/>
          <w:szCs w:val="16"/>
        </w:rPr>
        <w:tab/>
      </w:r>
      <w:r w:rsidR="00992937" w:rsidRPr="00EB465B">
        <w:rPr>
          <w:i/>
          <w:iCs/>
          <w:sz w:val="16"/>
          <w:szCs w:val="16"/>
        </w:rPr>
        <w:t xml:space="preserve">Cfr. </w:t>
      </w:r>
      <w:r w:rsidR="00992937" w:rsidRPr="00C371F6">
        <w:rPr>
          <w:i/>
          <w:iCs/>
          <w:sz w:val="16"/>
          <w:szCs w:val="16"/>
        </w:rPr>
        <w:t xml:space="preserve">Caso Barrios Altos Vs. Perú. Reparaciones y Costas. </w:t>
      </w:r>
      <w:r w:rsidR="00992937" w:rsidRPr="00E85844">
        <w:rPr>
          <w:sz w:val="16"/>
          <w:szCs w:val="16"/>
        </w:rPr>
        <w:t>Sentencia de 30 de noviembre de 2001. Serie C No. 87, párrs. 42 y 45</w:t>
      </w:r>
      <w:r w:rsidR="00992937" w:rsidRPr="00EB465B">
        <w:rPr>
          <w:sz w:val="16"/>
          <w:szCs w:val="16"/>
        </w:rPr>
        <w:t xml:space="preserve">, </w:t>
      </w:r>
      <w:r w:rsidR="00992937">
        <w:rPr>
          <w:sz w:val="16"/>
          <w:szCs w:val="16"/>
        </w:rPr>
        <w:t xml:space="preserve">y </w:t>
      </w:r>
      <w:r w:rsidR="00992937" w:rsidRPr="00EB465B">
        <w:rPr>
          <w:i/>
          <w:iCs/>
          <w:sz w:val="16"/>
          <w:szCs w:val="16"/>
        </w:rPr>
        <w:t>Caso Rodríguez Pacheco y otra Vs. Venezuela. Excepciones Preliminares, Fondo, Reparaciones y Costas.</w:t>
      </w:r>
      <w:r w:rsidR="00992937" w:rsidRPr="00EB465B">
        <w:rPr>
          <w:sz w:val="16"/>
          <w:szCs w:val="16"/>
        </w:rPr>
        <w:t xml:space="preserve"> Sentencia de 1 de septiembre de 2023. Serie C No. 504, párr. 164</w:t>
      </w:r>
      <w:r w:rsidR="00992937">
        <w:rPr>
          <w:sz w:val="16"/>
          <w:szCs w:val="16"/>
        </w:rPr>
        <w:t>.</w:t>
      </w:r>
      <w:r w:rsidR="00992937" w:rsidRPr="00EB465B">
        <w:rPr>
          <w:sz w:val="16"/>
          <w:szCs w:val="16"/>
        </w:rPr>
        <w:t xml:space="preserve"> </w:t>
      </w:r>
    </w:p>
  </w:footnote>
  <w:footnote w:id="179">
    <w:p w14:paraId="753F0711" w14:textId="59CA0DA2" w:rsidR="0026671D" w:rsidRPr="00815295" w:rsidRDefault="0026671D"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t>El representante indicó en sus alegatos finales escritos que “el nombre de Patricia Emilie Cuéllar Sandoval se encuentra grabado en el muro</w:t>
      </w:r>
      <w:r w:rsidR="00086CC9" w:rsidRPr="00815295">
        <w:rPr>
          <w:sz w:val="16"/>
          <w:szCs w:val="16"/>
        </w:rPr>
        <w:t>,</w:t>
      </w:r>
      <w:r w:rsidRPr="00815295">
        <w:rPr>
          <w:sz w:val="16"/>
          <w:szCs w:val="16"/>
        </w:rPr>
        <w:t xml:space="preserve"> pero solamente aparece como Patricia Cuéllar, lo que podría generar confusión”. En el caso de Mauricio Cuéllar Cuéllar</w:t>
      </w:r>
      <w:r w:rsidR="00754B0B">
        <w:rPr>
          <w:sz w:val="16"/>
          <w:szCs w:val="16"/>
        </w:rPr>
        <w:t>,</w:t>
      </w:r>
      <w:r w:rsidRPr="00815295">
        <w:rPr>
          <w:sz w:val="16"/>
          <w:szCs w:val="16"/>
        </w:rPr>
        <w:t xml:space="preserve"> su nombre se encuentra dos veces –una de forma correcta y otra solo como “Mauricio Cuéllar”. Asimismo, el representante señaló que la fecha consignada de la detención y desaparición de las tres víctimas no corresponden con los hechos. </w:t>
      </w:r>
      <w:r w:rsidRPr="00815295">
        <w:rPr>
          <w:i/>
          <w:iCs/>
          <w:sz w:val="16"/>
          <w:szCs w:val="16"/>
        </w:rPr>
        <w:t>Cfr</w:t>
      </w:r>
      <w:r w:rsidRPr="00815295">
        <w:rPr>
          <w:sz w:val="16"/>
          <w:szCs w:val="16"/>
        </w:rPr>
        <w:t>. Escrito de alegatos finales escritos del representante, pág. 25 (expediente de fondo, folio 438).</w:t>
      </w:r>
    </w:p>
    <w:p w14:paraId="36B618AC" w14:textId="1B9756FA" w:rsidR="0026671D" w:rsidRPr="00815295" w:rsidRDefault="0026671D" w:rsidP="00815295">
      <w:pPr>
        <w:pStyle w:val="Textonotapie"/>
        <w:spacing w:before="40" w:after="40"/>
        <w:rPr>
          <w:sz w:val="16"/>
          <w:szCs w:val="16"/>
        </w:rPr>
      </w:pPr>
      <w:r w:rsidRPr="00815295">
        <w:rPr>
          <w:sz w:val="16"/>
          <w:szCs w:val="16"/>
        </w:rPr>
        <w:t>.</w:t>
      </w:r>
    </w:p>
  </w:footnote>
  <w:footnote w:id="180">
    <w:p w14:paraId="336E2218" w14:textId="0C155B88" w:rsidR="00627CDF" w:rsidRPr="00815295" w:rsidRDefault="00627CDF"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En la citada</w:t>
      </w:r>
      <w:r w:rsidR="00D01136" w:rsidRPr="00815295">
        <w:rPr>
          <w:sz w:val="16"/>
          <w:szCs w:val="16"/>
        </w:rPr>
        <w:t xml:space="preserve"> </w:t>
      </w:r>
      <w:r w:rsidR="002F316B" w:rsidRPr="00815295">
        <w:rPr>
          <w:sz w:val="16"/>
          <w:szCs w:val="16"/>
        </w:rPr>
        <w:t>Sentencia</w:t>
      </w:r>
      <w:r w:rsidRPr="00815295">
        <w:rPr>
          <w:sz w:val="16"/>
          <w:szCs w:val="16"/>
        </w:rPr>
        <w:t>, la Sala de lo Constitucional resolvió que la Asamblea Legislativa debería, “en un plazo razonable”:</w:t>
      </w:r>
    </w:p>
    <w:p w14:paraId="71986124" w14:textId="3A8F9B48" w:rsidR="007351A1" w:rsidRPr="00815295" w:rsidRDefault="00627CDF" w:rsidP="00815295">
      <w:pPr>
        <w:pStyle w:val="Textonotapie"/>
        <w:numPr>
          <w:ilvl w:val="0"/>
          <w:numId w:val="20"/>
        </w:numPr>
        <w:spacing w:before="40" w:after="40"/>
        <w:ind w:left="1077"/>
        <w:rPr>
          <w:sz w:val="16"/>
          <w:szCs w:val="16"/>
        </w:rPr>
      </w:pPr>
      <w:r w:rsidRPr="00815295">
        <w:rPr>
          <w:sz w:val="16"/>
          <w:szCs w:val="16"/>
        </w:rPr>
        <w:t xml:space="preserve">regular los medios para garantizar el acceso a la información pública sobre los hechos y sus circunstancias relacionadas con los crímenes de lesa humanidad y crímenes de guerra constitutivos de graves violaciones al DIH, ocurridos durante el conflicto armado y atribuidos a ambas partes; </w:t>
      </w:r>
    </w:p>
    <w:p w14:paraId="7CD220DA" w14:textId="77777777" w:rsidR="007351A1" w:rsidRPr="00815295" w:rsidRDefault="00627CDF" w:rsidP="00815295">
      <w:pPr>
        <w:pStyle w:val="Textonotapie"/>
        <w:numPr>
          <w:ilvl w:val="0"/>
          <w:numId w:val="20"/>
        </w:numPr>
        <w:spacing w:before="40" w:after="40"/>
        <w:ind w:left="1077"/>
        <w:rPr>
          <w:sz w:val="16"/>
          <w:szCs w:val="16"/>
        </w:rPr>
      </w:pPr>
      <w:r w:rsidRPr="00815295">
        <w:rPr>
          <w:sz w:val="16"/>
          <w:szCs w:val="16"/>
        </w:rPr>
        <w:t>disponer de los recursos adecuados para responder, en el menor tiempo posible, a las exigencias de las víctimas y sus familiares y de la sociedad</w:t>
      </w:r>
      <w:r w:rsidR="007351A1" w:rsidRPr="00815295">
        <w:rPr>
          <w:sz w:val="16"/>
          <w:szCs w:val="16"/>
        </w:rPr>
        <w:t xml:space="preserve"> </w:t>
      </w:r>
      <w:r w:rsidRPr="00815295">
        <w:rPr>
          <w:sz w:val="16"/>
          <w:szCs w:val="16"/>
        </w:rPr>
        <w:t xml:space="preserve">salvadoreña, respecto de las investigaciones, el enjuiciamiento, el esclarecimiento de la verdad y la sanción a los responsables de los crímenes de lesa humanidad y crímenes de guerra constitutivos de graves violaciones al DIH, sucedidas en el conflicto armado y atribuidos a ambas partes; y </w:t>
      </w:r>
    </w:p>
    <w:p w14:paraId="3B872A87" w14:textId="07FE45AB" w:rsidR="007351A1" w:rsidRPr="00815295" w:rsidRDefault="00627CDF" w:rsidP="00815295">
      <w:pPr>
        <w:pStyle w:val="Textonotapie"/>
        <w:numPr>
          <w:ilvl w:val="0"/>
          <w:numId w:val="20"/>
        </w:numPr>
        <w:spacing w:before="40" w:after="40"/>
        <w:ind w:left="1077"/>
        <w:rPr>
          <w:sz w:val="16"/>
          <w:szCs w:val="16"/>
        </w:rPr>
      </w:pPr>
      <w:r w:rsidRPr="00815295">
        <w:rPr>
          <w:sz w:val="16"/>
          <w:szCs w:val="16"/>
        </w:rPr>
        <w:t>considerar las medidas de reparación integral a las víctimas que fueren necesarias para garantizar su satisfacción, compensación y reivindicación, así como las medidas de no repetición de los crímenes de lesa humanidad y crímenes de guerra constitutivos de graves violaciones al DIH, tomando en cuenta los parámetros de esta</w:t>
      </w:r>
      <w:r w:rsidR="00D01136" w:rsidRPr="00815295">
        <w:rPr>
          <w:sz w:val="16"/>
          <w:szCs w:val="16"/>
        </w:rPr>
        <w:t xml:space="preserve"> </w:t>
      </w:r>
      <w:r w:rsidR="002F316B" w:rsidRPr="00815295">
        <w:rPr>
          <w:sz w:val="16"/>
          <w:szCs w:val="16"/>
        </w:rPr>
        <w:t>Sentencia</w:t>
      </w:r>
      <w:r w:rsidRPr="00815295">
        <w:rPr>
          <w:sz w:val="16"/>
          <w:szCs w:val="16"/>
        </w:rPr>
        <w:t xml:space="preserve"> y los estándares de la justicia transicional desarrollados fundamentalmente en la jurisprudencia de la Corte Interamericana de Derechos Humanos y de este Tribunal. </w:t>
      </w:r>
    </w:p>
    <w:p w14:paraId="56A76CB3" w14:textId="42318589" w:rsidR="00627CDF" w:rsidRPr="00815295" w:rsidRDefault="008A4BCD" w:rsidP="00815295">
      <w:pPr>
        <w:pStyle w:val="Textonotapie"/>
        <w:spacing w:before="40" w:after="40"/>
        <w:ind w:left="360"/>
        <w:rPr>
          <w:sz w:val="16"/>
          <w:szCs w:val="16"/>
        </w:rPr>
      </w:pPr>
      <w:r w:rsidRPr="00EB465B">
        <w:rPr>
          <w:i/>
          <w:iCs/>
          <w:sz w:val="16"/>
          <w:szCs w:val="16"/>
        </w:rPr>
        <w:t>Cfr</w:t>
      </w:r>
      <w:r w:rsidRPr="00EB465B">
        <w:rPr>
          <w:sz w:val="16"/>
          <w:szCs w:val="16"/>
        </w:rPr>
        <w:t>. Sala de lo Constitucional, 44-2013/145-2013 Inconstitucionalidad, Corte Suprema de Justicia, San Salvador, Sentencia de 13 de julio del 2016, p. 35</w:t>
      </w:r>
      <w:r>
        <w:rPr>
          <w:sz w:val="16"/>
          <w:szCs w:val="16"/>
        </w:rPr>
        <w:t xml:space="preserve"> (expediente de fondo, folio 105)</w:t>
      </w:r>
      <w:r w:rsidRPr="00EB465B">
        <w:rPr>
          <w:sz w:val="16"/>
          <w:szCs w:val="16"/>
        </w:rPr>
        <w:t>.</w:t>
      </w:r>
    </w:p>
  </w:footnote>
  <w:footnote w:id="181">
    <w:p w14:paraId="70754A33" w14:textId="3A9CAD73" w:rsidR="002C6F8F" w:rsidRPr="00815295" w:rsidRDefault="002C6F8F"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t>Según lo señalado por el Estado en sus alegatos finales escritos, esta sería la hoja de ruta: septiembre de 2021, la nueva Asamblea Legislativa para el período 2021-2024, a través de</w:t>
      </w:r>
      <w:r w:rsidR="007A124E" w:rsidRPr="00815295">
        <w:rPr>
          <w:sz w:val="16"/>
          <w:szCs w:val="16"/>
        </w:rPr>
        <w:t xml:space="preserve"> </w:t>
      </w:r>
      <w:r w:rsidRPr="00815295">
        <w:rPr>
          <w:sz w:val="16"/>
          <w:szCs w:val="16"/>
        </w:rPr>
        <w:t>la Comisión de Justicia y Derechos Humanos, inició los estudios para la construcción de una</w:t>
      </w:r>
      <w:r w:rsidR="007A124E" w:rsidRPr="00815295">
        <w:rPr>
          <w:sz w:val="16"/>
          <w:szCs w:val="16"/>
        </w:rPr>
        <w:t xml:space="preserve"> </w:t>
      </w:r>
      <w:r w:rsidRPr="00815295">
        <w:rPr>
          <w:sz w:val="16"/>
          <w:szCs w:val="16"/>
        </w:rPr>
        <w:t>Ley de Justicia Restaurativa y Transicional, a fin de resarcir los derechos de las víctimas del</w:t>
      </w:r>
      <w:r w:rsidR="007A124E" w:rsidRPr="00815295">
        <w:rPr>
          <w:sz w:val="16"/>
          <w:szCs w:val="16"/>
        </w:rPr>
        <w:t xml:space="preserve"> </w:t>
      </w:r>
      <w:r w:rsidRPr="00815295">
        <w:rPr>
          <w:sz w:val="16"/>
          <w:szCs w:val="16"/>
        </w:rPr>
        <w:t>conflicto armado. En este proceso de construcción normativa, la citada Comisión ha definido</w:t>
      </w:r>
      <w:r w:rsidR="007A124E" w:rsidRPr="00815295">
        <w:rPr>
          <w:sz w:val="16"/>
          <w:szCs w:val="16"/>
        </w:rPr>
        <w:t xml:space="preserve"> </w:t>
      </w:r>
      <w:r w:rsidRPr="00815295">
        <w:rPr>
          <w:sz w:val="16"/>
          <w:szCs w:val="16"/>
        </w:rPr>
        <w:t>la siguiente hoja de ruta: i) estudio de la</w:t>
      </w:r>
      <w:r w:rsidR="00D01136" w:rsidRPr="00815295">
        <w:rPr>
          <w:sz w:val="16"/>
          <w:szCs w:val="16"/>
        </w:rPr>
        <w:t xml:space="preserve"> </w:t>
      </w:r>
      <w:r w:rsidR="002F316B" w:rsidRPr="00815295">
        <w:rPr>
          <w:sz w:val="16"/>
          <w:szCs w:val="16"/>
        </w:rPr>
        <w:t>Sentencia</w:t>
      </w:r>
      <w:r w:rsidRPr="00815295">
        <w:rPr>
          <w:sz w:val="16"/>
          <w:szCs w:val="16"/>
        </w:rPr>
        <w:t xml:space="preserve"> de inconstitucionalidad de la Corte Suprema</w:t>
      </w:r>
      <w:r w:rsidR="007A124E" w:rsidRPr="00815295">
        <w:rPr>
          <w:sz w:val="16"/>
          <w:szCs w:val="16"/>
        </w:rPr>
        <w:t xml:space="preserve"> </w:t>
      </w:r>
      <w:r w:rsidRPr="00815295">
        <w:rPr>
          <w:sz w:val="16"/>
          <w:szCs w:val="16"/>
        </w:rPr>
        <w:t xml:space="preserve">de Justicia, ii) estudio del veto presidencial a la Ley de Justicia transicional aprobada por la anterior legislatura, iii) creación de mesa interinstitucional, iv) estructuración de la ley, redacción de artículos de la ley, v) discusión y emisión de dictamen, vi) conocimiento del dictamen por parte del pleno para su aprobación. </w:t>
      </w:r>
      <w:r w:rsidR="008A4BCD" w:rsidRPr="00EB465B">
        <w:rPr>
          <w:i/>
          <w:iCs/>
          <w:sz w:val="16"/>
          <w:szCs w:val="16"/>
        </w:rPr>
        <w:t>Cfr</w:t>
      </w:r>
      <w:r w:rsidR="008A4BCD" w:rsidRPr="00EB465B">
        <w:rPr>
          <w:sz w:val="16"/>
          <w:szCs w:val="16"/>
        </w:rPr>
        <w:t>. Escrito de alegatos finales del Estado</w:t>
      </w:r>
      <w:r w:rsidR="008A4BCD">
        <w:rPr>
          <w:sz w:val="16"/>
          <w:szCs w:val="16"/>
        </w:rPr>
        <w:t xml:space="preserve">, de 8 de enero de 2024 </w:t>
      </w:r>
      <w:r w:rsidR="008A4BCD" w:rsidRPr="00EB465B">
        <w:rPr>
          <w:sz w:val="16"/>
          <w:szCs w:val="16"/>
        </w:rPr>
        <w:t>(expediente de fondo, folio 393).</w:t>
      </w:r>
    </w:p>
  </w:footnote>
  <w:footnote w:id="182">
    <w:p w14:paraId="20736BDF" w14:textId="29FDF33D" w:rsidR="00823A71" w:rsidRPr="00815295" w:rsidRDefault="00823A71" w:rsidP="00815295">
      <w:pPr>
        <w:pStyle w:val="Textonotapie"/>
        <w:spacing w:before="40" w:after="40"/>
        <w:rPr>
          <w:sz w:val="16"/>
          <w:szCs w:val="16"/>
          <w:lang w:val="es-ES"/>
        </w:rPr>
      </w:pPr>
      <w:r w:rsidRPr="00815295">
        <w:rPr>
          <w:rStyle w:val="Refdenotaalpie"/>
          <w:rFonts w:eastAsia="Batang"/>
          <w:sz w:val="16"/>
          <w:szCs w:val="16"/>
        </w:rPr>
        <w:footnoteRef/>
      </w:r>
      <w:r w:rsidRPr="00815295">
        <w:rPr>
          <w:sz w:val="16"/>
          <w:szCs w:val="16"/>
        </w:rPr>
        <w:t xml:space="preserve"> </w:t>
      </w:r>
      <w:r w:rsidRPr="00815295">
        <w:rPr>
          <w:sz w:val="16"/>
          <w:szCs w:val="16"/>
          <w:lang w:val="es-ES"/>
        </w:rPr>
        <w:tab/>
        <w:t xml:space="preserve">Respecto de este argumento del Estado, </w:t>
      </w:r>
      <w:r w:rsidR="003D321B" w:rsidRPr="00815295">
        <w:rPr>
          <w:sz w:val="16"/>
          <w:szCs w:val="16"/>
          <w:lang w:val="es-ES"/>
        </w:rPr>
        <w:t>el representante señaló</w:t>
      </w:r>
      <w:r w:rsidRPr="00815295">
        <w:rPr>
          <w:sz w:val="16"/>
          <w:szCs w:val="16"/>
          <w:lang w:val="es-ES"/>
        </w:rPr>
        <w:t xml:space="preserve"> en su escrito de observaciones al reconocimiento de responsabilidad del Estado que la referida “hoja de ruta”</w:t>
      </w:r>
      <w:r w:rsidR="004E0487" w:rsidRPr="00815295">
        <w:rPr>
          <w:sz w:val="16"/>
          <w:szCs w:val="16"/>
          <w:lang w:val="es-ES"/>
        </w:rPr>
        <w:t xml:space="preserve"> </w:t>
      </w:r>
      <w:r w:rsidRPr="00815295">
        <w:rPr>
          <w:sz w:val="16"/>
          <w:szCs w:val="16"/>
          <w:lang w:val="es-ES"/>
        </w:rPr>
        <w:t xml:space="preserve">no ha visto “avances sustanciales” desde hace “casi dos [años]”. </w:t>
      </w:r>
    </w:p>
  </w:footnote>
  <w:footnote w:id="183">
    <w:p w14:paraId="1B943468" w14:textId="77777777" w:rsidR="008A4BCD" w:rsidRPr="00EB465B" w:rsidRDefault="008A4BCD" w:rsidP="008A4BCD">
      <w:pPr>
        <w:pStyle w:val="Textonotapie"/>
        <w:spacing w:before="40" w:after="40"/>
        <w:rPr>
          <w:sz w:val="16"/>
          <w:szCs w:val="16"/>
          <w:lang w:val="es-ES"/>
        </w:rPr>
      </w:pPr>
      <w:r w:rsidRPr="00E85844">
        <w:rPr>
          <w:rStyle w:val="Refdenotaalpie"/>
          <w:sz w:val="16"/>
          <w:szCs w:val="16"/>
        </w:rPr>
        <w:footnoteRef/>
      </w:r>
      <w:r w:rsidRPr="00E85844">
        <w:rPr>
          <w:sz w:val="16"/>
          <w:szCs w:val="16"/>
        </w:rPr>
        <w:t xml:space="preserve"> </w:t>
      </w:r>
      <w:r w:rsidRPr="00E85844">
        <w:rPr>
          <w:sz w:val="16"/>
          <w:szCs w:val="16"/>
          <w:lang w:val="es-ES"/>
        </w:rPr>
        <w:tab/>
      </w:r>
      <w:r w:rsidRPr="00E85844">
        <w:rPr>
          <w:i/>
          <w:iCs/>
          <w:sz w:val="16"/>
          <w:szCs w:val="16"/>
          <w:lang w:val="es-ES"/>
        </w:rPr>
        <w:t>Cfr</w:t>
      </w:r>
      <w:r w:rsidRPr="00E85844">
        <w:rPr>
          <w:sz w:val="16"/>
          <w:szCs w:val="16"/>
          <w:lang w:val="es-ES"/>
        </w:rPr>
        <w:t xml:space="preserve">. </w:t>
      </w:r>
      <w:r w:rsidRPr="00E85844">
        <w:rPr>
          <w:i/>
          <w:iCs/>
          <w:sz w:val="16"/>
          <w:szCs w:val="16"/>
        </w:rPr>
        <w:t xml:space="preserve">Caso Masacres de El Mozote y lugares aledaños Vs. El Salvador. Medidas Urgentes y Supervisión de Cumplimiento de Sentencia. </w:t>
      </w:r>
      <w:r w:rsidRPr="001D7791">
        <w:rPr>
          <w:sz w:val="16"/>
          <w:szCs w:val="16"/>
        </w:rPr>
        <w:t>Resolución del Presidente de la Corte Interamericana de Derechos Humanos de 28 de mayo de 2019</w:t>
      </w:r>
      <w:r>
        <w:rPr>
          <w:sz w:val="16"/>
          <w:szCs w:val="16"/>
        </w:rPr>
        <w:t xml:space="preserve">, párrs. 42 a 44; </w:t>
      </w:r>
      <w:r w:rsidRPr="00E85844">
        <w:rPr>
          <w:i/>
          <w:iCs/>
          <w:sz w:val="16"/>
          <w:szCs w:val="16"/>
        </w:rPr>
        <w:t>Caso Masacres de El Mozote y lugares aledaños Vs. El Salvador. Supervisión de Cumplimiento de Sentencia</w:t>
      </w:r>
      <w:r w:rsidRPr="002756F5">
        <w:rPr>
          <w:sz w:val="16"/>
          <w:szCs w:val="16"/>
        </w:rPr>
        <w:t>. Resolución de la Corte Interamericana de Derechos Humanos de 28 de noviembre de 2018</w:t>
      </w:r>
      <w:r>
        <w:rPr>
          <w:sz w:val="16"/>
          <w:szCs w:val="16"/>
        </w:rPr>
        <w:t xml:space="preserve">, párrs. 40 a 42, y </w:t>
      </w:r>
      <w:r w:rsidRPr="00E85844">
        <w:rPr>
          <w:i/>
          <w:iCs/>
          <w:sz w:val="16"/>
          <w:szCs w:val="16"/>
        </w:rPr>
        <w:t>Caso Masacres de El Mozote y lugares aledaños Vs. El Salvador. Supervisión de Cumplimiento de Sentencia.</w:t>
      </w:r>
      <w:r w:rsidRPr="002756F5">
        <w:rPr>
          <w:sz w:val="16"/>
          <w:szCs w:val="16"/>
        </w:rPr>
        <w:t xml:space="preserve"> Resolución de la Corte Interamericana de Derechos Humanos de 25 de noviembre de 2021</w:t>
      </w:r>
      <w:r>
        <w:rPr>
          <w:sz w:val="16"/>
          <w:szCs w:val="16"/>
        </w:rPr>
        <w:t xml:space="preserve">, párr. 8. </w:t>
      </w:r>
    </w:p>
  </w:footnote>
  <w:footnote w:id="184">
    <w:p w14:paraId="2E5F0604" w14:textId="018ADB65" w:rsidR="00070A9B" w:rsidRPr="00815295" w:rsidRDefault="00070A9B" w:rsidP="00815295">
      <w:pPr>
        <w:pStyle w:val="Textonotapie"/>
        <w:spacing w:before="40" w:after="40"/>
        <w:rPr>
          <w:sz w:val="16"/>
          <w:szCs w:val="16"/>
          <w:lang w:val="es-ES"/>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 Caso de las Hermanas Serrano Cruz Vs. El Salvador</w:t>
      </w:r>
      <w:r w:rsidR="00086CC9" w:rsidRPr="00815295">
        <w:rPr>
          <w:i/>
          <w:iCs/>
          <w:sz w:val="16"/>
          <w:szCs w:val="16"/>
        </w:rPr>
        <w:t>, supra</w:t>
      </w:r>
      <w:r w:rsidRPr="00815295">
        <w:rPr>
          <w:sz w:val="16"/>
          <w:szCs w:val="16"/>
        </w:rPr>
        <w:t>, párr. 174</w:t>
      </w:r>
      <w:r w:rsidR="002D0DF9" w:rsidRPr="00815295">
        <w:rPr>
          <w:sz w:val="16"/>
          <w:szCs w:val="16"/>
        </w:rPr>
        <w:t>.</w:t>
      </w:r>
      <w:r w:rsidRPr="00815295">
        <w:rPr>
          <w:sz w:val="16"/>
          <w:szCs w:val="16"/>
        </w:rPr>
        <w:t xml:space="preserve"> </w:t>
      </w:r>
    </w:p>
  </w:footnote>
  <w:footnote w:id="185">
    <w:p w14:paraId="6D8796A9" w14:textId="77777777" w:rsidR="008A4BCD" w:rsidRPr="00EB465B" w:rsidRDefault="008A4BCD" w:rsidP="008A4BCD">
      <w:pPr>
        <w:pStyle w:val="Textonotapie"/>
        <w:spacing w:before="40" w:after="40"/>
        <w:rPr>
          <w:color w:val="000000" w:themeColor="text1"/>
          <w:sz w:val="16"/>
          <w:szCs w:val="16"/>
          <w:lang w:val="es-ES"/>
        </w:rPr>
      </w:pPr>
      <w:r w:rsidRPr="00EB465B">
        <w:rPr>
          <w:rStyle w:val="Refdenotaalpie"/>
          <w:color w:val="000000" w:themeColor="text1"/>
          <w:sz w:val="16"/>
          <w:szCs w:val="16"/>
        </w:rPr>
        <w:footnoteRef/>
      </w:r>
      <w:r w:rsidRPr="00EB465B">
        <w:rPr>
          <w:color w:val="000000" w:themeColor="text1"/>
          <w:sz w:val="16"/>
          <w:szCs w:val="16"/>
        </w:rPr>
        <w:t xml:space="preserve"> </w:t>
      </w:r>
      <w:r w:rsidRPr="00EB465B">
        <w:rPr>
          <w:color w:val="000000" w:themeColor="text1"/>
          <w:sz w:val="16"/>
          <w:szCs w:val="16"/>
          <w:lang w:val="es-ES"/>
        </w:rPr>
        <w:tab/>
      </w:r>
      <w:r w:rsidRPr="00EB465B">
        <w:rPr>
          <w:i/>
          <w:iCs/>
          <w:color w:val="000000" w:themeColor="text1"/>
          <w:sz w:val="16"/>
          <w:szCs w:val="16"/>
          <w:lang w:val="es-ES"/>
        </w:rPr>
        <w:t xml:space="preserve">Cfr. </w:t>
      </w:r>
      <w:r w:rsidRPr="00EB465B">
        <w:rPr>
          <w:rFonts w:cs="Open Sans"/>
          <w:i/>
          <w:iCs/>
          <w:color w:val="000000" w:themeColor="text1"/>
          <w:sz w:val="16"/>
          <w:szCs w:val="16"/>
          <w:shd w:val="clear" w:color="auto" w:fill="FFFFFF"/>
        </w:rPr>
        <w:t>Caso Masacres de El Mozote y lugares aledaños Vs. El Salvador. Fondo, Reparaciones y Costas</w:t>
      </w:r>
      <w:r w:rsidRPr="00EB465B">
        <w:rPr>
          <w:rFonts w:cs="Open Sans"/>
          <w:color w:val="000000" w:themeColor="text1"/>
          <w:sz w:val="16"/>
          <w:szCs w:val="16"/>
          <w:shd w:val="clear" w:color="auto" w:fill="FFFFFF"/>
        </w:rPr>
        <w:t>. Sentencia de 25 de octubre de 2012. Serie C No. 252, punto resolutivo n.° 12 y párrs. 368 y 369.</w:t>
      </w:r>
    </w:p>
  </w:footnote>
  <w:footnote w:id="186">
    <w:p w14:paraId="05ABCB4F" w14:textId="77777777" w:rsidR="008A4BCD" w:rsidRPr="00EB465B" w:rsidRDefault="008A4BCD" w:rsidP="008A4BCD">
      <w:pPr>
        <w:pStyle w:val="Textonotapie"/>
        <w:spacing w:before="40" w:after="40"/>
        <w:rPr>
          <w:color w:val="000000" w:themeColor="text1"/>
          <w:sz w:val="16"/>
          <w:szCs w:val="16"/>
        </w:rPr>
      </w:pPr>
      <w:r w:rsidRPr="00EB465B">
        <w:rPr>
          <w:rStyle w:val="Refdenotaalpie"/>
          <w:color w:val="000000" w:themeColor="text1"/>
          <w:sz w:val="16"/>
          <w:szCs w:val="16"/>
        </w:rPr>
        <w:footnoteRef/>
      </w:r>
      <w:r w:rsidRPr="00EB465B">
        <w:rPr>
          <w:color w:val="000000" w:themeColor="text1"/>
          <w:sz w:val="16"/>
          <w:szCs w:val="16"/>
        </w:rPr>
        <w:t xml:space="preserve"> </w:t>
      </w:r>
      <w:r w:rsidRPr="00EB465B">
        <w:rPr>
          <w:color w:val="000000" w:themeColor="text1"/>
          <w:sz w:val="16"/>
          <w:szCs w:val="16"/>
        </w:rPr>
        <w:tab/>
      </w:r>
      <w:r w:rsidRPr="00EB465B">
        <w:rPr>
          <w:i/>
          <w:iCs/>
          <w:color w:val="000000" w:themeColor="text1"/>
          <w:sz w:val="16"/>
          <w:szCs w:val="16"/>
        </w:rPr>
        <w:t xml:space="preserve">Cfr. </w:t>
      </w:r>
      <w:r w:rsidRPr="00EB465B">
        <w:rPr>
          <w:rFonts w:cs="Open Sans"/>
          <w:i/>
          <w:iCs/>
          <w:color w:val="000000" w:themeColor="text1"/>
          <w:sz w:val="16"/>
          <w:szCs w:val="16"/>
          <w:shd w:val="clear" w:color="auto" w:fill="FFFFFF"/>
        </w:rPr>
        <w:t>Caso Rochac Hernández y otros Vs. El Salvador</w:t>
      </w:r>
      <w:r>
        <w:rPr>
          <w:rFonts w:cs="Open Sans"/>
          <w:i/>
          <w:iCs/>
          <w:color w:val="000000" w:themeColor="text1"/>
          <w:sz w:val="16"/>
          <w:szCs w:val="16"/>
          <w:shd w:val="clear" w:color="auto" w:fill="FFFFFF"/>
        </w:rPr>
        <w:t>, supra</w:t>
      </w:r>
      <w:r w:rsidRPr="00EB465B">
        <w:rPr>
          <w:rFonts w:cs="Open Sans"/>
          <w:color w:val="000000" w:themeColor="text1"/>
          <w:sz w:val="16"/>
          <w:szCs w:val="16"/>
          <w:shd w:val="clear" w:color="auto" w:fill="FFFFFF"/>
        </w:rPr>
        <w:t>, punto resolutivo n.° 15 y párr. 244.</w:t>
      </w:r>
    </w:p>
  </w:footnote>
  <w:footnote w:id="187">
    <w:p w14:paraId="2AA33732" w14:textId="77777777" w:rsidR="008A4BCD" w:rsidRPr="00EB465B" w:rsidRDefault="008A4BCD" w:rsidP="008A4BCD">
      <w:pPr>
        <w:pStyle w:val="Textonotapie"/>
        <w:spacing w:before="40" w:after="40"/>
        <w:rPr>
          <w:sz w:val="16"/>
          <w:szCs w:val="16"/>
        </w:rPr>
      </w:pPr>
      <w:r w:rsidRPr="00EB465B">
        <w:rPr>
          <w:rStyle w:val="Refdenotaalpie"/>
          <w:sz w:val="16"/>
          <w:szCs w:val="16"/>
        </w:rPr>
        <w:footnoteRef/>
      </w:r>
      <w:r w:rsidRPr="00EB465B">
        <w:rPr>
          <w:sz w:val="16"/>
          <w:szCs w:val="16"/>
        </w:rPr>
        <w:t xml:space="preserve"> </w:t>
      </w:r>
      <w:r w:rsidRPr="00EB465B">
        <w:rPr>
          <w:sz w:val="16"/>
          <w:szCs w:val="16"/>
        </w:rPr>
        <w:tab/>
      </w:r>
      <w:r w:rsidRPr="00EB465B">
        <w:rPr>
          <w:i/>
          <w:iCs/>
          <w:sz w:val="16"/>
          <w:szCs w:val="16"/>
        </w:rPr>
        <w:t>Cfr. Caso Ruano Torres y otros Vs. El Salvador. Fondo, Reparaciones y Costas</w:t>
      </w:r>
      <w:r w:rsidRPr="00EB465B">
        <w:rPr>
          <w:sz w:val="16"/>
          <w:szCs w:val="16"/>
        </w:rPr>
        <w:t>. Sentencia de 5 de octubre de 2015. Serie C No. 303, punto resolutivo n.° 17 y párrs. 229 a 231.</w:t>
      </w:r>
    </w:p>
  </w:footnote>
  <w:footnote w:id="188">
    <w:p w14:paraId="092145A5" w14:textId="1CB3FCAC" w:rsidR="002B0A25" w:rsidRPr="00815295" w:rsidRDefault="002B0A25" w:rsidP="00815295">
      <w:pPr>
        <w:pStyle w:val="Textonotapie"/>
        <w:spacing w:before="40" w:after="40"/>
        <w:rPr>
          <w:sz w:val="16"/>
          <w:szCs w:val="16"/>
          <w:lang w:val="es-ES"/>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lang w:val="es-ES"/>
        </w:rPr>
        <w:t>Cfr</w:t>
      </w:r>
      <w:r w:rsidRPr="00815295">
        <w:rPr>
          <w:sz w:val="16"/>
          <w:szCs w:val="16"/>
          <w:lang w:val="es-ES"/>
        </w:rPr>
        <w:t>. Informe de la Comisión de la Verdad para El Salvador, “De la locura a la esperanza: la guerra de 12 años en El Salvador”, de 15 de marzo de 1993, pág. 41. Disponible en:</w:t>
      </w:r>
      <w:r w:rsidRPr="00815295">
        <w:rPr>
          <w:sz w:val="16"/>
          <w:szCs w:val="16"/>
        </w:rPr>
        <w:t xml:space="preserve"> </w:t>
      </w:r>
      <w:hyperlink r:id="rId9" w:anchor="record-files-collapse-header" w:history="1">
        <w:r w:rsidRPr="00815295">
          <w:rPr>
            <w:rStyle w:val="Hipervnculo"/>
            <w:sz w:val="16"/>
            <w:szCs w:val="16"/>
            <w:lang w:val="es-ES"/>
          </w:rPr>
          <w:t>https://digitallibrary.un.org/record/183599?ln=es#record-files-collapse-header</w:t>
        </w:r>
      </w:hyperlink>
      <w:r w:rsidR="00D01136" w:rsidRPr="00815295">
        <w:rPr>
          <w:rStyle w:val="Hipervnculo"/>
          <w:sz w:val="16"/>
          <w:szCs w:val="16"/>
          <w:lang w:val="es-ES"/>
        </w:rPr>
        <w:t xml:space="preserve"> </w:t>
      </w:r>
    </w:p>
  </w:footnote>
  <w:footnote w:id="189">
    <w:p w14:paraId="156343B0" w14:textId="77777777" w:rsidR="008A4BCD" w:rsidRPr="00EB465B" w:rsidRDefault="008A4BCD" w:rsidP="008A4BCD">
      <w:pPr>
        <w:pStyle w:val="Textonotapie"/>
        <w:spacing w:before="40" w:after="40"/>
        <w:rPr>
          <w:sz w:val="16"/>
          <w:szCs w:val="16"/>
        </w:rPr>
      </w:pPr>
      <w:r w:rsidRPr="00EB465B">
        <w:rPr>
          <w:rStyle w:val="Refdenotaalpie"/>
          <w:sz w:val="16"/>
          <w:szCs w:val="16"/>
        </w:rPr>
        <w:footnoteRef/>
      </w:r>
      <w:r w:rsidRPr="00EB465B">
        <w:rPr>
          <w:sz w:val="16"/>
          <w:szCs w:val="16"/>
        </w:rPr>
        <w:t xml:space="preserve"> </w:t>
      </w:r>
      <w:r w:rsidRPr="00EB465B">
        <w:rPr>
          <w:sz w:val="16"/>
          <w:szCs w:val="16"/>
          <w:lang w:val="es-ES"/>
        </w:rPr>
        <w:tab/>
      </w:r>
      <w:r w:rsidRPr="00EB465B">
        <w:rPr>
          <w:i/>
          <w:iCs/>
          <w:sz w:val="16"/>
          <w:szCs w:val="16"/>
        </w:rPr>
        <w:t>Cfr. Caso de las Hermanas Serrano Cruz Vs, supra</w:t>
      </w:r>
      <w:r w:rsidRPr="00EB465B">
        <w:rPr>
          <w:sz w:val="16"/>
          <w:szCs w:val="16"/>
        </w:rPr>
        <w:t xml:space="preserve">, punto resolutivo n.° 7 y párrafos 183 a 193. En concreto, el punto resolutivo n.° 7 </w:t>
      </w:r>
      <w:r>
        <w:rPr>
          <w:sz w:val="16"/>
          <w:szCs w:val="16"/>
        </w:rPr>
        <w:t>estableció</w:t>
      </w:r>
      <w:r w:rsidRPr="00EB465B">
        <w:rPr>
          <w:sz w:val="16"/>
          <w:szCs w:val="16"/>
        </w:rPr>
        <w:t xml:space="preserve"> lo siguiente: </w:t>
      </w:r>
    </w:p>
    <w:p w14:paraId="1C286A0B" w14:textId="77777777" w:rsidR="008A4BCD" w:rsidRPr="00EB465B" w:rsidRDefault="008A4BCD" w:rsidP="008A4BCD">
      <w:pPr>
        <w:pStyle w:val="Textonotapie"/>
        <w:spacing w:before="40" w:after="40"/>
        <w:ind w:left="567" w:right="758"/>
        <w:rPr>
          <w:sz w:val="16"/>
          <w:szCs w:val="16"/>
          <w:lang w:val="es-ES"/>
        </w:rPr>
      </w:pPr>
      <w:r w:rsidRPr="00EB465B">
        <w:rPr>
          <w:sz w:val="16"/>
          <w:szCs w:val="16"/>
          <w:lang w:val="es-ES"/>
        </w:rPr>
        <w:t>El Estado debe adoptar las siguientes medidas en aras de determinar el paradero de Ernestina y Erlinda Serrano Cruz: funcionamiento de una comisión nacional de búsqueda de jóvenes que desaparecieron cuando eran niños durante el conflicto armado y participación de la sociedad civil; creación de una página web de búsqueda; y creación de un sistema de información genética, en los términos de los párrafos 183 a 193 de la presente Sentencia.</w:t>
      </w:r>
    </w:p>
  </w:footnote>
  <w:footnote w:id="190">
    <w:p w14:paraId="5578D6D3" w14:textId="77777777" w:rsidR="008A4BCD" w:rsidRPr="00EB465B" w:rsidRDefault="008A4BCD" w:rsidP="008A4BCD">
      <w:pPr>
        <w:pStyle w:val="Textonotapie"/>
        <w:spacing w:before="40" w:after="40"/>
        <w:rPr>
          <w:sz w:val="16"/>
          <w:szCs w:val="16"/>
        </w:rPr>
      </w:pPr>
      <w:r w:rsidRPr="00EB465B">
        <w:rPr>
          <w:rStyle w:val="Refdenotaalpie"/>
          <w:sz w:val="16"/>
          <w:szCs w:val="16"/>
        </w:rPr>
        <w:footnoteRef/>
      </w:r>
      <w:r w:rsidRPr="00EB465B">
        <w:rPr>
          <w:sz w:val="16"/>
          <w:szCs w:val="16"/>
        </w:rPr>
        <w:t xml:space="preserve"> </w:t>
      </w:r>
      <w:r w:rsidRPr="00EB465B">
        <w:rPr>
          <w:sz w:val="16"/>
          <w:szCs w:val="16"/>
        </w:rPr>
        <w:tab/>
      </w:r>
      <w:r w:rsidRPr="00EB465B">
        <w:rPr>
          <w:i/>
          <w:iCs/>
          <w:sz w:val="16"/>
          <w:szCs w:val="16"/>
        </w:rPr>
        <w:t>Cfr</w:t>
      </w:r>
      <w:r w:rsidRPr="00EB465B">
        <w:rPr>
          <w:sz w:val="16"/>
          <w:szCs w:val="16"/>
        </w:rPr>
        <w:t>. Declaración de Elsy Lourdes Flores Sosa rendida en la audiencia pública celebrada el día 22 de noviembre de 2023 en el marco del 163º Período Ordinario de Sesiones.</w:t>
      </w:r>
    </w:p>
  </w:footnote>
  <w:footnote w:id="191">
    <w:p w14:paraId="3003CBF2" w14:textId="77777777" w:rsidR="008A4BCD" w:rsidRPr="00525E87" w:rsidRDefault="008A4BCD" w:rsidP="008A4BCD">
      <w:pPr>
        <w:pStyle w:val="Textonotapie"/>
      </w:pPr>
      <w:r>
        <w:rPr>
          <w:rStyle w:val="Refdenotaalpie"/>
        </w:rPr>
        <w:footnoteRef/>
      </w:r>
      <w:r>
        <w:t xml:space="preserve"> </w:t>
      </w:r>
      <w:r>
        <w:tab/>
      </w:r>
      <w:r w:rsidRPr="00EB465B">
        <w:rPr>
          <w:i/>
          <w:iCs/>
          <w:sz w:val="16"/>
          <w:szCs w:val="16"/>
        </w:rPr>
        <w:t>Cfr</w:t>
      </w:r>
      <w:r w:rsidRPr="00EB465B">
        <w:rPr>
          <w:sz w:val="16"/>
          <w:szCs w:val="16"/>
        </w:rPr>
        <w:t>. Declaración de Elsy Lourdes Flores Sosa rendida en la audiencia pública celebrada el día 22 de noviembre de 2023 en el marco del 163º Período Ordinario de Sesiones.</w:t>
      </w:r>
    </w:p>
  </w:footnote>
  <w:footnote w:id="192">
    <w:p w14:paraId="228FF0F3" w14:textId="496F3ED4" w:rsidR="00235761" w:rsidRPr="00815295" w:rsidRDefault="00235761" w:rsidP="00815295">
      <w:pPr>
        <w:pStyle w:val="Textonotapie"/>
        <w:spacing w:before="40" w:after="40"/>
        <w:rPr>
          <w:sz w:val="16"/>
          <w:szCs w:val="16"/>
          <w:lang w:val="es-ES"/>
        </w:rPr>
      </w:pPr>
      <w:r w:rsidRPr="00815295">
        <w:rPr>
          <w:rStyle w:val="Refdenotaalpie"/>
          <w:sz w:val="16"/>
          <w:szCs w:val="16"/>
        </w:rPr>
        <w:footnoteRef/>
      </w:r>
      <w:r w:rsidR="00D01136" w:rsidRPr="00815295">
        <w:rPr>
          <w:sz w:val="16"/>
          <w:szCs w:val="16"/>
        </w:rPr>
        <w:t xml:space="preserve"> </w:t>
      </w:r>
      <w:r w:rsidR="005960CC">
        <w:rPr>
          <w:sz w:val="16"/>
          <w:szCs w:val="16"/>
        </w:rPr>
        <w:tab/>
      </w:r>
      <w:r w:rsidR="005960CC" w:rsidRPr="00EB465B">
        <w:rPr>
          <w:sz w:val="16"/>
          <w:szCs w:val="16"/>
        </w:rPr>
        <w:t>Dichas medidas fueron: (i)</w:t>
      </w:r>
      <w:r w:rsidR="005960CC">
        <w:rPr>
          <w:sz w:val="16"/>
          <w:szCs w:val="16"/>
        </w:rPr>
        <w:t xml:space="preserve"> el</w:t>
      </w:r>
      <w:r w:rsidR="005960CC" w:rsidRPr="00EB465B">
        <w:rPr>
          <w:sz w:val="16"/>
          <w:szCs w:val="16"/>
        </w:rPr>
        <w:t xml:space="preserve"> Funcionamiento de la Comisión Nacional de Búsqueda de Personas Adultas Desaparecidas en el contexto del Conflicto Armado Interno de El Salvador; (ii) </w:t>
      </w:r>
      <w:r w:rsidR="005960CC">
        <w:rPr>
          <w:sz w:val="16"/>
          <w:szCs w:val="16"/>
        </w:rPr>
        <w:t xml:space="preserve">la </w:t>
      </w:r>
      <w:r w:rsidR="005960CC" w:rsidRPr="00EB465B">
        <w:rPr>
          <w:sz w:val="16"/>
          <w:szCs w:val="16"/>
        </w:rPr>
        <w:t xml:space="preserve">Actualización del Plan Nacional de Búsqueda. Documento presentado en mayo de 2019, que actualmente se aplica a ambas comisiones y que está en proceso de revisión y actualización el cual plantea el marco normativo nacional e internacional que fundamenta el proceso de búsqueda y define además los fundamentos psicosociales que propicien una reparación integral a las víctimas; (iii) </w:t>
      </w:r>
      <w:r w:rsidR="005960CC">
        <w:rPr>
          <w:sz w:val="16"/>
          <w:szCs w:val="16"/>
        </w:rPr>
        <w:t xml:space="preserve">la </w:t>
      </w:r>
      <w:r w:rsidR="005960CC" w:rsidRPr="00EB465B">
        <w:rPr>
          <w:sz w:val="16"/>
          <w:szCs w:val="16"/>
        </w:rPr>
        <w:t xml:space="preserve">Creación del Registro Único de Niñez y Personas Adultas Desaparecidas (RENIPAD); (iv) </w:t>
      </w:r>
      <w:r w:rsidR="005960CC">
        <w:rPr>
          <w:sz w:val="16"/>
          <w:szCs w:val="16"/>
        </w:rPr>
        <w:t xml:space="preserve">la </w:t>
      </w:r>
      <w:r w:rsidR="005960CC" w:rsidRPr="00EB465B">
        <w:rPr>
          <w:sz w:val="16"/>
          <w:szCs w:val="16"/>
        </w:rPr>
        <w:t xml:space="preserve">Clasificación y digitalización de archivos históricos, por género y por tipo de casos de violaciones de derechos humanos, de los casos que son registrados por las Comisiones Nacionales de Búsqueda; (v) </w:t>
      </w:r>
      <w:r w:rsidR="005960CC">
        <w:rPr>
          <w:sz w:val="16"/>
          <w:szCs w:val="16"/>
        </w:rPr>
        <w:t xml:space="preserve">la </w:t>
      </w:r>
      <w:r w:rsidR="005960CC" w:rsidRPr="00EB465B">
        <w:rPr>
          <w:sz w:val="16"/>
          <w:szCs w:val="16"/>
        </w:rPr>
        <w:t xml:space="preserve">Adopción de un Protocolo de coordinación interinstitucional para la investigación de casos de desaparición forzada en El Salvador, que contribuya al fortalecimiento de capacidades institucionales para el desarrollo de investigaciones; (vi) Impulsar propuestas de reformas a la actual Ley del Banco Nacional de ADN en El Salvador, a fin de que esta herramienta sirva además a la investigación de casos de desaparición forzada en el contexto del conflicto armado interno; (vii) </w:t>
      </w:r>
      <w:r w:rsidR="005960CC">
        <w:rPr>
          <w:sz w:val="16"/>
          <w:szCs w:val="16"/>
        </w:rPr>
        <w:t xml:space="preserve">El </w:t>
      </w:r>
      <w:r w:rsidR="005960CC" w:rsidRPr="00EB465B">
        <w:rPr>
          <w:sz w:val="16"/>
          <w:szCs w:val="16"/>
        </w:rPr>
        <w:t>Seminario</w:t>
      </w:r>
      <w:r w:rsidR="005960CC">
        <w:rPr>
          <w:sz w:val="16"/>
          <w:szCs w:val="16"/>
        </w:rPr>
        <w:t>-</w:t>
      </w:r>
      <w:r w:rsidR="005960CC" w:rsidRPr="00EB465B">
        <w:rPr>
          <w:sz w:val="16"/>
          <w:szCs w:val="16"/>
        </w:rPr>
        <w:t xml:space="preserve">Taller “Análisis de la Jurisprudencia Constitucional e Interamericana en Materia de Desaparición Forzada y Justicia Transicional en El Salvador” el cual ya fue desarrollado en El Salvador del 28 al 30 de noviembre de 2023, luego de la audiencia pública del presente caso, en coordinación con la Corte Suprema de Justicia de El Salvador y Agencias Socias de Naciones Unidas. (viii) </w:t>
      </w:r>
      <w:r w:rsidR="005960CC">
        <w:rPr>
          <w:sz w:val="16"/>
          <w:szCs w:val="16"/>
        </w:rPr>
        <w:t xml:space="preserve">El </w:t>
      </w:r>
      <w:r w:rsidR="005960CC" w:rsidRPr="00EB465B">
        <w:rPr>
          <w:sz w:val="16"/>
          <w:szCs w:val="16"/>
        </w:rPr>
        <w:t>Seminario</w:t>
      </w:r>
      <w:r w:rsidR="005960CC">
        <w:rPr>
          <w:sz w:val="16"/>
          <w:szCs w:val="16"/>
        </w:rPr>
        <w:t>-</w:t>
      </w:r>
      <w:r w:rsidR="005960CC" w:rsidRPr="00EB465B">
        <w:rPr>
          <w:sz w:val="16"/>
          <w:szCs w:val="16"/>
        </w:rPr>
        <w:t>Taller sobre la Sentencia que emita la H. Corte en el presente caso, en el cual participen funcionarios del Ministerio Público y demás instituciones vinculadas a la investigación de casos de desapariciones forzadas en el contexto del conflicto armado interno, con el fin de analizar los estándares y las implicaciones de la Sentencia; e (ix) Impulsar acciones orientadas a atender las necesidades de reparación y memoria de las mujeres víctimas del conflicto armado, entre estas: a.</w:t>
      </w:r>
      <w:r w:rsidR="005960CC" w:rsidRPr="00EB465B">
        <w:rPr>
          <w:sz w:val="16"/>
          <w:szCs w:val="16"/>
        </w:rPr>
        <w:tab/>
        <w:t xml:space="preserve"> Desarrollar un intercambio de experiencias entre mujeres víctimas para la promoción de la justicia transicional; b. Asistencia técnica y fortalecimiento de capacidades de organizaciones que articulan su quehacer con las Comisiones Nacionales de Búsqueda, a través de 3 talleres sobre el fenómeno de la desaparición forzada, a impartirse durante 2024-2025; c. Elaboración de una exposición itinerante con el apoyo técnico del Ministerio de Cultura para la promoción de la memoria histórica de las mujeres y garantías de no repetición en los procesos de justicia transicional; d.</w:t>
      </w:r>
      <w:r w:rsidR="005960CC" w:rsidRPr="00EB465B">
        <w:rPr>
          <w:sz w:val="16"/>
          <w:szCs w:val="16"/>
        </w:rPr>
        <w:tab/>
        <w:t xml:space="preserve">Publicación en la revista Re-Cordis, de un artículo sobre el presente caso. Esta revista es publicada por las Comisiones Nacionales de Búsqueda. </w:t>
      </w:r>
      <w:r w:rsidR="005960CC" w:rsidRPr="00EB465B">
        <w:rPr>
          <w:i/>
          <w:iCs/>
          <w:sz w:val="16"/>
          <w:szCs w:val="16"/>
        </w:rPr>
        <w:t>Cfr</w:t>
      </w:r>
      <w:r w:rsidR="005960CC" w:rsidRPr="00EB465B">
        <w:rPr>
          <w:sz w:val="16"/>
          <w:szCs w:val="16"/>
        </w:rPr>
        <w:t>. Alegatos Finales del Estado</w:t>
      </w:r>
      <w:r w:rsidR="005960CC">
        <w:rPr>
          <w:sz w:val="16"/>
          <w:szCs w:val="16"/>
        </w:rPr>
        <w:t>, de 8 de enero de 2024</w:t>
      </w:r>
      <w:r w:rsidR="00ED1B1A">
        <w:rPr>
          <w:sz w:val="16"/>
          <w:szCs w:val="16"/>
        </w:rPr>
        <w:t xml:space="preserve"> </w:t>
      </w:r>
      <w:r w:rsidR="005960CC">
        <w:rPr>
          <w:sz w:val="16"/>
          <w:szCs w:val="16"/>
        </w:rPr>
        <w:t>(</w:t>
      </w:r>
      <w:r w:rsidR="005960CC" w:rsidRPr="00EB465B">
        <w:rPr>
          <w:sz w:val="16"/>
          <w:szCs w:val="16"/>
        </w:rPr>
        <w:t>expediente de fondo, folios 407 y 408</w:t>
      </w:r>
      <w:r w:rsidR="005960CC">
        <w:rPr>
          <w:sz w:val="16"/>
          <w:szCs w:val="16"/>
        </w:rPr>
        <w:t>)</w:t>
      </w:r>
      <w:r w:rsidR="005960CC" w:rsidRPr="00EB465B">
        <w:rPr>
          <w:sz w:val="16"/>
          <w:szCs w:val="16"/>
        </w:rPr>
        <w:t>.</w:t>
      </w:r>
    </w:p>
  </w:footnote>
  <w:footnote w:id="193">
    <w:p w14:paraId="0EB58825" w14:textId="0F4C601E" w:rsidR="00644347" w:rsidRPr="00815295" w:rsidRDefault="00644347" w:rsidP="00815295">
      <w:pPr>
        <w:pStyle w:val="Textonotapie"/>
        <w:spacing w:before="40" w:after="40"/>
        <w:rPr>
          <w:sz w:val="16"/>
          <w:szCs w:val="16"/>
          <w:lang w:val="es-ES"/>
        </w:rPr>
      </w:pPr>
      <w:r w:rsidRPr="00815295">
        <w:rPr>
          <w:rStyle w:val="Refdenotaalpie"/>
          <w:sz w:val="16"/>
          <w:szCs w:val="16"/>
        </w:rPr>
        <w:footnoteRef/>
      </w:r>
      <w:r w:rsidRPr="00815295">
        <w:rPr>
          <w:sz w:val="16"/>
          <w:szCs w:val="16"/>
        </w:rPr>
        <w:t xml:space="preserve"> </w:t>
      </w:r>
      <w:r w:rsidR="00C057DD" w:rsidRPr="00815295">
        <w:rPr>
          <w:sz w:val="16"/>
          <w:szCs w:val="16"/>
        </w:rPr>
        <w:tab/>
      </w:r>
      <w:r w:rsidR="00C057DD" w:rsidRPr="00815295">
        <w:rPr>
          <w:i/>
          <w:iCs/>
          <w:sz w:val="16"/>
          <w:szCs w:val="16"/>
        </w:rPr>
        <w:t>Cfr</w:t>
      </w:r>
      <w:r w:rsidR="00C057DD" w:rsidRPr="00815295">
        <w:rPr>
          <w:sz w:val="16"/>
          <w:szCs w:val="16"/>
        </w:rPr>
        <w:t xml:space="preserve">. </w:t>
      </w:r>
      <w:r w:rsidR="00C057DD" w:rsidRPr="00815295">
        <w:rPr>
          <w:i/>
          <w:iCs/>
          <w:sz w:val="16"/>
          <w:szCs w:val="16"/>
        </w:rPr>
        <w:t>Caso Bámaca Velásquez Vs. Guatemala. Reparaciones y Costas.</w:t>
      </w:r>
      <w:r w:rsidR="00C057DD" w:rsidRPr="00815295">
        <w:rPr>
          <w:sz w:val="16"/>
          <w:szCs w:val="16"/>
        </w:rPr>
        <w:t xml:space="preserve"> Sentencia de 22 de febrero de 2002. Serie C No. 91, párr. 43, y </w:t>
      </w:r>
      <w:r w:rsidR="00C057DD" w:rsidRPr="00815295">
        <w:rPr>
          <w:i/>
          <w:iCs/>
          <w:sz w:val="16"/>
          <w:szCs w:val="16"/>
        </w:rPr>
        <w:t>Caso Rodríguez Pacheco y otra Vs. Venezuela, supra,</w:t>
      </w:r>
      <w:r w:rsidR="00C057DD" w:rsidRPr="00815295">
        <w:rPr>
          <w:sz w:val="16"/>
          <w:szCs w:val="16"/>
        </w:rPr>
        <w:t xml:space="preserve"> párr. 180.</w:t>
      </w:r>
    </w:p>
  </w:footnote>
  <w:footnote w:id="194">
    <w:p w14:paraId="7A762CCB" w14:textId="53D39022" w:rsidR="00644347" w:rsidRPr="00815295" w:rsidRDefault="00644347"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00C057DD" w:rsidRPr="00815295">
        <w:rPr>
          <w:sz w:val="16"/>
          <w:szCs w:val="16"/>
        </w:rPr>
        <w:tab/>
      </w:r>
      <w:r w:rsidR="00C057DD" w:rsidRPr="00815295">
        <w:rPr>
          <w:i/>
          <w:iCs/>
          <w:sz w:val="16"/>
          <w:szCs w:val="16"/>
        </w:rPr>
        <w:t>Cfr</w:t>
      </w:r>
      <w:r w:rsidR="00C057DD" w:rsidRPr="00815295">
        <w:rPr>
          <w:sz w:val="16"/>
          <w:szCs w:val="16"/>
        </w:rPr>
        <w:t xml:space="preserve">. </w:t>
      </w:r>
      <w:r w:rsidR="00C057DD" w:rsidRPr="00815295">
        <w:rPr>
          <w:i/>
          <w:iCs/>
          <w:sz w:val="16"/>
          <w:szCs w:val="16"/>
        </w:rPr>
        <w:t>Caso Bámaca Velásquez Vs. Guatemala</w:t>
      </w:r>
      <w:r w:rsidR="00376057" w:rsidRPr="00815295">
        <w:rPr>
          <w:i/>
          <w:iCs/>
          <w:sz w:val="16"/>
          <w:szCs w:val="16"/>
        </w:rPr>
        <w:t>, supra</w:t>
      </w:r>
      <w:r w:rsidR="00C057DD" w:rsidRPr="00815295">
        <w:rPr>
          <w:sz w:val="16"/>
          <w:szCs w:val="16"/>
        </w:rPr>
        <w:t xml:space="preserve">, párr. 43, y </w:t>
      </w:r>
      <w:r w:rsidR="00C057DD" w:rsidRPr="00815295">
        <w:rPr>
          <w:i/>
          <w:iCs/>
          <w:sz w:val="16"/>
          <w:szCs w:val="16"/>
        </w:rPr>
        <w:t>Caso Rodríguez Pacheco y otra Vs. Venezuela, supra,</w:t>
      </w:r>
      <w:r w:rsidR="00C057DD" w:rsidRPr="00815295">
        <w:rPr>
          <w:sz w:val="16"/>
          <w:szCs w:val="16"/>
        </w:rPr>
        <w:t xml:space="preserve"> párr. 180.</w:t>
      </w:r>
    </w:p>
  </w:footnote>
  <w:footnote w:id="195">
    <w:p w14:paraId="757D3933" w14:textId="5BF5DCEB" w:rsidR="005B08CF" w:rsidRPr="00815295" w:rsidRDefault="005B08CF"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Pr="00815295">
        <w:rPr>
          <w:i/>
          <w:iCs/>
          <w:sz w:val="16"/>
          <w:szCs w:val="16"/>
        </w:rPr>
        <w:t>Cfr</w:t>
      </w:r>
      <w:r w:rsidRPr="00815295">
        <w:rPr>
          <w:sz w:val="16"/>
          <w:szCs w:val="16"/>
        </w:rPr>
        <w:t xml:space="preserve">. </w:t>
      </w:r>
      <w:r w:rsidRPr="00815295">
        <w:rPr>
          <w:i/>
          <w:iCs/>
          <w:sz w:val="16"/>
          <w:szCs w:val="16"/>
        </w:rPr>
        <w:t>Caso de la "Panel Blanca" (Paniagua Morales y otros) Vs. Guatemala. Reparaciones y Costas.</w:t>
      </w:r>
      <w:r w:rsidRPr="00815295">
        <w:rPr>
          <w:sz w:val="16"/>
          <w:szCs w:val="16"/>
        </w:rPr>
        <w:t xml:space="preserve"> Sentencia de 25 de mayo de 2001. Serie C No. 76, párr. 79, y </w:t>
      </w:r>
      <w:r w:rsidRPr="00815295">
        <w:rPr>
          <w:i/>
          <w:iCs/>
          <w:sz w:val="16"/>
          <w:szCs w:val="16"/>
        </w:rPr>
        <w:t>Caso Meza Vs. Ecuador</w:t>
      </w:r>
      <w:r w:rsidR="00376057" w:rsidRPr="00815295">
        <w:rPr>
          <w:i/>
          <w:iCs/>
          <w:sz w:val="16"/>
          <w:szCs w:val="16"/>
        </w:rPr>
        <w:t>, supra</w:t>
      </w:r>
      <w:r w:rsidRPr="00815295">
        <w:rPr>
          <w:sz w:val="16"/>
          <w:szCs w:val="16"/>
        </w:rPr>
        <w:t xml:space="preserve">, párr. 77. </w:t>
      </w:r>
    </w:p>
  </w:footnote>
  <w:footnote w:id="196">
    <w:p w14:paraId="2C9955D4" w14:textId="4524A391" w:rsidR="00C057DD" w:rsidRPr="00815295" w:rsidRDefault="00C057DD" w:rsidP="00815295">
      <w:pPr>
        <w:pStyle w:val="Textonotapie"/>
        <w:spacing w:before="40" w:after="40"/>
        <w:rPr>
          <w:sz w:val="16"/>
          <w:szCs w:val="16"/>
        </w:rPr>
      </w:pPr>
      <w:r w:rsidRPr="00815295">
        <w:rPr>
          <w:rStyle w:val="Refdenotaalpie"/>
          <w:sz w:val="16"/>
          <w:szCs w:val="16"/>
        </w:rPr>
        <w:footnoteRef/>
      </w:r>
      <w:r w:rsidRPr="00815295">
        <w:rPr>
          <w:sz w:val="16"/>
          <w:szCs w:val="16"/>
        </w:rPr>
        <w:t xml:space="preserve"> </w:t>
      </w:r>
      <w:r w:rsidRPr="00815295">
        <w:rPr>
          <w:sz w:val="16"/>
          <w:szCs w:val="16"/>
        </w:rPr>
        <w:tab/>
      </w:r>
      <w:r w:rsidR="005960CC" w:rsidRPr="00EB465B">
        <w:rPr>
          <w:i/>
          <w:iCs/>
          <w:sz w:val="16"/>
          <w:szCs w:val="16"/>
        </w:rPr>
        <w:t>Cfr</w:t>
      </w:r>
      <w:r w:rsidR="005960CC" w:rsidRPr="00EB465B">
        <w:rPr>
          <w:sz w:val="16"/>
          <w:szCs w:val="16"/>
        </w:rPr>
        <w:t xml:space="preserve">. </w:t>
      </w:r>
      <w:r w:rsidR="005960CC" w:rsidRPr="00EB465B">
        <w:rPr>
          <w:i/>
          <w:iCs/>
          <w:sz w:val="16"/>
          <w:szCs w:val="16"/>
        </w:rPr>
        <w:t>Caso de los “Niños de la Calle” (Villagrán Morales y otros) Vs. Guatemala, supra</w:t>
      </w:r>
      <w:r w:rsidR="005960CC" w:rsidRPr="00EB465B">
        <w:rPr>
          <w:sz w:val="16"/>
          <w:szCs w:val="16"/>
        </w:rPr>
        <w:t xml:space="preserve">, párr. 84, y </w:t>
      </w:r>
      <w:r w:rsidR="005960CC" w:rsidRPr="001C28FE">
        <w:rPr>
          <w:i/>
          <w:iCs/>
          <w:sz w:val="16"/>
          <w:szCs w:val="16"/>
        </w:rPr>
        <w:t xml:space="preserve">Caso Habitantes de La Oroya Vs. Perú. Excepciones Preliminares, Fondo, Reparaciones y Costas. </w:t>
      </w:r>
      <w:r w:rsidR="005960CC" w:rsidRPr="00E85844">
        <w:rPr>
          <w:sz w:val="16"/>
          <w:szCs w:val="16"/>
        </w:rPr>
        <w:t>Sentencia de 27 de noviembre de 2023. Serie C No. 511</w:t>
      </w:r>
      <w:r w:rsidR="005960CC">
        <w:rPr>
          <w:sz w:val="16"/>
          <w:szCs w:val="16"/>
        </w:rPr>
        <w:t>,</w:t>
      </w:r>
      <w:r w:rsidR="005960CC" w:rsidRPr="00EB465B">
        <w:rPr>
          <w:sz w:val="16"/>
          <w:szCs w:val="16"/>
        </w:rPr>
        <w:t xml:space="preserve">párr. </w:t>
      </w:r>
      <w:r w:rsidR="005960CC">
        <w:rPr>
          <w:sz w:val="16"/>
          <w:szCs w:val="16"/>
        </w:rPr>
        <w:t>373</w:t>
      </w:r>
      <w:r w:rsidR="005960CC" w:rsidRPr="00EB465B">
        <w:rPr>
          <w:sz w:val="16"/>
          <w:szCs w:val="16"/>
        </w:rPr>
        <w:t>.</w:t>
      </w:r>
    </w:p>
  </w:footnote>
  <w:footnote w:id="197">
    <w:p w14:paraId="51E69A86" w14:textId="734C5E57" w:rsidR="0032598B" w:rsidRPr="00815295" w:rsidRDefault="0032598B" w:rsidP="00815295">
      <w:pPr>
        <w:pStyle w:val="Textonotapie"/>
        <w:spacing w:before="40" w:after="40"/>
        <w:rPr>
          <w:sz w:val="16"/>
          <w:szCs w:val="16"/>
          <w:lang w:val="es-ES"/>
        </w:rPr>
      </w:pPr>
      <w:r w:rsidRPr="00815295">
        <w:rPr>
          <w:rStyle w:val="Refdenotaalpie"/>
          <w:sz w:val="16"/>
          <w:szCs w:val="16"/>
        </w:rPr>
        <w:footnoteRef/>
      </w:r>
      <w:r w:rsidRPr="00815295">
        <w:rPr>
          <w:sz w:val="16"/>
          <w:szCs w:val="16"/>
        </w:rPr>
        <w:t xml:space="preserve"> </w:t>
      </w:r>
      <w:r w:rsidR="00A34F55" w:rsidRPr="00815295">
        <w:rPr>
          <w:sz w:val="16"/>
          <w:szCs w:val="16"/>
        </w:rPr>
        <w:tab/>
      </w:r>
      <w:r w:rsidR="00A34F55" w:rsidRPr="00815295">
        <w:rPr>
          <w:i/>
          <w:iCs/>
          <w:sz w:val="16"/>
          <w:szCs w:val="16"/>
        </w:rPr>
        <w:t>Cfr</w:t>
      </w:r>
      <w:r w:rsidR="00A34F55" w:rsidRPr="00815295">
        <w:rPr>
          <w:sz w:val="16"/>
          <w:szCs w:val="16"/>
        </w:rPr>
        <w:t xml:space="preserve">. </w:t>
      </w:r>
      <w:r w:rsidR="00A34F55" w:rsidRPr="00815295">
        <w:rPr>
          <w:i/>
          <w:iCs/>
          <w:sz w:val="16"/>
          <w:szCs w:val="16"/>
        </w:rPr>
        <w:t>Caso Garrido y Baigorria Vs. Argentina. Reparaciones y Costas.</w:t>
      </w:r>
      <w:r w:rsidR="00A34F55" w:rsidRPr="00815295">
        <w:rPr>
          <w:sz w:val="16"/>
          <w:szCs w:val="16"/>
        </w:rPr>
        <w:t xml:space="preserve"> Sentencia de 27 de agosto de 1998. Serie C No. 39, párr. 82, y </w:t>
      </w:r>
      <w:r w:rsidR="00A34F55" w:rsidRPr="00815295">
        <w:rPr>
          <w:i/>
          <w:iCs/>
          <w:sz w:val="16"/>
          <w:szCs w:val="16"/>
        </w:rPr>
        <w:t xml:space="preserve">Caso Rodríguez Pacheco y otra Vs. Venezuela, supra, </w:t>
      </w:r>
      <w:r w:rsidR="00A34F55" w:rsidRPr="00815295">
        <w:rPr>
          <w:sz w:val="16"/>
          <w:szCs w:val="16"/>
        </w:rPr>
        <w:t xml:space="preserve">párr. 191. </w:t>
      </w:r>
    </w:p>
  </w:footnote>
  <w:footnote w:id="198">
    <w:p w14:paraId="56101D7F" w14:textId="77777777" w:rsidR="005960CC" w:rsidRPr="00EB465B" w:rsidRDefault="005960CC" w:rsidP="005960CC">
      <w:pPr>
        <w:pStyle w:val="Textonotapie"/>
        <w:spacing w:before="40" w:after="40"/>
        <w:rPr>
          <w:sz w:val="16"/>
          <w:szCs w:val="16"/>
          <w:lang w:val="es-ES"/>
        </w:rPr>
      </w:pPr>
      <w:r w:rsidRPr="00EB465B">
        <w:rPr>
          <w:rStyle w:val="Refdenotaalpie"/>
          <w:sz w:val="16"/>
          <w:szCs w:val="16"/>
        </w:rPr>
        <w:footnoteRef/>
      </w:r>
      <w:r w:rsidRPr="00EB465B">
        <w:rPr>
          <w:sz w:val="16"/>
          <w:szCs w:val="16"/>
        </w:rPr>
        <w:t xml:space="preserve"> </w:t>
      </w:r>
      <w:r w:rsidRPr="00EB465B">
        <w:rPr>
          <w:sz w:val="16"/>
          <w:szCs w:val="16"/>
        </w:rPr>
        <w:tab/>
      </w:r>
      <w:r w:rsidRPr="00EB465B">
        <w:rPr>
          <w:i/>
          <w:iCs/>
          <w:sz w:val="16"/>
          <w:szCs w:val="16"/>
        </w:rPr>
        <w:t>Cfr</w:t>
      </w:r>
      <w:r w:rsidRPr="00EB465B">
        <w:rPr>
          <w:sz w:val="16"/>
          <w:szCs w:val="16"/>
        </w:rPr>
        <w:t xml:space="preserve">. </w:t>
      </w:r>
      <w:r w:rsidRPr="00EB465B">
        <w:rPr>
          <w:i/>
          <w:iCs/>
          <w:sz w:val="16"/>
          <w:szCs w:val="16"/>
        </w:rPr>
        <w:t>Caso Garrido y Baigorria Vs. Argentina, Reparaciones y Costas, supra</w:t>
      </w:r>
      <w:r w:rsidRPr="00EB465B">
        <w:rPr>
          <w:sz w:val="16"/>
          <w:szCs w:val="16"/>
        </w:rPr>
        <w:t xml:space="preserve">, párr. 82, y </w:t>
      </w:r>
      <w:r w:rsidRPr="00F7034E">
        <w:rPr>
          <w:i/>
          <w:iCs/>
          <w:sz w:val="16"/>
          <w:szCs w:val="16"/>
        </w:rPr>
        <w:t>Caso Gutiérrez Navas y otros Vs. Honduras</w:t>
      </w:r>
      <w:r w:rsidRPr="00EB465B">
        <w:rPr>
          <w:i/>
          <w:iCs/>
          <w:sz w:val="16"/>
          <w:szCs w:val="16"/>
        </w:rPr>
        <w:t xml:space="preserve">, supra, </w:t>
      </w:r>
      <w:r w:rsidRPr="00EB465B">
        <w:rPr>
          <w:sz w:val="16"/>
          <w:szCs w:val="16"/>
        </w:rPr>
        <w:t xml:space="preserve">párr. </w:t>
      </w:r>
      <w:r>
        <w:rPr>
          <w:sz w:val="16"/>
          <w:szCs w:val="16"/>
        </w:rPr>
        <w:t>205</w:t>
      </w:r>
      <w:r w:rsidRPr="00EB465B">
        <w:rPr>
          <w:sz w:val="16"/>
          <w:szCs w:val="16"/>
        </w:rPr>
        <w:t>.</w:t>
      </w:r>
    </w:p>
  </w:footnote>
  <w:footnote w:id="199">
    <w:p w14:paraId="01573263" w14:textId="2353E9FC" w:rsidR="005960CC" w:rsidRPr="00EB465B" w:rsidRDefault="005960CC" w:rsidP="005960CC">
      <w:pPr>
        <w:pStyle w:val="Textonotapie"/>
        <w:spacing w:before="40" w:after="40"/>
        <w:rPr>
          <w:sz w:val="16"/>
          <w:szCs w:val="16"/>
          <w:lang w:val="es-ES"/>
        </w:rPr>
      </w:pPr>
      <w:r w:rsidRPr="00EB465B">
        <w:rPr>
          <w:rStyle w:val="Refdenotaalpie"/>
          <w:sz w:val="16"/>
          <w:szCs w:val="16"/>
        </w:rPr>
        <w:footnoteRef/>
      </w:r>
      <w:r w:rsidRPr="00EB465B">
        <w:rPr>
          <w:sz w:val="16"/>
          <w:szCs w:val="16"/>
        </w:rPr>
        <w:t xml:space="preserve"> </w:t>
      </w:r>
      <w:r w:rsidRPr="00EB465B">
        <w:rPr>
          <w:sz w:val="16"/>
          <w:szCs w:val="16"/>
          <w:lang w:val="es-ES"/>
        </w:rPr>
        <w:tab/>
      </w:r>
      <w:r w:rsidRPr="00EB465B">
        <w:rPr>
          <w:i/>
          <w:iCs/>
          <w:sz w:val="16"/>
          <w:szCs w:val="16"/>
          <w:lang w:val="es-ES"/>
        </w:rPr>
        <w:t xml:space="preserve">Cfr. </w:t>
      </w:r>
      <w:r w:rsidRPr="00F7034E">
        <w:rPr>
          <w:i/>
          <w:iCs/>
          <w:sz w:val="16"/>
          <w:szCs w:val="16"/>
          <w:lang w:val="es-ES"/>
        </w:rPr>
        <w:t xml:space="preserve">Cfr. Caso Chaparro Álvarez y Lapo Íñiguez Vs. Ecuador. Excepciones Preliminares, Fondo, Reparaciones y Costas. </w:t>
      </w:r>
      <w:r w:rsidRPr="00E85844">
        <w:rPr>
          <w:sz w:val="16"/>
          <w:szCs w:val="16"/>
          <w:lang w:val="es-ES"/>
        </w:rPr>
        <w:t>Sentencia de 21 de noviembre de 2007. Serie C No. 170, párr. 277</w:t>
      </w:r>
      <w:r w:rsidRPr="00F7034E">
        <w:rPr>
          <w:i/>
          <w:iCs/>
          <w:sz w:val="16"/>
          <w:szCs w:val="16"/>
          <w:lang w:val="es-ES"/>
        </w:rPr>
        <w:t>,</w:t>
      </w:r>
      <w:r w:rsidR="00ED1B1A">
        <w:rPr>
          <w:i/>
          <w:iCs/>
          <w:sz w:val="16"/>
          <w:szCs w:val="16"/>
          <w:lang w:val="es-ES"/>
        </w:rPr>
        <w:t xml:space="preserve"> </w:t>
      </w:r>
      <w:r>
        <w:rPr>
          <w:sz w:val="16"/>
          <w:szCs w:val="16"/>
          <w:lang w:val="es-ES"/>
        </w:rPr>
        <w:t>y</w:t>
      </w:r>
      <w:r w:rsidRPr="00EB465B">
        <w:rPr>
          <w:sz w:val="16"/>
          <w:szCs w:val="16"/>
          <w:lang w:val="es-ES"/>
        </w:rPr>
        <w:t xml:space="preserve"> </w:t>
      </w:r>
      <w:r w:rsidRPr="00E85844">
        <w:rPr>
          <w:i/>
          <w:iCs/>
          <w:sz w:val="16"/>
          <w:szCs w:val="16"/>
        </w:rPr>
        <w:t>Caso Tavares Pereira y otros Vs. Brasil. Excepciones Preliminares, Fondo, Reparaciones y Costas.</w:t>
      </w:r>
      <w:r w:rsidRPr="00F7034E">
        <w:rPr>
          <w:sz w:val="16"/>
          <w:szCs w:val="16"/>
        </w:rPr>
        <w:t xml:space="preserve"> Sentencia de 16 de noviembre de 2023. Serie C No. 507</w:t>
      </w:r>
      <w:r>
        <w:rPr>
          <w:sz w:val="16"/>
          <w:szCs w:val="16"/>
        </w:rPr>
        <w:t>, párr. 236.</w:t>
      </w:r>
    </w:p>
  </w:footnote>
  <w:footnote w:id="200">
    <w:p w14:paraId="0934AE94" w14:textId="77777777" w:rsidR="005960CC" w:rsidRPr="00EB465B" w:rsidRDefault="005960CC" w:rsidP="005960CC">
      <w:pPr>
        <w:pStyle w:val="Textonotapie"/>
        <w:spacing w:before="40" w:after="40"/>
        <w:rPr>
          <w:sz w:val="16"/>
          <w:szCs w:val="16"/>
          <w:lang w:val="es-ES"/>
        </w:rPr>
      </w:pPr>
      <w:r w:rsidRPr="00EB465B">
        <w:rPr>
          <w:rStyle w:val="Refdenotaalpie"/>
          <w:sz w:val="16"/>
          <w:szCs w:val="16"/>
        </w:rPr>
        <w:footnoteRef/>
      </w:r>
      <w:r w:rsidRPr="00EB465B">
        <w:rPr>
          <w:sz w:val="16"/>
          <w:szCs w:val="16"/>
        </w:rPr>
        <w:t xml:space="preserve"> </w:t>
      </w:r>
      <w:r w:rsidRPr="00EB465B">
        <w:rPr>
          <w:sz w:val="16"/>
          <w:szCs w:val="16"/>
        </w:rPr>
        <w:tab/>
      </w:r>
      <w:r w:rsidRPr="00EB465B">
        <w:rPr>
          <w:i/>
          <w:iCs/>
          <w:sz w:val="16"/>
          <w:szCs w:val="16"/>
        </w:rPr>
        <w:t>Cfr. Caso Chaparro Álvarez y Lapo Íñiguez Vs. Ecuador</w:t>
      </w:r>
      <w:r>
        <w:rPr>
          <w:i/>
          <w:iCs/>
          <w:sz w:val="16"/>
          <w:szCs w:val="16"/>
        </w:rPr>
        <w:t>, supra</w:t>
      </w:r>
      <w:r w:rsidRPr="00EB465B">
        <w:rPr>
          <w:sz w:val="16"/>
          <w:szCs w:val="16"/>
        </w:rPr>
        <w:t>, párr. 277</w:t>
      </w:r>
      <w:r w:rsidRPr="00EB465B">
        <w:rPr>
          <w:sz w:val="16"/>
          <w:szCs w:val="16"/>
          <w:lang w:val="es-ES"/>
        </w:rPr>
        <w:t xml:space="preserve">, y </w:t>
      </w:r>
      <w:r w:rsidRPr="00D76FA1">
        <w:rPr>
          <w:i/>
          <w:iCs/>
          <w:sz w:val="16"/>
          <w:szCs w:val="16"/>
        </w:rPr>
        <w:t>Caso Tavares Pereira y otros Vs. Brasil</w:t>
      </w:r>
      <w:r w:rsidRPr="00EB465B">
        <w:rPr>
          <w:i/>
          <w:iCs/>
          <w:sz w:val="16"/>
          <w:szCs w:val="16"/>
        </w:rPr>
        <w:t xml:space="preserve">, supra, </w:t>
      </w:r>
      <w:r w:rsidRPr="00EB465B">
        <w:rPr>
          <w:sz w:val="16"/>
          <w:szCs w:val="16"/>
        </w:rPr>
        <w:t xml:space="preserve">párr. </w:t>
      </w:r>
      <w:r>
        <w:rPr>
          <w:sz w:val="16"/>
          <w:szCs w:val="16"/>
        </w:rPr>
        <w:t>236</w:t>
      </w:r>
      <w:r w:rsidRPr="00EB465B">
        <w:rPr>
          <w:sz w:val="16"/>
          <w:szCs w:val="16"/>
        </w:rPr>
        <w:t>.</w:t>
      </w:r>
    </w:p>
  </w:footnote>
  <w:footnote w:id="201">
    <w:p w14:paraId="55191A07" w14:textId="77777777" w:rsidR="00DD63BB" w:rsidRDefault="005960CC" w:rsidP="00082A56">
      <w:pPr>
        <w:spacing w:line="276" w:lineRule="auto"/>
      </w:pPr>
      <w:r w:rsidRPr="00EB465B">
        <w:rPr>
          <w:rStyle w:val="Refdenotaalpie"/>
          <w:sz w:val="16"/>
          <w:szCs w:val="16"/>
        </w:rPr>
        <w:footnoteRef/>
      </w:r>
      <w:r w:rsidRPr="00EB465B">
        <w:rPr>
          <w:sz w:val="16"/>
          <w:szCs w:val="16"/>
        </w:rPr>
        <w:t xml:space="preserve"> </w:t>
      </w:r>
      <w:r w:rsidRPr="00EB465B">
        <w:rPr>
          <w:sz w:val="16"/>
          <w:szCs w:val="16"/>
        </w:rPr>
        <w:tab/>
      </w:r>
      <w:r w:rsidRPr="00EB465B">
        <w:rPr>
          <w:i/>
          <w:iCs/>
          <w:sz w:val="16"/>
          <w:szCs w:val="16"/>
        </w:rPr>
        <w:t>Cfr</w:t>
      </w:r>
      <w:r w:rsidRPr="00EB465B">
        <w:rPr>
          <w:sz w:val="16"/>
          <w:szCs w:val="16"/>
        </w:rPr>
        <w:t xml:space="preserve">. </w:t>
      </w:r>
      <w:r w:rsidRPr="00EB465B">
        <w:rPr>
          <w:i/>
          <w:iCs/>
          <w:sz w:val="16"/>
          <w:szCs w:val="16"/>
        </w:rPr>
        <w:t>Caso Ibsen Cárdenas e Ibsen Peña Vs. Bolivia. Fondo, Reparaciones y Costas</w:t>
      </w:r>
      <w:r w:rsidRPr="00EB465B">
        <w:rPr>
          <w:sz w:val="16"/>
          <w:szCs w:val="16"/>
        </w:rPr>
        <w:t>. Sentencia de 1 de septiembre de 2010. Serie C No. 217, párr. 29</w:t>
      </w:r>
      <w:r>
        <w:rPr>
          <w:sz w:val="16"/>
          <w:szCs w:val="16"/>
        </w:rPr>
        <w:t>1</w:t>
      </w:r>
      <w:r w:rsidRPr="00EB465B">
        <w:rPr>
          <w:sz w:val="16"/>
          <w:szCs w:val="16"/>
        </w:rPr>
        <w:t xml:space="preserve">, y </w:t>
      </w:r>
      <w:r w:rsidRPr="00D3058E">
        <w:rPr>
          <w:i/>
          <w:iCs/>
          <w:sz w:val="16"/>
          <w:szCs w:val="16"/>
        </w:rPr>
        <w:t>Caso Rodríguez Pacheco y otra Vs. Venezuela</w:t>
      </w:r>
      <w:r>
        <w:rPr>
          <w:i/>
          <w:iCs/>
          <w:sz w:val="16"/>
          <w:szCs w:val="16"/>
        </w:rPr>
        <w:t>, supra</w:t>
      </w:r>
      <w:r w:rsidRPr="00EB465B">
        <w:rPr>
          <w:sz w:val="16"/>
          <w:szCs w:val="16"/>
        </w:rPr>
        <w:t xml:space="preserve">, párr. </w:t>
      </w:r>
      <w:r>
        <w:rPr>
          <w:sz w:val="16"/>
          <w:szCs w:val="16"/>
        </w:rPr>
        <w:t>196</w:t>
      </w:r>
      <w:r w:rsidRPr="00EB465B">
        <w:rPr>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85D3E9" w14:textId="3387A249" w:rsidR="00424188" w:rsidRDefault="00CA3886" w:rsidP="00AF2B9E">
    <w:pPr>
      <w:pStyle w:val="Encabezado"/>
      <w:ind w:left="720"/>
      <w:jc w:val="right"/>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78AB29" w14:textId="3AFD09B3" w:rsidR="00591B1D" w:rsidRDefault="00591B1D" w:rsidP="00591B1D">
    <w:pPr>
      <w:pStyle w:val="Encabezado"/>
    </w:pPr>
  </w:p>
  <w:p w14:paraId="529881B9" w14:textId="77777777" w:rsidR="00591B1D" w:rsidRDefault="00591B1D" w:rsidP="00591B1D">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37716"/>
    <w:multiLevelType w:val="hybridMultilevel"/>
    <w:tmpl w:val="89725F76"/>
    <w:lvl w:ilvl="0" w:tplc="A8AAF90C">
      <w:start w:val="1"/>
      <w:numFmt w:val="lowerRoman"/>
      <w:lvlText w:val="(%1)"/>
      <w:lvlJc w:val="left"/>
      <w:pPr>
        <w:ind w:left="1440" w:hanging="1080"/>
      </w:pPr>
      <w:rPr>
        <w:rFonts w:hint="default"/>
        <w:b w:val="0"/>
        <w:bCs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76C5F42"/>
    <w:multiLevelType w:val="hybridMultilevel"/>
    <w:tmpl w:val="0C2AEC58"/>
    <w:lvl w:ilvl="0" w:tplc="140A0017">
      <w:start w:val="1"/>
      <w:numFmt w:val="lowerLetter"/>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 w15:restartNumberingAfterBreak="0">
    <w:nsid w:val="0DC731E0"/>
    <w:multiLevelType w:val="hybridMultilevel"/>
    <w:tmpl w:val="0B68E4D2"/>
    <w:lvl w:ilvl="0" w:tplc="FFFFFFFF">
      <w:start w:val="1"/>
      <w:numFmt w:val="upperLetter"/>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 w15:restartNumberingAfterBreak="0">
    <w:nsid w:val="1A9B63AB"/>
    <w:multiLevelType w:val="hybridMultilevel"/>
    <w:tmpl w:val="C2188CDE"/>
    <w:lvl w:ilvl="0" w:tplc="866C5F06">
      <w:start w:val="1"/>
      <w:numFmt w:val="lowerRoman"/>
      <w:lvlText w:val="(%1)"/>
      <w:lvlJc w:val="left"/>
      <w:pPr>
        <w:ind w:left="1440" w:hanging="72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4" w15:restartNumberingAfterBreak="0">
    <w:nsid w:val="2C7C3FD1"/>
    <w:multiLevelType w:val="hybridMultilevel"/>
    <w:tmpl w:val="DE10C734"/>
    <w:lvl w:ilvl="0" w:tplc="D2CC6FF0">
      <w:start w:val="1"/>
      <w:numFmt w:val="low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2F4767F3"/>
    <w:multiLevelType w:val="hybridMultilevel"/>
    <w:tmpl w:val="C45809BC"/>
    <w:lvl w:ilvl="0" w:tplc="EE1A0456">
      <w:start w:val="1"/>
      <w:numFmt w:val="decimal"/>
      <w:pStyle w:val="Estilo5"/>
      <w:lvlText w:val="%1."/>
      <w:lvlJc w:val="left"/>
      <w:pPr>
        <w:ind w:left="450" w:hanging="360"/>
      </w:pPr>
      <w:rPr>
        <w:rFonts w:ascii="Verdana" w:hAnsi="Verdana" w:hint="default"/>
        <w:b w:val="0"/>
        <w:i w:val="0"/>
        <w:strike w:val="0"/>
        <w:color w:val="auto"/>
        <w:sz w:val="20"/>
        <w:szCs w:val="20"/>
        <w:lang w:val="es-MX"/>
      </w:rPr>
    </w:lvl>
    <w:lvl w:ilvl="1" w:tplc="3CA86E32">
      <w:start w:val="1"/>
      <w:numFmt w:val="lowerLetter"/>
      <w:lvlText w:val="%2)"/>
      <w:lvlJc w:val="left"/>
      <w:pPr>
        <w:ind w:left="1620" w:hanging="360"/>
      </w:pPr>
      <w:rPr>
        <w:rFonts w:ascii="Verdana" w:hAnsi="Verdana" w:cs="Times New Roman" w:hint="default"/>
        <w:b w:val="0"/>
        <w:i w:val="0"/>
        <w:caps w:val="0"/>
        <w:strike w:val="0"/>
        <w:dstrike w:val="0"/>
        <w:vanish w:val="0"/>
        <w:color w:val="auto"/>
        <w:sz w:val="20"/>
        <w:vertAlign w:val="baseline"/>
      </w:rPr>
    </w:lvl>
    <w:lvl w:ilvl="2" w:tplc="3F20288C">
      <w:start w:val="1"/>
      <w:numFmt w:val="lowerRoman"/>
      <w:lvlText w:val="%3."/>
      <w:lvlJc w:val="right"/>
      <w:pPr>
        <w:ind w:left="2160" w:hanging="180"/>
      </w:pPr>
      <w:rPr>
        <w:b w:val="0"/>
      </w:rPr>
    </w:lvl>
    <w:lvl w:ilvl="3" w:tplc="140A000F">
      <w:start w:val="1"/>
      <w:numFmt w:val="decimal"/>
      <w:lvlText w:val="%4."/>
      <w:lvlJc w:val="left"/>
      <w:pPr>
        <w:ind w:left="2880" w:hanging="360"/>
      </w:pPr>
    </w:lvl>
    <w:lvl w:ilvl="4" w:tplc="606ED164">
      <w:start w:val="1"/>
      <w:numFmt w:val="lowerLetter"/>
      <w:pStyle w:val="Estilo3"/>
      <w:lvlText w:val="%5)"/>
      <w:lvlJc w:val="left"/>
      <w:pPr>
        <w:ind w:left="3600" w:hanging="360"/>
      </w:pPr>
      <w:rPr>
        <w:rFonts w:hint="default"/>
        <w:b w:val="0"/>
        <w:i w:val="0"/>
      </w:rPr>
    </w:lvl>
    <w:lvl w:ilvl="5" w:tplc="726C26BC">
      <w:start w:val="1"/>
      <w:numFmt w:val="lowerRoman"/>
      <w:pStyle w:val="Estilo8"/>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388176B6"/>
    <w:multiLevelType w:val="hybridMultilevel"/>
    <w:tmpl w:val="13E22D1C"/>
    <w:lvl w:ilvl="0" w:tplc="2BE2C57E">
      <w:start w:val="1"/>
      <w:numFmt w:val="low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38C05B06"/>
    <w:multiLevelType w:val="hybridMultilevel"/>
    <w:tmpl w:val="E2D24F04"/>
    <w:lvl w:ilvl="0" w:tplc="F1BE891E">
      <w:start w:val="1"/>
      <w:numFmt w:val="decimal"/>
      <w:lvlText w:val="A.%1"/>
      <w:lvlJc w:val="left"/>
      <w:pPr>
        <w:ind w:left="1080" w:hanging="360"/>
      </w:pPr>
      <w:rPr>
        <w:rFonts w:hint="default"/>
        <w:b w:val="0"/>
        <w:i/>
      </w:rPr>
    </w:lvl>
    <w:lvl w:ilvl="1" w:tplc="D8E67496">
      <w:start w:val="1"/>
      <w:numFmt w:val="decimal"/>
      <w:pStyle w:val="Ttulo5"/>
      <w:lvlText w:val="A.1.%2."/>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tplc="D3C2673C">
      <w:start w:val="1"/>
      <w:numFmt w:val="upperLetter"/>
      <w:lvlText w:val="%3."/>
      <w:lvlJc w:val="left"/>
      <w:pPr>
        <w:ind w:left="1070" w:hanging="360"/>
      </w:pPr>
      <w:rPr>
        <w:rFont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8" w15:restartNumberingAfterBreak="0">
    <w:nsid w:val="3A8C5AAE"/>
    <w:multiLevelType w:val="hybridMultilevel"/>
    <w:tmpl w:val="C32E5DF8"/>
    <w:lvl w:ilvl="0" w:tplc="722EF180">
      <w:start w:val="1"/>
      <w:numFmt w:val="upperLetter"/>
      <w:pStyle w:val="Ttulo"/>
      <w:lvlText w:val="%1."/>
      <w:lvlJc w:val="left"/>
      <w:pPr>
        <w:ind w:left="720" w:hanging="360"/>
      </w:pPr>
      <w:rPr>
        <w:rFonts w:hint="default"/>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3F9B713D"/>
    <w:multiLevelType w:val="hybridMultilevel"/>
    <w:tmpl w:val="9704209E"/>
    <w:lvl w:ilvl="0" w:tplc="7E8E8A74">
      <w:start w:val="1"/>
      <w:numFmt w:val="decimal"/>
      <w:pStyle w:val="NormalNumbered"/>
      <w:lvlText w:val="%1."/>
      <w:lvlJc w:val="left"/>
      <w:pPr>
        <w:ind w:left="720" w:hanging="720"/>
      </w:pPr>
      <w:rPr>
        <w:rFonts w:ascii="Verdana" w:hAnsi="Verdana" w:hint="default"/>
        <w:b w:val="0"/>
        <w:i w:val="0"/>
        <w:strike w:val="0"/>
        <w:color w:val="auto"/>
        <w:sz w:val="20"/>
        <w:szCs w:val="20"/>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CFAC7540">
      <w:start w:val="1"/>
      <w:numFmt w:val="decimal"/>
      <w:lvlText w:val="%4."/>
      <w:lvlJc w:val="left"/>
      <w:pPr>
        <w:ind w:left="2520" w:hanging="360"/>
      </w:pPr>
      <w:rPr>
        <w:b/>
        <w:i/>
      </w:r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0" w15:restartNumberingAfterBreak="0">
    <w:nsid w:val="49AE6182"/>
    <w:multiLevelType w:val="hybridMultilevel"/>
    <w:tmpl w:val="C2188CDE"/>
    <w:lvl w:ilvl="0" w:tplc="FFFFFFFF">
      <w:start w:val="1"/>
      <w:numFmt w:val="low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4C5469CD"/>
    <w:multiLevelType w:val="hybridMultilevel"/>
    <w:tmpl w:val="D7FED382"/>
    <w:lvl w:ilvl="0" w:tplc="264CB88E">
      <w:start w:val="1"/>
      <w:numFmt w:val="decimal"/>
      <w:lvlText w:val="%1."/>
      <w:lvlJc w:val="left"/>
      <w:pPr>
        <w:ind w:left="720" w:hanging="360"/>
      </w:pPr>
      <w:rPr>
        <w:rFonts w:ascii="Verdana" w:eastAsia="Calibri" w:hAnsi="Verdana" w:cs="Times New Roman" w:hint="default"/>
        <w:b w:val="0"/>
        <w:i w:val="0"/>
        <w:strike w:val="0"/>
        <w:color w:val="auto"/>
        <w:sz w:val="20"/>
        <w:szCs w:val="20"/>
      </w:rPr>
    </w:lvl>
    <w:lvl w:ilvl="1" w:tplc="9B3E45F0">
      <w:start w:val="1"/>
      <w:numFmt w:val="lowerLetter"/>
      <w:pStyle w:val="Estilo4"/>
      <w:lvlText w:val="%2)"/>
      <w:lvlJc w:val="left"/>
      <w:pPr>
        <w:ind w:left="1440" w:hanging="360"/>
      </w:pPr>
      <w:rPr>
        <w:rFonts w:ascii="Verdana" w:hAnsi="Verdana" w:cs="Times New Roman" w:hint="default"/>
        <w:b w:val="0"/>
        <w:i/>
        <w:caps w:val="0"/>
        <w:strike w:val="0"/>
        <w:dstrike w:val="0"/>
        <w:vanish w:val="0"/>
        <w:color w:val="auto"/>
        <w:sz w:val="20"/>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B650B3"/>
    <w:multiLevelType w:val="hybridMultilevel"/>
    <w:tmpl w:val="19204FC4"/>
    <w:lvl w:ilvl="0" w:tplc="672C7C68">
      <w:start w:val="1"/>
      <w:numFmt w:val="lowerRoman"/>
      <w:lvlText w:val="(%1)"/>
      <w:lvlJc w:val="left"/>
      <w:pPr>
        <w:ind w:left="1080" w:hanging="720"/>
      </w:pPr>
      <w:rPr>
        <w:rFonts w:cs="Times New Roman"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5A4260D5"/>
    <w:multiLevelType w:val="hybridMultilevel"/>
    <w:tmpl w:val="1E94734A"/>
    <w:lvl w:ilvl="0" w:tplc="FFFFFFFF">
      <w:start w:val="1"/>
      <w:numFmt w:val="decimal"/>
      <w:lvlText w:val="%1."/>
      <w:lvlJc w:val="left"/>
      <w:pPr>
        <w:ind w:left="825" w:hanging="825"/>
      </w:pPr>
      <w:rPr>
        <w:rFonts w:ascii="Verdana" w:eastAsia="Verdana" w:hAnsi="Verdana" w:cs="Verdana" w:hint="default"/>
        <w:b w:val="0"/>
        <w:bCs/>
        <w:i w:val="0"/>
        <w:color w:val="auto"/>
        <w:sz w:val="20"/>
        <w:szCs w:val="20"/>
        <w:vertAlign w:val="baseline"/>
        <w:lang w:val="es-CR"/>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792F433C"/>
    <w:multiLevelType w:val="hybridMultilevel"/>
    <w:tmpl w:val="B0F4364E"/>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15:restartNumberingAfterBreak="0">
    <w:nsid w:val="79354707"/>
    <w:multiLevelType w:val="hybridMultilevel"/>
    <w:tmpl w:val="1E94734A"/>
    <w:lvl w:ilvl="0" w:tplc="383CE794">
      <w:start w:val="1"/>
      <w:numFmt w:val="decimal"/>
      <w:lvlText w:val="%1."/>
      <w:lvlJc w:val="left"/>
      <w:pPr>
        <w:ind w:left="1109" w:hanging="825"/>
      </w:pPr>
      <w:rPr>
        <w:rFonts w:ascii="Verdana" w:eastAsia="Verdana" w:hAnsi="Verdana" w:cs="Verdana" w:hint="default"/>
        <w:b w:val="0"/>
        <w:bCs/>
        <w:i w:val="0"/>
        <w:color w:val="auto"/>
        <w:sz w:val="20"/>
        <w:szCs w:val="20"/>
        <w:vertAlign w:val="baseline"/>
        <w:lang w:val="es-CR"/>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6" w15:restartNumberingAfterBreak="0">
    <w:nsid w:val="793D6767"/>
    <w:multiLevelType w:val="hybridMultilevel"/>
    <w:tmpl w:val="13C0FBC8"/>
    <w:lvl w:ilvl="0" w:tplc="C632F798">
      <w:start w:val="1"/>
      <w:numFmt w:val="upperLetter"/>
      <w:pStyle w:val="Ttulo2"/>
      <w:lvlText w:val="%1."/>
      <w:lvlJc w:val="left"/>
      <w:pPr>
        <w:ind w:left="1069" w:hanging="360"/>
      </w:pPr>
      <w:rPr>
        <w:rFonts w:hint="default"/>
      </w:rPr>
    </w:lvl>
    <w:lvl w:ilvl="1" w:tplc="140A0019" w:tentative="1">
      <w:start w:val="1"/>
      <w:numFmt w:val="lowerLetter"/>
      <w:lvlText w:val="%2."/>
      <w:lvlJc w:val="left"/>
      <w:pPr>
        <w:ind w:left="1789" w:hanging="360"/>
      </w:pPr>
    </w:lvl>
    <w:lvl w:ilvl="2" w:tplc="140A001B" w:tentative="1">
      <w:start w:val="1"/>
      <w:numFmt w:val="lowerRoman"/>
      <w:lvlText w:val="%3."/>
      <w:lvlJc w:val="right"/>
      <w:pPr>
        <w:ind w:left="2509" w:hanging="180"/>
      </w:pPr>
    </w:lvl>
    <w:lvl w:ilvl="3" w:tplc="140A000F" w:tentative="1">
      <w:start w:val="1"/>
      <w:numFmt w:val="decimal"/>
      <w:lvlText w:val="%4."/>
      <w:lvlJc w:val="left"/>
      <w:pPr>
        <w:ind w:left="3229" w:hanging="360"/>
      </w:pPr>
    </w:lvl>
    <w:lvl w:ilvl="4" w:tplc="140A0019" w:tentative="1">
      <w:start w:val="1"/>
      <w:numFmt w:val="lowerLetter"/>
      <w:lvlText w:val="%5."/>
      <w:lvlJc w:val="left"/>
      <w:pPr>
        <w:ind w:left="3949" w:hanging="360"/>
      </w:pPr>
    </w:lvl>
    <w:lvl w:ilvl="5" w:tplc="140A001B" w:tentative="1">
      <w:start w:val="1"/>
      <w:numFmt w:val="lowerRoman"/>
      <w:lvlText w:val="%6."/>
      <w:lvlJc w:val="right"/>
      <w:pPr>
        <w:ind w:left="4669" w:hanging="180"/>
      </w:pPr>
    </w:lvl>
    <w:lvl w:ilvl="6" w:tplc="140A000F" w:tentative="1">
      <w:start w:val="1"/>
      <w:numFmt w:val="decimal"/>
      <w:lvlText w:val="%7."/>
      <w:lvlJc w:val="left"/>
      <w:pPr>
        <w:ind w:left="5389" w:hanging="360"/>
      </w:pPr>
    </w:lvl>
    <w:lvl w:ilvl="7" w:tplc="140A0019" w:tentative="1">
      <w:start w:val="1"/>
      <w:numFmt w:val="lowerLetter"/>
      <w:lvlText w:val="%8."/>
      <w:lvlJc w:val="left"/>
      <w:pPr>
        <w:ind w:left="6109" w:hanging="360"/>
      </w:pPr>
    </w:lvl>
    <w:lvl w:ilvl="8" w:tplc="140A001B" w:tentative="1">
      <w:start w:val="1"/>
      <w:numFmt w:val="lowerRoman"/>
      <w:lvlText w:val="%9."/>
      <w:lvlJc w:val="right"/>
      <w:pPr>
        <w:ind w:left="6829" w:hanging="180"/>
      </w:pPr>
    </w:lvl>
  </w:abstractNum>
  <w:abstractNum w:abstractNumId="17" w15:restartNumberingAfterBreak="0">
    <w:nsid w:val="7A001BCE"/>
    <w:multiLevelType w:val="hybridMultilevel"/>
    <w:tmpl w:val="D08E7A84"/>
    <w:lvl w:ilvl="0" w:tplc="FFFFFFFF">
      <w:start w:val="1"/>
      <w:numFmt w:val="upperLetter"/>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num w:numId="1" w16cid:durableId="760294118">
    <w:abstractNumId w:val="11"/>
  </w:num>
  <w:num w:numId="2" w16cid:durableId="936328785">
    <w:abstractNumId w:val="5"/>
  </w:num>
  <w:num w:numId="3" w16cid:durableId="389768878">
    <w:abstractNumId w:val="7"/>
  </w:num>
  <w:num w:numId="4" w16cid:durableId="1741050619">
    <w:abstractNumId w:val="8"/>
  </w:num>
  <w:num w:numId="5" w16cid:durableId="852378692">
    <w:abstractNumId w:val="9"/>
  </w:num>
  <w:num w:numId="6" w16cid:durableId="3431702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9715134">
    <w:abstractNumId w:val="15"/>
  </w:num>
  <w:num w:numId="8" w16cid:durableId="64569520">
    <w:abstractNumId w:val="14"/>
  </w:num>
  <w:num w:numId="9" w16cid:durableId="122892242">
    <w:abstractNumId w:val="3"/>
  </w:num>
  <w:num w:numId="10" w16cid:durableId="2060206577">
    <w:abstractNumId w:val="10"/>
  </w:num>
  <w:num w:numId="11" w16cid:durableId="172259354">
    <w:abstractNumId w:val="13"/>
  </w:num>
  <w:num w:numId="12" w16cid:durableId="79761152">
    <w:abstractNumId w:val="16"/>
  </w:num>
  <w:num w:numId="13" w16cid:durableId="1978951444">
    <w:abstractNumId w:val="17"/>
  </w:num>
  <w:num w:numId="14" w16cid:durableId="645355345">
    <w:abstractNumId w:val="6"/>
  </w:num>
  <w:num w:numId="15" w16cid:durableId="1474130550">
    <w:abstractNumId w:val="16"/>
    <w:lvlOverride w:ilvl="0">
      <w:startOverride w:val="1"/>
    </w:lvlOverride>
  </w:num>
  <w:num w:numId="16" w16cid:durableId="1712000566">
    <w:abstractNumId w:val="16"/>
    <w:lvlOverride w:ilvl="0">
      <w:startOverride w:val="1"/>
    </w:lvlOverride>
  </w:num>
  <w:num w:numId="17" w16cid:durableId="506528890">
    <w:abstractNumId w:val="16"/>
    <w:lvlOverride w:ilvl="0">
      <w:startOverride w:val="1"/>
    </w:lvlOverride>
  </w:num>
  <w:num w:numId="18" w16cid:durableId="2088333747">
    <w:abstractNumId w:val="12"/>
  </w:num>
  <w:num w:numId="19" w16cid:durableId="808517701">
    <w:abstractNumId w:val="0"/>
  </w:num>
  <w:num w:numId="20" w16cid:durableId="1659188716">
    <w:abstractNumId w:val="4"/>
  </w:num>
  <w:num w:numId="21" w16cid:durableId="508568108">
    <w:abstractNumId w:val="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05E"/>
    <w:rsid w:val="000004C2"/>
    <w:rsid w:val="00000619"/>
    <w:rsid w:val="000010E8"/>
    <w:rsid w:val="00001EFC"/>
    <w:rsid w:val="0000292E"/>
    <w:rsid w:val="0000317B"/>
    <w:rsid w:val="00005785"/>
    <w:rsid w:val="00005DC2"/>
    <w:rsid w:val="000062BE"/>
    <w:rsid w:val="00007253"/>
    <w:rsid w:val="0000765E"/>
    <w:rsid w:val="00007D78"/>
    <w:rsid w:val="00010266"/>
    <w:rsid w:val="00010364"/>
    <w:rsid w:val="000111BC"/>
    <w:rsid w:val="0001146C"/>
    <w:rsid w:val="00011B3B"/>
    <w:rsid w:val="00012E32"/>
    <w:rsid w:val="000133E3"/>
    <w:rsid w:val="000134D0"/>
    <w:rsid w:val="00013B73"/>
    <w:rsid w:val="00013E80"/>
    <w:rsid w:val="000148B4"/>
    <w:rsid w:val="000148D2"/>
    <w:rsid w:val="00014AAD"/>
    <w:rsid w:val="000151AE"/>
    <w:rsid w:val="00015BF8"/>
    <w:rsid w:val="00021374"/>
    <w:rsid w:val="000223D2"/>
    <w:rsid w:val="00022879"/>
    <w:rsid w:val="00022B13"/>
    <w:rsid w:val="0002303A"/>
    <w:rsid w:val="000231E5"/>
    <w:rsid w:val="000235A8"/>
    <w:rsid w:val="00023969"/>
    <w:rsid w:val="00025977"/>
    <w:rsid w:val="000263DA"/>
    <w:rsid w:val="00026CF0"/>
    <w:rsid w:val="0002730F"/>
    <w:rsid w:val="00027360"/>
    <w:rsid w:val="000273BC"/>
    <w:rsid w:val="000275EE"/>
    <w:rsid w:val="000276F9"/>
    <w:rsid w:val="00027A00"/>
    <w:rsid w:val="00030C03"/>
    <w:rsid w:val="00030CB8"/>
    <w:rsid w:val="000315DE"/>
    <w:rsid w:val="00031881"/>
    <w:rsid w:val="00031EF8"/>
    <w:rsid w:val="000322F5"/>
    <w:rsid w:val="0003259F"/>
    <w:rsid w:val="00033A9E"/>
    <w:rsid w:val="00033C2C"/>
    <w:rsid w:val="00033F1F"/>
    <w:rsid w:val="000340A4"/>
    <w:rsid w:val="00034C97"/>
    <w:rsid w:val="00034C9E"/>
    <w:rsid w:val="000350B2"/>
    <w:rsid w:val="000354DE"/>
    <w:rsid w:val="000356CA"/>
    <w:rsid w:val="00035B3C"/>
    <w:rsid w:val="00040103"/>
    <w:rsid w:val="000401C2"/>
    <w:rsid w:val="00040A94"/>
    <w:rsid w:val="00041FC8"/>
    <w:rsid w:val="000423F9"/>
    <w:rsid w:val="00043702"/>
    <w:rsid w:val="0004467A"/>
    <w:rsid w:val="00044703"/>
    <w:rsid w:val="00045060"/>
    <w:rsid w:val="00045A9D"/>
    <w:rsid w:val="00046248"/>
    <w:rsid w:val="00046E27"/>
    <w:rsid w:val="000479CA"/>
    <w:rsid w:val="00050614"/>
    <w:rsid w:val="00050891"/>
    <w:rsid w:val="00051311"/>
    <w:rsid w:val="0005188C"/>
    <w:rsid w:val="00051D09"/>
    <w:rsid w:val="00051E73"/>
    <w:rsid w:val="00053820"/>
    <w:rsid w:val="00053F27"/>
    <w:rsid w:val="0005487F"/>
    <w:rsid w:val="00055C97"/>
    <w:rsid w:val="00055D03"/>
    <w:rsid w:val="000563FD"/>
    <w:rsid w:val="000566F2"/>
    <w:rsid w:val="00056F83"/>
    <w:rsid w:val="00060114"/>
    <w:rsid w:val="0006053A"/>
    <w:rsid w:val="0006149F"/>
    <w:rsid w:val="00061556"/>
    <w:rsid w:val="00061EC6"/>
    <w:rsid w:val="0006208E"/>
    <w:rsid w:val="0006236B"/>
    <w:rsid w:val="000627CF"/>
    <w:rsid w:val="0006289F"/>
    <w:rsid w:val="000633C6"/>
    <w:rsid w:val="000647D9"/>
    <w:rsid w:val="00064BDD"/>
    <w:rsid w:val="00065181"/>
    <w:rsid w:val="00065F28"/>
    <w:rsid w:val="00065F63"/>
    <w:rsid w:val="00066102"/>
    <w:rsid w:val="0006652F"/>
    <w:rsid w:val="0006694D"/>
    <w:rsid w:val="00066D12"/>
    <w:rsid w:val="00066F73"/>
    <w:rsid w:val="00067CCE"/>
    <w:rsid w:val="00070A9B"/>
    <w:rsid w:val="000711D8"/>
    <w:rsid w:val="00072010"/>
    <w:rsid w:val="00072A45"/>
    <w:rsid w:val="000732E6"/>
    <w:rsid w:val="0007361A"/>
    <w:rsid w:val="000738D8"/>
    <w:rsid w:val="0007392C"/>
    <w:rsid w:val="00073F49"/>
    <w:rsid w:val="00074081"/>
    <w:rsid w:val="00074C51"/>
    <w:rsid w:val="00074CC5"/>
    <w:rsid w:val="00074CFE"/>
    <w:rsid w:val="0007531C"/>
    <w:rsid w:val="000759B1"/>
    <w:rsid w:val="00076226"/>
    <w:rsid w:val="0007662C"/>
    <w:rsid w:val="0007696B"/>
    <w:rsid w:val="00076C78"/>
    <w:rsid w:val="00076DD7"/>
    <w:rsid w:val="000801CC"/>
    <w:rsid w:val="0008049D"/>
    <w:rsid w:val="00080BE8"/>
    <w:rsid w:val="000813B3"/>
    <w:rsid w:val="00082328"/>
    <w:rsid w:val="00082540"/>
    <w:rsid w:val="00082A24"/>
    <w:rsid w:val="00082A56"/>
    <w:rsid w:val="00082C55"/>
    <w:rsid w:val="00084001"/>
    <w:rsid w:val="000844A7"/>
    <w:rsid w:val="00084697"/>
    <w:rsid w:val="000848DE"/>
    <w:rsid w:val="00085442"/>
    <w:rsid w:val="000855E3"/>
    <w:rsid w:val="000858A1"/>
    <w:rsid w:val="00085C41"/>
    <w:rsid w:val="00086CC9"/>
    <w:rsid w:val="000877B1"/>
    <w:rsid w:val="000912C1"/>
    <w:rsid w:val="00091BFD"/>
    <w:rsid w:val="00091DD7"/>
    <w:rsid w:val="00092FC8"/>
    <w:rsid w:val="00093568"/>
    <w:rsid w:val="00094027"/>
    <w:rsid w:val="0009406C"/>
    <w:rsid w:val="00094A78"/>
    <w:rsid w:val="00095841"/>
    <w:rsid w:val="00095DF6"/>
    <w:rsid w:val="000965CA"/>
    <w:rsid w:val="000965DB"/>
    <w:rsid w:val="00096DC0"/>
    <w:rsid w:val="00097D56"/>
    <w:rsid w:val="000A0013"/>
    <w:rsid w:val="000A00B5"/>
    <w:rsid w:val="000A032D"/>
    <w:rsid w:val="000A06C4"/>
    <w:rsid w:val="000A0940"/>
    <w:rsid w:val="000A0F56"/>
    <w:rsid w:val="000A130C"/>
    <w:rsid w:val="000A1B98"/>
    <w:rsid w:val="000A1D35"/>
    <w:rsid w:val="000A1F45"/>
    <w:rsid w:val="000A235A"/>
    <w:rsid w:val="000A257A"/>
    <w:rsid w:val="000A28A3"/>
    <w:rsid w:val="000A29FF"/>
    <w:rsid w:val="000A442B"/>
    <w:rsid w:val="000A506C"/>
    <w:rsid w:val="000A57C6"/>
    <w:rsid w:val="000A60D8"/>
    <w:rsid w:val="000A6245"/>
    <w:rsid w:val="000A6824"/>
    <w:rsid w:val="000B0564"/>
    <w:rsid w:val="000B06FE"/>
    <w:rsid w:val="000B180F"/>
    <w:rsid w:val="000B1891"/>
    <w:rsid w:val="000B1E12"/>
    <w:rsid w:val="000B1FAE"/>
    <w:rsid w:val="000B21AD"/>
    <w:rsid w:val="000B24AE"/>
    <w:rsid w:val="000B33BE"/>
    <w:rsid w:val="000B3423"/>
    <w:rsid w:val="000B3BF5"/>
    <w:rsid w:val="000B4B59"/>
    <w:rsid w:val="000B506A"/>
    <w:rsid w:val="000B5E86"/>
    <w:rsid w:val="000B61C3"/>
    <w:rsid w:val="000B6579"/>
    <w:rsid w:val="000B7590"/>
    <w:rsid w:val="000B7684"/>
    <w:rsid w:val="000B7B3C"/>
    <w:rsid w:val="000C2108"/>
    <w:rsid w:val="000C2AF9"/>
    <w:rsid w:val="000C2FF3"/>
    <w:rsid w:val="000C30BE"/>
    <w:rsid w:val="000C3B17"/>
    <w:rsid w:val="000C3BAC"/>
    <w:rsid w:val="000C483B"/>
    <w:rsid w:val="000C6114"/>
    <w:rsid w:val="000C6249"/>
    <w:rsid w:val="000C6AE5"/>
    <w:rsid w:val="000C6CA1"/>
    <w:rsid w:val="000C77A1"/>
    <w:rsid w:val="000C7925"/>
    <w:rsid w:val="000C7F50"/>
    <w:rsid w:val="000D07AE"/>
    <w:rsid w:val="000D0B20"/>
    <w:rsid w:val="000D131B"/>
    <w:rsid w:val="000D265C"/>
    <w:rsid w:val="000D29FD"/>
    <w:rsid w:val="000D3113"/>
    <w:rsid w:val="000D3C7C"/>
    <w:rsid w:val="000D3E99"/>
    <w:rsid w:val="000D3FFF"/>
    <w:rsid w:val="000D4220"/>
    <w:rsid w:val="000D4233"/>
    <w:rsid w:val="000D5AA1"/>
    <w:rsid w:val="000D5C9C"/>
    <w:rsid w:val="000D62FE"/>
    <w:rsid w:val="000D6477"/>
    <w:rsid w:val="000D7428"/>
    <w:rsid w:val="000D7738"/>
    <w:rsid w:val="000D7913"/>
    <w:rsid w:val="000E04F2"/>
    <w:rsid w:val="000E127F"/>
    <w:rsid w:val="000E1DDF"/>
    <w:rsid w:val="000E1F91"/>
    <w:rsid w:val="000E2054"/>
    <w:rsid w:val="000E2841"/>
    <w:rsid w:val="000E2994"/>
    <w:rsid w:val="000E2A4B"/>
    <w:rsid w:val="000E479E"/>
    <w:rsid w:val="000E49DF"/>
    <w:rsid w:val="000E4D7A"/>
    <w:rsid w:val="000E5101"/>
    <w:rsid w:val="000E747E"/>
    <w:rsid w:val="000F04C8"/>
    <w:rsid w:val="000F082A"/>
    <w:rsid w:val="000F0874"/>
    <w:rsid w:val="000F15D0"/>
    <w:rsid w:val="000F1DE1"/>
    <w:rsid w:val="000F1E7B"/>
    <w:rsid w:val="000F20F2"/>
    <w:rsid w:val="000F254F"/>
    <w:rsid w:val="000F327B"/>
    <w:rsid w:val="000F4200"/>
    <w:rsid w:val="000F4892"/>
    <w:rsid w:val="000F5416"/>
    <w:rsid w:val="000F55EC"/>
    <w:rsid w:val="000F5FBB"/>
    <w:rsid w:val="0010022D"/>
    <w:rsid w:val="0010056D"/>
    <w:rsid w:val="00100883"/>
    <w:rsid w:val="00100A9E"/>
    <w:rsid w:val="00100BA7"/>
    <w:rsid w:val="001015C6"/>
    <w:rsid w:val="00104B82"/>
    <w:rsid w:val="00104C40"/>
    <w:rsid w:val="00104D9F"/>
    <w:rsid w:val="00105631"/>
    <w:rsid w:val="00105978"/>
    <w:rsid w:val="00106D13"/>
    <w:rsid w:val="00107899"/>
    <w:rsid w:val="00110622"/>
    <w:rsid w:val="0011088B"/>
    <w:rsid w:val="00110F9A"/>
    <w:rsid w:val="00111230"/>
    <w:rsid w:val="001118AE"/>
    <w:rsid w:val="00111A08"/>
    <w:rsid w:val="00111BC0"/>
    <w:rsid w:val="00111C65"/>
    <w:rsid w:val="00112168"/>
    <w:rsid w:val="00112374"/>
    <w:rsid w:val="001148D2"/>
    <w:rsid w:val="00114AF4"/>
    <w:rsid w:val="00114B97"/>
    <w:rsid w:val="00114F3E"/>
    <w:rsid w:val="00114FE6"/>
    <w:rsid w:val="00114FEF"/>
    <w:rsid w:val="0011544E"/>
    <w:rsid w:val="001154E9"/>
    <w:rsid w:val="00115795"/>
    <w:rsid w:val="00115999"/>
    <w:rsid w:val="00115E93"/>
    <w:rsid w:val="0011639D"/>
    <w:rsid w:val="0011641D"/>
    <w:rsid w:val="0012015F"/>
    <w:rsid w:val="001213E7"/>
    <w:rsid w:val="00121D6D"/>
    <w:rsid w:val="0012203D"/>
    <w:rsid w:val="00122F0C"/>
    <w:rsid w:val="00123DA5"/>
    <w:rsid w:val="0012430C"/>
    <w:rsid w:val="00124848"/>
    <w:rsid w:val="00124874"/>
    <w:rsid w:val="00124AFB"/>
    <w:rsid w:val="00124DED"/>
    <w:rsid w:val="0012552E"/>
    <w:rsid w:val="001259C9"/>
    <w:rsid w:val="00126948"/>
    <w:rsid w:val="00126F5D"/>
    <w:rsid w:val="00127A6B"/>
    <w:rsid w:val="00127B93"/>
    <w:rsid w:val="0013026A"/>
    <w:rsid w:val="00130E53"/>
    <w:rsid w:val="00131A48"/>
    <w:rsid w:val="00131C52"/>
    <w:rsid w:val="00131CC3"/>
    <w:rsid w:val="0013315F"/>
    <w:rsid w:val="001332C5"/>
    <w:rsid w:val="001335BB"/>
    <w:rsid w:val="00133A34"/>
    <w:rsid w:val="00134A1E"/>
    <w:rsid w:val="00135044"/>
    <w:rsid w:val="00136B96"/>
    <w:rsid w:val="00136CB5"/>
    <w:rsid w:val="00137439"/>
    <w:rsid w:val="00137558"/>
    <w:rsid w:val="00140873"/>
    <w:rsid w:val="0014287C"/>
    <w:rsid w:val="00142EFB"/>
    <w:rsid w:val="00142F6F"/>
    <w:rsid w:val="00142FEF"/>
    <w:rsid w:val="00143184"/>
    <w:rsid w:val="0014328B"/>
    <w:rsid w:val="001432B8"/>
    <w:rsid w:val="00143D71"/>
    <w:rsid w:val="00144826"/>
    <w:rsid w:val="001458BC"/>
    <w:rsid w:val="00145DE3"/>
    <w:rsid w:val="001461AD"/>
    <w:rsid w:val="00146B28"/>
    <w:rsid w:val="00147146"/>
    <w:rsid w:val="00147945"/>
    <w:rsid w:val="00147AD2"/>
    <w:rsid w:val="00147E6A"/>
    <w:rsid w:val="001503D1"/>
    <w:rsid w:val="00150AB5"/>
    <w:rsid w:val="00150F5C"/>
    <w:rsid w:val="001515D5"/>
    <w:rsid w:val="0015272F"/>
    <w:rsid w:val="00153455"/>
    <w:rsid w:val="001537B2"/>
    <w:rsid w:val="00153A91"/>
    <w:rsid w:val="00154AB3"/>
    <w:rsid w:val="001563D9"/>
    <w:rsid w:val="001563E2"/>
    <w:rsid w:val="00157564"/>
    <w:rsid w:val="00157A6F"/>
    <w:rsid w:val="00157BDB"/>
    <w:rsid w:val="00157E6E"/>
    <w:rsid w:val="001611CD"/>
    <w:rsid w:val="001615FD"/>
    <w:rsid w:val="001618BE"/>
    <w:rsid w:val="00162201"/>
    <w:rsid w:val="00162338"/>
    <w:rsid w:val="00163FC9"/>
    <w:rsid w:val="0016401E"/>
    <w:rsid w:val="00164A5E"/>
    <w:rsid w:val="001651D3"/>
    <w:rsid w:val="0016552B"/>
    <w:rsid w:val="00166066"/>
    <w:rsid w:val="001667D4"/>
    <w:rsid w:val="00166BD9"/>
    <w:rsid w:val="00167DE9"/>
    <w:rsid w:val="00167FB2"/>
    <w:rsid w:val="001706A6"/>
    <w:rsid w:val="0017117E"/>
    <w:rsid w:val="00171C8C"/>
    <w:rsid w:val="00171FBE"/>
    <w:rsid w:val="0017221F"/>
    <w:rsid w:val="001726F8"/>
    <w:rsid w:val="0017279F"/>
    <w:rsid w:val="00172C60"/>
    <w:rsid w:val="0017301D"/>
    <w:rsid w:val="00173579"/>
    <w:rsid w:val="00173D74"/>
    <w:rsid w:val="00173EA2"/>
    <w:rsid w:val="001744E7"/>
    <w:rsid w:val="00174587"/>
    <w:rsid w:val="00174611"/>
    <w:rsid w:val="00174B56"/>
    <w:rsid w:val="00175171"/>
    <w:rsid w:val="00175620"/>
    <w:rsid w:val="001759EC"/>
    <w:rsid w:val="00175F68"/>
    <w:rsid w:val="0017610E"/>
    <w:rsid w:val="001761C7"/>
    <w:rsid w:val="00176C92"/>
    <w:rsid w:val="0017730D"/>
    <w:rsid w:val="00177CDC"/>
    <w:rsid w:val="00180AB7"/>
    <w:rsid w:val="00180BD9"/>
    <w:rsid w:val="00180EC6"/>
    <w:rsid w:val="00181B66"/>
    <w:rsid w:val="0018263D"/>
    <w:rsid w:val="00183053"/>
    <w:rsid w:val="00183FA1"/>
    <w:rsid w:val="00184116"/>
    <w:rsid w:val="0018421F"/>
    <w:rsid w:val="00184EDA"/>
    <w:rsid w:val="00185909"/>
    <w:rsid w:val="001865E4"/>
    <w:rsid w:val="00186C14"/>
    <w:rsid w:val="00187A16"/>
    <w:rsid w:val="00191B23"/>
    <w:rsid w:val="00192374"/>
    <w:rsid w:val="00193767"/>
    <w:rsid w:val="00194006"/>
    <w:rsid w:val="00194A8F"/>
    <w:rsid w:val="00195656"/>
    <w:rsid w:val="00195A71"/>
    <w:rsid w:val="0019614B"/>
    <w:rsid w:val="001972DF"/>
    <w:rsid w:val="00197F8B"/>
    <w:rsid w:val="001A0CDA"/>
    <w:rsid w:val="001A0DFE"/>
    <w:rsid w:val="001A1796"/>
    <w:rsid w:val="001A18BA"/>
    <w:rsid w:val="001A2139"/>
    <w:rsid w:val="001A30DA"/>
    <w:rsid w:val="001A5721"/>
    <w:rsid w:val="001A58F3"/>
    <w:rsid w:val="001A603F"/>
    <w:rsid w:val="001A621C"/>
    <w:rsid w:val="001A6919"/>
    <w:rsid w:val="001A6CA2"/>
    <w:rsid w:val="001A6E21"/>
    <w:rsid w:val="001A7201"/>
    <w:rsid w:val="001A79FF"/>
    <w:rsid w:val="001B02F0"/>
    <w:rsid w:val="001B0951"/>
    <w:rsid w:val="001B0BA5"/>
    <w:rsid w:val="001B1376"/>
    <w:rsid w:val="001B564D"/>
    <w:rsid w:val="001B587E"/>
    <w:rsid w:val="001B5A67"/>
    <w:rsid w:val="001B79AC"/>
    <w:rsid w:val="001B7F2A"/>
    <w:rsid w:val="001C03A2"/>
    <w:rsid w:val="001C054A"/>
    <w:rsid w:val="001C1409"/>
    <w:rsid w:val="001C1459"/>
    <w:rsid w:val="001C1699"/>
    <w:rsid w:val="001C1D86"/>
    <w:rsid w:val="001C25C8"/>
    <w:rsid w:val="001C3988"/>
    <w:rsid w:val="001C4438"/>
    <w:rsid w:val="001C45CA"/>
    <w:rsid w:val="001C4C72"/>
    <w:rsid w:val="001C552F"/>
    <w:rsid w:val="001C6320"/>
    <w:rsid w:val="001C667A"/>
    <w:rsid w:val="001C6731"/>
    <w:rsid w:val="001C6C75"/>
    <w:rsid w:val="001C79F2"/>
    <w:rsid w:val="001C7DAA"/>
    <w:rsid w:val="001D0D31"/>
    <w:rsid w:val="001D0F20"/>
    <w:rsid w:val="001D1439"/>
    <w:rsid w:val="001D23E3"/>
    <w:rsid w:val="001D29F9"/>
    <w:rsid w:val="001D2DA8"/>
    <w:rsid w:val="001D4078"/>
    <w:rsid w:val="001D5A51"/>
    <w:rsid w:val="001D5BA6"/>
    <w:rsid w:val="001D5D2C"/>
    <w:rsid w:val="001D6192"/>
    <w:rsid w:val="001D6390"/>
    <w:rsid w:val="001D72FF"/>
    <w:rsid w:val="001E039F"/>
    <w:rsid w:val="001E047E"/>
    <w:rsid w:val="001E0A59"/>
    <w:rsid w:val="001E13D1"/>
    <w:rsid w:val="001E16D3"/>
    <w:rsid w:val="001E1C53"/>
    <w:rsid w:val="001E1D94"/>
    <w:rsid w:val="001E1FD0"/>
    <w:rsid w:val="001E2225"/>
    <w:rsid w:val="001E3648"/>
    <w:rsid w:val="001E41F9"/>
    <w:rsid w:val="001E46A5"/>
    <w:rsid w:val="001E4770"/>
    <w:rsid w:val="001E48F0"/>
    <w:rsid w:val="001E4ED7"/>
    <w:rsid w:val="001E4EFF"/>
    <w:rsid w:val="001E55B2"/>
    <w:rsid w:val="001E72A5"/>
    <w:rsid w:val="001E763F"/>
    <w:rsid w:val="001E78C2"/>
    <w:rsid w:val="001E7A45"/>
    <w:rsid w:val="001F04BD"/>
    <w:rsid w:val="001F13C9"/>
    <w:rsid w:val="001F18A0"/>
    <w:rsid w:val="001F2960"/>
    <w:rsid w:val="001F2CC1"/>
    <w:rsid w:val="001F4D31"/>
    <w:rsid w:val="001F5CF1"/>
    <w:rsid w:val="001F5ED3"/>
    <w:rsid w:val="001F62DF"/>
    <w:rsid w:val="001F6526"/>
    <w:rsid w:val="001F6F8E"/>
    <w:rsid w:val="001F71E1"/>
    <w:rsid w:val="001F7ED2"/>
    <w:rsid w:val="00201236"/>
    <w:rsid w:val="002015D6"/>
    <w:rsid w:val="00201B71"/>
    <w:rsid w:val="00201E23"/>
    <w:rsid w:val="00201E93"/>
    <w:rsid w:val="0020202B"/>
    <w:rsid w:val="0020455E"/>
    <w:rsid w:val="00204689"/>
    <w:rsid w:val="00204937"/>
    <w:rsid w:val="00204F2B"/>
    <w:rsid w:val="002056A6"/>
    <w:rsid w:val="00205ED7"/>
    <w:rsid w:val="002062CA"/>
    <w:rsid w:val="00206A18"/>
    <w:rsid w:val="00206A6F"/>
    <w:rsid w:val="002075C7"/>
    <w:rsid w:val="002078E3"/>
    <w:rsid w:val="00211C10"/>
    <w:rsid w:val="00211F66"/>
    <w:rsid w:val="002128F8"/>
    <w:rsid w:val="00213169"/>
    <w:rsid w:val="002136C9"/>
    <w:rsid w:val="0021485C"/>
    <w:rsid w:val="00214E86"/>
    <w:rsid w:val="00215182"/>
    <w:rsid w:val="00215873"/>
    <w:rsid w:val="002159D5"/>
    <w:rsid w:val="0021617F"/>
    <w:rsid w:val="00216EF3"/>
    <w:rsid w:val="002172FA"/>
    <w:rsid w:val="002175CF"/>
    <w:rsid w:val="00217640"/>
    <w:rsid w:val="002178D7"/>
    <w:rsid w:val="002179B8"/>
    <w:rsid w:val="00217AFE"/>
    <w:rsid w:val="00217E8D"/>
    <w:rsid w:val="002206A9"/>
    <w:rsid w:val="00220954"/>
    <w:rsid w:val="00220C19"/>
    <w:rsid w:val="0022146C"/>
    <w:rsid w:val="002214E1"/>
    <w:rsid w:val="00221A43"/>
    <w:rsid w:val="00221D9E"/>
    <w:rsid w:val="00221E9C"/>
    <w:rsid w:val="0022226B"/>
    <w:rsid w:val="002225D9"/>
    <w:rsid w:val="0022462B"/>
    <w:rsid w:val="00225552"/>
    <w:rsid w:val="0022594F"/>
    <w:rsid w:val="00226120"/>
    <w:rsid w:val="00227A49"/>
    <w:rsid w:val="00227C61"/>
    <w:rsid w:val="00227C79"/>
    <w:rsid w:val="00227DCD"/>
    <w:rsid w:val="0023020F"/>
    <w:rsid w:val="0023186C"/>
    <w:rsid w:val="00231DBE"/>
    <w:rsid w:val="00232C3B"/>
    <w:rsid w:val="00232D24"/>
    <w:rsid w:val="00232D68"/>
    <w:rsid w:val="002331DD"/>
    <w:rsid w:val="00233216"/>
    <w:rsid w:val="0023393A"/>
    <w:rsid w:val="00234F50"/>
    <w:rsid w:val="002351A0"/>
    <w:rsid w:val="0023534D"/>
    <w:rsid w:val="00235643"/>
    <w:rsid w:val="00235761"/>
    <w:rsid w:val="00235898"/>
    <w:rsid w:val="002367C6"/>
    <w:rsid w:val="00236FFD"/>
    <w:rsid w:val="00237081"/>
    <w:rsid w:val="0023737B"/>
    <w:rsid w:val="00237C6D"/>
    <w:rsid w:val="00237CD0"/>
    <w:rsid w:val="00237D0E"/>
    <w:rsid w:val="00240062"/>
    <w:rsid w:val="00240961"/>
    <w:rsid w:val="00241495"/>
    <w:rsid w:val="0024195F"/>
    <w:rsid w:val="00241961"/>
    <w:rsid w:val="002419EC"/>
    <w:rsid w:val="00242D1C"/>
    <w:rsid w:val="00242ED9"/>
    <w:rsid w:val="00243479"/>
    <w:rsid w:val="0024355C"/>
    <w:rsid w:val="0024424E"/>
    <w:rsid w:val="00244275"/>
    <w:rsid w:val="002442EF"/>
    <w:rsid w:val="00244E81"/>
    <w:rsid w:val="00245C75"/>
    <w:rsid w:val="00245FA7"/>
    <w:rsid w:val="002460A8"/>
    <w:rsid w:val="00246EFB"/>
    <w:rsid w:val="00251088"/>
    <w:rsid w:val="0025109A"/>
    <w:rsid w:val="002511ED"/>
    <w:rsid w:val="002516A8"/>
    <w:rsid w:val="00251FE9"/>
    <w:rsid w:val="00252F7A"/>
    <w:rsid w:val="002538F7"/>
    <w:rsid w:val="00253B62"/>
    <w:rsid w:val="00254204"/>
    <w:rsid w:val="00255258"/>
    <w:rsid w:val="00255AA0"/>
    <w:rsid w:val="00256313"/>
    <w:rsid w:val="00256BE1"/>
    <w:rsid w:val="002571B4"/>
    <w:rsid w:val="00257E1E"/>
    <w:rsid w:val="00260031"/>
    <w:rsid w:val="00260078"/>
    <w:rsid w:val="00260F22"/>
    <w:rsid w:val="00260F56"/>
    <w:rsid w:val="00261A42"/>
    <w:rsid w:val="0026275F"/>
    <w:rsid w:val="002627A0"/>
    <w:rsid w:val="00262D09"/>
    <w:rsid w:val="0026342C"/>
    <w:rsid w:val="00263935"/>
    <w:rsid w:val="00263B3A"/>
    <w:rsid w:val="00263E74"/>
    <w:rsid w:val="0026405E"/>
    <w:rsid w:val="0026473A"/>
    <w:rsid w:val="00265574"/>
    <w:rsid w:val="00265DEF"/>
    <w:rsid w:val="002663A5"/>
    <w:rsid w:val="0026671D"/>
    <w:rsid w:val="00266A49"/>
    <w:rsid w:val="0026715B"/>
    <w:rsid w:val="00267353"/>
    <w:rsid w:val="002709DE"/>
    <w:rsid w:val="00270E7C"/>
    <w:rsid w:val="0027141D"/>
    <w:rsid w:val="0027189C"/>
    <w:rsid w:val="00271AC8"/>
    <w:rsid w:val="00271E3A"/>
    <w:rsid w:val="0027224D"/>
    <w:rsid w:val="00272381"/>
    <w:rsid w:val="0027362B"/>
    <w:rsid w:val="00274654"/>
    <w:rsid w:val="00274AD4"/>
    <w:rsid w:val="00274D6E"/>
    <w:rsid w:val="00275E64"/>
    <w:rsid w:val="002770B5"/>
    <w:rsid w:val="00277194"/>
    <w:rsid w:val="00277B9D"/>
    <w:rsid w:val="00277DDF"/>
    <w:rsid w:val="00280798"/>
    <w:rsid w:val="002810C7"/>
    <w:rsid w:val="002811D6"/>
    <w:rsid w:val="002814E6"/>
    <w:rsid w:val="00281704"/>
    <w:rsid w:val="00282929"/>
    <w:rsid w:val="00282BE3"/>
    <w:rsid w:val="00282FE6"/>
    <w:rsid w:val="002833AF"/>
    <w:rsid w:val="002843E5"/>
    <w:rsid w:val="0028587B"/>
    <w:rsid w:val="002859C9"/>
    <w:rsid w:val="00285F2E"/>
    <w:rsid w:val="002870D8"/>
    <w:rsid w:val="002874D5"/>
    <w:rsid w:val="0029008B"/>
    <w:rsid w:val="002905EF"/>
    <w:rsid w:val="0029228F"/>
    <w:rsid w:val="00293A54"/>
    <w:rsid w:val="00293D90"/>
    <w:rsid w:val="00293EA8"/>
    <w:rsid w:val="00294425"/>
    <w:rsid w:val="00294EA2"/>
    <w:rsid w:val="00295348"/>
    <w:rsid w:val="00295C14"/>
    <w:rsid w:val="00295CD9"/>
    <w:rsid w:val="00295F92"/>
    <w:rsid w:val="0029634B"/>
    <w:rsid w:val="00297868"/>
    <w:rsid w:val="002979AB"/>
    <w:rsid w:val="00297DDB"/>
    <w:rsid w:val="00297EFE"/>
    <w:rsid w:val="002A0328"/>
    <w:rsid w:val="002A19C0"/>
    <w:rsid w:val="002A1E26"/>
    <w:rsid w:val="002A21EF"/>
    <w:rsid w:val="002A24BC"/>
    <w:rsid w:val="002A2FA3"/>
    <w:rsid w:val="002A2FD1"/>
    <w:rsid w:val="002A3F5D"/>
    <w:rsid w:val="002A45C2"/>
    <w:rsid w:val="002A4B2B"/>
    <w:rsid w:val="002A4F41"/>
    <w:rsid w:val="002A5419"/>
    <w:rsid w:val="002A5479"/>
    <w:rsid w:val="002A7559"/>
    <w:rsid w:val="002A777D"/>
    <w:rsid w:val="002A78F5"/>
    <w:rsid w:val="002A7C4B"/>
    <w:rsid w:val="002B00C5"/>
    <w:rsid w:val="002B02D8"/>
    <w:rsid w:val="002B04A6"/>
    <w:rsid w:val="002B0A25"/>
    <w:rsid w:val="002B0C05"/>
    <w:rsid w:val="002B100A"/>
    <w:rsid w:val="002B13EE"/>
    <w:rsid w:val="002B2B51"/>
    <w:rsid w:val="002B3C7C"/>
    <w:rsid w:val="002B432E"/>
    <w:rsid w:val="002B4741"/>
    <w:rsid w:val="002B5DA1"/>
    <w:rsid w:val="002B5E79"/>
    <w:rsid w:val="002B66AB"/>
    <w:rsid w:val="002B66ED"/>
    <w:rsid w:val="002B6763"/>
    <w:rsid w:val="002B7AF0"/>
    <w:rsid w:val="002B7D04"/>
    <w:rsid w:val="002B7E6D"/>
    <w:rsid w:val="002C02EB"/>
    <w:rsid w:val="002C0724"/>
    <w:rsid w:val="002C1405"/>
    <w:rsid w:val="002C1915"/>
    <w:rsid w:val="002C27C6"/>
    <w:rsid w:val="002C3A45"/>
    <w:rsid w:val="002C3FB2"/>
    <w:rsid w:val="002C51AF"/>
    <w:rsid w:val="002C5A98"/>
    <w:rsid w:val="002C5FDD"/>
    <w:rsid w:val="002C684F"/>
    <w:rsid w:val="002C6A3E"/>
    <w:rsid w:val="002C6A99"/>
    <w:rsid w:val="002C6F8F"/>
    <w:rsid w:val="002C70B6"/>
    <w:rsid w:val="002C7E2F"/>
    <w:rsid w:val="002D0B39"/>
    <w:rsid w:val="002D0DF9"/>
    <w:rsid w:val="002D100F"/>
    <w:rsid w:val="002D11FE"/>
    <w:rsid w:val="002D123C"/>
    <w:rsid w:val="002D2425"/>
    <w:rsid w:val="002D2DCD"/>
    <w:rsid w:val="002D3EF3"/>
    <w:rsid w:val="002D44FB"/>
    <w:rsid w:val="002D530D"/>
    <w:rsid w:val="002D6234"/>
    <w:rsid w:val="002D6817"/>
    <w:rsid w:val="002D7251"/>
    <w:rsid w:val="002D72C8"/>
    <w:rsid w:val="002D7698"/>
    <w:rsid w:val="002E2424"/>
    <w:rsid w:val="002E28D7"/>
    <w:rsid w:val="002E2B63"/>
    <w:rsid w:val="002E3162"/>
    <w:rsid w:val="002E36E2"/>
    <w:rsid w:val="002E377E"/>
    <w:rsid w:val="002E3E76"/>
    <w:rsid w:val="002E401E"/>
    <w:rsid w:val="002E42B1"/>
    <w:rsid w:val="002E5C66"/>
    <w:rsid w:val="002E6AA1"/>
    <w:rsid w:val="002E6B4E"/>
    <w:rsid w:val="002E7D35"/>
    <w:rsid w:val="002F0153"/>
    <w:rsid w:val="002F0641"/>
    <w:rsid w:val="002F1347"/>
    <w:rsid w:val="002F1FF8"/>
    <w:rsid w:val="002F316B"/>
    <w:rsid w:val="002F352D"/>
    <w:rsid w:val="002F39AE"/>
    <w:rsid w:val="002F3AED"/>
    <w:rsid w:val="002F432B"/>
    <w:rsid w:val="002F4353"/>
    <w:rsid w:val="002F4E15"/>
    <w:rsid w:val="002F58B7"/>
    <w:rsid w:val="002F6AF0"/>
    <w:rsid w:val="002F71DE"/>
    <w:rsid w:val="002F7F98"/>
    <w:rsid w:val="003003C2"/>
    <w:rsid w:val="003004C1"/>
    <w:rsid w:val="003007F0"/>
    <w:rsid w:val="00301709"/>
    <w:rsid w:val="003023B0"/>
    <w:rsid w:val="003025E9"/>
    <w:rsid w:val="00302A63"/>
    <w:rsid w:val="0030396D"/>
    <w:rsid w:val="003039AA"/>
    <w:rsid w:val="00304461"/>
    <w:rsid w:val="0030459C"/>
    <w:rsid w:val="003045BB"/>
    <w:rsid w:val="00304DC9"/>
    <w:rsid w:val="00307725"/>
    <w:rsid w:val="00307E76"/>
    <w:rsid w:val="003115A5"/>
    <w:rsid w:val="003135DA"/>
    <w:rsid w:val="00313820"/>
    <w:rsid w:val="0031387A"/>
    <w:rsid w:val="00313F99"/>
    <w:rsid w:val="0031440F"/>
    <w:rsid w:val="00315143"/>
    <w:rsid w:val="003153DF"/>
    <w:rsid w:val="00315754"/>
    <w:rsid w:val="003167A5"/>
    <w:rsid w:val="00316B48"/>
    <w:rsid w:val="003176D4"/>
    <w:rsid w:val="00317849"/>
    <w:rsid w:val="0032025F"/>
    <w:rsid w:val="003203CE"/>
    <w:rsid w:val="00320431"/>
    <w:rsid w:val="003206C9"/>
    <w:rsid w:val="00320A5F"/>
    <w:rsid w:val="0032133A"/>
    <w:rsid w:val="00321C68"/>
    <w:rsid w:val="0032213D"/>
    <w:rsid w:val="00322934"/>
    <w:rsid w:val="00322F8A"/>
    <w:rsid w:val="00323030"/>
    <w:rsid w:val="003231BB"/>
    <w:rsid w:val="0032327B"/>
    <w:rsid w:val="003235B1"/>
    <w:rsid w:val="00323659"/>
    <w:rsid w:val="00323E13"/>
    <w:rsid w:val="00324E8B"/>
    <w:rsid w:val="0032502D"/>
    <w:rsid w:val="0032598B"/>
    <w:rsid w:val="00325E0D"/>
    <w:rsid w:val="00326118"/>
    <w:rsid w:val="0032670B"/>
    <w:rsid w:val="00326EC8"/>
    <w:rsid w:val="003279A1"/>
    <w:rsid w:val="00327C90"/>
    <w:rsid w:val="00327CFA"/>
    <w:rsid w:val="003310C9"/>
    <w:rsid w:val="003314CA"/>
    <w:rsid w:val="00331F74"/>
    <w:rsid w:val="003321C7"/>
    <w:rsid w:val="0033346B"/>
    <w:rsid w:val="003337B8"/>
    <w:rsid w:val="00333A6B"/>
    <w:rsid w:val="0033545D"/>
    <w:rsid w:val="003355A8"/>
    <w:rsid w:val="003355BB"/>
    <w:rsid w:val="00336C98"/>
    <w:rsid w:val="00336F78"/>
    <w:rsid w:val="00337932"/>
    <w:rsid w:val="00340258"/>
    <w:rsid w:val="00340615"/>
    <w:rsid w:val="00340724"/>
    <w:rsid w:val="00340807"/>
    <w:rsid w:val="00340C5C"/>
    <w:rsid w:val="003411E6"/>
    <w:rsid w:val="00342181"/>
    <w:rsid w:val="00342F0B"/>
    <w:rsid w:val="00343B22"/>
    <w:rsid w:val="003444A4"/>
    <w:rsid w:val="003445D5"/>
    <w:rsid w:val="00345D14"/>
    <w:rsid w:val="00347DF1"/>
    <w:rsid w:val="003510CF"/>
    <w:rsid w:val="00351F74"/>
    <w:rsid w:val="00353780"/>
    <w:rsid w:val="00353C9A"/>
    <w:rsid w:val="00355187"/>
    <w:rsid w:val="003555CB"/>
    <w:rsid w:val="00355834"/>
    <w:rsid w:val="00355F20"/>
    <w:rsid w:val="003565CD"/>
    <w:rsid w:val="00356652"/>
    <w:rsid w:val="00356683"/>
    <w:rsid w:val="00356A70"/>
    <w:rsid w:val="00361579"/>
    <w:rsid w:val="00361613"/>
    <w:rsid w:val="003630ED"/>
    <w:rsid w:val="0036347E"/>
    <w:rsid w:val="003656CC"/>
    <w:rsid w:val="00366D09"/>
    <w:rsid w:val="00366DA8"/>
    <w:rsid w:val="00371B86"/>
    <w:rsid w:val="0037225F"/>
    <w:rsid w:val="00372C87"/>
    <w:rsid w:val="00373637"/>
    <w:rsid w:val="003736F4"/>
    <w:rsid w:val="00373E3F"/>
    <w:rsid w:val="00373EFD"/>
    <w:rsid w:val="00376057"/>
    <w:rsid w:val="003760F6"/>
    <w:rsid w:val="00376107"/>
    <w:rsid w:val="00376F9C"/>
    <w:rsid w:val="003774E3"/>
    <w:rsid w:val="003779E1"/>
    <w:rsid w:val="00377AE4"/>
    <w:rsid w:val="0038027D"/>
    <w:rsid w:val="003804FF"/>
    <w:rsid w:val="00380F72"/>
    <w:rsid w:val="003818F3"/>
    <w:rsid w:val="00382508"/>
    <w:rsid w:val="0038258D"/>
    <w:rsid w:val="00382CE7"/>
    <w:rsid w:val="00383166"/>
    <w:rsid w:val="003831D3"/>
    <w:rsid w:val="00383589"/>
    <w:rsid w:val="00383ADC"/>
    <w:rsid w:val="00384652"/>
    <w:rsid w:val="00384A1D"/>
    <w:rsid w:val="00384B90"/>
    <w:rsid w:val="00385875"/>
    <w:rsid w:val="003858C4"/>
    <w:rsid w:val="003858E9"/>
    <w:rsid w:val="00385A01"/>
    <w:rsid w:val="00385AB7"/>
    <w:rsid w:val="00385CB9"/>
    <w:rsid w:val="003862F1"/>
    <w:rsid w:val="00386874"/>
    <w:rsid w:val="00387005"/>
    <w:rsid w:val="0038757F"/>
    <w:rsid w:val="00387C83"/>
    <w:rsid w:val="00387ED5"/>
    <w:rsid w:val="003909F4"/>
    <w:rsid w:val="00392D50"/>
    <w:rsid w:val="003930BB"/>
    <w:rsid w:val="003932A0"/>
    <w:rsid w:val="00393576"/>
    <w:rsid w:val="003938E6"/>
    <w:rsid w:val="00395490"/>
    <w:rsid w:val="00396182"/>
    <w:rsid w:val="003968B1"/>
    <w:rsid w:val="003A00A8"/>
    <w:rsid w:val="003A0A20"/>
    <w:rsid w:val="003A0F7B"/>
    <w:rsid w:val="003A11C3"/>
    <w:rsid w:val="003A208E"/>
    <w:rsid w:val="003A2511"/>
    <w:rsid w:val="003A2831"/>
    <w:rsid w:val="003A2846"/>
    <w:rsid w:val="003A2B47"/>
    <w:rsid w:val="003A34AD"/>
    <w:rsid w:val="003A3DD8"/>
    <w:rsid w:val="003A4013"/>
    <w:rsid w:val="003A4FBB"/>
    <w:rsid w:val="003A5040"/>
    <w:rsid w:val="003A57F5"/>
    <w:rsid w:val="003A5F46"/>
    <w:rsid w:val="003A65E5"/>
    <w:rsid w:val="003A7436"/>
    <w:rsid w:val="003A798C"/>
    <w:rsid w:val="003A7F05"/>
    <w:rsid w:val="003B03C3"/>
    <w:rsid w:val="003B10FA"/>
    <w:rsid w:val="003B4014"/>
    <w:rsid w:val="003B4E57"/>
    <w:rsid w:val="003B4ED2"/>
    <w:rsid w:val="003B5A2D"/>
    <w:rsid w:val="003B5FA2"/>
    <w:rsid w:val="003B5FC1"/>
    <w:rsid w:val="003B63C2"/>
    <w:rsid w:val="003B6A5F"/>
    <w:rsid w:val="003B6C8D"/>
    <w:rsid w:val="003B76A9"/>
    <w:rsid w:val="003B7B98"/>
    <w:rsid w:val="003C04C2"/>
    <w:rsid w:val="003C04FC"/>
    <w:rsid w:val="003C0819"/>
    <w:rsid w:val="003C0AA3"/>
    <w:rsid w:val="003C103B"/>
    <w:rsid w:val="003C1168"/>
    <w:rsid w:val="003C16E9"/>
    <w:rsid w:val="003C1A58"/>
    <w:rsid w:val="003C2E14"/>
    <w:rsid w:val="003C2EFF"/>
    <w:rsid w:val="003C304E"/>
    <w:rsid w:val="003C32C6"/>
    <w:rsid w:val="003C3570"/>
    <w:rsid w:val="003C4CCF"/>
    <w:rsid w:val="003C4FC2"/>
    <w:rsid w:val="003C50EC"/>
    <w:rsid w:val="003C6185"/>
    <w:rsid w:val="003C626E"/>
    <w:rsid w:val="003C65BF"/>
    <w:rsid w:val="003C761E"/>
    <w:rsid w:val="003C7C2E"/>
    <w:rsid w:val="003D023F"/>
    <w:rsid w:val="003D0812"/>
    <w:rsid w:val="003D0C7C"/>
    <w:rsid w:val="003D27A8"/>
    <w:rsid w:val="003D321B"/>
    <w:rsid w:val="003D3942"/>
    <w:rsid w:val="003D3AF8"/>
    <w:rsid w:val="003D423C"/>
    <w:rsid w:val="003D433F"/>
    <w:rsid w:val="003D45D4"/>
    <w:rsid w:val="003D4656"/>
    <w:rsid w:val="003D4A21"/>
    <w:rsid w:val="003D4DA7"/>
    <w:rsid w:val="003D4F99"/>
    <w:rsid w:val="003D5381"/>
    <w:rsid w:val="003D5554"/>
    <w:rsid w:val="003D5CF3"/>
    <w:rsid w:val="003D68E1"/>
    <w:rsid w:val="003D6E0E"/>
    <w:rsid w:val="003D7A5B"/>
    <w:rsid w:val="003D7A92"/>
    <w:rsid w:val="003E1170"/>
    <w:rsid w:val="003E15FD"/>
    <w:rsid w:val="003E16C1"/>
    <w:rsid w:val="003E1AD1"/>
    <w:rsid w:val="003E2E38"/>
    <w:rsid w:val="003E334B"/>
    <w:rsid w:val="003E44B9"/>
    <w:rsid w:val="003E513E"/>
    <w:rsid w:val="003E60B4"/>
    <w:rsid w:val="003E7734"/>
    <w:rsid w:val="003E78F7"/>
    <w:rsid w:val="003E7E25"/>
    <w:rsid w:val="003F0316"/>
    <w:rsid w:val="003F0843"/>
    <w:rsid w:val="003F13EA"/>
    <w:rsid w:val="003F1469"/>
    <w:rsid w:val="003F1C67"/>
    <w:rsid w:val="003F2966"/>
    <w:rsid w:val="003F2B5B"/>
    <w:rsid w:val="003F2EC1"/>
    <w:rsid w:val="003F3BC0"/>
    <w:rsid w:val="003F47FF"/>
    <w:rsid w:val="003F4839"/>
    <w:rsid w:val="003F4997"/>
    <w:rsid w:val="003F4C81"/>
    <w:rsid w:val="003F56AC"/>
    <w:rsid w:val="003F5805"/>
    <w:rsid w:val="003F5D81"/>
    <w:rsid w:val="003F5FCF"/>
    <w:rsid w:val="003F64AA"/>
    <w:rsid w:val="003F671E"/>
    <w:rsid w:val="003F67FC"/>
    <w:rsid w:val="003F7306"/>
    <w:rsid w:val="00400D76"/>
    <w:rsid w:val="00400D97"/>
    <w:rsid w:val="004014C2"/>
    <w:rsid w:val="004032C5"/>
    <w:rsid w:val="00405BFA"/>
    <w:rsid w:val="0041033D"/>
    <w:rsid w:val="00410719"/>
    <w:rsid w:val="0041083E"/>
    <w:rsid w:val="00410C2D"/>
    <w:rsid w:val="00410F67"/>
    <w:rsid w:val="00412C11"/>
    <w:rsid w:val="00413A51"/>
    <w:rsid w:val="00413C81"/>
    <w:rsid w:val="00413D77"/>
    <w:rsid w:val="00413D86"/>
    <w:rsid w:val="004159EC"/>
    <w:rsid w:val="004165BE"/>
    <w:rsid w:val="0041662E"/>
    <w:rsid w:val="00420621"/>
    <w:rsid w:val="004211BE"/>
    <w:rsid w:val="0042148F"/>
    <w:rsid w:val="004216FD"/>
    <w:rsid w:val="00421847"/>
    <w:rsid w:val="00421CDF"/>
    <w:rsid w:val="00421F4E"/>
    <w:rsid w:val="00423274"/>
    <w:rsid w:val="0042361E"/>
    <w:rsid w:val="004237C1"/>
    <w:rsid w:val="00423E8F"/>
    <w:rsid w:val="00424188"/>
    <w:rsid w:val="00424B78"/>
    <w:rsid w:val="0042618B"/>
    <w:rsid w:val="004268A4"/>
    <w:rsid w:val="00426A68"/>
    <w:rsid w:val="00426CD0"/>
    <w:rsid w:val="00426DFC"/>
    <w:rsid w:val="00427318"/>
    <w:rsid w:val="004278B5"/>
    <w:rsid w:val="00430050"/>
    <w:rsid w:val="0043013C"/>
    <w:rsid w:val="0043066E"/>
    <w:rsid w:val="0043234B"/>
    <w:rsid w:val="00432874"/>
    <w:rsid w:val="00433243"/>
    <w:rsid w:val="00434231"/>
    <w:rsid w:val="00434804"/>
    <w:rsid w:val="004348C3"/>
    <w:rsid w:val="00435612"/>
    <w:rsid w:val="00436796"/>
    <w:rsid w:val="00436BC5"/>
    <w:rsid w:val="00436E0B"/>
    <w:rsid w:val="0043765F"/>
    <w:rsid w:val="004378C3"/>
    <w:rsid w:val="00437A72"/>
    <w:rsid w:val="0044050B"/>
    <w:rsid w:val="00440BFA"/>
    <w:rsid w:val="004418CA"/>
    <w:rsid w:val="00441A16"/>
    <w:rsid w:val="00442966"/>
    <w:rsid w:val="00442A56"/>
    <w:rsid w:val="00442F84"/>
    <w:rsid w:val="00444B3B"/>
    <w:rsid w:val="00444C55"/>
    <w:rsid w:val="00444E5F"/>
    <w:rsid w:val="00444ECF"/>
    <w:rsid w:val="004478DB"/>
    <w:rsid w:val="004479CE"/>
    <w:rsid w:val="00447CC0"/>
    <w:rsid w:val="004504B0"/>
    <w:rsid w:val="00452860"/>
    <w:rsid w:val="00452B0B"/>
    <w:rsid w:val="00454805"/>
    <w:rsid w:val="00454DBE"/>
    <w:rsid w:val="00455154"/>
    <w:rsid w:val="00455373"/>
    <w:rsid w:val="00455528"/>
    <w:rsid w:val="004568A8"/>
    <w:rsid w:val="004572A8"/>
    <w:rsid w:val="004579C7"/>
    <w:rsid w:val="00457FA0"/>
    <w:rsid w:val="00460088"/>
    <w:rsid w:val="004600A2"/>
    <w:rsid w:val="004605FE"/>
    <w:rsid w:val="0046149F"/>
    <w:rsid w:val="0046188A"/>
    <w:rsid w:val="004624C9"/>
    <w:rsid w:val="004624F4"/>
    <w:rsid w:val="00462D99"/>
    <w:rsid w:val="0046463F"/>
    <w:rsid w:val="00464C8D"/>
    <w:rsid w:val="00465747"/>
    <w:rsid w:val="00465F79"/>
    <w:rsid w:val="00466027"/>
    <w:rsid w:val="0046619F"/>
    <w:rsid w:val="004662FF"/>
    <w:rsid w:val="004665A6"/>
    <w:rsid w:val="004668B8"/>
    <w:rsid w:val="00466E4F"/>
    <w:rsid w:val="00467C50"/>
    <w:rsid w:val="00470573"/>
    <w:rsid w:val="0047143B"/>
    <w:rsid w:val="00471E38"/>
    <w:rsid w:val="004720D5"/>
    <w:rsid w:val="00472AFC"/>
    <w:rsid w:val="004734FF"/>
    <w:rsid w:val="00473DFE"/>
    <w:rsid w:val="00473FD3"/>
    <w:rsid w:val="00474262"/>
    <w:rsid w:val="0047469F"/>
    <w:rsid w:val="00474F83"/>
    <w:rsid w:val="00475648"/>
    <w:rsid w:val="0047627D"/>
    <w:rsid w:val="0047672B"/>
    <w:rsid w:val="00476BA7"/>
    <w:rsid w:val="00477E79"/>
    <w:rsid w:val="00480061"/>
    <w:rsid w:val="00481AC2"/>
    <w:rsid w:val="00482A55"/>
    <w:rsid w:val="00482B93"/>
    <w:rsid w:val="004835F1"/>
    <w:rsid w:val="00483E7E"/>
    <w:rsid w:val="00485948"/>
    <w:rsid w:val="004862B9"/>
    <w:rsid w:val="004869F5"/>
    <w:rsid w:val="00486A23"/>
    <w:rsid w:val="00486F8D"/>
    <w:rsid w:val="00487368"/>
    <w:rsid w:val="0048747E"/>
    <w:rsid w:val="004925DE"/>
    <w:rsid w:val="00492D5A"/>
    <w:rsid w:val="004944AB"/>
    <w:rsid w:val="00494937"/>
    <w:rsid w:val="00495015"/>
    <w:rsid w:val="0049579D"/>
    <w:rsid w:val="004968B9"/>
    <w:rsid w:val="0049712B"/>
    <w:rsid w:val="00497264"/>
    <w:rsid w:val="00497785"/>
    <w:rsid w:val="00497D21"/>
    <w:rsid w:val="004A046A"/>
    <w:rsid w:val="004A0644"/>
    <w:rsid w:val="004A161D"/>
    <w:rsid w:val="004A1938"/>
    <w:rsid w:val="004A1DEC"/>
    <w:rsid w:val="004A353B"/>
    <w:rsid w:val="004A42BB"/>
    <w:rsid w:val="004A4365"/>
    <w:rsid w:val="004A45F2"/>
    <w:rsid w:val="004A48F8"/>
    <w:rsid w:val="004A4B65"/>
    <w:rsid w:val="004A5156"/>
    <w:rsid w:val="004A6EA1"/>
    <w:rsid w:val="004A6F85"/>
    <w:rsid w:val="004A7F5B"/>
    <w:rsid w:val="004B0B55"/>
    <w:rsid w:val="004B1A13"/>
    <w:rsid w:val="004B2C4B"/>
    <w:rsid w:val="004B3687"/>
    <w:rsid w:val="004B37C3"/>
    <w:rsid w:val="004B4163"/>
    <w:rsid w:val="004B42F2"/>
    <w:rsid w:val="004B5719"/>
    <w:rsid w:val="004B70DD"/>
    <w:rsid w:val="004B7895"/>
    <w:rsid w:val="004C02A5"/>
    <w:rsid w:val="004C0A2C"/>
    <w:rsid w:val="004C14A3"/>
    <w:rsid w:val="004C1A4B"/>
    <w:rsid w:val="004C1BFE"/>
    <w:rsid w:val="004C287C"/>
    <w:rsid w:val="004C2E70"/>
    <w:rsid w:val="004C37F5"/>
    <w:rsid w:val="004C406C"/>
    <w:rsid w:val="004C4DC6"/>
    <w:rsid w:val="004C5740"/>
    <w:rsid w:val="004C7EA0"/>
    <w:rsid w:val="004D064C"/>
    <w:rsid w:val="004D0B81"/>
    <w:rsid w:val="004D0B91"/>
    <w:rsid w:val="004D0C76"/>
    <w:rsid w:val="004D0D1E"/>
    <w:rsid w:val="004D13B4"/>
    <w:rsid w:val="004D210F"/>
    <w:rsid w:val="004D39DB"/>
    <w:rsid w:val="004D46DE"/>
    <w:rsid w:val="004D5319"/>
    <w:rsid w:val="004D6721"/>
    <w:rsid w:val="004D6C74"/>
    <w:rsid w:val="004D6D41"/>
    <w:rsid w:val="004D75F7"/>
    <w:rsid w:val="004D7A12"/>
    <w:rsid w:val="004D7A2A"/>
    <w:rsid w:val="004E0487"/>
    <w:rsid w:val="004E0A7C"/>
    <w:rsid w:val="004E1002"/>
    <w:rsid w:val="004E14CA"/>
    <w:rsid w:val="004E37BE"/>
    <w:rsid w:val="004E3922"/>
    <w:rsid w:val="004E3B68"/>
    <w:rsid w:val="004E3FB2"/>
    <w:rsid w:val="004E41A4"/>
    <w:rsid w:val="004E432C"/>
    <w:rsid w:val="004E4C04"/>
    <w:rsid w:val="004E5C43"/>
    <w:rsid w:val="004E5DFA"/>
    <w:rsid w:val="004E5ED8"/>
    <w:rsid w:val="004E65C8"/>
    <w:rsid w:val="004E751C"/>
    <w:rsid w:val="004E7A46"/>
    <w:rsid w:val="004F048A"/>
    <w:rsid w:val="004F0F74"/>
    <w:rsid w:val="004F1050"/>
    <w:rsid w:val="004F24B3"/>
    <w:rsid w:val="004F2D4A"/>
    <w:rsid w:val="004F3536"/>
    <w:rsid w:val="004F3C3E"/>
    <w:rsid w:val="004F3CC3"/>
    <w:rsid w:val="004F43AA"/>
    <w:rsid w:val="004F441A"/>
    <w:rsid w:val="004F5097"/>
    <w:rsid w:val="004F5C43"/>
    <w:rsid w:val="004F622C"/>
    <w:rsid w:val="004F6F45"/>
    <w:rsid w:val="004F6F7F"/>
    <w:rsid w:val="004F729D"/>
    <w:rsid w:val="005004B5"/>
    <w:rsid w:val="005009BC"/>
    <w:rsid w:val="00500FA3"/>
    <w:rsid w:val="00501160"/>
    <w:rsid w:val="00501846"/>
    <w:rsid w:val="00501943"/>
    <w:rsid w:val="00503E4C"/>
    <w:rsid w:val="00505637"/>
    <w:rsid w:val="00505C88"/>
    <w:rsid w:val="00506C98"/>
    <w:rsid w:val="00506DF6"/>
    <w:rsid w:val="005106B6"/>
    <w:rsid w:val="00510C67"/>
    <w:rsid w:val="00511EC0"/>
    <w:rsid w:val="00512BBB"/>
    <w:rsid w:val="00513552"/>
    <w:rsid w:val="005147E8"/>
    <w:rsid w:val="00514811"/>
    <w:rsid w:val="00514BB4"/>
    <w:rsid w:val="00514D14"/>
    <w:rsid w:val="005176C3"/>
    <w:rsid w:val="005177B9"/>
    <w:rsid w:val="00520C6F"/>
    <w:rsid w:val="00520E4F"/>
    <w:rsid w:val="0052146E"/>
    <w:rsid w:val="0052159B"/>
    <w:rsid w:val="0052233D"/>
    <w:rsid w:val="00524F45"/>
    <w:rsid w:val="00527832"/>
    <w:rsid w:val="00527B62"/>
    <w:rsid w:val="00530243"/>
    <w:rsid w:val="005308AF"/>
    <w:rsid w:val="00530D1F"/>
    <w:rsid w:val="00531229"/>
    <w:rsid w:val="00531B51"/>
    <w:rsid w:val="00532852"/>
    <w:rsid w:val="00532F48"/>
    <w:rsid w:val="00533E2D"/>
    <w:rsid w:val="005343DB"/>
    <w:rsid w:val="00534DEB"/>
    <w:rsid w:val="00535235"/>
    <w:rsid w:val="00535D4E"/>
    <w:rsid w:val="00535E28"/>
    <w:rsid w:val="005368F1"/>
    <w:rsid w:val="00537372"/>
    <w:rsid w:val="00540021"/>
    <w:rsid w:val="0054057E"/>
    <w:rsid w:val="00540AE8"/>
    <w:rsid w:val="005418E0"/>
    <w:rsid w:val="00543A2D"/>
    <w:rsid w:val="00543F30"/>
    <w:rsid w:val="005452B9"/>
    <w:rsid w:val="00546337"/>
    <w:rsid w:val="00546A53"/>
    <w:rsid w:val="00546BB2"/>
    <w:rsid w:val="00547206"/>
    <w:rsid w:val="005502F5"/>
    <w:rsid w:val="005505AE"/>
    <w:rsid w:val="005508DD"/>
    <w:rsid w:val="005509A5"/>
    <w:rsid w:val="0055127D"/>
    <w:rsid w:val="00552327"/>
    <w:rsid w:val="00553160"/>
    <w:rsid w:val="0055376B"/>
    <w:rsid w:val="005537AD"/>
    <w:rsid w:val="00554A06"/>
    <w:rsid w:val="00554BD6"/>
    <w:rsid w:val="005551E3"/>
    <w:rsid w:val="00555E09"/>
    <w:rsid w:val="00556587"/>
    <w:rsid w:val="00557428"/>
    <w:rsid w:val="00557715"/>
    <w:rsid w:val="00557BA3"/>
    <w:rsid w:val="0056033F"/>
    <w:rsid w:val="005606E1"/>
    <w:rsid w:val="005626EE"/>
    <w:rsid w:val="00562DE8"/>
    <w:rsid w:val="0056398E"/>
    <w:rsid w:val="00563FCE"/>
    <w:rsid w:val="005650D0"/>
    <w:rsid w:val="0056590B"/>
    <w:rsid w:val="00566191"/>
    <w:rsid w:val="00566E64"/>
    <w:rsid w:val="00566F17"/>
    <w:rsid w:val="00567900"/>
    <w:rsid w:val="00567996"/>
    <w:rsid w:val="00567F82"/>
    <w:rsid w:val="00570522"/>
    <w:rsid w:val="00571288"/>
    <w:rsid w:val="00571749"/>
    <w:rsid w:val="00571A24"/>
    <w:rsid w:val="00572333"/>
    <w:rsid w:val="00572908"/>
    <w:rsid w:val="00573476"/>
    <w:rsid w:val="005735EB"/>
    <w:rsid w:val="005737CB"/>
    <w:rsid w:val="00573C90"/>
    <w:rsid w:val="00573E2F"/>
    <w:rsid w:val="00575DA4"/>
    <w:rsid w:val="00575F54"/>
    <w:rsid w:val="00575FC8"/>
    <w:rsid w:val="005773F7"/>
    <w:rsid w:val="00577779"/>
    <w:rsid w:val="0057786A"/>
    <w:rsid w:val="00577E8A"/>
    <w:rsid w:val="00577F99"/>
    <w:rsid w:val="00580010"/>
    <w:rsid w:val="005809A6"/>
    <w:rsid w:val="00580A52"/>
    <w:rsid w:val="00580F8F"/>
    <w:rsid w:val="00581DC8"/>
    <w:rsid w:val="00581F29"/>
    <w:rsid w:val="0058205E"/>
    <w:rsid w:val="0058283F"/>
    <w:rsid w:val="00582A84"/>
    <w:rsid w:val="00582F18"/>
    <w:rsid w:val="00583DBD"/>
    <w:rsid w:val="005847F0"/>
    <w:rsid w:val="00585A7E"/>
    <w:rsid w:val="00586D93"/>
    <w:rsid w:val="00586E01"/>
    <w:rsid w:val="00586EA1"/>
    <w:rsid w:val="00587290"/>
    <w:rsid w:val="00587EA2"/>
    <w:rsid w:val="005917E7"/>
    <w:rsid w:val="00591866"/>
    <w:rsid w:val="00591B1D"/>
    <w:rsid w:val="00591D45"/>
    <w:rsid w:val="00592250"/>
    <w:rsid w:val="00592F0E"/>
    <w:rsid w:val="00593241"/>
    <w:rsid w:val="00593884"/>
    <w:rsid w:val="00593DE3"/>
    <w:rsid w:val="005947CB"/>
    <w:rsid w:val="00594901"/>
    <w:rsid w:val="005949D6"/>
    <w:rsid w:val="005960CC"/>
    <w:rsid w:val="00596869"/>
    <w:rsid w:val="00597454"/>
    <w:rsid w:val="00597566"/>
    <w:rsid w:val="00597EA5"/>
    <w:rsid w:val="005A00F8"/>
    <w:rsid w:val="005A09BD"/>
    <w:rsid w:val="005A0E73"/>
    <w:rsid w:val="005A0F1F"/>
    <w:rsid w:val="005A1039"/>
    <w:rsid w:val="005A1628"/>
    <w:rsid w:val="005A208C"/>
    <w:rsid w:val="005A22F4"/>
    <w:rsid w:val="005A2D27"/>
    <w:rsid w:val="005A4566"/>
    <w:rsid w:val="005A5354"/>
    <w:rsid w:val="005A5609"/>
    <w:rsid w:val="005A5B8F"/>
    <w:rsid w:val="005A5E28"/>
    <w:rsid w:val="005A769B"/>
    <w:rsid w:val="005A7845"/>
    <w:rsid w:val="005A794E"/>
    <w:rsid w:val="005A7DC6"/>
    <w:rsid w:val="005B0651"/>
    <w:rsid w:val="005B08A5"/>
    <w:rsid w:val="005B08CF"/>
    <w:rsid w:val="005B0A5F"/>
    <w:rsid w:val="005B1275"/>
    <w:rsid w:val="005B134A"/>
    <w:rsid w:val="005B15A4"/>
    <w:rsid w:val="005B222F"/>
    <w:rsid w:val="005B282F"/>
    <w:rsid w:val="005B2BD1"/>
    <w:rsid w:val="005B2DB5"/>
    <w:rsid w:val="005B34F8"/>
    <w:rsid w:val="005B366F"/>
    <w:rsid w:val="005B4268"/>
    <w:rsid w:val="005B46DB"/>
    <w:rsid w:val="005B49A0"/>
    <w:rsid w:val="005B62D8"/>
    <w:rsid w:val="005C0657"/>
    <w:rsid w:val="005C0D3E"/>
    <w:rsid w:val="005C0E06"/>
    <w:rsid w:val="005C146D"/>
    <w:rsid w:val="005C168E"/>
    <w:rsid w:val="005C1A7E"/>
    <w:rsid w:val="005C2A4C"/>
    <w:rsid w:val="005C3B93"/>
    <w:rsid w:val="005C48AF"/>
    <w:rsid w:val="005C4AB4"/>
    <w:rsid w:val="005C5064"/>
    <w:rsid w:val="005C553C"/>
    <w:rsid w:val="005C68DB"/>
    <w:rsid w:val="005C6C7D"/>
    <w:rsid w:val="005D1D64"/>
    <w:rsid w:val="005D2297"/>
    <w:rsid w:val="005D2972"/>
    <w:rsid w:val="005D2E33"/>
    <w:rsid w:val="005D2EAB"/>
    <w:rsid w:val="005D312B"/>
    <w:rsid w:val="005D3B22"/>
    <w:rsid w:val="005D48AD"/>
    <w:rsid w:val="005D4CE3"/>
    <w:rsid w:val="005D50F6"/>
    <w:rsid w:val="005D56BF"/>
    <w:rsid w:val="005D72C6"/>
    <w:rsid w:val="005D7B62"/>
    <w:rsid w:val="005D7D25"/>
    <w:rsid w:val="005E01EB"/>
    <w:rsid w:val="005E05D9"/>
    <w:rsid w:val="005E171A"/>
    <w:rsid w:val="005E22D0"/>
    <w:rsid w:val="005E2A35"/>
    <w:rsid w:val="005E332D"/>
    <w:rsid w:val="005E367F"/>
    <w:rsid w:val="005E38B5"/>
    <w:rsid w:val="005E43B4"/>
    <w:rsid w:val="005E5194"/>
    <w:rsid w:val="005E6705"/>
    <w:rsid w:val="005E6783"/>
    <w:rsid w:val="005E7550"/>
    <w:rsid w:val="005E7EF0"/>
    <w:rsid w:val="005F0BBE"/>
    <w:rsid w:val="005F181D"/>
    <w:rsid w:val="005F1B2F"/>
    <w:rsid w:val="005F25BF"/>
    <w:rsid w:val="005F28A8"/>
    <w:rsid w:val="005F3780"/>
    <w:rsid w:val="005F3AF5"/>
    <w:rsid w:val="005F3BDF"/>
    <w:rsid w:val="005F3CAB"/>
    <w:rsid w:val="005F4016"/>
    <w:rsid w:val="005F40AB"/>
    <w:rsid w:val="005F4284"/>
    <w:rsid w:val="005F498B"/>
    <w:rsid w:val="005F4D0E"/>
    <w:rsid w:val="005F5D18"/>
    <w:rsid w:val="005F63C5"/>
    <w:rsid w:val="005F6B06"/>
    <w:rsid w:val="005F7088"/>
    <w:rsid w:val="005F7A1D"/>
    <w:rsid w:val="005F7D9A"/>
    <w:rsid w:val="00600413"/>
    <w:rsid w:val="006013F4"/>
    <w:rsid w:val="00602760"/>
    <w:rsid w:val="00604448"/>
    <w:rsid w:val="00604713"/>
    <w:rsid w:val="00605F8C"/>
    <w:rsid w:val="006062FC"/>
    <w:rsid w:val="00606B1F"/>
    <w:rsid w:val="00610AF9"/>
    <w:rsid w:val="00611F07"/>
    <w:rsid w:val="00612A54"/>
    <w:rsid w:val="006130BB"/>
    <w:rsid w:val="00613182"/>
    <w:rsid w:val="00613D36"/>
    <w:rsid w:val="00614D58"/>
    <w:rsid w:val="0061613E"/>
    <w:rsid w:val="00616543"/>
    <w:rsid w:val="00616844"/>
    <w:rsid w:val="00616E5B"/>
    <w:rsid w:val="00617E8C"/>
    <w:rsid w:val="0062030B"/>
    <w:rsid w:val="006217C7"/>
    <w:rsid w:val="00621F8D"/>
    <w:rsid w:val="00622002"/>
    <w:rsid w:val="0062258F"/>
    <w:rsid w:val="00622D1A"/>
    <w:rsid w:val="0062388D"/>
    <w:rsid w:val="00623B25"/>
    <w:rsid w:val="00624216"/>
    <w:rsid w:val="00624C0F"/>
    <w:rsid w:val="0062544F"/>
    <w:rsid w:val="00627C5A"/>
    <w:rsid w:val="00627CDF"/>
    <w:rsid w:val="00630E58"/>
    <w:rsid w:val="00632258"/>
    <w:rsid w:val="00632D55"/>
    <w:rsid w:val="00633039"/>
    <w:rsid w:val="00633054"/>
    <w:rsid w:val="00633146"/>
    <w:rsid w:val="00633852"/>
    <w:rsid w:val="006350E8"/>
    <w:rsid w:val="00635C11"/>
    <w:rsid w:val="00636A8E"/>
    <w:rsid w:val="00637F3B"/>
    <w:rsid w:val="006403C6"/>
    <w:rsid w:val="00640883"/>
    <w:rsid w:val="00641194"/>
    <w:rsid w:val="00642395"/>
    <w:rsid w:val="00642BCA"/>
    <w:rsid w:val="00642CB6"/>
    <w:rsid w:val="00642F62"/>
    <w:rsid w:val="006433FD"/>
    <w:rsid w:val="00643834"/>
    <w:rsid w:val="0064388D"/>
    <w:rsid w:val="00644347"/>
    <w:rsid w:val="0064499C"/>
    <w:rsid w:val="00644A18"/>
    <w:rsid w:val="00646F73"/>
    <w:rsid w:val="00647399"/>
    <w:rsid w:val="006476EB"/>
    <w:rsid w:val="00647E2E"/>
    <w:rsid w:val="00650220"/>
    <w:rsid w:val="00650C91"/>
    <w:rsid w:val="00651099"/>
    <w:rsid w:val="0065152F"/>
    <w:rsid w:val="00651628"/>
    <w:rsid w:val="00651B4A"/>
    <w:rsid w:val="0065285A"/>
    <w:rsid w:val="0065295C"/>
    <w:rsid w:val="00654118"/>
    <w:rsid w:val="0065422B"/>
    <w:rsid w:val="00654792"/>
    <w:rsid w:val="00654D77"/>
    <w:rsid w:val="00656218"/>
    <w:rsid w:val="00657278"/>
    <w:rsid w:val="00657FF9"/>
    <w:rsid w:val="006603E6"/>
    <w:rsid w:val="00661464"/>
    <w:rsid w:val="00661836"/>
    <w:rsid w:val="00661DE2"/>
    <w:rsid w:val="0066289A"/>
    <w:rsid w:val="00662A44"/>
    <w:rsid w:val="00663141"/>
    <w:rsid w:val="00663378"/>
    <w:rsid w:val="00663868"/>
    <w:rsid w:val="00663EF6"/>
    <w:rsid w:val="0066461A"/>
    <w:rsid w:val="00665509"/>
    <w:rsid w:val="00665B5E"/>
    <w:rsid w:val="006662DD"/>
    <w:rsid w:val="00666547"/>
    <w:rsid w:val="00666B06"/>
    <w:rsid w:val="00667F68"/>
    <w:rsid w:val="00671390"/>
    <w:rsid w:val="0067153A"/>
    <w:rsid w:val="006716E9"/>
    <w:rsid w:val="00671E65"/>
    <w:rsid w:val="006724C7"/>
    <w:rsid w:val="0067353E"/>
    <w:rsid w:val="00673862"/>
    <w:rsid w:val="00674038"/>
    <w:rsid w:val="006740BE"/>
    <w:rsid w:val="00674251"/>
    <w:rsid w:val="00674711"/>
    <w:rsid w:val="00674E90"/>
    <w:rsid w:val="0067534D"/>
    <w:rsid w:val="00675615"/>
    <w:rsid w:val="00675A18"/>
    <w:rsid w:val="00675D0F"/>
    <w:rsid w:val="006760AE"/>
    <w:rsid w:val="006765FB"/>
    <w:rsid w:val="00676A4D"/>
    <w:rsid w:val="00677604"/>
    <w:rsid w:val="0067769A"/>
    <w:rsid w:val="00680AF6"/>
    <w:rsid w:val="00680AFB"/>
    <w:rsid w:val="0068100C"/>
    <w:rsid w:val="00681659"/>
    <w:rsid w:val="00682075"/>
    <w:rsid w:val="00682269"/>
    <w:rsid w:val="00682724"/>
    <w:rsid w:val="00682DEB"/>
    <w:rsid w:val="006838B1"/>
    <w:rsid w:val="00684A49"/>
    <w:rsid w:val="00686702"/>
    <w:rsid w:val="00686D0E"/>
    <w:rsid w:val="006873A6"/>
    <w:rsid w:val="00687E3A"/>
    <w:rsid w:val="00690013"/>
    <w:rsid w:val="0069003E"/>
    <w:rsid w:val="00690295"/>
    <w:rsid w:val="006908A9"/>
    <w:rsid w:val="00690E40"/>
    <w:rsid w:val="006917B7"/>
    <w:rsid w:val="00691A8B"/>
    <w:rsid w:val="00692222"/>
    <w:rsid w:val="00692A5D"/>
    <w:rsid w:val="00693F8F"/>
    <w:rsid w:val="00694641"/>
    <w:rsid w:val="00694F52"/>
    <w:rsid w:val="006952B0"/>
    <w:rsid w:val="00695904"/>
    <w:rsid w:val="006960E8"/>
    <w:rsid w:val="00696A94"/>
    <w:rsid w:val="00697025"/>
    <w:rsid w:val="006A0778"/>
    <w:rsid w:val="006A1057"/>
    <w:rsid w:val="006A1D49"/>
    <w:rsid w:val="006A1D73"/>
    <w:rsid w:val="006A2057"/>
    <w:rsid w:val="006A2359"/>
    <w:rsid w:val="006A3A7C"/>
    <w:rsid w:val="006A586C"/>
    <w:rsid w:val="006A5A36"/>
    <w:rsid w:val="006A61DA"/>
    <w:rsid w:val="006A7312"/>
    <w:rsid w:val="006A7ADB"/>
    <w:rsid w:val="006A7C7B"/>
    <w:rsid w:val="006A7E02"/>
    <w:rsid w:val="006B179E"/>
    <w:rsid w:val="006B1F32"/>
    <w:rsid w:val="006B2006"/>
    <w:rsid w:val="006B22C2"/>
    <w:rsid w:val="006B2B3D"/>
    <w:rsid w:val="006B2F07"/>
    <w:rsid w:val="006B2FA7"/>
    <w:rsid w:val="006B3BF6"/>
    <w:rsid w:val="006B498D"/>
    <w:rsid w:val="006B4A7D"/>
    <w:rsid w:val="006B4ED1"/>
    <w:rsid w:val="006B5441"/>
    <w:rsid w:val="006B6568"/>
    <w:rsid w:val="006B7286"/>
    <w:rsid w:val="006B74C3"/>
    <w:rsid w:val="006B74E7"/>
    <w:rsid w:val="006C0F1D"/>
    <w:rsid w:val="006C139D"/>
    <w:rsid w:val="006C182E"/>
    <w:rsid w:val="006C1DC4"/>
    <w:rsid w:val="006C2C84"/>
    <w:rsid w:val="006C2EF5"/>
    <w:rsid w:val="006C3300"/>
    <w:rsid w:val="006C3D96"/>
    <w:rsid w:val="006C443A"/>
    <w:rsid w:val="006C53E5"/>
    <w:rsid w:val="006C6446"/>
    <w:rsid w:val="006C66E0"/>
    <w:rsid w:val="006C6CD5"/>
    <w:rsid w:val="006C7194"/>
    <w:rsid w:val="006C743B"/>
    <w:rsid w:val="006C7A24"/>
    <w:rsid w:val="006C7ABF"/>
    <w:rsid w:val="006D00F5"/>
    <w:rsid w:val="006D0F02"/>
    <w:rsid w:val="006D122F"/>
    <w:rsid w:val="006D1C3B"/>
    <w:rsid w:val="006D1E27"/>
    <w:rsid w:val="006D22EE"/>
    <w:rsid w:val="006D2715"/>
    <w:rsid w:val="006D2F63"/>
    <w:rsid w:val="006D3407"/>
    <w:rsid w:val="006D3433"/>
    <w:rsid w:val="006D38EB"/>
    <w:rsid w:val="006D4552"/>
    <w:rsid w:val="006D484A"/>
    <w:rsid w:val="006D4ED0"/>
    <w:rsid w:val="006D51AE"/>
    <w:rsid w:val="006D59CD"/>
    <w:rsid w:val="006D60E2"/>
    <w:rsid w:val="006D6657"/>
    <w:rsid w:val="006D6D0B"/>
    <w:rsid w:val="006D6E5A"/>
    <w:rsid w:val="006D75AB"/>
    <w:rsid w:val="006D76D6"/>
    <w:rsid w:val="006D799B"/>
    <w:rsid w:val="006D7B7D"/>
    <w:rsid w:val="006E03BC"/>
    <w:rsid w:val="006E0453"/>
    <w:rsid w:val="006E0599"/>
    <w:rsid w:val="006E0712"/>
    <w:rsid w:val="006E1536"/>
    <w:rsid w:val="006E179A"/>
    <w:rsid w:val="006E2B71"/>
    <w:rsid w:val="006E2C1C"/>
    <w:rsid w:val="006E3074"/>
    <w:rsid w:val="006E3556"/>
    <w:rsid w:val="006E384C"/>
    <w:rsid w:val="006E3C80"/>
    <w:rsid w:val="006E4194"/>
    <w:rsid w:val="006F130A"/>
    <w:rsid w:val="006F1B9D"/>
    <w:rsid w:val="006F2299"/>
    <w:rsid w:val="006F276B"/>
    <w:rsid w:val="006F2B06"/>
    <w:rsid w:val="006F3696"/>
    <w:rsid w:val="006F3F1F"/>
    <w:rsid w:val="006F428C"/>
    <w:rsid w:val="006F4E7B"/>
    <w:rsid w:val="006F4F0A"/>
    <w:rsid w:val="006F501B"/>
    <w:rsid w:val="006F53E0"/>
    <w:rsid w:val="006F5D41"/>
    <w:rsid w:val="006F6FC4"/>
    <w:rsid w:val="006F7A94"/>
    <w:rsid w:val="007003C2"/>
    <w:rsid w:val="00700A4C"/>
    <w:rsid w:val="0070151C"/>
    <w:rsid w:val="007016EB"/>
    <w:rsid w:val="00701FF5"/>
    <w:rsid w:val="007029AC"/>
    <w:rsid w:val="00703616"/>
    <w:rsid w:val="00703AE7"/>
    <w:rsid w:val="00703CE6"/>
    <w:rsid w:val="00705CBF"/>
    <w:rsid w:val="0070750B"/>
    <w:rsid w:val="00707E9B"/>
    <w:rsid w:val="00707F83"/>
    <w:rsid w:val="00707FF1"/>
    <w:rsid w:val="007108ED"/>
    <w:rsid w:val="00711566"/>
    <w:rsid w:val="00712466"/>
    <w:rsid w:val="00712C1C"/>
    <w:rsid w:val="00713416"/>
    <w:rsid w:val="00713FF9"/>
    <w:rsid w:val="00714363"/>
    <w:rsid w:val="0071446D"/>
    <w:rsid w:val="00714E5B"/>
    <w:rsid w:val="007157B6"/>
    <w:rsid w:val="00715AF2"/>
    <w:rsid w:val="00716E29"/>
    <w:rsid w:val="00717669"/>
    <w:rsid w:val="007177AA"/>
    <w:rsid w:val="00717A5A"/>
    <w:rsid w:val="007200EC"/>
    <w:rsid w:val="00720CA5"/>
    <w:rsid w:val="00720F91"/>
    <w:rsid w:val="007212B6"/>
    <w:rsid w:val="00721B81"/>
    <w:rsid w:val="00721C76"/>
    <w:rsid w:val="00721CE4"/>
    <w:rsid w:val="00722103"/>
    <w:rsid w:val="007226A0"/>
    <w:rsid w:val="0072272E"/>
    <w:rsid w:val="0072332F"/>
    <w:rsid w:val="0072341F"/>
    <w:rsid w:val="00723B37"/>
    <w:rsid w:val="007243BC"/>
    <w:rsid w:val="007253A9"/>
    <w:rsid w:val="007254FA"/>
    <w:rsid w:val="00726CEF"/>
    <w:rsid w:val="00727055"/>
    <w:rsid w:val="007275AE"/>
    <w:rsid w:val="007300B8"/>
    <w:rsid w:val="007304EA"/>
    <w:rsid w:val="007305A4"/>
    <w:rsid w:val="007309AB"/>
    <w:rsid w:val="007312D4"/>
    <w:rsid w:val="007330FD"/>
    <w:rsid w:val="007332BE"/>
    <w:rsid w:val="00733812"/>
    <w:rsid w:val="00733EE6"/>
    <w:rsid w:val="00734017"/>
    <w:rsid w:val="00734DD5"/>
    <w:rsid w:val="00734FA9"/>
    <w:rsid w:val="007351A1"/>
    <w:rsid w:val="00735912"/>
    <w:rsid w:val="00735ACF"/>
    <w:rsid w:val="00736893"/>
    <w:rsid w:val="00736946"/>
    <w:rsid w:val="00736C76"/>
    <w:rsid w:val="007370F3"/>
    <w:rsid w:val="007379D7"/>
    <w:rsid w:val="00740E04"/>
    <w:rsid w:val="00740E8A"/>
    <w:rsid w:val="00741010"/>
    <w:rsid w:val="00742DC4"/>
    <w:rsid w:val="00742EE8"/>
    <w:rsid w:val="00743BEB"/>
    <w:rsid w:val="00744280"/>
    <w:rsid w:val="00745254"/>
    <w:rsid w:val="00745B44"/>
    <w:rsid w:val="007469C6"/>
    <w:rsid w:val="00746D7C"/>
    <w:rsid w:val="007472E9"/>
    <w:rsid w:val="00747872"/>
    <w:rsid w:val="007478EC"/>
    <w:rsid w:val="00750199"/>
    <w:rsid w:val="00750FC5"/>
    <w:rsid w:val="007520D5"/>
    <w:rsid w:val="00752DA0"/>
    <w:rsid w:val="007542AF"/>
    <w:rsid w:val="007548CC"/>
    <w:rsid w:val="00754943"/>
    <w:rsid w:val="00754A30"/>
    <w:rsid w:val="00754B0B"/>
    <w:rsid w:val="00755294"/>
    <w:rsid w:val="007554A0"/>
    <w:rsid w:val="007555DF"/>
    <w:rsid w:val="00755997"/>
    <w:rsid w:val="00755A04"/>
    <w:rsid w:val="00756959"/>
    <w:rsid w:val="007569E0"/>
    <w:rsid w:val="00761846"/>
    <w:rsid w:val="00763D35"/>
    <w:rsid w:val="00763D83"/>
    <w:rsid w:val="00763F45"/>
    <w:rsid w:val="00764193"/>
    <w:rsid w:val="00765417"/>
    <w:rsid w:val="00765499"/>
    <w:rsid w:val="00765BE8"/>
    <w:rsid w:val="00765CC5"/>
    <w:rsid w:val="0076610D"/>
    <w:rsid w:val="0076672E"/>
    <w:rsid w:val="00767128"/>
    <w:rsid w:val="007675EE"/>
    <w:rsid w:val="00767924"/>
    <w:rsid w:val="00767DDC"/>
    <w:rsid w:val="007703D6"/>
    <w:rsid w:val="007717DF"/>
    <w:rsid w:val="00772507"/>
    <w:rsid w:val="0077426C"/>
    <w:rsid w:val="00774853"/>
    <w:rsid w:val="00774B5A"/>
    <w:rsid w:val="007751AB"/>
    <w:rsid w:val="007752FD"/>
    <w:rsid w:val="00775536"/>
    <w:rsid w:val="0077588A"/>
    <w:rsid w:val="00775B5B"/>
    <w:rsid w:val="00775FC0"/>
    <w:rsid w:val="00776709"/>
    <w:rsid w:val="00776C41"/>
    <w:rsid w:val="00780325"/>
    <w:rsid w:val="00780583"/>
    <w:rsid w:val="00780D1B"/>
    <w:rsid w:val="00780D9F"/>
    <w:rsid w:val="00780DEB"/>
    <w:rsid w:val="00780E53"/>
    <w:rsid w:val="00780EB4"/>
    <w:rsid w:val="00781220"/>
    <w:rsid w:val="00781939"/>
    <w:rsid w:val="00781AA7"/>
    <w:rsid w:val="00781C11"/>
    <w:rsid w:val="00782418"/>
    <w:rsid w:val="00782AC5"/>
    <w:rsid w:val="00782DA5"/>
    <w:rsid w:val="00783242"/>
    <w:rsid w:val="007834A4"/>
    <w:rsid w:val="00783A6F"/>
    <w:rsid w:val="007853E6"/>
    <w:rsid w:val="00785CC6"/>
    <w:rsid w:val="00785D8E"/>
    <w:rsid w:val="00785F46"/>
    <w:rsid w:val="0078646F"/>
    <w:rsid w:val="00786471"/>
    <w:rsid w:val="00786717"/>
    <w:rsid w:val="00786863"/>
    <w:rsid w:val="007871C0"/>
    <w:rsid w:val="00787250"/>
    <w:rsid w:val="007872AA"/>
    <w:rsid w:val="007876DB"/>
    <w:rsid w:val="00787CBF"/>
    <w:rsid w:val="00790F00"/>
    <w:rsid w:val="0079117C"/>
    <w:rsid w:val="00791651"/>
    <w:rsid w:val="00791845"/>
    <w:rsid w:val="007918BA"/>
    <w:rsid w:val="0079200D"/>
    <w:rsid w:val="0079280F"/>
    <w:rsid w:val="007934BE"/>
    <w:rsid w:val="0079390F"/>
    <w:rsid w:val="00793F68"/>
    <w:rsid w:val="0079499F"/>
    <w:rsid w:val="00795D17"/>
    <w:rsid w:val="00795F47"/>
    <w:rsid w:val="007963D6"/>
    <w:rsid w:val="007965D4"/>
    <w:rsid w:val="00797163"/>
    <w:rsid w:val="00797E9B"/>
    <w:rsid w:val="007A124E"/>
    <w:rsid w:val="007A198B"/>
    <w:rsid w:val="007A2093"/>
    <w:rsid w:val="007A2422"/>
    <w:rsid w:val="007A2DF2"/>
    <w:rsid w:val="007A3462"/>
    <w:rsid w:val="007A465B"/>
    <w:rsid w:val="007A4C67"/>
    <w:rsid w:val="007A5087"/>
    <w:rsid w:val="007A633C"/>
    <w:rsid w:val="007A7D03"/>
    <w:rsid w:val="007B0484"/>
    <w:rsid w:val="007B048F"/>
    <w:rsid w:val="007B249B"/>
    <w:rsid w:val="007B24B3"/>
    <w:rsid w:val="007B25BC"/>
    <w:rsid w:val="007B25FB"/>
    <w:rsid w:val="007B287C"/>
    <w:rsid w:val="007B2A71"/>
    <w:rsid w:val="007B3D40"/>
    <w:rsid w:val="007B4771"/>
    <w:rsid w:val="007B494B"/>
    <w:rsid w:val="007B4A64"/>
    <w:rsid w:val="007B4DA8"/>
    <w:rsid w:val="007B5A58"/>
    <w:rsid w:val="007B5B88"/>
    <w:rsid w:val="007B719B"/>
    <w:rsid w:val="007B7976"/>
    <w:rsid w:val="007C0FCB"/>
    <w:rsid w:val="007C123A"/>
    <w:rsid w:val="007C16EA"/>
    <w:rsid w:val="007C1A7B"/>
    <w:rsid w:val="007C24FD"/>
    <w:rsid w:val="007C29EA"/>
    <w:rsid w:val="007C315C"/>
    <w:rsid w:val="007C3733"/>
    <w:rsid w:val="007C44EE"/>
    <w:rsid w:val="007C56D2"/>
    <w:rsid w:val="007C573A"/>
    <w:rsid w:val="007C5A65"/>
    <w:rsid w:val="007C5DB0"/>
    <w:rsid w:val="007C6D99"/>
    <w:rsid w:val="007C7A58"/>
    <w:rsid w:val="007D0BAD"/>
    <w:rsid w:val="007D11A7"/>
    <w:rsid w:val="007D123A"/>
    <w:rsid w:val="007D1F08"/>
    <w:rsid w:val="007D3706"/>
    <w:rsid w:val="007D3873"/>
    <w:rsid w:val="007D499B"/>
    <w:rsid w:val="007D4AD9"/>
    <w:rsid w:val="007D4B92"/>
    <w:rsid w:val="007D56CB"/>
    <w:rsid w:val="007D5AA6"/>
    <w:rsid w:val="007D6253"/>
    <w:rsid w:val="007D6683"/>
    <w:rsid w:val="007D6C9F"/>
    <w:rsid w:val="007E1757"/>
    <w:rsid w:val="007E1E72"/>
    <w:rsid w:val="007E1E94"/>
    <w:rsid w:val="007E2A56"/>
    <w:rsid w:val="007E2AB5"/>
    <w:rsid w:val="007E3330"/>
    <w:rsid w:val="007E4270"/>
    <w:rsid w:val="007E4382"/>
    <w:rsid w:val="007E4577"/>
    <w:rsid w:val="007E4705"/>
    <w:rsid w:val="007E49FF"/>
    <w:rsid w:val="007E4ADB"/>
    <w:rsid w:val="007E69E0"/>
    <w:rsid w:val="007E6A32"/>
    <w:rsid w:val="007E6A81"/>
    <w:rsid w:val="007E7707"/>
    <w:rsid w:val="007E78DC"/>
    <w:rsid w:val="007E7E0A"/>
    <w:rsid w:val="007F01C0"/>
    <w:rsid w:val="007F0449"/>
    <w:rsid w:val="007F11AE"/>
    <w:rsid w:val="007F1409"/>
    <w:rsid w:val="007F1666"/>
    <w:rsid w:val="007F2145"/>
    <w:rsid w:val="007F2392"/>
    <w:rsid w:val="007F2416"/>
    <w:rsid w:val="007F299E"/>
    <w:rsid w:val="007F3357"/>
    <w:rsid w:val="007F4AA4"/>
    <w:rsid w:val="007F5000"/>
    <w:rsid w:val="007F58F7"/>
    <w:rsid w:val="007F6165"/>
    <w:rsid w:val="007F6799"/>
    <w:rsid w:val="007F6E3C"/>
    <w:rsid w:val="007F7136"/>
    <w:rsid w:val="00800528"/>
    <w:rsid w:val="0080120E"/>
    <w:rsid w:val="0080199D"/>
    <w:rsid w:val="00801DDA"/>
    <w:rsid w:val="00801E25"/>
    <w:rsid w:val="008022B8"/>
    <w:rsid w:val="00802827"/>
    <w:rsid w:val="00802ABE"/>
    <w:rsid w:val="008031AE"/>
    <w:rsid w:val="00804223"/>
    <w:rsid w:val="0080429D"/>
    <w:rsid w:val="008044C5"/>
    <w:rsid w:val="00804D3A"/>
    <w:rsid w:val="00804E8A"/>
    <w:rsid w:val="00805799"/>
    <w:rsid w:val="00806327"/>
    <w:rsid w:val="0080636E"/>
    <w:rsid w:val="0080639E"/>
    <w:rsid w:val="008066D5"/>
    <w:rsid w:val="00806C5B"/>
    <w:rsid w:val="00810708"/>
    <w:rsid w:val="00810C23"/>
    <w:rsid w:val="008114A4"/>
    <w:rsid w:val="00812047"/>
    <w:rsid w:val="008122E2"/>
    <w:rsid w:val="0081319D"/>
    <w:rsid w:val="0081391E"/>
    <w:rsid w:val="008139D8"/>
    <w:rsid w:val="00815295"/>
    <w:rsid w:val="00815B76"/>
    <w:rsid w:val="00816697"/>
    <w:rsid w:val="00816C68"/>
    <w:rsid w:val="00816CB7"/>
    <w:rsid w:val="008178C5"/>
    <w:rsid w:val="00817946"/>
    <w:rsid w:val="00817F50"/>
    <w:rsid w:val="00820437"/>
    <w:rsid w:val="00820705"/>
    <w:rsid w:val="00821569"/>
    <w:rsid w:val="00823A58"/>
    <w:rsid w:val="00823A71"/>
    <w:rsid w:val="00824C85"/>
    <w:rsid w:val="00825986"/>
    <w:rsid w:val="00825C2B"/>
    <w:rsid w:val="00825F09"/>
    <w:rsid w:val="008261D9"/>
    <w:rsid w:val="008269B8"/>
    <w:rsid w:val="00826E75"/>
    <w:rsid w:val="008270E3"/>
    <w:rsid w:val="008305A3"/>
    <w:rsid w:val="00830792"/>
    <w:rsid w:val="00830D38"/>
    <w:rsid w:val="00831584"/>
    <w:rsid w:val="008318A1"/>
    <w:rsid w:val="00831C9B"/>
    <w:rsid w:val="00831DCC"/>
    <w:rsid w:val="008321C6"/>
    <w:rsid w:val="00832704"/>
    <w:rsid w:val="00832EC0"/>
    <w:rsid w:val="00833BE8"/>
    <w:rsid w:val="008345EC"/>
    <w:rsid w:val="008350A6"/>
    <w:rsid w:val="0083544F"/>
    <w:rsid w:val="00840071"/>
    <w:rsid w:val="0084076D"/>
    <w:rsid w:val="008413A9"/>
    <w:rsid w:val="00843005"/>
    <w:rsid w:val="00843200"/>
    <w:rsid w:val="00844D85"/>
    <w:rsid w:val="008452D3"/>
    <w:rsid w:val="00845501"/>
    <w:rsid w:val="00845D41"/>
    <w:rsid w:val="00847410"/>
    <w:rsid w:val="00847E16"/>
    <w:rsid w:val="008501B8"/>
    <w:rsid w:val="00851339"/>
    <w:rsid w:val="00851846"/>
    <w:rsid w:val="00851D5B"/>
    <w:rsid w:val="00852749"/>
    <w:rsid w:val="00852E3E"/>
    <w:rsid w:val="00854BEC"/>
    <w:rsid w:val="00855373"/>
    <w:rsid w:val="008556B7"/>
    <w:rsid w:val="00855729"/>
    <w:rsid w:val="00856E64"/>
    <w:rsid w:val="00857367"/>
    <w:rsid w:val="00857492"/>
    <w:rsid w:val="00857726"/>
    <w:rsid w:val="00857C2E"/>
    <w:rsid w:val="00860399"/>
    <w:rsid w:val="008603F8"/>
    <w:rsid w:val="0086041A"/>
    <w:rsid w:val="00860442"/>
    <w:rsid w:val="00861372"/>
    <w:rsid w:val="00861ACF"/>
    <w:rsid w:val="00862444"/>
    <w:rsid w:val="00862CAC"/>
    <w:rsid w:val="00863211"/>
    <w:rsid w:val="00863CD7"/>
    <w:rsid w:val="008640B0"/>
    <w:rsid w:val="008653D7"/>
    <w:rsid w:val="00865E35"/>
    <w:rsid w:val="008667CF"/>
    <w:rsid w:val="00867253"/>
    <w:rsid w:val="00870645"/>
    <w:rsid w:val="00870C80"/>
    <w:rsid w:val="008716E5"/>
    <w:rsid w:val="008719CD"/>
    <w:rsid w:val="00871F34"/>
    <w:rsid w:val="008729D0"/>
    <w:rsid w:val="00872A0C"/>
    <w:rsid w:val="00872F37"/>
    <w:rsid w:val="008731AD"/>
    <w:rsid w:val="008732CD"/>
    <w:rsid w:val="008744D7"/>
    <w:rsid w:val="00874D23"/>
    <w:rsid w:val="0087506F"/>
    <w:rsid w:val="008762BF"/>
    <w:rsid w:val="008763E6"/>
    <w:rsid w:val="008764DC"/>
    <w:rsid w:val="00876CA2"/>
    <w:rsid w:val="0087783C"/>
    <w:rsid w:val="008800D5"/>
    <w:rsid w:val="008803E3"/>
    <w:rsid w:val="00880D3D"/>
    <w:rsid w:val="00880D4E"/>
    <w:rsid w:val="00881416"/>
    <w:rsid w:val="00881A78"/>
    <w:rsid w:val="008821E6"/>
    <w:rsid w:val="008822C3"/>
    <w:rsid w:val="008829A4"/>
    <w:rsid w:val="00882CFB"/>
    <w:rsid w:val="008831E7"/>
    <w:rsid w:val="00883735"/>
    <w:rsid w:val="00883744"/>
    <w:rsid w:val="00883755"/>
    <w:rsid w:val="00883E8F"/>
    <w:rsid w:val="0088459F"/>
    <w:rsid w:val="00884779"/>
    <w:rsid w:val="008848DA"/>
    <w:rsid w:val="00884C82"/>
    <w:rsid w:val="008851C6"/>
    <w:rsid w:val="00885EC9"/>
    <w:rsid w:val="00886734"/>
    <w:rsid w:val="00887003"/>
    <w:rsid w:val="0088737D"/>
    <w:rsid w:val="008903C5"/>
    <w:rsid w:val="00891061"/>
    <w:rsid w:val="008911EA"/>
    <w:rsid w:val="008914DE"/>
    <w:rsid w:val="008919D9"/>
    <w:rsid w:val="00891E21"/>
    <w:rsid w:val="00891F73"/>
    <w:rsid w:val="008926D9"/>
    <w:rsid w:val="00892FD9"/>
    <w:rsid w:val="0089317B"/>
    <w:rsid w:val="00893E90"/>
    <w:rsid w:val="00894602"/>
    <w:rsid w:val="00894FF6"/>
    <w:rsid w:val="0089634C"/>
    <w:rsid w:val="008A0176"/>
    <w:rsid w:val="008A08DF"/>
    <w:rsid w:val="008A1598"/>
    <w:rsid w:val="008A214B"/>
    <w:rsid w:val="008A2B9F"/>
    <w:rsid w:val="008A2E3A"/>
    <w:rsid w:val="008A3735"/>
    <w:rsid w:val="008A43D6"/>
    <w:rsid w:val="008A497C"/>
    <w:rsid w:val="008A4BCD"/>
    <w:rsid w:val="008A4F46"/>
    <w:rsid w:val="008A7740"/>
    <w:rsid w:val="008A7F9B"/>
    <w:rsid w:val="008B0EB9"/>
    <w:rsid w:val="008B14F5"/>
    <w:rsid w:val="008B22E3"/>
    <w:rsid w:val="008B2DFA"/>
    <w:rsid w:val="008B2FEA"/>
    <w:rsid w:val="008B48CE"/>
    <w:rsid w:val="008B5DCE"/>
    <w:rsid w:val="008B7417"/>
    <w:rsid w:val="008C0720"/>
    <w:rsid w:val="008C08D0"/>
    <w:rsid w:val="008C10BC"/>
    <w:rsid w:val="008C145B"/>
    <w:rsid w:val="008C190D"/>
    <w:rsid w:val="008C1DD4"/>
    <w:rsid w:val="008C22E3"/>
    <w:rsid w:val="008C25BB"/>
    <w:rsid w:val="008C2DC3"/>
    <w:rsid w:val="008C314C"/>
    <w:rsid w:val="008C33DA"/>
    <w:rsid w:val="008C36BB"/>
    <w:rsid w:val="008C3922"/>
    <w:rsid w:val="008C3D0E"/>
    <w:rsid w:val="008C43CD"/>
    <w:rsid w:val="008C502B"/>
    <w:rsid w:val="008C5123"/>
    <w:rsid w:val="008C52C0"/>
    <w:rsid w:val="008C55F6"/>
    <w:rsid w:val="008C66C5"/>
    <w:rsid w:val="008D0BB7"/>
    <w:rsid w:val="008D1CFF"/>
    <w:rsid w:val="008D276C"/>
    <w:rsid w:val="008D2DED"/>
    <w:rsid w:val="008D3853"/>
    <w:rsid w:val="008D52F6"/>
    <w:rsid w:val="008D5A5A"/>
    <w:rsid w:val="008D6571"/>
    <w:rsid w:val="008D66EE"/>
    <w:rsid w:val="008D6756"/>
    <w:rsid w:val="008D6D62"/>
    <w:rsid w:val="008D79B0"/>
    <w:rsid w:val="008D7A05"/>
    <w:rsid w:val="008E0D76"/>
    <w:rsid w:val="008E252C"/>
    <w:rsid w:val="008E2C5D"/>
    <w:rsid w:val="008E2D3F"/>
    <w:rsid w:val="008E3BED"/>
    <w:rsid w:val="008E4097"/>
    <w:rsid w:val="008E43E5"/>
    <w:rsid w:val="008E4478"/>
    <w:rsid w:val="008E4958"/>
    <w:rsid w:val="008E4A60"/>
    <w:rsid w:val="008E4B36"/>
    <w:rsid w:val="008E64F6"/>
    <w:rsid w:val="008E6633"/>
    <w:rsid w:val="008E6E49"/>
    <w:rsid w:val="008E700A"/>
    <w:rsid w:val="008E7ABB"/>
    <w:rsid w:val="008F065A"/>
    <w:rsid w:val="008F06CD"/>
    <w:rsid w:val="008F0810"/>
    <w:rsid w:val="008F18E1"/>
    <w:rsid w:val="008F1F6A"/>
    <w:rsid w:val="008F2C85"/>
    <w:rsid w:val="008F2D66"/>
    <w:rsid w:val="008F2F6F"/>
    <w:rsid w:val="008F30C5"/>
    <w:rsid w:val="008F3426"/>
    <w:rsid w:val="008F4C74"/>
    <w:rsid w:val="008F4FAA"/>
    <w:rsid w:val="008F507D"/>
    <w:rsid w:val="008F5DF5"/>
    <w:rsid w:val="008F6CBF"/>
    <w:rsid w:val="0090068F"/>
    <w:rsid w:val="00900BB1"/>
    <w:rsid w:val="00900E01"/>
    <w:rsid w:val="00902638"/>
    <w:rsid w:val="0090298F"/>
    <w:rsid w:val="0090381B"/>
    <w:rsid w:val="00903E75"/>
    <w:rsid w:val="00904511"/>
    <w:rsid w:val="009045B4"/>
    <w:rsid w:val="00904C81"/>
    <w:rsid w:val="00904FD6"/>
    <w:rsid w:val="00906E02"/>
    <w:rsid w:val="00910F46"/>
    <w:rsid w:val="00911038"/>
    <w:rsid w:val="00911095"/>
    <w:rsid w:val="0091113E"/>
    <w:rsid w:val="00912BF4"/>
    <w:rsid w:val="00913234"/>
    <w:rsid w:val="0091349E"/>
    <w:rsid w:val="00914995"/>
    <w:rsid w:val="00915862"/>
    <w:rsid w:val="00915A64"/>
    <w:rsid w:val="00915D06"/>
    <w:rsid w:val="00916A58"/>
    <w:rsid w:val="00917010"/>
    <w:rsid w:val="00921473"/>
    <w:rsid w:val="00921A84"/>
    <w:rsid w:val="00921DBD"/>
    <w:rsid w:val="00921E3B"/>
    <w:rsid w:val="0092296E"/>
    <w:rsid w:val="00922B03"/>
    <w:rsid w:val="00922EDB"/>
    <w:rsid w:val="00923E31"/>
    <w:rsid w:val="00923EE5"/>
    <w:rsid w:val="00924812"/>
    <w:rsid w:val="00926DB8"/>
    <w:rsid w:val="00926F27"/>
    <w:rsid w:val="00927BB0"/>
    <w:rsid w:val="00930383"/>
    <w:rsid w:val="0093075A"/>
    <w:rsid w:val="00930822"/>
    <w:rsid w:val="00930BAF"/>
    <w:rsid w:val="0093173B"/>
    <w:rsid w:val="009319A7"/>
    <w:rsid w:val="009319A9"/>
    <w:rsid w:val="00931A4D"/>
    <w:rsid w:val="00931DE0"/>
    <w:rsid w:val="0093269E"/>
    <w:rsid w:val="00935048"/>
    <w:rsid w:val="00936446"/>
    <w:rsid w:val="00936B52"/>
    <w:rsid w:val="00937673"/>
    <w:rsid w:val="00937B48"/>
    <w:rsid w:val="00937FD8"/>
    <w:rsid w:val="00937FF3"/>
    <w:rsid w:val="00940F9F"/>
    <w:rsid w:val="00941B16"/>
    <w:rsid w:val="00942C67"/>
    <w:rsid w:val="00942D5F"/>
    <w:rsid w:val="00942EE4"/>
    <w:rsid w:val="009435A4"/>
    <w:rsid w:val="009435D8"/>
    <w:rsid w:val="009435E7"/>
    <w:rsid w:val="00943DA0"/>
    <w:rsid w:val="00943F91"/>
    <w:rsid w:val="00944060"/>
    <w:rsid w:val="00944120"/>
    <w:rsid w:val="009446A0"/>
    <w:rsid w:val="009447CC"/>
    <w:rsid w:val="009467EC"/>
    <w:rsid w:val="00946976"/>
    <w:rsid w:val="00947391"/>
    <w:rsid w:val="009500C1"/>
    <w:rsid w:val="00950C5E"/>
    <w:rsid w:val="00952254"/>
    <w:rsid w:val="009534C3"/>
    <w:rsid w:val="009558C1"/>
    <w:rsid w:val="009571F8"/>
    <w:rsid w:val="00957519"/>
    <w:rsid w:val="009578B2"/>
    <w:rsid w:val="009607E1"/>
    <w:rsid w:val="00960AC7"/>
    <w:rsid w:val="0096103E"/>
    <w:rsid w:val="009616FC"/>
    <w:rsid w:val="009628BF"/>
    <w:rsid w:val="00962A72"/>
    <w:rsid w:val="00963400"/>
    <w:rsid w:val="00963845"/>
    <w:rsid w:val="00963C03"/>
    <w:rsid w:val="00964828"/>
    <w:rsid w:val="009648E1"/>
    <w:rsid w:val="00964F4F"/>
    <w:rsid w:val="009650C0"/>
    <w:rsid w:val="00965788"/>
    <w:rsid w:val="00966A5A"/>
    <w:rsid w:val="00966CB2"/>
    <w:rsid w:val="0096718B"/>
    <w:rsid w:val="00967935"/>
    <w:rsid w:val="00967E4E"/>
    <w:rsid w:val="009700FF"/>
    <w:rsid w:val="00970360"/>
    <w:rsid w:val="00970793"/>
    <w:rsid w:val="00970ECE"/>
    <w:rsid w:val="0097155A"/>
    <w:rsid w:val="009716A1"/>
    <w:rsid w:val="00971AB7"/>
    <w:rsid w:val="00971AC4"/>
    <w:rsid w:val="00971F87"/>
    <w:rsid w:val="009720C4"/>
    <w:rsid w:val="009720FC"/>
    <w:rsid w:val="0097293A"/>
    <w:rsid w:val="00972B50"/>
    <w:rsid w:val="00973604"/>
    <w:rsid w:val="009745EC"/>
    <w:rsid w:val="00974771"/>
    <w:rsid w:val="00974EBF"/>
    <w:rsid w:val="0097528C"/>
    <w:rsid w:val="009754A8"/>
    <w:rsid w:val="009762ED"/>
    <w:rsid w:val="00976BF9"/>
    <w:rsid w:val="009775F9"/>
    <w:rsid w:val="00977BFD"/>
    <w:rsid w:val="00981413"/>
    <w:rsid w:val="00981714"/>
    <w:rsid w:val="00982995"/>
    <w:rsid w:val="00982D8B"/>
    <w:rsid w:val="009831CD"/>
    <w:rsid w:val="009838ED"/>
    <w:rsid w:val="00983A63"/>
    <w:rsid w:val="009841E5"/>
    <w:rsid w:val="009848D7"/>
    <w:rsid w:val="00984BD1"/>
    <w:rsid w:val="009851E1"/>
    <w:rsid w:val="00987058"/>
    <w:rsid w:val="009872A3"/>
    <w:rsid w:val="009878A5"/>
    <w:rsid w:val="00987AD2"/>
    <w:rsid w:val="00987E6E"/>
    <w:rsid w:val="00987E7C"/>
    <w:rsid w:val="00990ACB"/>
    <w:rsid w:val="00990D05"/>
    <w:rsid w:val="00990F3C"/>
    <w:rsid w:val="009923B8"/>
    <w:rsid w:val="00992937"/>
    <w:rsid w:val="00994092"/>
    <w:rsid w:val="00995AC0"/>
    <w:rsid w:val="00996C4D"/>
    <w:rsid w:val="00997549"/>
    <w:rsid w:val="009A00D5"/>
    <w:rsid w:val="009A03FF"/>
    <w:rsid w:val="009A0B41"/>
    <w:rsid w:val="009A19C2"/>
    <w:rsid w:val="009A1B12"/>
    <w:rsid w:val="009A1C1B"/>
    <w:rsid w:val="009A1C95"/>
    <w:rsid w:val="009A1F05"/>
    <w:rsid w:val="009A1F1C"/>
    <w:rsid w:val="009A26B7"/>
    <w:rsid w:val="009A3EC0"/>
    <w:rsid w:val="009A3EFE"/>
    <w:rsid w:val="009A47ED"/>
    <w:rsid w:val="009A4D9C"/>
    <w:rsid w:val="009A5BF6"/>
    <w:rsid w:val="009A5D6D"/>
    <w:rsid w:val="009A5DBC"/>
    <w:rsid w:val="009B04F5"/>
    <w:rsid w:val="009B0B8E"/>
    <w:rsid w:val="009B18B8"/>
    <w:rsid w:val="009B28FB"/>
    <w:rsid w:val="009B290D"/>
    <w:rsid w:val="009B2B9A"/>
    <w:rsid w:val="009B2C68"/>
    <w:rsid w:val="009B3FBE"/>
    <w:rsid w:val="009B5E31"/>
    <w:rsid w:val="009B66FE"/>
    <w:rsid w:val="009C0014"/>
    <w:rsid w:val="009C0D8F"/>
    <w:rsid w:val="009C0EA5"/>
    <w:rsid w:val="009C10F6"/>
    <w:rsid w:val="009C1381"/>
    <w:rsid w:val="009C15ED"/>
    <w:rsid w:val="009C2165"/>
    <w:rsid w:val="009C241A"/>
    <w:rsid w:val="009C281A"/>
    <w:rsid w:val="009C37EC"/>
    <w:rsid w:val="009C389D"/>
    <w:rsid w:val="009C3E37"/>
    <w:rsid w:val="009C3EA7"/>
    <w:rsid w:val="009C61E6"/>
    <w:rsid w:val="009C61F1"/>
    <w:rsid w:val="009C635F"/>
    <w:rsid w:val="009C66EB"/>
    <w:rsid w:val="009C687D"/>
    <w:rsid w:val="009C6A79"/>
    <w:rsid w:val="009D0994"/>
    <w:rsid w:val="009D11F4"/>
    <w:rsid w:val="009D1512"/>
    <w:rsid w:val="009D1B94"/>
    <w:rsid w:val="009D2139"/>
    <w:rsid w:val="009D26AE"/>
    <w:rsid w:val="009D26E9"/>
    <w:rsid w:val="009D3ED0"/>
    <w:rsid w:val="009D5645"/>
    <w:rsid w:val="009D6B40"/>
    <w:rsid w:val="009D708D"/>
    <w:rsid w:val="009D7246"/>
    <w:rsid w:val="009D72D5"/>
    <w:rsid w:val="009D7311"/>
    <w:rsid w:val="009D7354"/>
    <w:rsid w:val="009D735D"/>
    <w:rsid w:val="009E0154"/>
    <w:rsid w:val="009E09A1"/>
    <w:rsid w:val="009E107A"/>
    <w:rsid w:val="009E15EC"/>
    <w:rsid w:val="009E1AB2"/>
    <w:rsid w:val="009E2719"/>
    <w:rsid w:val="009E28D0"/>
    <w:rsid w:val="009E28D3"/>
    <w:rsid w:val="009E29E9"/>
    <w:rsid w:val="009E347A"/>
    <w:rsid w:val="009E40F2"/>
    <w:rsid w:val="009E44D9"/>
    <w:rsid w:val="009E487C"/>
    <w:rsid w:val="009E60A5"/>
    <w:rsid w:val="009E6114"/>
    <w:rsid w:val="009E658D"/>
    <w:rsid w:val="009E6D11"/>
    <w:rsid w:val="009E7942"/>
    <w:rsid w:val="009F01F2"/>
    <w:rsid w:val="009F0D1F"/>
    <w:rsid w:val="009F0ED4"/>
    <w:rsid w:val="009F129C"/>
    <w:rsid w:val="009F1F1E"/>
    <w:rsid w:val="009F278E"/>
    <w:rsid w:val="009F2F46"/>
    <w:rsid w:val="009F3A76"/>
    <w:rsid w:val="009F3C26"/>
    <w:rsid w:val="009F3D13"/>
    <w:rsid w:val="009F4430"/>
    <w:rsid w:val="009F5549"/>
    <w:rsid w:val="009F6E7C"/>
    <w:rsid w:val="009F733B"/>
    <w:rsid w:val="009F76C5"/>
    <w:rsid w:val="009F78AD"/>
    <w:rsid w:val="009F7D7A"/>
    <w:rsid w:val="009F7FA2"/>
    <w:rsid w:val="00A008AF"/>
    <w:rsid w:val="00A010BF"/>
    <w:rsid w:val="00A01664"/>
    <w:rsid w:val="00A016D9"/>
    <w:rsid w:val="00A01AEA"/>
    <w:rsid w:val="00A027CE"/>
    <w:rsid w:val="00A02B4E"/>
    <w:rsid w:val="00A046EB"/>
    <w:rsid w:val="00A0621D"/>
    <w:rsid w:val="00A07BC3"/>
    <w:rsid w:val="00A11019"/>
    <w:rsid w:val="00A12976"/>
    <w:rsid w:val="00A12C7D"/>
    <w:rsid w:val="00A12F67"/>
    <w:rsid w:val="00A1382F"/>
    <w:rsid w:val="00A13F6F"/>
    <w:rsid w:val="00A140E7"/>
    <w:rsid w:val="00A143B5"/>
    <w:rsid w:val="00A14A3E"/>
    <w:rsid w:val="00A1501D"/>
    <w:rsid w:val="00A15405"/>
    <w:rsid w:val="00A21680"/>
    <w:rsid w:val="00A218CC"/>
    <w:rsid w:val="00A21965"/>
    <w:rsid w:val="00A219B6"/>
    <w:rsid w:val="00A21A1F"/>
    <w:rsid w:val="00A21AEA"/>
    <w:rsid w:val="00A22307"/>
    <w:rsid w:val="00A228CB"/>
    <w:rsid w:val="00A22A7C"/>
    <w:rsid w:val="00A2377B"/>
    <w:rsid w:val="00A23AA2"/>
    <w:rsid w:val="00A242E4"/>
    <w:rsid w:val="00A2548B"/>
    <w:rsid w:val="00A25605"/>
    <w:rsid w:val="00A258D3"/>
    <w:rsid w:val="00A2596E"/>
    <w:rsid w:val="00A25EC8"/>
    <w:rsid w:val="00A263A0"/>
    <w:rsid w:val="00A264CB"/>
    <w:rsid w:val="00A27D22"/>
    <w:rsid w:val="00A303C7"/>
    <w:rsid w:val="00A30496"/>
    <w:rsid w:val="00A30C32"/>
    <w:rsid w:val="00A3102F"/>
    <w:rsid w:val="00A31438"/>
    <w:rsid w:val="00A319A8"/>
    <w:rsid w:val="00A31E41"/>
    <w:rsid w:val="00A3301D"/>
    <w:rsid w:val="00A33FEB"/>
    <w:rsid w:val="00A34059"/>
    <w:rsid w:val="00A34572"/>
    <w:rsid w:val="00A34598"/>
    <w:rsid w:val="00A34BB7"/>
    <w:rsid w:val="00A34F55"/>
    <w:rsid w:val="00A34F79"/>
    <w:rsid w:val="00A35B19"/>
    <w:rsid w:val="00A35DDC"/>
    <w:rsid w:val="00A36049"/>
    <w:rsid w:val="00A36AA6"/>
    <w:rsid w:val="00A3753B"/>
    <w:rsid w:val="00A37C3F"/>
    <w:rsid w:val="00A37D19"/>
    <w:rsid w:val="00A37F8D"/>
    <w:rsid w:val="00A40152"/>
    <w:rsid w:val="00A404F8"/>
    <w:rsid w:val="00A40543"/>
    <w:rsid w:val="00A41FDF"/>
    <w:rsid w:val="00A42CA7"/>
    <w:rsid w:val="00A4307E"/>
    <w:rsid w:val="00A4357D"/>
    <w:rsid w:val="00A43865"/>
    <w:rsid w:val="00A438D1"/>
    <w:rsid w:val="00A43BDC"/>
    <w:rsid w:val="00A4423D"/>
    <w:rsid w:val="00A4478A"/>
    <w:rsid w:val="00A44979"/>
    <w:rsid w:val="00A44B38"/>
    <w:rsid w:val="00A45847"/>
    <w:rsid w:val="00A46477"/>
    <w:rsid w:val="00A46A47"/>
    <w:rsid w:val="00A46ECF"/>
    <w:rsid w:val="00A4754E"/>
    <w:rsid w:val="00A476E9"/>
    <w:rsid w:val="00A47A50"/>
    <w:rsid w:val="00A47BA2"/>
    <w:rsid w:val="00A50440"/>
    <w:rsid w:val="00A504FE"/>
    <w:rsid w:val="00A50B40"/>
    <w:rsid w:val="00A511FD"/>
    <w:rsid w:val="00A515A2"/>
    <w:rsid w:val="00A51964"/>
    <w:rsid w:val="00A52492"/>
    <w:rsid w:val="00A54031"/>
    <w:rsid w:val="00A54197"/>
    <w:rsid w:val="00A54448"/>
    <w:rsid w:val="00A54A1B"/>
    <w:rsid w:val="00A54F9C"/>
    <w:rsid w:val="00A5555F"/>
    <w:rsid w:val="00A55606"/>
    <w:rsid w:val="00A5590A"/>
    <w:rsid w:val="00A5685A"/>
    <w:rsid w:val="00A5730D"/>
    <w:rsid w:val="00A57425"/>
    <w:rsid w:val="00A57FB8"/>
    <w:rsid w:val="00A603C8"/>
    <w:rsid w:val="00A608D2"/>
    <w:rsid w:val="00A60EC5"/>
    <w:rsid w:val="00A617A0"/>
    <w:rsid w:val="00A61EC3"/>
    <w:rsid w:val="00A61FCB"/>
    <w:rsid w:val="00A632C5"/>
    <w:rsid w:val="00A63C2F"/>
    <w:rsid w:val="00A63DE6"/>
    <w:rsid w:val="00A641EA"/>
    <w:rsid w:val="00A6428B"/>
    <w:rsid w:val="00A64A40"/>
    <w:rsid w:val="00A64D32"/>
    <w:rsid w:val="00A65B40"/>
    <w:rsid w:val="00A65F00"/>
    <w:rsid w:val="00A66A07"/>
    <w:rsid w:val="00A66AD7"/>
    <w:rsid w:val="00A66B2C"/>
    <w:rsid w:val="00A66E5C"/>
    <w:rsid w:val="00A6756B"/>
    <w:rsid w:val="00A67755"/>
    <w:rsid w:val="00A67A99"/>
    <w:rsid w:val="00A70692"/>
    <w:rsid w:val="00A70916"/>
    <w:rsid w:val="00A7100D"/>
    <w:rsid w:val="00A7157E"/>
    <w:rsid w:val="00A71AD6"/>
    <w:rsid w:val="00A72707"/>
    <w:rsid w:val="00A7288A"/>
    <w:rsid w:val="00A72FB3"/>
    <w:rsid w:val="00A72FC5"/>
    <w:rsid w:val="00A735E8"/>
    <w:rsid w:val="00A7416D"/>
    <w:rsid w:val="00A74F42"/>
    <w:rsid w:val="00A753C9"/>
    <w:rsid w:val="00A7542C"/>
    <w:rsid w:val="00A75760"/>
    <w:rsid w:val="00A75AC9"/>
    <w:rsid w:val="00A75BE9"/>
    <w:rsid w:val="00A7610D"/>
    <w:rsid w:val="00A76213"/>
    <w:rsid w:val="00A76698"/>
    <w:rsid w:val="00A7697F"/>
    <w:rsid w:val="00A76CFC"/>
    <w:rsid w:val="00A76E48"/>
    <w:rsid w:val="00A77259"/>
    <w:rsid w:val="00A77464"/>
    <w:rsid w:val="00A775B3"/>
    <w:rsid w:val="00A779BE"/>
    <w:rsid w:val="00A807BD"/>
    <w:rsid w:val="00A81244"/>
    <w:rsid w:val="00A82EF0"/>
    <w:rsid w:val="00A835E7"/>
    <w:rsid w:val="00A84835"/>
    <w:rsid w:val="00A85746"/>
    <w:rsid w:val="00A85D13"/>
    <w:rsid w:val="00A85DC2"/>
    <w:rsid w:val="00A86C12"/>
    <w:rsid w:val="00A86C35"/>
    <w:rsid w:val="00A86CB4"/>
    <w:rsid w:val="00A87FD5"/>
    <w:rsid w:val="00A90284"/>
    <w:rsid w:val="00A90468"/>
    <w:rsid w:val="00A9087D"/>
    <w:rsid w:val="00A911E9"/>
    <w:rsid w:val="00A91358"/>
    <w:rsid w:val="00A913AE"/>
    <w:rsid w:val="00A91FDD"/>
    <w:rsid w:val="00A9311C"/>
    <w:rsid w:val="00A938B9"/>
    <w:rsid w:val="00A941AA"/>
    <w:rsid w:val="00A947F5"/>
    <w:rsid w:val="00A95274"/>
    <w:rsid w:val="00A952C7"/>
    <w:rsid w:val="00A96327"/>
    <w:rsid w:val="00A9683F"/>
    <w:rsid w:val="00A969EF"/>
    <w:rsid w:val="00A97466"/>
    <w:rsid w:val="00AA17F1"/>
    <w:rsid w:val="00AA1958"/>
    <w:rsid w:val="00AA1A94"/>
    <w:rsid w:val="00AA1B4E"/>
    <w:rsid w:val="00AA2091"/>
    <w:rsid w:val="00AA2825"/>
    <w:rsid w:val="00AA2A8B"/>
    <w:rsid w:val="00AA3356"/>
    <w:rsid w:val="00AA4055"/>
    <w:rsid w:val="00AA48A4"/>
    <w:rsid w:val="00AA4EF2"/>
    <w:rsid w:val="00AA5A50"/>
    <w:rsid w:val="00AA5C7B"/>
    <w:rsid w:val="00AA5FF1"/>
    <w:rsid w:val="00AA6AC4"/>
    <w:rsid w:val="00AB0105"/>
    <w:rsid w:val="00AB03D6"/>
    <w:rsid w:val="00AB05B8"/>
    <w:rsid w:val="00AB0791"/>
    <w:rsid w:val="00AB134E"/>
    <w:rsid w:val="00AB1551"/>
    <w:rsid w:val="00AB16DE"/>
    <w:rsid w:val="00AB1ADA"/>
    <w:rsid w:val="00AB315B"/>
    <w:rsid w:val="00AB31D1"/>
    <w:rsid w:val="00AB31FA"/>
    <w:rsid w:val="00AB35C8"/>
    <w:rsid w:val="00AB3730"/>
    <w:rsid w:val="00AB3737"/>
    <w:rsid w:val="00AB379D"/>
    <w:rsid w:val="00AB3B2E"/>
    <w:rsid w:val="00AB407E"/>
    <w:rsid w:val="00AB6FF9"/>
    <w:rsid w:val="00AC077B"/>
    <w:rsid w:val="00AC098E"/>
    <w:rsid w:val="00AC109A"/>
    <w:rsid w:val="00AC18B1"/>
    <w:rsid w:val="00AC3D3C"/>
    <w:rsid w:val="00AC444C"/>
    <w:rsid w:val="00AC47A7"/>
    <w:rsid w:val="00AC4C19"/>
    <w:rsid w:val="00AC50E4"/>
    <w:rsid w:val="00AC5A70"/>
    <w:rsid w:val="00AC5ADF"/>
    <w:rsid w:val="00AC608D"/>
    <w:rsid w:val="00AC72DE"/>
    <w:rsid w:val="00AC7321"/>
    <w:rsid w:val="00AC7A6E"/>
    <w:rsid w:val="00AC7ADA"/>
    <w:rsid w:val="00AC7DDF"/>
    <w:rsid w:val="00AD2168"/>
    <w:rsid w:val="00AD3516"/>
    <w:rsid w:val="00AD481B"/>
    <w:rsid w:val="00AD4890"/>
    <w:rsid w:val="00AD5E1A"/>
    <w:rsid w:val="00AD611D"/>
    <w:rsid w:val="00AD727D"/>
    <w:rsid w:val="00AD7BDE"/>
    <w:rsid w:val="00AE013F"/>
    <w:rsid w:val="00AE034D"/>
    <w:rsid w:val="00AE1CB9"/>
    <w:rsid w:val="00AE1D05"/>
    <w:rsid w:val="00AE366D"/>
    <w:rsid w:val="00AE3923"/>
    <w:rsid w:val="00AE44C9"/>
    <w:rsid w:val="00AE5FAB"/>
    <w:rsid w:val="00AE6887"/>
    <w:rsid w:val="00AE6966"/>
    <w:rsid w:val="00AE72EE"/>
    <w:rsid w:val="00AE7691"/>
    <w:rsid w:val="00AF0042"/>
    <w:rsid w:val="00AF068F"/>
    <w:rsid w:val="00AF0AD3"/>
    <w:rsid w:val="00AF1723"/>
    <w:rsid w:val="00AF1CAE"/>
    <w:rsid w:val="00AF2B9E"/>
    <w:rsid w:val="00AF2CEB"/>
    <w:rsid w:val="00AF3C39"/>
    <w:rsid w:val="00AF3FD5"/>
    <w:rsid w:val="00AF4E6A"/>
    <w:rsid w:val="00AF5351"/>
    <w:rsid w:val="00AF5A4F"/>
    <w:rsid w:val="00AF5A71"/>
    <w:rsid w:val="00AF5B45"/>
    <w:rsid w:val="00AF5D6A"/>
    <w:rsid w:val="00AF631E"/>
    <w:rsid w:val="00AF6BF6"/>
    <w:rsid w:val="00AF7A5D"/>
    <w:rsid w:val="00AF7A8F"/>
    <w:rsid w:val="00B00AFE"/>
    <w:rsid w:val="00B01962"/>
    <w:rsid w:val="00B019E0"/>
    <w:rsid w:val="00B01B35"/>
    <w:rsid w:val="00B01C81"/>
    <w:rsid w:val="00B02B61"/>
    <w:rsid w:val="00B03C25"/>
    <w:rsid w:val="00B0535B"/>
    <w:rsid w:val="00B054BF"/>
    <w:rsid w:val="00B05B1C"/>
    <w:rsid w:val="00B06E6D"/>
    <w:rsid w:val="00B073F2"/>
    <w:rsid w:val="00B074FC"/>
    <w:rsid w:val="00B0794E"/>
    <w:rsid w:val="00B07B4D"/>
    <w:rsid w:val="00B07C08"/>
    <w:rsid w:val="00B10419"/>
    <w:rsid w:val="00B10DA1"/>
    <w:rsid w:val="00B1161F"/>
    <w:rsid w:val="00B12333"/>
    <w:rsid w:val="00B1314B"/>
    <w:rsid w:val="00B13192"/>
    <w:rsid w:val="00B135D7"/>
    <w:rsid w:val="00B1427B"/>
    <w:rsid w:val="00B14D45"/>
    <w:rsid w:val="00B15201"/>
    <w:rsid w:val="00B16354"/>
    <w:rsid w:val="00B16847"/>
    <w:rsid w:val="00B179F4"/>
    <w:rsid w:val="00B17AAE"/>
    <w:rsid w:val="00B17FB0"/>
    <w:rsid w:val="00B21FDD"/>
    <w:rsid w:val="00B231FA"/>
    <w:rsid w:val="00B23479"/>
    <w:rsid w:val="00B23700"/>
    <w:rsid w:val="00B23731"/>
    <w:rsid w:val="00B23BA7"/>
    <w:rsid w:val="00B23BB4"/>
    <w:rsid w:val="00B24B97"/>
    <w:rsid w:val="00B24CD9"/>
    <w:rsid w:val="00B250EA"/>
    <w:rsid w:val="00B266AF"/>
    <w:rsid w:val="00B26D78"/>
    <w:rsid w:val="00B2797F"/>
    <w:rsid w:val="00B30C0B"/>
    <w:rsid w:val="00B31A7F"/>
    <w:rsid w:val="00B327EF"/>
    <w:rsid w:val="00B33603"/>
    <w:rsid w:val="00B3489E"/>
    <w:rsid w:val="00B34E5C"/>
    <w:rsid w:val="00B35CC8"/>
    <w:rsid w:val="00B367DD"/>
    <w:rsid w:val="00B36ABE"/>
    <w:rsid w:val="00B37538"/>
    <w:rsid w:val="00B401BC"/>
    <w:rsid w:val="00B4043D"/>
    <w:rsid w:val="00B40535"/>
    <w:rsid w:val="00B424FC"/>
    <w:rsid w:val="00B4369A"/>
    <w:rsid w:val="00B437D9"/>
    <w:rsid w:val="00B43A4A"/>
    <w:rsid w:val="00B4432B"/>
    <w:rsid w:val="00B446F2"/>
    <w:rsid w:val="00B44A6C"/>
    <w:rsid w:val="00B451E1"/>
    <w:rsid w:val="00B45225"/>
    <w:rsid w:val="00B453BE"/>
    <w:rsid w:val="00B455AB"/>
    <w:rsid w:val="00B45CFF"/>
    <w:rsid w:val="00B462A5"/>
    <w:rsid w:val="00B4668D"/>
    <w:rsid w:val="00B46F55"/>
    <w:rsid w:val="00B501B7"/>
    <w:rsid w:val="00B5042F"/>
    <w:rsid w:val="00B50B53"/>
    <w:rsid w:val="00B51251"/>
    <w:rsid w:val="00B516FA"/>
    <w:rsid w:val="00B518BF"/>
    <w:rsid w:val="00B52047"/>
    <w:rsid w:val="00B520C5"/>
    <w:rsid w:val="00B52540"/>
    <w:rsid w:val="00B534DB"/>
    <w:rsid w:val="00B535F3"/>
    <w:rsid w:val="00B5464E"/>
    <w:rsid w:val="00B54B2A"/>
    <w:rsid w:val="00B54ED3"/>
    <w:rsid w:val="00B554C2"/>
    <w:rsid w:val="00B57118"/>
    <w:rsid w:val="00B5768E"/>
    <w:rsid w:val="00B57F03"/>
    <w:rsid w:val="00B60379"/>
    <w:rsid w:val="00B614D9"/>
    <w:rsid w:val="00B6200E"/>
    <w:rsid w:val="00B62884"/>
    <w:rsid w:val="00B62FB4"/>
    <w:rsid w:val="00B63238"/>
    <w:rsid w:val="00B63C71"/>
    <w:rsid w:val="00B63D11"/>
    <w:rsid w:val="00B64588"/>
    <w:rsid w:val="00B64B1D"/>
    <w:rsid w:val="00B64F06"/>
    <w:rsid w:val="00B65B93"/>
    <w:rsid w:val="00B670F9"/>
    <w:rsid w:val="00B67364"/>
    <w:rsid w:val="00B71FF0"/>
    <w:rsid w:val="00B72876"/>
    <w:rsid w:val="00B72C2B"/>
    <w:rsid w:val="00B73374"/>
    <w:rsid w:val="00B736A3"/>
    <w:rsid w:val="00B73901"/>
    <w:rsid w:val="00B7397F"/>
    <w:rsid w:val="00B73E81"/>
    <w:rsid w:val="00B7418D"/>
    <w:rsid w:val="00B750CB"/>
    <w:rsid w:val="00B7543D"/>
    <w:rsid w:val="00B75EF7"/>
    <w:rsid w:val="00B76097"/>
    <w:rsid w:val="00B764AB"/>
    <w:rsid w:val="00B7698F"/>
    <w:rsid w:val="00B77556"/>
    <w:rsid w:val="00B77ED7"/>
    <w:rsid w:val="00B808B6"/>
    <w:rsid w:val="00B81761"/>
    <w:rsid w:val="00B8180F"/>
    <w:rsid w:val="00B81E73"/>
    <w:rsid w:val="00B82B10"/>
    <w:rsid w:val="00B83125"/>
    <w:rsid w:val="00B83294"/>
    <w:rsid w:val="00B83B57"/>
    <w:rsid w:val="00B84BDB"/>
    <w:rsid w:val="00B85407"/>
    <w:rsid w:val="00B864C1"/>
    <w:rsid w:val="00B86655"/>
    <w:rsid w:val="00B86D46"/>
    <w:rsid w:val="00B8716D"/>
    <w:rsid w:val="00B906A4"/>
    <w:rsid w:val="00B90B33"/>
    <w:rsid w:val="00B90C05"/>
    <w:rsid w:val="00B90C6D"/>
    <w:rsid w:val="00B916CB"/>
    <w:rsid w:val="00B92502"/>
    <w:rsid w:val="00B9281C"/>
    <w:rsid w:val="00B92A57"/>
    <w:rsid w:val="00B92CF7"/>
    <w:rsid w:val="00B935E3"/>
    <w:rsid w:val="00B95443"/>
    <w:rsid w:val="00B954F9"/>
    <w:rsid w:val="00B95662"/>
    <w:rsid w:val="00B96875"/>
    <w:rsid w:val="00B97947"/>
    <w:rsid w:val="00BA02B9"/>
    <w:rsid w:val="00BA1C3D"/>
    <w:rsid w:val="00BA2D74"/>
    <w:rsid w:val="00BA30D7"/>
    <w:rsid w:val="00BA3550"/>
    <w:rsid w:val="00BA3D4D"/>
    <w:rsid w:val="00BA3DFE"/>
    <w:rsid w:val="00BA470C"/>
    <w:rsid w:val="00BA5281"/>
    <w:rsid w:val="00BA53B2"/>
    <w:rsid w:val="00BA5ACF"/>
    <w:rsid w:val="00BA5ECD"/>
    <w:rsid w:val="00BA6299"/>
    <w:rsid w:val="00BA68A0"/>
    <w:rsid w:val="00BA69DA"/>
    <w:rsid w:val="00BA7343"/>
    <w:rsid w:val="00BB0215"/>
    <w:rsid w:val="00BB12C5"/>
    <w:rsid w:val="00BB13DE"/>
    <w:rsid w:val="00BB183D"/>
    <w:rsid w:val="00BB3578"/>
    <w:rsid w:val="00BB3E0A"/>
    <w:rsid w:val="00BB3F08"/>
    <w:rsid w:val="00BB571C"/>
    <w:rsid w:val="00BB5CEA"/>
    <w:rsid w:val="00BB6399"/>
    <w:rsid w:val="00BB67AE"/>
    <w:rsid w:val="00BB71C7"/>
    <w:rsid w:val="00BB7211"/>
    <w:rsid w:val="00BB74B5"/>
    <w:rsid w:val="00BB7BE5"/>
    <w:rsid w:val="00BC15D1"/>
    <w:rsid w:val="00BC1F81"/>
    <w:rsid w:val="00BC29DC"/>
    <w:rsid w:val="00BC2D8A"/>
    <w:rsid w:val="00BC3A70"/>
    <w:rsid w:val="00BC3D3B"/>
    <w:rsid w:val="00BC3FE6"/>
    <w:rsid w:val="00BC46AD"/>
    <w:rsid w:val="00BC5638"/>
    <w:rsid w:val="00BC6A26"/>
    <w:rsid w:val="00BC6E30"/>
    <w:rsid w:val="00BC7680"/>
    <w:rsid w:val="00BC7A2A"/>
    <w:rsid w:val="00BD12A9"/>
    <w:rsid w:val="00BD132A"/>
    <w:rsid w:val="00BD1897"/>
    <w:rsid w:val="00BD2786"/>
    <w:rsid w:val="00BD30A6"/>
    <w:rsid w:val="00BD44E8"/>
    <w:rsid w:val="00BD47E1"/>
    <w:rsid w:val="00BD66AD"/>
    <w:rsid w:val="00BD7503"/>
    <w:rsid w:val="00BD7AF4"/>
    <w:rsid w:val="00BD7E53"/>
    <w:rsid w:val="00BE0241"/>
    <w:rsid w:val="00BE12B8"/>
    <w:rsid w:val="00BE134B"/>
    <w:rsid w:val="00BE1A81"/>
    <w:rsid w:val="00BE1DD6"/>
    <w:rsid w:val="00BE2DC6"/>
    <w:rsid w:val="00BE3287"/>
    <w:rsid w:val="00BE32B8"/>
    <w:rsid w:val="00BE336F"/>
    <w:rsid w:val="00BE4116"/>
    <w:rsid w:val="00BE4192"/>
    <w:rsid w:val="00BE46FB"/>
    <w:rsid w:val="00BE4893"/>
    <w:rsid w:val="00BE4F73"/>
    <w:rsid w:val="00BE519F"/>
    <w:rsid w:val="00BE52E7"/>
    <w:rsid w:val="00BE5EF5"/>
    <w:rsid w:val="00BE614A"/>
    <w:rsid w:val="00BE66C6"/>
    <w:rsid w:val="00BE6D81"/>
    <w:rsid w:val="00BE79C0"/>
    <w:rsid w:val="00BE7B3D"/>
    <w:rsid w:val="00BF00DE"/>
    <w:rsid w:val="00BF01A9"/>
    <w:rsid w:val="00BF0A3C"/>
    <w:rsid w:val="00BF1166"/>
    <w:rsid w:val="00BF2650"/>
    <w:rsid w:val="00BF2A37"/>
    <w:rsid w:val="00BF3411"/>
    <w:rsid w:val="00BF4249"/>
    <w:rsid w:val="00BF440F"/>
    <w:rsid w:val="00BF4C5F"/>
    <w:rsid w:val="00BF5F0D"/>
    <w:rsid w:val="00BF6112"/>
    <w:rsid w:val="00BF74BE"/>
    <w:rsid w:val="00BF7A14"/>
    <w:rsid w:val="00C005A3"/>
    <w:rsid w:val="00C0079F"/>
    <w:rsid w:val="00C00B4D"/>
    <w:rsid w:val="00C00B76"/>
    <w:rsid w:val="00C00DE2"/>
    <w:rsid w:val="00C0144C"/>
    <w:rsid w:val="00C01676"/>
    <w:rsid w:val="00C01F56"/>
    <w:rsid w:val="00C02798"/>
    <w:rsid w:val="00C029A9"/>
    <w:rsid w:val="00C02EEE"/>
    <w:rsid w:val="00C030DC"/>
    <w:rsid w:val="00C04B85"/>
    <w:rsid w:val="00C04EBD"/>
    <w:rsid w:val="00C0504D"/>
    <w:rsid w:val="00C057DD"/>
    <w:rsid w:val="00C05896"/>
    <w:rsid w:val="00C05F54"/>
    <w:rsid w:val="00C062DA"/>
    <w:rsid w:val="00C07AFA"/>
    <w:rsid w:val="00C10911"/>
    <w:rsid w:val="00C114D1"/>
    <w:rsid w:val="00C13432"/>
    <w:rsid w:val="00C134B6"/>
    <w:rsid w:val="00C13905"/>
    <w:rsid w:val="00C14757"/>
    <w:rsid w:val="00C14BB1"/>
    <w:rsid w:val="00C15F2F"/>
    <w:rsid w:val="00C1660A"/>
    <w:rsid w:val="00C16AF3"/>
    <w:rsid w:val="00C16FB2"/>
    <w:rsid w:val="00C171DC"/>
    <w:rsid w:val="00C1739C"/>
    <w:rsid w:val="00C1742E"/>
    <w:rsid w:val="00C1753A"/>
    <w:rsid w:val="00C17BA4"/>
    <w:rsid w:val="00C17CB1"/>
    <w:rsid w:val="00C2089A"/>
    <w:rsid w:val="00C2097B"/>
    <w:rsid w:val="00C20D6A"/>
    <w:rsid w:val="00C216D3"/>
    <w:rsid w:val="00C218BD"/>
    <w:rsid w:val="00C21B72"/>
    <w:rsid w:val="00C22AE4"/>
    <w:rsid w:val="00C22CE1"/>
    <w:rsid w:val="00C23318"/>
    <w:rsid w:val="00C239CA"/>
    <w:rsid w:val="00C2461C"/>
    <w:rsid w:val="00C24A4D"/>
    <w:rsid w:val="00C24CDE"/>
    <w:rsid w:val="00C250B8"/>
    <w:rsid w:val="00C252A2"/>
    <w:rsid w:val="00C255CA"/>
    <w:rsid w:val="00C25D51"/>
    <w:rsid w:val="00C2639A"/>
    <w:rsid w:val="00C26E06"/>
    <w:rsid w:val="00C26EC3"/>
    <w:rsid w:val="00C2738F"/>
    <w:rsid w:val="00C27DBF"/>
    <w:rsid w:val="00C27EB7"/>
    <w:rsid w:val="00C30128"/>
    <w:rsid w:val="00C30788"/>
    <w:rsid w:val="00C30FD9"/>
    <w:rsid w:val="00C3151E"/>
    <w:rsid w:val="00C31AFC"/>
    <w:rsid w:val="00C32D68"/>
    <w:rsid w:val="00C32ED2"/>
    <w:rsid w:val="00C339C2"/>
    <w:rsid w:val="00C33D00"/>
    <w:rsid w:val="00C33D11"/>
    <w:rsid w:val="00C346B9"/>
    <w:rsid w:val="00C3483B"/>
    <w:rsid w:val="00C348C5"/>
    <w:rsid w:val="00C34A0C"/>
    <w:rsid w:val="00C34EA4"/>
    <w:rsid w:val="00C358C0"/>
    <w:rsid w:val="00C36BF2"/>
    <w:rsid w:val="00C36EF8"/>
    <w:rsid w:val="00C37931"/>
    <w:rsid w:val="00C37ACE"/>
    <w:rsid w:val="00C40447"/>
    <w:rsid w:val="00C40668"/>
    <w:rsid w:val="00C40690"/>
    <w:rsid w:val="00C40934"/>
    <w:rsid w:val="00C40935"/>
    <w:rsid w:val="00C41096"/>
    <w:rsid w:val="00C412D8"/>
    <w:rsid w:val="00C42214"/>
    <w:rsid w:val="00C42C04"/>
    <w:rsid w:val="00C42E10"/>
    <w:rsid w:val="00C42E2A"/>
    <w:rsid w:val="00C43040"/>
    <w:rsid w:val="00C43649"/>
    <w:rsid w:val="00C436F9"/>
    <w:rsid w:val="00C43C42"/>
    <w:rsid w:val="00C4483C"/>
    <w:rsid w:val="00C44B1F"/>
    <w:rsid w:val="00C44E39"/>
    <w:rsid w:val="00C45D9F"/>
    <w:rsid w:val="00C46C2C"/>
    <w:rsid w:val="00C47AB3"/>
    <w:rsid w:val="00C47E87"/>
    <w:rsid w:val="00C507D0"/>
    <w:rsid w:val="00C5187D"/>
    <w:rsid w:val="00C53BD4"/>
    <w:rsid w:val="00C54378"/>
    <w:rsid w:val="00C55226"/>
    <w:rsid w:val="00C55506"/>
    <w:rsid w:val="00C55691"/>
    <w:rsid w:val="00C55BCD"/>
    <w:rsid w:val="00C55C4C"/>
    <w:rsid w:val="00C56E91"/>
    <w:rsid w:val="00C5735A"/>
    <w:rsid w:val="00C579B8"/>
    <w:rsid w:val="00C57EAF"/>
    <w:rsid w:val="00C606CA"/>
    <w:rsid w:val="00C62A6C"/>
    <w:rsid w:val="00C63410"/>
    <w:rsid w:val="00C63D0B"/>
    <w:rsid w:val="00C63DB9"/>
    <w:rsid w:val="00C644C8"/>
    <w:rsid w:val="00C644E0"/>
    <w:rsid w:val="00C64D7E"/>
    <w:rsid w:val="00C65094"/>
    <w:rsid w:val="00C6520D"/>
    <w:rsid w:val="00C654DA"/>
    <w:rsid w:val="00C656E4"/>
    <w:rsid w:val="00C65E24"/>
    <w:rsid w:val="00C66215"/>
    <w:rsid w:val="00C665B4"/>
    <w:rsid w:val="00C667DD"/>
    <w:rsid w:val="00C6687E"/>
    <w:rsid w:val="00C66EA7"/>
    <w:rsid w:val="00C670B8"/>
    <w:rsid w:val="00C679C3"/>
    <w:rsid w:val="00C67CB9"/>
    <w:rsid w:val="00C703DD"/>
    <w:rsid w:val="00C71CFC"/>
    <w:rsid w:val="00C735CD"/>
    <w:rsid w:val="00C74B55"/>
    <w:rsid w:val="00C75AA6"/>
    <w:rsid w:val="00C76675"/>
    <w:rsid w:val="00C7691D"/>
    <w:rsid w:val="00C81427"/>
    <w:rsid w:val="00C832BD"/>
    <w:rsid w:val="00C83391"/>
    <w:rsid w:val="00C84331"/>
    <w:rsid w:val="00C8509D"/>
    <w:rsid w:val="00C85221"/>
    <w:rsid w:val="00C853B7"/>
    <w:rsid w:val="00C86604"/>
    <w:rsid w:val="00C86BC0"/>
    <w:rsid w:val="00C901BF"/>
    <w:rsid w:val="00C90265"/>
    <w:rsid w:val="00C90697"/>
    <w:rsid w:val="00C90823"/>
    <w:rsid w:val="00C90987"/>
    <w:rsid w:val="00C90A74"/>
    <w:rsid w:val="00C91148"/>
    <w:rsid w:val="00C9121D"/>
    <w:rsid w:val="00C91858"/>
    <w:rsid w:val="00C9192D"/>
    <w:rsid w:val="00C91ADE"/>
    <w:rsid w:val="00C920C1"/>
    <w:rsid w:val="00C92808"/>
    <w:rsid w:val="00C92901"/>
    <w:rsid w:val="00C92F91"/>
    <w:rsid w:val="00C93555"/>
    <w:rsid w:val="00C93A64"/>
    <w:rsid w:val="00C93C15"/>
    <w:rsid w:val="00C93C6F"/>
    <w:rsid w:val="00C93CE1"/>
    <w:rsid w:val="00C9445A"/>
    <w:rsid w:val="00C94A85"/>
    <w:rsid w:val="00C9534C"/>
    <w:rsid w:val="00C955CA"/>
    <w:rsid w:val="00C9566A"/>
    <w:rsid w:val="00C956BE"/>
    <w:rsid w:val="00C967EC"/>
    <w:rsid w:val="00C967EF"/>
    <w:rsid w:val="00C969F6"/>
    <w:rsid w:val="00C96D36"/>
    <w:rsid w:val="00C973B1"/>
    <w:rsid w:val="00CA0034"/>
    <w:rsid w:val="00CA05BD"/>
    <w:rsid w:val="00CA104D"/>
    <w:rsid w:val="00CA109B"/>
    <w:rsid w:val="00CA11D5"/>
    <w:rsid w:val="00CA1359"/>
    <w:rsid w:val="00CA19DE"/>
    <w:rsid w:val="00CA1F36"/>
    <w:rsid w:val="00CA2023"/>
    <w:rsid w:val="00CA24E4"/>
    <w:rsid w:val="00CA2620"/>
    <w:rsid w:val="00CA329C"/>
    <w:rsid w:val="00CA362A"/>
    <w:rsid w:val="00CA3639"/>
    <w:rsid w:val="00CA3743"/>
    <w:rsid w:val="00CA3886"/>
    <w:rsid w:val="00CA4D5B"/>
    <w:rsid w:val="00CA537B"/>
    <w:rsid w:val="00CA584F"/>
    <w:rsid w:val="00CA5E6D"/>
    <w:rsid w:val="00CA6347"/>
    <w:rsid w:val="00CA64A9"/>
    <w:rsid w:val="00CA651C"/>
    <w:rsid w:val="00CA706B"/>
    <w:rsid w:val="00CA72D6"/>
    <w:rsid w:val="00CA7C60"/>
    <w:rsid w:val="00CB0026"/>
    <w:rsid w:val="00CB0C6C"/>
    <w:rsid w:val="00CB1233"/>
    <w:rsid w:val="00CB18E9"/>
    <w:rsid w:val="00CB287F"/>
    <w:rsid w:val="00CB3006"/>
    <w:rsid w:val="00CB3B9A"/>
    <w:rsid w:val="00CB3FAC"/>
    <w:rsid w:val="00CB4963"/>
    <w:rsid w:val="00CB4A24"/>
    <w:rsid w:val="00CB55EA"/>
    <w:rsid w:val="00CB5C45"/>
    <w:rsid w:val="00CB5F2C"/>
    <w:rsid w:val="00CB5F5F"/>
    <w:rsid w:val="00CB6747"/>
    <w:rsid w:val="00CB7056"/>
    <w:rsid w:val="00CB7450"/>
    <w:rsid w:val="00CC014D"/>
    <w:rsid w:val="00CC10DD"/>
    <w:rsid w:val="00CC199B"/>
    <w:rsid w:val="00CC2A9A"/>
    <w:rsid w:val="00CC32D4"/>
    <w:rsid w:val="00CC4758"/>
    <w:rsid w:val="00CC4AD0"/>
    <w:rsid w:val="00CC4DC0"/>
    <w:rsid w:val="00CC4F81"/>
    <w:rsid w:val="00CC50F4"/>
    <w:rsid w:val="00CC5DFD"/>
    <w:rsid w:val="00CC6DB9"/>
    <w:rsid w:val="00CC739B"/>
    <w:rsid w:val="00CC77CB"/>
    <w:rsid w:val="00CD0A91"/>
    <w:rsid w:val="00CD0B2A"/>
    <w:rsid w:val="00CD1BFA"/>
    <w:rsid w:val="00CD1C33"/>
    <w:rsid w:val="00CD1F47"/>
    <w:rsid w:val="00CD2953"/>
    <w:rsid w:val="00CD2F7F"/>
    <w:rsid w:val="00CD2FA0"/>
    <w:rsid w:val="00CD390D"/>
    <w:rsid w:val="00CD52F8"/>
    <w:rsid w:val="00CD58D3"/>
    <w:rsid w:val="00CD5B8D"/>
    <w:rsid w:val="00CD5D9A"/>
    <w:rsid w:val="00CD62AE"/>
    <w:rsid w:val="00CD6490"/>
    <w:rsid w:val="00CD6651"/>
    <w:rsid w:val="00CD69FC"/>
    <w:rsid w:val="00CD6E88"/>
    <w:rsid w:val="00CE0A5F"/>
    <w:rsid w:val="00CE13D0"/>
    <w:rsid w:val="00CE2CEF"/>
    <w:rsid w:val="00CE2FD6"/>
    <w:rsid w:val="00CE3C41"/>
    <w:rsid w:val="00CE3D44"/>
    <w:rsid w:val="00CE3E98"/>
    <w:rsid w:val="00CE3EDF"/>
    <w:rsid w:val="00CE3F26"/>
    <w:rsid w:val="00CE43AB"/>
    <w:rsid w:val="00CE4C89"/>
    <w:rsid w:val="00CE4FE9"/>
    <w:rsid w:val="00CE5758"/>
    <w:rsid w:val="00CE6128"/>
    <w:rsid w:val="00CE621F"/>
    <w:rsid w:val="00CE6D3F"/>
    <w:rsid w:val="00CE6DA9"/>
    <w:rsid w:val="00CE7126"/>
    <w:rsid w:val="00CE74D9"/>
    <w:rsid w:val="00CE7775"/>
    <w:rsid w:val="00CE7DBD"/>
    <w:rsid w:val="00CF1241"/>
    <w:rsid w:val="00CF1453"/>
    <w:rsid w:val="00CF1A64"/>
    <w:rsid w:val="00CF1B04"/>
    <w:rsid w:val="00CF248E"/>
    <w:rsid w:val="00CF2AA9"/>
    <w:rsid w:val="00CF3D0C"/>
    <w:rsid w:val="00CF40F4"/>
    <w:rsid w:val="00CF41F9"/>
    <w:rsid w:val="00CF4B1C"/>
    <w:rsid w:val="00CF549F"/>
    <w:rsid w:val="00CF59D5"/>
    <w:rsid w:val="00CF59FC"/>
    <w:rsid w:val="00CF688D"/>
    <w:rsid w:val="00CF70CC"/>
    <w:rsid w:val="00CF77FB"/>
    <w:rsid w:val="00CF7A7F"/>
    <w:rsid w:val="00CF7D84"/>
    <w:rsid w:val="00D01136"/>
    <w:rsid w:val="00D0149F"/>
    <w:rsid w:val="00D01CF7"/>
    <w:rsid w:val="00D02F8C"/>
    <w:rsid w:val="00D030F8"/>
    <w:rsid w:val="00D03F10"/>
    <w:rsid w:val="00D04841"/>
    <w:rsid w:val="00D04DCF"/>
    <w:rsid w:val="00D06CA8"/>
    <w:rsid w:val="00D07472"/>
    <w:rsid w:val="00D07523"/>
    <w:rsid w:val="00D0791D"/>
    <w:rsid w:val="00D07BE7"/>
    <w:rsid w:val="00D105F4"/>
    <w:rsid w:val="00D106E4"/>
    <w:rsid w:val="00D10FF3"/>
    <w:rsid w:val="00D13151"/>
    <w:rsid w:val="00D1396E"/>
    <w:rsid w:val="00D13BCC"/>
    <w:rsid w:val="00D1453E"/>
    <w:rsid w:val="00D145C8"/>
    <w:rsid w:val="00D146C5"/>
    <w:rsid w:val="00D14D7C"/>
    <w:rsid w:val="00D1519F"/>
    <w:rsid w:val="00D15431"/>
    <w:rsid w:val="00D205A6"/>
    <w:rsid w:val="00D20DDF"/>
    <w:rsid w:val="00D2123E"/>
    <w:rsid w:val="00D215EF"/>
    <w:rsid w:val="00D21B25"/>
    <w:rsid w:val="00D21B89"/>
    <w:rsid w:val="00D22B49"/>
    <w:rsid w:val="00D22E4A"/>
    <w:rsid w:val="00D2308B"/>
    <w:rsid w:val="00D23B3A"/>
    <w:rsid w:val="00D2458C"/>
    <w:rsid w:val="00D249F8"/>
    <w:rsid w:val="00D25059"/>
    <w:rsid w:val="00D25DA3"/>
    <w:rsid w:val="00D2609F"/>
    <w:rsid w:val="00D2702B"/>
    <w:rsid w:val="00D2725A"/>
    <w:rsid w:val="00D303F5"/>
    <w:rsid w:val="00D30E71"/>
    <w:rsid w:val="00D31588"/>
    <w:rsid w:val="00D315B8"/>
    <w:rsid w:val="00D32864"/>
    <w:rsid w:val="00D33777"/>
    <w:rsid w:val="00D33788"/>
    <w:rsid w:val="00D338DA"/>
    <w:rsid w:val="00D33D4F"/>
    <w:rsid w:val="00D33DEC"/>
    <w:rsid w:val="00D34309"/>
    <w:rsid w:val="00D344EE"/>
    <w:rsid w:val="00D3481C"/>
    <w:rsid w:val="00D34899"/>
    <w:rsid w:val="00D350A0"/>
    <w:rsid w:val="00D351DF"/>
    <w:rsid w:val="00D35372"/>
    <w:rsid w:val="00D369FE"/>
    <w:rsid w:val="00D36C10"/>
    <w:rsid w:val="00D36C8B"/>
    <w:rsid w:val="00D37036"/>
    <w:rsid w:val="00D3704B"/>
    <w:rsid w:val="00D40A3A"/>
    <w:rsid w:val="00D412B7"/>
    <w:rsid w:val="00D427FC"/>
    <w:rsid w:val="00D43033"/>
    <w:rsid w:val="00D437BC"/>
    <w:rsid w:val="00D43896"/>
    <w:rsid w:val="00D43F2E"/>
    <w:rsid w:val="00D44C8C"/>
    <w:rsid w:val="00D44E9D"/>
    <w:rsid w:val="00D44EEC"/>
    <w:rsid w:val="00D459B4"/>
    <w:rsid w:val="00D46502"/>
    <w:rsid w:val="00D465F2"/>
    <w:rsid w:val="00D469E4"/>
    <w:rsid w:val="00D46B5F"/>
    <w:rsid w:val="00D47A7A"/>
    <w:rsid w:val="00D509BD"/>
    <w:rsid w:val="00D5157D"/>
    <w:rsid w:val="00D52C9A"/>
    <w:rsid w:val="00D52E24"/>
    <w:rsid w:val="00D53BDB"/>
    <w:rsid w:val="00D53E1F"/>
    <w:rsid w:val="00D54131"/>
    <w:rsid w:val="00D5499E"/>
    <w:rsid w:val="00D55D39"/>
    <w:rsid w:val="00D56CB0"/>
    <w:rsid w:val="00D57583"/>
    <w:rsid w:val="00D57B2B"/>
    <w:rsid w:val="00D57BF2"/>
    <w:rsid w:val="00D60B48"/>
    <w:rsid w:val="00D617AA"/>
    <w:rsid w:val="00D63B2A"/>
    <w:rsid w:val="00D63EFE"/>
    <w:rsid w:val="00D65FD5"/>
    <w:rsid w:val="00D6643E"/>
    <w:rsid w:val="00D67195"/>
    <w:rsid w:val="00D674A5"/>
    <w:rsid w:val="00D67D5C"/>
    <w:rsid w:val="00D71665"/>
    <w:rsid w:val="00D7176D"/>
    <w:rsid w:val="00D71C84"/>
    <w:rsid w:val="00D71DE6"/>
    <w:rsid w:val="00D71EC5"/>
    <w:rsid w:val="00D72063"/>
    <w:rsid w:val="00D72781"/>
    <w:rsid w:val="00D733B5"/>
    <w:rsid w:val="00D73C90"/>
    <w:rsid w:val="00D749C1"/>
    <w:rsid w:val="00D74E1B"/>
    <w:rsid w:val="00D74ED6"/>
    <w:rsid w:val="00D7580F"/>
    <w:rsid w:val="00D75B20"/>
    <w:rsid w:val="00D7634D"/>
    <w:rsid w:val="00D764B5"/>
    <w:rsid w:val="00D76571"/>
    <w:rsid w:val="00D765EF"/>
    <w:rsid w:val="00D76B3D"/>
    <w:rsid w:val="00D7726D"/>
    <w:rsid w:val="00D8020D"/>
    <w:rsid w:val="00D8025B"/>
    <w:rsid w:val="00D80918"/>
    <w:rsid w:val="00D81190"/>
    <w:rsid w:val="00D81B80"/>
    <w:rsid w:val="00D82812"/>
    <w:rsid w:val="00D82FD5"/>
    <w:rsid w:val="00D84F59"/>
    <w:rsid w:val="00D85349"/>
    <w:rsid w:val="00D85AFE"/>
    <w:rsid w:val="00D85C3F"/>
    <w:rsid w:val="00D86122"/>
    <w:rsid w:val="00D86584"/>
    <w:rsid w:val="00D86A6C"/>
    <w:rsid w:val="00D87076"/>
    <w:rsid w:val="00D87A1D"/>
    <w:rsid w:val="00D87CB3"/>
    <w:rsid w:val="00D90201"/>
    <w:rsid w:val="00D906B3"/>
    <w:rsid w:val="00D90C24"/>
    <w:rsid w:val="00D9137C"/>
    <w:rsid w:val="00D914E5"/>
    <w:rsid w:val="00D92F05"/>
    <w:rsid w:val="00D93E1C"/>
    <w:rsid w:val="00D94924"/>
    <w:rsid w:val="00D952CB"/>
    <w:rsid w:val="00D96047"/>
    <w:rsid w:val="00D962D0"/>
    <w:rsid w:val="00D96795"/>
    <w:rsid w:val="00D96B76"/>
    <w:rsid w:val="00D971F7"/>
    <w:rsid w:val="00DA0034"/>
    <w:rsid w:val="00DA04E2"/>
    <w:rsid w:val="00DA1455"/>
    <w:rsid w:val="00DA1E54"/>
    <w:rsid w:val="00DA1EBC"/>
    <w:rsid w:val="00DA1FB9"/>
    <w:rsid w:val="00DA3054"/>
    <w:rsid w:val="00DA30AF"/>
    <w:rsid w:val="00DA3329"/>
    <w:rsid w:val="00DA35AD"/>
    <w:rsid w:val="00DA35D5"/>
    <w:rsid w:val="00DA3AD7"/>
    <w:rsid w:val="00DA3CEF"/>
    <w:rsid w:val="00DA4BD5"/>
    <w:rsid w:val="00DA4FE9"/>
    <w:rsid w:val="00DA53B9"/>
    <w:rsid w:val="00DA573F"/>
    <w:rsid w:val="00DA59B0"/>
    <w:rsid w:val="00DA656A"/>
    <w:rsid w:val="00DA682E"/>
    <w:rsid w:val="00DA696F"/>
    <w:rsid w:val="00DA6A8A"/>
    <w:rsid w:val="00DA717D"/>
    <w:rsid w:val="00DA7ADF"/>
    <w:rsid w:val="00DB0B46"/>
    <w:rsid w:val="00DB0E67"/>
    <w:rsid w:val="00DB12C8"/>
    <w:rsid w:val="00DB16AB"/>
    <w:rsid w:val="00DB1E4F"/>
    <w:rsid w:val="00DB1FC8"/>
    <w:rsid w:val="00DB2C9A"/>
    <w:rsid w:val="00DB3192"/>
    <w:rsid w:val="00DB3367"/>
    <w:rsid w:val="00DB4C98"/>
    <w:rsid w:val="00DB4E0F"/>
    <w:rsid w:val="00DB607F"/>
    <w:rsid w:val="00DC0296"/>
    <w:rsid w:val="00DC0406"/>
    <w:rsid w:val="00DC0863"/>
    <w:rsid w:val="00DC0C67"/>
    <w:rsid w:val="00DC1B6B"/>
    <w:rsid w:val="00DC30D2"/>
    <w:rsid w:val="00DC3836"/>
    <w:rsid w:val="00DC39D2"/>
    <w:rsid w:val="00DC47E6"/>
    <w:rsid w:val="00DC6311"/>
    <w:rsid w:val="00DC708F"/>
    <w:rsid w:val="00DC76E0"/>
    <w:rsid w:val="00DD0CCC"/>
    <w:rsid w:val="00DD0D9E"/>
    <w:rsid w:val="00DD1316"/>
    <w:rsid w:val="00DD20CA"/>
    <w:rsid w:val="00DD2156"/>
    <w:rsid w:val="00DD23FD"/>
    <w:rsid w:val="00DD399E"/>
    <w:rsid w:val="00DD3A65"/>
    <w:rsid w:val="00DD4397"/>
    <w:rsid w:val="00DD482A"/>
    <w:rsid w:val="00DD63BB"/>
    <w:rsid w:val="00DD69A8"/>
    <w:rsid w:val="00DD6AC2"/>
    <w:rsid w:val="00DD705D"/>
    <w:rsid w:val="00DD7DEF"/>
    <w:rsid w:val="00DE09D7"/>
    <w:rsid w:val="00DE1421"/>
    <w:rsid w:val="00DE1D79"/>
    <w:rsid w:val="00DE2354"/>
    <w:rsid w:val="00DE26E4"/>
    <w:rsid w:val="00DE38A2"/>
    <w:rsid w:val="00DE3D50"/>
    <w:rsid w:val="00DE3E91"/>
    <w:rsid w:val="00DE3F75"/>
    <w:rsid w:val="00DE45D5"/>
    <w:rsid w:val="00DE5C33"/>
    <w:rsid w:val="00DE5DAD"/>
    <w:rsid w:val="00DE6972"/>
    <w:rsid w:val="00DE7200"/>
    <w:rsid w:val="00DE72BF"/>
    <w:rsid w:val="00DF05D4"/>
    <w:rsid w:val="00DF0C58"/>
    <w:rsid w:val="00DF0CF5"/>
    <w:rsid w:val="00DF0E1E"/>
    <w:rsid w:val="00DF0E44"/>
    <w:rsid w:val="00DF1253"/>
    <w:rsid w:val="00DF17D3"/>
    <w:rsid w:val="00DF2CF0"/>
    <w:rsid w:val="00DF3B4D"/>
    <w:rsid w:val="00DF3F30"/>
    <w:rsid w:val="00DF47A2"/>
    <w:rsid w:val="00DF4834"/>
    <w:rsid w:val="00DF4AC9"/>
    <w:rsid w:val="00DF4BA3"/>
    <w:rsid w:val="00DF4EDA"/>
    <w:rsid w:val="00DF569B"/>
    <w:rsid w:val="00DF5920"/>
    <w:rsid w:val="00DF61A9"/>
    <w:rsid w:val="00DF63B2"/>
    <w:rsid w:val="00DF63FC"/>
    <w:rsid w:val="00DF667D"/>
    <w:rsid w:val="00DF66FF"/>
    <w:rsid w:val="00DF6862"/>
    <w:rsid w:val="00DF6C95"/>
    <w:rsid w:val="00DF6E67"/>
    <w:rsid w:val="00DF6F23"/>
    <w:rsid w:val="00DF7B11"/>
    <w:rsid w:val="00DF7FF5"/>
    <w:rsid w:val="00E0003B"/>
    <w:rsid w:val="00E0016E"/>
    <w:rsid w:val="00E00C26"/>
    <w:rsid w:val="00E02315"/>
    <w:rsid w:val="00E04801"/>
    <w:rsid w:val="00E04AB1"/>
    <w:rsid w:val="00E056D6"/>
    <w:rsid w:val="00E05864"/>
    <w:rsid w:val="00E06289"/>
    <w:rsid w:val="00E06E1D"/>
    <w:rsid w:val="00E0705E"/>
    <w:rsid w:val="00E07DAA"/>
    <w:rsid w:val="00E07EF5"/>
    <w:rsid w:val="00E07F3E"/>
    <w:rsid w:val="00E1020E"/>
    <w:rsid w:val="00E11259"/>
    <w:rsid w:val="00E12101"/>
    <w:rsid w:val="00E138A2"/>
    <w:rsid w:val="00E13D75"/>
    <w:rsid w:val="00E13E66"/>
    <w:rsid w:val="00E15F1D"/>
    <w:rsid w:val="00E169C8"/>
    <w:rsid w:val="00E16C4C"/>
    <w:rsid w:val="00E179C4"/>
    <w:rsid w:val="00E2130A"/>
    <w:rsid w:val="00E22E1B"/>
    <w:rsid w:val="00E23913"/>
    <w:rsid w:val="00E23C8F"/>
    <w:rsid w:val="00E247B3"/>
    <w:rsid w:val="00E2562F"/>
    <w:rsid w:val="00E25BF5"/>
    <w:rsid w:val="00E26DB1"/>
    <w:rsid w:val="00E2788E"/>
    <w:rsid w:val="00E27C17"/>
    <w:rsid w:val="00E30E71"/>
    <w:rsid w:val="00E31D9C"/>
    <w:rsid w:val="00E325C2"/>
    <w:rsid w:val="00E325E2"/>
    <w:rsid w:val="00E32A2C"/>
    <w:rsid w:val="00E33030"/>
    <w:rsid w:val="00E34333"/>
    <w:rsid w:val="00E3461D"/>
    <w:rsid w:val="00E35DB2"/>
    <w:rsid w:val="00E35E24"/>
    <w:rsid w:val="00E35F54"/>
    <w:rsid w:val="00E36AE4"/>
    <w:rsid w:val="00E371D3"/>
    <w:rsid w:val="00E372E3"/>
    <w:rsid w:val="00E42A7D"/>
    <w:rsid w:val="00E43622"/>
    <w:rsid w:val="00E44DA2"/>
    <w:rsid w:val="00E452A2"/>
    <w:rsid w:val="00E45A91"/>
    <w:rsid w:val="00E46293"/>
    <w:rsid w:val="00E46AB9"/>
    <w:rsid w:val="00E46FD2"/>
    <w:rsid w:val="00E47275"/>
    <w:rsid w:val="00E47590"/>
    <w:rsid w:val="00E47FBC"/>
    <w:rsid w:val="00E50A3A"/>
    <w:rsid w:val="00E50BF8"/>
    <w:rsid w:val="00E50EED"/>
    <w:rsid w:val="00E516C3"/>
    <w:rsid w:val="00E51D95"/>
    <w:rsid w:val="00E54C84"/>
    <w:rsid w:val="00E557CA"/>
    <w:rsid w:val="00E55887"/>
    <w:rsid w:val="00E56540"/>
    <w:rsid w:val="00E565C2"/>
    <w:rsid w:val="00E608D0"/>
    <w:rsid w:val="00E61625"/>
    <w:rsid w:val="00E6178C"/>
    <w:rsid w:val="00E618D2"/>
    <w:rsid w:val="00E61DBA"/>
    <w:rsid w:val="00E6207A"/>
    <w:rsid w:val="00E62198"/>
    <w:rsid w:val="00E622A0"/>
    <w:rsid w:val="00E63886"/>
    <w:rsid w:val="00E63D4C"/>
    <w:rsid w:val="00E6486E"/>
    <w:rsid w:val="00E65533"/>
    <w:rsid w:val="00E6662A"/>
    <w:rsid w:val="00E66F41"/>
    <w:rsid w:val="00E67032"/>
    <w:rsid w:val="00E702B3"/>
    <w:rsid w:val="00E70494"/>
    <w:rsid w:val="00E70E4D"/>
    <w:rsid w:val="00E723F3"/>
    <w:rsid w:val="00E72575"/>
    <w:rsid w:val="00E72998"/>
    <w:rsid w:val="00E74030"/>
    <w:rsid w:val="00E746CE"/>
    <w:rsid w:val="00E7511F"/>
    <w:rsid w:val="00E75133"/>
    <w:rsid w:val="00E7537C"/>
    <w:rsid w:val="00E75A5B"/>
    <w:rsid w:val="00E75BCA"/>
    <w:rsid w:val="00E75F60"/>
    <w:rsid w:val="00E7611F"/>
    <w:rsid w:val="00E76538"/>
    <w:rsid w:val="00E77080"/>
    <w:rsid w:val="00E770B5"/>
    <w:rsid w:val="00E7792D"/>
    <w:rsid w:val="00E80727"/>
    <w:rsid w:val="00E810B3"/>
    <w:rsid w:val="00E8183C"/>
    <w:rsid w:val="00E81D97"/>
    <w:rsid w:val="00E81E5B"/>
    <w:rsid w:val="00E81FB1"/>
    <w:rsid w:val="00E81FBD"/>
    <w:rsid w:val="00E8269E"/>
    <w:rsid w:val="00E8294E"/>
    <w:rsid w:val="00E82AB3"/>
    <w:rsid w:val="00E82B1B"/>
    <w:rsid w:val="00E830D6"/>
    <w:rsid w:val="00E83759"/>
    <w:rsid w:val="00E83D03"/>
    <w:rsid w:val="00E83DFA"/>
    <w:rsid w:val="00E8576C"/>
    <w:rsid w:val="00E85997"/>
    <w:rsid w:val="00E902E7"/>
    <w:rsid w:val="00E905C3"/>
    <w:rsid w:val="00E90862"/>
    <w:rsid w:val="00E91647"/>
    <w:rsid w:val="00E91E84"/>
    <w:rsid w:val="00E92E20"/>
    <w:rsid w:val="00E92E5D"/>
    <w:rsid w:val="00E93288"/>
    <w:rsid w:val="00E93A8F"/>
    <w:rsid w:val="00E942F9"/>
    <w:rsid w:val="00E94DD4"/>
    <w:rsid w:val="00E9507C"/>
    <w:rsid w:val="00E95AD7"/>
    <w:rsid w:val="00E95B31"/>
    <w:rsid w:val="00E96694"/>
    <w:rsid w:val="00E96C3E"/>
    <w:rsid w:val="00E9709D"/>
    <w:rsid w:val="00EA00A2"/>
    <w:rsid w:val="00EA03C5"/>
    <w:rsid w:val="00EA06D0"/>
    <w:rsid w:val="00EA082D"/>
    <w:rsid w:val="00EA1CB4"/>
    <w:rsid w:val="00EA2830"/>
    <w:rsid w:val="00EA2E08"/>
    <w:rsid w:val="00EA3939"/>
    <w:rsid w:val="00EA3CBB"/>
    <w:rsid w:val="00EA414D"/>
    <w:rsid w:val="00EA4478"/>
    <w:rsid w:val="00EA4C4B"/>
    <w:rsid w:val="00EA635B"/>
    <w:rsid w:val="00EA6FA5"/>
    <w:rsid w:val="00EB10ED"/>
    <w:rsid w:val="00EB1DF1"/>
    <w:rsid w:val="00EB2635"/>
    <w:rsid w:val="00EB2BF2"/>
    <w:rsid w:val="00EB300F"/>
    <w:rsid w:val="00EB32D7"/>
    <w:rsid w:val="00EB3AB5"/>
    <w:rsid w:val="00EB3B59"/>
    <w:rsid w:val="00EB40B4"/>
    <w:rsid w:val="00EB465B"/>
    <w:rsid w:val="00EB4C6E"/>
    <w:rsid w:val="00EB4D6C"/>
    <w:rsid w:val="00EB556E"/>
    <w:rsid w:val="00EB6924"/>
    <w:rsid w:val="00EB7097"/>
    <w:rsid w:val="00EB7756"/>
    <w:rsid w:val="00EB7CA4"/>
    <w:rsid w:val="00EB7DCC"/>
    <w:rsid w:val="00EC0440"/>
    <w:rsid w:val="00EC0649"/>
    <w:rsid w:val="00EC0EDF"/>
    <w:rsid w:val="00EC136F"/>
    <w:rsid w:val="00EC1CFA"/>
    <w:rsid w:val="00EC2086"/>
    <w:rsid w:val="00EC2645"/>
    <w:rsid w:val="00EC27FC"/>
    <w:rsid w:val="00EC3525"/>
    <w:rsid w:val="00EC37F4"/>
    <w:rsid w:val="00EC3B30"/>
    <w:rsid w:val="00EC47DF"/>
    <w:rsid w:val="00EC48C1"/>
    <w:rsid w:val="00EC55E5"/>
    <w:rsid w:val="00EC5644"/>
    <w:rsid w:val="00EC57E5"/>
    <w:rsid w:val="00EC6183"/>
    <w:rsid w:val="00EC6831"/>
    <w:rsid w:val="00EC748B"/>
    <w:rsid w:val="00EC75FC"/>
    <w:rsid w:val="00EC7BEC"/>
    <w:rsid w:val="00EC7D5E"/>
    <w:rsid w:val="00ED0246"/>
    <w:rsid w:val="00ED02B4"/>
    <w:rsid w:val="00ED0581"/>
    <w:rsid w:val="00ED05E5"/>
    <w:rsid w:val="00ED0BA9"/>
    <w:rsid w:val="00ED1B1A"/>
    <w:rsid w:val="00ED27FA"/>
    <w:rsid w:val="00ED2E17"/>
    <w:rsid w:val="00ED35AD"/>
    <w:rsid w:val="00ED47FB"/>
    <w:rsid w:val="00ED4E01"/>
    <w:rsid w:val="00ED54F8"/>
    <w:rsid w:val="00ED645A"/>
    <w:rsid w:val="00ED6699"/>
    <w:rsid w:val="00ED6A94"/>
    <w:rsid w:val="00ED7409"/>
    <w:rsid w:val="00ED756F"/>
    <w:rsid w:val="00ED7CFA"/>
    <w:rsid w:val="00EE045D"/>
    <w:rsid w:val="00EE0802"/>
    <w:rsid w:val="00EE15AE"/>
    <w:rsid w:val="00EE1B03"/>
    <w:rsid w:val="00EE2250"/>
    <w:rsid w:val="00EE232A"/>
    <w:rsid w:val="00EE25E6"/>
    <w:rsid w:val="00EE2A8A"/>
    <w:rsid w:val="00EE2CA9"/>
    <w:rsid w:val="00EE3464"/>
    <w:rsid w:val="00EE4155"/>
    <w:rsid w:val="00EE60B6"/>
    <w:rsid w:val="00EE61D0"/>
    <w:rsid w:val="00EE690B"/>
    <w:rsid w:val="00EE751A"/>
    <w:rsid w:val="00EE77DC"/>
    <w:rsid w:val="00EF021A"/>
    <w:rsid w:val="00EF096C"/>
    <w:rsid w:val="00EF1A58"/>
    <w:rsid w:val="00EF1DD0"/>
    <w:rsid w:val="00EF1FBB"/>
    <w:rsid w:val="00EF23F6"/>
    <w:rsid w:val="00EF31FF"/>
    <w:rsid w:val="00EF33E4"/>
    <w:rsid w:val="00EF355B"/>
    <w:rsid w:val="00EF3B8D"/>
    <w:rsid w:val="00EF4A50"/>
    <w:rsid w:val="00EF555C"/>
    <w:rsid w:val="00EF5873"/>
    <w:rsid w:val="00EF5F68"/>
    <w:rsid w:val="00EF6DCE"/>
    <w:rsid w:val="00EF71FD"/>
    <w:rsid w:val="00EF73B8"/>
    <w:rsid w:val="00EF7F4F"/>
    <w:rsid w:val="00F005B0"/>
    <w:rsid w:val="00F00DB4"/>
    <w:rsid w:val="00F00DE6"/>
    <w:rsid w:val="00F01B69"/>
    <w:rsid w:val="00F0215B"/>
    <w:rsid w:val="00F025A3"/>
    <w:rsid w:val="00F028A6"/>
    <w:rsid w:val="00F02FC5"/>
    <w:rsid w:val="00F04461"/>
    <w:rsid w:val="00F045E1"/>
    <w:rsid w:val="00F0469F"/>
    <w:rsid w:val="00F04FB3"/>
    <w:rsid w:val="00F05F87"/>
    <w:rsid w:val="00F0678F"/>
    <w:rsid w:val="00F074DA"/>
    <w:rsid w:val="00F107AD"/>
    <w:rsid w:val="00F119F9"/>
    <w:rsid w:val="00F1297E"/>
    <w:rsid w:val="00F12E62"/>
    <w:rsid w:val="00F134C5"/>
    <w:rsid w:val="00F1352F"/>
    <w:rsid w:val="00F1374F"/>
    <w:rsid w:val="00F13B6A"/>
    <w:rsid w:val="00F14377"/>
    <w:rsid w:val="00F144B3"/>
    <w:rsid w:val="00F14575"/>
    <w:rsid w:val="00F14CAF"/>
    <w:rsid w:val="00F14FA9"/>
    <w:rsid w:val="00F1531B"/>
    <w:rsid w:val="00F169E4"/>
    <w:rsid w:val="00F174BC"/>
    <w:rsid w:val="00F17C00"/>
    <w:rsid w:val="00F17F3D"/>
    <w:rsid w:val="00F2031A"/>
    <w:rsid w:val="00F20348"/>
    <w:rsid w:val="00F20440"/>
    <w:rsid w:val="00F213A8"/>
    <w:rsid w:val="00F2150F"/>
    <w:rsid w:val="00F2294B"/>
    <w:rsid w:val="00F22FF1"/>
    <w:rsid w:val="00F23AE0"/>
    <w:rsid w:val="00F24282"/>
    <w:rsid w:val="00F25E39"/>
    <w:rsid w:val="00F263F3"/>
    <w:rsid w:val="00F2642B"/>
    <w:rsid w:val="00F30917"/>
    <w:rsid w:val="00F30D08"/>
    <w:rsid w:val="00F3182D"/>
    <w:rsid w:val="00F327F2"/>
    <w:rsid w:val="00F32D1B"/>
    <w:rsid w:val="00F3320B"/>
    <w:rsid w:val="00F33B27"/>
    <w:rsid w:val="00F363E0"/>
    <w:rsid w:val="00F367EC"/>
    <w:rsid w:val="00F37937"/>
    <w:rsid w:val="00F37967"/>
    <w:rsid w:val="00F40AEA"/>
    <w:rsid w:val="00F40CC6"/>
    <w:rsid w:val="00F40CD2"/>
    <w:rsid w:val="00F41172"/>
    <w:rsid w:val="00F417CE"/>
    <w:rsid w:val="00F42247"/>
    <w:rsid w:val="00F42853"/>
    <w:rsid w:val="00F4419B"/>
    <w:rsid w:val="00F4534E"/>
    <w:rsid w:val="00F46385"/>
    <w:rsid w:val="00F46B7C"/>
    <w:rsid w:val="00F46CB8"/>
    <w:rsid w:val="00F47311"/>
    <w:rsid w:val="00F478F0"/>
    <w:rsid w:val="00F5040C"/>
    <w:rsid w:val="00F508F5"/>
    <w:rsid w:val="00F50E47"/>
    <w:rsid w:val="00F51192"/>
    <w:rsid w:val="00F524B6"/>
    <w:rsid w:val="00F529AD"/>
    <w:rsid w:val="00F53FFC"/>
    <w:rsid w:val="00F546F1"/>
    <w:rsid w:val="00F554FF"/>
    <w:rsid w:val="00F557FD"/>
    <w:rsid w:val="00F55DED"/>
    <w:rsid w:val="00F55ED0"/>
    <w:rsid w:val="00F56218"/>
    <w:rsid w:val="00F566ED"/>
    <w:rsid w:val="00F57566"/>
    <w:rsid w:val="00F57845"/>
    <w:rsid w:val="00F60211"/>
    <w:rsid w:val="00F6032F"/>
    <w:rsid w:val="00F603CB"/>
    <w:rsid w:val="00F61771"/>
    <w:rsid w:val="00F61B2F"/>
    <w:rsid w:val="00F61E4E"/>
    <w:rsid w:val="00F61FCA"/>
    <w:rsid w:val="00F62556"/>
    <w:rsid w:val="00F62724"/>
    <w:rsid w:val="00F62D1D"/>
    <w:rsid w:val="00F630DF"/>
    <w:rsid w:val="00F6315D"/>
    <w:rsid w:val="00F631F3"/>
    <w:rsid w:val="00F63B97"/>
    <w:rsid w:val="00F63E20"/>
    <w:rsid w:val="00F6406D"/>
    <w:rsid w:val="00F64B44"/>
    <w:rsid w:val="00F64CD7"/>
    <w:rsid w:val="00F64EAB"/>
    <w:rsid w:val="00F658F2"/>
    <w:rsid w:val="00F65903"/>
    <w:rsid w:val="00F665C2"/>
    <w:rsid w:val="00F67AB4"/>
    <w:rsid w:val="00F71316"/>
    <w:rsid w:val="00F73BA1"/>
    <w:rsid w:val="00F73D00"/>
    <w:rsid w:val="00F73F09"/>
    <w:rsid w:val="00F742CE"/>
    <w:rsid w:val="00F74828"/>
    <w:rsid w:val="00F74B8A"/>
    <w:rsid w:val="00F75917"/>
    <w:rsid w:val="00F75ABA"/>
    <w:rsid w:val="00F75AEC"/>
    <w:rsid w:val="00F75C23"/>
    <w:rsid w:val="00F76439"/>
    <w:rsid w:val="00F76C07"/>
    <w:rsid w:val="00F776FC"/>
    <w:rsid w:val="00F778C2"/>
    <w:rsid w:val="00F77C7D"/>
    <w:rsid w:val="00F80637"/>
    <w:rsid w:val="00F81236"/>
    <w:rsid w:val="00F81A92"/>
    <w:rsid w:val="00F81D24"/>
    <w:rsid w:val="00F822DB"/>
    <w:rsid w:val="00F8344D"/>
    <w:rsid w:val="00F834D6"/>
    <w:rsid w:val="00F83BB6"/>
    <w:rsid w:val="00F842A6"/>
    <w:rsid w:val="00F8550A"/>
    <w:rsid w:val="00F855EC"/>
    <w:rsid w:val="00F85CD2"/>
    <w:rsid w:val="00F8675F"/>
    <w:rsid w:val="00F86E76"/>
    <w:rsid w:val="00F90F6B"/>
    <w:rsid w:val="00F9157E"/>
    <w:rsid w:val="00F9191A"/>
    <w:rsid w:val="00F91BBE"/>
    <w:rsid w:val="00F92236"/>
    <w:rsid w:val="00F923E0"/>
    <w:rsid w:val="00F9257A"/>
    <w:rsid w:val="00F944FB"/>
    <w:rsid w:val="00F94768"/>
    <w:rsid w:val="00F953D0"/>
    <w:rsid w:val="00F95B3A"/>
    <w:rsid w:val="00F960C3"/>
    <w:rsid w:val="00F96640"/>
    <w:rsid w:val="00F96A2B"/>
    <w:rsid w:val="00F9797A"/>
    <w:rsid w:val="00FA00DA"/>
    <w:rsid w:val="00FA0839"/>
    <w:rsid w:val="00FA0C87"/>
    <w:rsid w:val="00FA0E12"/>
    <w:rsid w:val="00FA0FA3"/>
    <w:rsid w:val="00FA1336"/>
    <w:rsid w:val="00FA2623"/>
    <w:rsid w:val="00FA292C"/>
    <w:rsid w:val="00FA2C81"/>
    <w:rsid w:val="00FA2F20"/>
    <w:rsid w:val="00FA3053"/>
    <w:rsid w:val="00FA3BBC"/>
    <w:rsid w:val="00FA557F"/>
    <w:rsid w:val="00FA5625"/>
    <w:rsid w:val="00FA7933"/>
    <w:rsid w:val="00FA7F5F"/>
    <w:rsid w:val="00FB0481"/>
    <w:rsid w:val="00FB0C16"/>
    <w:rsid w:val="00FB137B"/>
    <w:rsid w:val="00FB17E7"/>
    <w:rsid w:val="00FB1F8E"/>
    <w:rsid w:val="00FB2BB7"/>
    <w:rsid w:val="00FB30D6"/>
    <w:rsid w:val="00FB3BE1"/>
    <w:rsid w:val="00FB3C06"/>
    <w:rsid w:val="00FB4B6D"/>
    <w:rsid w:val="00FB4D66"/>
    <w:rsid w:val="00FB5A60"/>
    <w:rsid w:val="00FB612D"/>
    <w:rsid w:val="00FB6BAE"/>
    <w:rsid w:val="00FB6D60"/>
    <w:rsid w:val="00FB7288"/>
    <w:rsid w:val="00FB7EBC"/>
    <w:rsid w:val="00FC0EF4"/>
    <w:rsid w:val="00FC1908"/>
    <w:rsid w:val="00FC19DE"/>
    <w:rsid w:val="00FC1F1E"/>
    <w:rsid w:val="00FC354F"/>
    <w:rsid w:val="00FC3A2E"/>
    <w:rsid w:val="00FC3FDA"/>
    <w:rsid w:val="00FC44D4"/>
    <w:rsid w:val="00FC530B"/>
    <w:rsid w:val="00FC616C"/>
    <w:rsid w:val="00FC65CF"/>
    <w:rsid w:val="00FC6660"/>
    <w:rsid w:val="00FC71EB"/>
    <w:rsid w:val="00FD2465"/>
    <w:rsid w:val="00FD2AF6"/>
    <w:rsid w:val="00FD4C6E"/>
    <w:rsid w:val="00FD4FD6"/>
    <w:rsid w:val="00FD5020"/>
    <w:rsid w:val="00FD51C1"/>
    <w:rsid w:val="00FD5222"/>
    <w:rsid w:val="00FD61D7"/>
    <w:rsid w:val="00FD6F80"/>
    <w:rsid w:val="00FD74B7"/>
    <w:rsid w:val="00FD7727"/>
    <w:rsid w:val="00FE013F"/>
    <w:rsid w:val="00FE1230"/>
    <w:rsid w:val="00FE1562"/>
    <w:rsid w:val="00FE30EE"/>
    <w:rsid w:val="00FE341C"/>
    <w:rsid w:val="00FE3669"/>
    <w:rsid w:val="00FE43F5"/>
    <w:rsid w:val="00FE46B6"/>
    <w:rsid w:val="00FE5025"/>
    <w:rsid w:val="00FE53D4"/>
    <w:rsid w:val="00FE5876"/>
    <w:rsid w:val="00FE5A3C"/>
    <w:rsid w:val="00FE5EC3"/>
    <w:rsid w:val="00FE6D1B"/>
    <w:rsid w:val="00FE7BCF"/>
    <w:rsid w:val="00FF057E"/>
    <w:rsid w:val="00FF0AE7"/>
    <w:rsid w:val="00FF16D7"/>
    <w:rsid w:val="00FF1CDC"/>
    <w:rsid w:val="00FF227E"/>
    <w:rsid w:val="00FF2697"/>
    <w:rsid w:val="00FF2EED"/>
    <w:rsid w:val="00FF2F3C"/>
    <w:rsid w:val="00FF2FED"/>
    <w:rsid w:val="00FF3340"/>
    <w:rsid w:val="00FF3C5D"/>
    <w:rsid w:val="00FF3FF5"/>
    <w:rsid w:val="00FF4FAE"/>
    <w:rsid w:val="00FF51AC"/>
    <w:rsid w:val="00FF54E3"/>
    <w:rsid w:val="00FF581E"/>
    <w:rsid w:val="00FF5BBA"/>
    <w:rsid w:val="00FF5CAE"/>
    <w:rsid w:val="00FF6770"/>
    <w:rsid w:val="00FF6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07BF8"/>
  <w15:docId w15:val="{7ED92178-38E0-428E-8D53-19506FD08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05E"/>
    <w:pPr>
      <w:widowControl w:val="0"/>
      <w:adjustRightInd w:val="0"/>
      <w:spacing w:after="0" w:line="360" w:lineRule="atLeast"/>
      <w:jc w:val="both"/>
    </w:pPr>
    <w:rPr>
      <w:rFonts w:ascii="Verdana" w:eastAsia="Times New Roman" w:hAnsi="Verdana" w:cs="Times New Roman"/>
      <w:sz w:val="20"/>
      <w:szCs w:val="20"/>
      <w:lang w:eastAsia="es-CR"/>
    </w:rPr>
  </w:style>
  <w:style w:type="paragraph" w:styleId="Ttulo1">
    <w:name w:val="heading 1"/>
    <w:aliases w:val="Título Verdana"/>
    <w:basedOn w:val="Normal"/>
    <w:next w:val="Normal"/>
    <w:link w:val="Ttulo1Car"/>
    <w:uiPriority w:val="9"/>
    <w:qFormat/>
    <w:rsid w:val="00465F79"/>
    <w:pPr>
      <w:spacing w:before="360" w:after="360" w:line="240" w:lineRule="auto"/>
      <w:ind w:right="6"/>
      <w:jc w:val="center"/>
      <w:outlineLvl w:val="0"/>
    </w:pPr>
    <w:rPr>
      <w:b/>
      <w:lang w:val="es-ES"/>
    </w:rPr>
  </w:style>
  <w:style w:type="paragraph" w:styleId="Ttulo2">
    <w:name w:val="heading 2"/>
    <w:basedOn w:val="Normal"/>
    <w:next w:val="Normal"/>
    <w:link w:val="Ttulo2Car"/>
    <w:uiPriority w:val="9"/>
    <w:unhideWhenUsed/>
    <w:qFormat/>
    <w:rsid w:val="00A12976"/>
    <w:pPr>
      <w:keepNext/>
      <w:keepLines/>
      <w:numPr>
        <w:numId w:val="12"/>
      </w:numPr>
      <w:spacing w:before="240" w:after="240" w:line="240" w:lineRule="auto"/>
      <w:ind w:left="1066" w:hanging="357"/>
      <w:textAlignment w:val="baseline"/>
      <w:outlineLvl w:val="1"/>
    </w:pPr>
    <w:rPr>
      <w:rFonts w:eastAsia="MS Mincho" w:cs="Verdana"/>
      <w:b/>
      <w:i/>
      <w:lang w:val="es-ES"/>
    </w:rPr>
  </w:style>
  <w:style w:type="paragraph" w:styleId="Ttulo3">
    <w:name w:val="heading 3"/>
    <w:basedOn w:val="Prrafodelista"/>
    <w:next w:val="Normal"/>
    <w:link w:val="Ttulo3Car"/>
    <w:unhideWhenUsed/>
    <w:qFormat/>
    <w:rsid w:val="00880D4E"/>
    <w:pPr>
      <w:tabs>
        <w:tab w:val="left" w:pos="1276"/>
      </w:tabs>
      <w:spacing w:line="240" w:lineRule="auto"/>
      <w:ind w:left="0"/>
      <w:outlineLvl w:val="2"/>
    </w:pPr>
    <w:rPr>
      <w:b/>
      <w:i/>
    </w:rPr>
  </w:style>
  <w:style w:type="paragraph" w:styleId="Ttulo4">
    <w:name w:val="heading 4"/>
    <w:basedOn w:val="Prrafodelista"/>
    <w:next w:val="Normal"/>
    <w:link w:val="Ttulo4Car"/>
    <w:uiPriority w:val="9"/>
    <w:unhideWhenUsed/>
    <w:qFormat/>
    <w:rsid w:val="00721B81"/>
    <w:pPr>
      <w:tabs>
        <w:tab w:val="left" w:pos="1418"/>
      </w:tabs>
      <w:spacing w:before="240" w:after="240" w:line="240" w:lineRule="auto"/>
      <w:ind w:left="1066"/>
      <w:contextualSpacing w:val="0"/>
      <w:outlineLvl w:val="3"/>
    </w:pPr>
    <w:rPr>
      <w:i/>
      <w:iCs/>
      <w:lang w:val="es-ES"/>
    </w:rPr>
  </w:style>
  <w:style w:type="paragraph" w:styleId="Ttulo5">
    <w:name w:val="heading 5"/>
    <w:basedOn w:val="Prrafodelista"/>
    <w:link w:val="Ttulo5Car"/>
    <w:uiPriority w:val="9"/>
    <w:qFormat/>
    <w:rsid w:val="00880D4E"/>
    <w:pPr>
      <w:numPr>
        <w:ilvl w:val="1"/>
        <w:numId w:val="3"/>
      </w:numPr>
      <w:tabs>
        <w:tab w:val="left" w:pos="1418"/>
      </w:tabs>
      <w:spacing w:line="240" w:lineRule="auto"/>
      <w:outlineLvl w:val="4"/>
    </w:pPr>
    <w:rPr>
      <w:i/>
    </w:rPr>
  </w:style>
  <w:style w:type="paragraph" w:styleId="Ttulo6">
    <w:name w:val="heading 6"/>
    <w:basedOn w:val="Ttulo5"/>
    <w:next w:val="Normal"/>
    <w:link w:val="Ttulo6Car"/>
    <w:uiPriority w:val="9"/>
    <w:unhideWhenUsed/>
    <w:rsid w:val="009C37EC"/>
    <w:pPr>
      <w:tabs>
        <w:tab w:val="num" w:pos="3600"/>
      </w:tabs>
      <w:ind w:left="3600"/>
      <w:outlineLvl w:val="5"/>
    </w:pPr>
    <w:rPr>
      <w:spacing w:val="-2"/>
      <w:lang w:val="es-ES_tradnl"/>
    </w:rPr>
  </w:style>
  <w:style w:type="paragraph" w:styleId="Ttulo7">
    <w:name w:val="heading 7"/>
    <w:basedOn w:val="Normal"/>
    <w:next w:val="Normal"/>
    <w:link w:val="Ttulo7Car"/>
    <w:uiPriority w:val="9"/>
    <w:semiHidden/>
    <w:unhideWhenUsed/>
    <w:rsid w:val="002D6817"/>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rsid w:val="002D6817"/>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rsid w:val="005650D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notapieCar">
    <w:name w:val="Texto nota pie Car"/>
    <w:aliases w:val="Ca Car,2. Footnote Text Car2,Footnote Tesina Car2,FA Fu Car,Footnote Text Char Char Char Char Char Car,Footnote Text Char Char Char Char Car,Footnote reference Car,Footnote Text Char Char Char Car,Footnote Text Cha Car,C Car2,ft Car"/>
    <w:basedOn w:val="Fuentedeprrafopredeter"/>
    <w:link w:val="Textonotapie"/>
    <w:qFormat/>
    <w:rsid w:val="00880D4E"/>
    <w:rPr>
      <w:rFonts w:eastAsia="Batang"/>
      <w:sz w:val="20"/>
      <w:szCs w:val="20"/>
      <w:lang w:val="es-MX"/>
    </w:rPr>
  </w:style>
  <w:style w:type="paragraph" w:customStyle="1" w:styleId="Estilo1">
    <w:name w:val="Estilo1"/>
    <w:basedOn w:val="Normal"/>
    <w:link w:val="Estilo1Car"/>
    <w:qFormat/>
    <w:rsid w:val="00880D4E"/>
    <w:pPr>
      <w:tabs>
        <w:tab w:val="left" w:pos="567"/>
        <w:tab w:val="left" w:pos="1134"/>
        <w:tab w:val="num" w:pos="6042"/>
      </w:tabs>
      <w:spacing w:after="120" w:line="240" w:lineRule="auto"/>
    </w:pPr>
    <w:rPr>
      <w:rFonts w:eastAsiaTheme="minorHAnsi"/>
      <w:lang w:val="en-US"/>
    </w:rPr>
  </w:style>
  <w:style w:type="character" w:customStyle="1" w:styleId="Estilo1Car">
    <w:name w:val="Estilo1 Car"/>
    <w:link w:val="Estilo1"/>
    <w:rsid w:val="00880D4E"/>
    <w:rPr>
      <w:rFonts w:ascii="Verdana" w:hAnsi="Verdana"/>
      <w:lang w:val="en-US"/>
    </w:rPr>
  </w:style>
  <w:style w:type="paragraph" w:customStyle="1" w:styleId="Footnotes">
    <w:name w:val="**. Footnotes"/>
    <w:basedOn w:val="Textonotapie"/>
    <w:link w:val="FootnotesChar"/>
    <w:autoRedefine/>
    <w:qFormat/>
    <w:rsid w:val="00880D4E"/>
    <w:pPr>
      <w:tabs>
        <w:tab w:val="left" w:pos="567"/>
      </w:tabs>
      <w:spacing w:before="120" w:after="40"/>
    </w:pPr>
    <w:rPr>
      <w:rFonts w:cs="Palatino-Italic"/>
      <w:i/>
      <w:iCs/>
      <w:sz w:val="16"/>
      <w:szCs w:val="16"/>
      <w:lang w:val="en-US"/>
    </w:rPr>
  </w:style>
  <w:style w:type="character" w:customStyle="1" w:styleId="FootnotesChar">
    <w:name w:val="**. Footnotes Char"/>
    <w:basedOn w:val="Fuentedeprrafopredeter"/>
    <w:link w:val="Footnotes"/>
    <w:rsid w:val="00880D4E"/>
    <w:rPr>
      <w:rFonts w:ascii="Verdana" w:eastAsia="Batang" w:hAnsi="Verdana" w:cs="Palatino-Italic"/>
      <w:i/>
      <w:iCs/>
      <w:sz w:val="16"/>
      <w:szCs w:val="16"/>
      <w:lang w:val="en-US"/>
    </w:rPr>
  </w:style>
  <w:style w:type="paragraph" w:styleId="Textonotapie">
    <w:name w:val="footnote text"/>
    <w:aliases w:val="Ca,2. Footnote Text,Footnote Tesina,FA Fu,Footnote Text Char Char Char Char Char,Footnote Text Char Char Char Char,Footnote reference,Footnote Text Char Char Char,Footnote Text Cha,FA Fußnotentext,FA Fuﬂnotentext,C,ft,5,footnote text,Car"/>
    <w:basedOn w:val="Normal"/>
    <w:link w:val="TextonotapieCar"/>
    <w:unhideWhenUsed/>
    <w:qFormat/>
    <w:rsid w:val="00880D4E"/>
    <w:pPr>
      <w:spacing w:line="240" w:lineRule="auto"/>
    </w:pPr>
  </w:style>
  <w:style w:type="character" w:customStyle="1" w:styleId="TextonotapieCar1">
    <w:name w:val="Texto nota pie Car1"/>
    <w:aliases w:val="2. Footnote Text Car,Footnote Tesina Car,FA Fu Car1,Footnote Text Char Char Char Char Char Car1,Footnote Text Char Char Char Char Car1,Footnote reference Car1,Footnote Text Char Char Char Car1,Footnote Text Cha Car1,Ca Car1,C Car"/>
    <w:basedOn w:val="Fuentedeprrafopredeter"/>
    <w:qFormat/>
    <w:rsid w:val="00880D4E"/>
    <w:rPr>
      <w:rFonts w:ascii="Verdana" w:eastAsia="MS Mincho" w:hAnsi="Verdana" w:cs="Times"/>
      <w:sz w:val="16"/>
      <w:szCs w:val="24"/>
      <w:lang w:val="es-ES_tradnl"/>
    </w:rPr>
  </w:style>
  <w:style w:type="paragraph" w:customStyle="1" w:styleId="2Footnotes">
    <w:name w:val="2. Footnotes"/>
    <w:basedOn w:val="Textonotapie"/>
    <w:link w:val="2FootnotesChar"/>
    <w:autoRedefine/>
    <w:qFormat/>
    <w:rsid w:val="00880D4E"/>
    <w:pPr>
      <w:spacing w:before="120" w:after="40"/>
    </w:pPr>
    <w:rPr>
      <w:rFonts w:cs="Palatino-Italic"/>
      <w:iCs/>
      <w:noProof/>
      <w:sz w:val="16"/>
      <w:szCs w:val="18"/>
      <w:lang w:val="en-US"/>
    </w:rPr>
  </w:style>
  <w:style w:type="character" w:customStyle="1" w:styleId="2FootnotesChar">
    <w:name w:val="2. Footnotes Char"/>
    <w:link w:val="2Footnotes"/>
    <w:rsid w:val="00880D4E"/>
    <w:rPr>
      <w:rFonts w:ascii="Verdana" w:eastAsia="Times New Roman" w:hAnsi="Verdana" w:cs="Palatino-Italic"/>
      <w:iCs/>
      <w:noProof/>
      <w:sz w:val="16"/>
      <w:szCs w:val="18"/>
      <w:lang w:val="en-US"/>
    </w:rPr>
  </w:style>
  <w:style w:type="paragraph" w:customStyle="1" w:styleId="PrrafodeSentencia">
    <w:name w:val="*. Párrafo de Sentencia"/>
    <w:basedOn w:val="Normal"/>
    <w:next w:val="Normal"/>
    <w:link w:val="PrrafodeSentenciaChar"/>
    <w:qFormat/>
    <w:rsid w:val="00880D4E"/>
    <w:pPr>
      <w:tabs>
        <w:tab w:val="left" w:pos="567"/>
      </w:tabs>
      <w:spacing w:line="240" w:lineRule="auto"/>
    </w:pPr>
    <w:rPr>
      <w:spacing w:val="-4"/>
      <w:lang w:val="en-US" w:eastAsia="es-MX"/>
    </w:rPr>
  </w:style>
  <w:style w:type="character" w:customStyle="1" w:styleId="PrrafodeSentenciaChar">
    <w:name w:val="*. Párrafo de Sentencia Char"/>
    <w:link w:val="PrrafodeSentencia"/>
    <w:locked/>
    <w:rsid w:val="00880D4E"/>
    <w:rPr>
      <w:rFonts w:ascii="Verdana" w:eastAsia="Batang" w:hAnsi="Verdana"/>
      <w:spacing w:val="-4"/>
      <w:sz w:val="20"/>
      <w:lang w:val="en-US" w:eastAsia="es-MX"/>
    </w:rPr>
  </w:style>
  <w:style w:type="character" w:customStyle="1" w:styleId="FootnoteTextChar">
    <w:name w:val="Footnote Text Char"/>
    <w:aliases w:val="2. Footnote Text Char,Footnote Tesina Char,FA Fu Char,Footnote Text Char Char Char Char Char Char,Footnote Text Char Char Char Char Char1,Footnote reference Char,Footnote Text Char Char Char Char1,Footnote Text Cha Char,Ca Char,C Char"/>
    <w:basedOn w:val="Fuentedeprrafopredeter"/>
    <w:locked/>
    <w:rsid w:val="002D6817"/>
    <w:rPr>
      <w:rFonts w:ascii="Verdana" w:hAnsi="Verdana"/>
    </w:rPr>
  </w:style>
  <w:style w:type="paragraph" w:customStyle="1" w:styleId="Estilo4">
    <w:name w:val="Estilo4"/>
    <w:basedOn w:val="Prrafodelista"/>
    <w:link w:val="Estilo4Car"/>
    <w:rsid w:val="009C37EC"/>
    <w:pPr>
      <w:numPr>
        <w:ilvl w:val="1"/>
        <w:numId w:val="1"/>
      </w:numPr>
      <w:spacing w:after="120" w:line="240" w:lineRule="auto"/>
    </w:pPr>
    <w:rPr>
      <w:rFonts w:eastAsiaTheme="minorHAnsi"/>
      <w:spacing w:val="-2"/>
    </w:rPr>
  </w:style>
  <w:style w:type="character" w:customStyle="1" w:styleId="Estilo4Car">
    <w:name w:val="Estilo4 Car"/>
    <w:basedOn w:val="Fuentedeprrafopredeter"/>
    <w:link w:val="Estilo4"/>
    <w:rsid w:val="002D6817"/>
    <w:rPr>
      <w:rFonts w:ascii="Verdana" w:hAnsi="Verdana" w:cs="Times New Roman"/>
      <w:spacing w:val="-2"/>
      <w:sz w:val="20"/>
      <w:szCs w:val="20"/>
      <w:lang w:eastAsia="es-CR"/>
    </w:rPr>
  </w:style>
  <w:style w:type="character" w:customStyle="1" w:styleId="Ttulo1Car">
    <w:name w:val="Título 1 Car"/>
    <w:aliases w:val="Título Verdana Car"/>
    <w:basedOn w:val="Fuentedeprrafopredeter"/>
    <w:link w:val="Ttulo1"/>
    <w:uiPriority w:val="9"/>
    <w:rsid w:val="00465F79"/>
    <w:rPr>
      <w:rFonts w:ascii="Verdana" w:eastAsia="Times New Roman" w:hAnsi="Verdana" w:cs="Times New Roman"/>
      <w:b/>
      <w:sz w:val="20"/>
      <w:szCs w:val="20"/>
      <w:lang w:val="es-ES" w:eastAsia="es-CR"/>
    </w:rPr>
  </w:style>
  <w:style w:type="character" w:customStyle="1" w:styleId="Ttulo2Car">
    <w:name w:val="Título 2 Car"/>
    <w:basedOn w:val="Fuentedeprrafopredeter"/>
    <w:link w:val="Ttulo2"/>
    <w:uiPriority w:val="9"/>
    <w:rsid w:val="00A12976"/>
    <w:rPr>
      <w:rFonts w:ascii="Verdana" w:eastAsia="MS Mincho" w:hAnsi="Verdana" w:cs="Verdana"/>
      <w:b/>
      <w:i/>
      <w:sz w:val="20"/>
      <w:szCs w:val="20"/>
      <w:lang w:val="es-ES" w:eastAsia="es-CR"/>
    </w:rPr>
  </w:style>
  <w:style w:type="character" w:customStyle="1" w:styleId="Ttulo3Car">
    <w:name w:val="Título 3 Car"/>
    <w:basedOn w:val="Fuentedeprrafopredeter"/>
    <w:link w:val="Ttulo3"/>
    <w:rsid w:val="00880D4E"/>
    <w:rPr>
      <w:rFonts w:ascii="Verdana" w:eastAsia="Batang" w:hAnsi="Verdana"/>
      <w:b/>
      <w:i/>
      <w:sz w:val="20"/>
      <w:szCs w:val="20"/>
      <w:lang w:val="es-MX"/>
    </w:rPr>
  </w:style>
  <w:style w:type="character" w:customStyle="1" w:styleId="Ttulo4Car">
    <w:name w:val="Título 4 Car"/>
    <w:basedOn w:val="Fuentedeprrafopredeter"/>
    <w:link w:val="Ttulo4"/>
    <w:uiPriority w:val="9"/>
    <w:rsid w:val="00721B81"/>
    <w:rPr>
      <w:rFonts w:ascii="Verdana" w:eastAsia="Times New Roman" w:hAnsi="Verdana" w:cs="Times New Roman"/>
      <w:i/>
      <w:iCs/>
      <w:sz w:val="20"/>
      <w:szCs w:val="20"/>
      <w:lang w:val="es-ES" w:eastAsia="es-CR"/>
    </w:rPr>
  </w:style>
  <w:style w:type="character" w:customStyle="1" w:styleId="Ttulo5Car">
    <w:name w:val="Título 5 Car"/>
    <w:basedOn w:val="Fuentedeprrafopredeter"/>
    <w:link w:val="Ttulo5"/>
    <w:uiPriority w:val="9"/>
    <w:rsid w:val="00880D4E"/>
    <w:rPr>
      <w:rFonts w:ascii="Verdana" w:eastAsia="Times New Roman" w:hAnsi="Verdana" w:cs="Times New Roman"/>
      <w:i/>
      <w:sz w:val="20"/>
      <w:szCs w:val="20"/>
      <w:lang w:eastAsia="es-CR"/>
    </w:rPr>
  </w:style>
  <w:style w:type="character" w:customStyle="1" w:styleId="Ttulo6Car">
    <w:name w:val="Título 6 Car"/>
    <w:basedOn w:val="Fuentedeprrafopredeter"/>
    <w:link w:val="Ttulo6"/>
    <w:uiPriority w:val="9"/>
    <w:rsid w:val="009C37EC"/>
    <w:rPr>
      <w:rFonts w:ascii="Verdana" w:eastAsia="Times New Roman" w:hAnsi="Verdana" w:cs="Times New Roman"/>
      <w:i/>
      <w:spacing w:val="-2"/>
      <w:sz w:val="20"/>
      <w:szCs w:val="20"/>
      <w:lang w:val="es-ES_tradnl" w:eastAsia="es-CR"/>
    </w:rPr>
  </w:style>
  <w:style w:type="character" w:customStyle="1" w:styleId="Ttulo7Car">
    <w:name w:val="Título 7 Car"/>
    <w:basedOn w:val="Fuentedeprrafopredeter"/>
    <w:link w:val="Ttulo7"/>
    <w:uiPriority w:val="9"/>
    <w:semiHidden/>
    <w:rsid w:val="002D6817"/>
    <w:rPr>
      <w:rFonts w:asciiTheme="majorHAnsi" w:eastAsiaTheme="majorEastAsia" w:hAnsiTheme="majorHAnsi" w:cstheme="majorBidi"/>
      <w:i/>
      <w:iCs/>
      <w:color w:val="243F60" w:themeColor="accent1" w:themeShade="7F"/>
      <w:sz w:val="24"/>
      <w:szCs w:val="24"/>
      <w:lang w:eastAsia="es-CR"/>
    </w:rPr>
  </w:style>
  <w:style w:type="character" w:customStyle="1" w:styleId="Ttulo8Car">
    <w:name w:val="Título 8 Car"/>
    <w:basedOn w:val="Fuentedeprrafopredeter"/>
    <w:link w:val="Ttulo8"/>
    <w:uiPriority w:val="9"/>
    <w:semiHidden/>
    <w:rsid w:val="002D6817"/>
    <w:rPr>
      <w:rFonts w:asciiTheme="majorHAnsi" w:eastAsiaTheme="majorEastAsia" w:hAnsiTheme="majorHAnsi" w:cstheme="majorBidi"/>
      <w:color w:val="272727" w:themeColor="text1" w:themeTint="D8"/>
      <w:sz w:val="21"/>
      <w:szCs w:val="21"/>
      <w:lang w:eastAsia="es-CR"/>
    </w:rPr>
  </w:style>
  <w:style w:type="character" w:customStyle="1" w:styleId="Ttulo9Car">
    <w:name w:val="Título 9 Car"/>
    <w:basedOn w:val="Fuentedeprrafopredeter"/>
    <w:link w:val="Ttulo9"/>
    <w:uiPriority w:val="9"/>
    <w:semiHidden/>
    <w:rsid w:val="005650D0"/>
    <w:rPr>
      <w:rFonts w:asciiTheme="majorHAnsi" w:eastAsiaTheme="majorEastAsia" w:hAnsiTheme="majorHAnsi" w:cstheme="majorBidi"/>
      <w:i/>
      <w:iCs/>
      <w:color w:val="272727" w:themeColor="text1" w:themeTint="D8"/>
      <w:sz w:val="21"/>
      <w:szCs w:val="21"/>
      <w:lang w:eastAsia="es-CR"/>
    </w:rPr>
  </w:style>
  <w:style w:type="paragraph" w:styleId="Ttulo">
    <w:name w:val="Title"/>
    <w:basedOn w:val="Prrafodelista"/>
    <w:next w:val="Normal"/>
    <w:link w:val="TtuloCar"/>
    <w:uiPriority w:val="10"/>
    <w:qFormat/>
    <w:rsid w:val="00880D4E"/>
    <w:pPr>
      <w:keepNext/>
      <w:keepLines/>
      <w:numPr>
        <w:numId w:val="4"/>
      </w:numPr>
      <w:spacing w:before="120" w:after="120" w:line="240" w:lineRule="auto"/>
      <w:textAlignment w:val="baseline"/>
      <w:outlineLvl w:val="1"/>
    </w:pPr>
    <w:rPr>
      <w:b/>
      <w:i/>
    </w:rPr>
  </w:style>
  <w:style w:type="character" w:customStyle="1" w:styleId="TtuloCar">
    <w:name w:val="Título Car"/>
    <w:basedOn w:val="Fuentedeprrafopredeter"/>
    <w:link w:val="Ttulo"/>
    <w:uiPriority w:val="10"/>
    <w:rsid w:val="00880D4E"/>
    <w:rPr>
      <w:rFonts w:ascii="Verdana" w:eastAsia="Times New Roman" w:hAnsi="Verdana" w:cs="Times New Roman"/>
      <w:b/>
      <w:i/>
      <w:sz w:val="20"/>
      <w:szCs w:val="20"/>
      <w:lang w:eastAsia="es-CR"/>
    </w:rPr>
  </w:style>
  <w:style w:type="paragraph" w:styleId="Subttulo">
    <w:name w:val="Subtitle"/>
    <w:basedOn w:val="Ttulo"/>
    <w:next w:val="Normal"/>
    <w:link w:val="SubttuloCar"/>
    <w:uiPriority w:val="11"/>
    <w:qFormat/>
    <w:rsid w:val="00880D4E"/>
    <w:pPr>
      <w:numPr>
        <w:numId w:val="0"/>
      </w:numPr>
    </w:pPr>
  </w:style>
  <w:style w:type="character" w:customStyle="1" w:styleId="SubttuloCar">
    <w:name w:val="Subtítulo Car"/>
    <w:basedOn w:val="Fuentedeprrafopredeter"/>
    <w:link w:val="Subttulo"/>
    <w:uiPriority w:val="11"/>
    <w:rsid w:val="00880D4E"/>
    <w:rPr>
      <w:rFonts w:ascii="Verdana" w:eastAsia="Batang" w:hAnsi="Verdana"/>
      <w:b/>
      <w:i/>
      <w:sz w:val="20"/>
      <w:szCs w:val="20"/>
      <w:lang w:val="es-MX"/>
    </w:rPr>
  </w:style>
  <w:style w:type="character" w:styleId="Textoennegrita">
    <w:name w:val="Strong"/>
    <w:aliases w:val="Heading 2.1"/>
    <w:basedOn w:val="Fuentedeprrafopredeter"/>
    <w:uiPriority w:val="22"/>
    <w:qFormat/>
    <w:rsid w:val="00880D4E"/>
    <w:rPr>
      <w:b/>
      <w:bCs/>
    </w:rPr>
  </w:style>
  <w:style w:type="character" w:styleId="nfasis">
    <w:name w:val="Emphasis"/>
    <w:basedOn w:val="nfasissutil"/>
    <w:qFormat/>
    <w:rsid w:val="00880D4E"/>
    <w:rPr>
      <w:i/>
      <w:iCs/>
    </w:rPr>
  </w:style>
  <w:style w:type="paragraph" w:styleId="Sinespaciado">
    <w:name w:val="No Spacing"/>
    <w:link w:val="SinespaciadoCar"/>
    <w:uiPriority w:val="1"/>
    <w:qFormat/>
    <w:rsid w:val="00880D4E"/>
    <w:pPr>
      <w:spacing w:after="0" w:line="240" w:lineRule="auto"/>
    </w:pPr>
  </w:style>
  <w:style w:type="paragraph" w:styleId="Prrafodelista">
    <w:name w:val="List Paragraph"/>
    <w:aliases w:val="List Paragraph2,Lista vistosa - Énfasis 11,Párrafo de lista1,Footnote,List Paragraph1,Colorful List - Accent 11,Parrafos,Subtle Emphasis1,Footnote1,List Paragraph11,Cuadrícula clara - Énfasis 31,Lista clara - Énfasis 51,List Paragraph"/>
    <w:basedOn w:val="Normal"/>
    <w:link w:val="PrrafodelistaCar"/>
    <w:uiPriority w:val="34"/>
    <w:qFormat/>
    <w:rsid w:val="00880D4E"/>
    <w:pPr>
      <w:ind w:left="720"/>
      <w:contextualSpacing/>
    </w:pPr>
  </w:style>
  <w:style w:type="character" w:customStyle="1" w:styleId="PrrafodelistaCar">
    <w:name w:val="Párrafo de lista Car"/>
    <w:aliases w:val="List Paragraph2 Car,Lista vistosa - Énfasis 11 Car,Párrafo de lista1 Car,Footnote Car,List Paragraph1 Car,Colorful List - Accent 11 Car,Parrafos Car,Subtle Emphasis1 Car,Footnote1 Car,List Paragraph11 Car,List Paragraph Car"/>
    <w:basedOn w:val="Fuentedeprrafopredeter"/>
    <w:link w:val="Prrafodelista"/>
    <w:uiPriority w:val="34"/>
    <w:locked/>
    <w:rsid w:val="00880D4E"/>
    <w:rPr>
      <w:rFonts w:eastAsia="Batang"/>
      <w:lang w:val="es-MX"/>
    </w:rPr>
  </w:style>
  <w:style w:type="character" w:styleId="Ttulodellibro">
    <w:name w:val="Book Title"/>
    <w:basedOn w:val="Fuentedeprrafopredeter"/>
    <w:uiPriority w:val="33"/>
    <w:qFormat/>
    <w:rsid w:val="002D6817"/>
    <w:rPr>
      <w:b/>
      <w:bCs/>
      <w:i/>
      <w:iCs/>
      <w:spacing w:val="5"/>
    </w:rPr>
  </w:style>
  <w:style w:type="paragraph" w:styleId="TtuloTDC">
    <w:name w:val="TOC Heading"/>
    <w:basedOn w:val="Ttulo1"/>
    <w:next w:val="Normal"/>
    <w:uiPriority w:val="39"/>
    <w:unhideWhenUsed/>
    <w:qFormat/>
    <w:rsid w:val="00880D4E"/>
    <w:pPr>
      <w:spacing w:line="276" w:lineRule="auto"/>
      <w:outlineLvl w:val="9"/>
    </w:pPr>
    <w:rPr>
      <w:lang w:val="en-US" w:eastAsia="ja-JP"/>
    </w:rPr>
  </w:style>
  <w:style w:type="paragraph" w:customStyle="1" w:styleId="Prrafodelista2">
    <w:name w:val="Párrafo de lista2"/>
    <w:basedOn w:val="Normal"/>
    <w:uiPriority w:val="34"/>
    <w:rsid w:val="005650D0"/>
    <w:pPr>
      <w:ind w:left="720"/>
    </w:pPr>
  </w:style>
  <w:style w:type="paragraph" w:customStyle="1" w:styleId="PargrafodaLista">
    <w:name w:val="Parágrafo da Lista"/>
    <w:basedOn w:val="Normal"/>
    <w:rsid w:val="005650D0"/>
    <w:pPr>
      <w:ind w:left="708"/>
    </w:pPr>
    <w:rPr>
      <w:sz w:val="16"/>
    </w:rPr>
  </w:style>
  <w:style w:type="paragraph" w:customStyle="1" w:styleId="Sinespaciado1">
    <w:name w:val="Sin espaciado1"/>
    <w:uiPriority w:val="1"/>
    <w:rsid w:val="005650D0"/>
    <w:pPr>
      <w:spacing w:after="0" w:line="240" w:lineRule="auto"/>
    </w:pPr>
    <w:rPr>
      <w:rFonts w:ascii="Calibri" w:eastAsia="Times New Roman" w:hAnsi="Calibri" w:cs="Times New Roman"/>
      <w:lang w:val="en-US" w:eastAsia="es-CR"/>
    </w:rPr>
  </w:style>
  <w:style w:type="character" w:customStyle="1" w:styleId="SinespaciadoCar">
    <w:name w:val="Sin espaciado Car"/>
    <w:basedOn w:val="Fuentedeprrafopredeter"/>
    <w:link w:val="Sinespaciado"/>
    <w:uiPriority w:val="1"/>
    <w:rsid w:val="009C37EC"/>
  </w:style>
  <w:style w:type="character" w:customStyle="1" w:styleId="TextonotapieCar2">
    <w:name w:val="Texto nota pie Car2"/>
    <w:aliases w:val="Ca Car2,2. Footnote Text Car1,Footnote Tesina Car1,FA Fu Car2,Footnote Text Char Char Char Char Char Car2,Footnote Text Char Char Char Char Car2,Footnote reference Car2,Footnote Text Char Char Char Car2,Footnote Text Cha Car2,C Car1"/>
    <w:basedOn w:val="Fuentedeprrafopredeter"/>
    <w:qFormat/>
    <w:rsid w:val="005650D0"/>
    <w:rPr>
      <w:rFonts w:ascii="Verdana" w:eastAsia="Times" w:hAnsi="Verdana" w:cs="Times"/>
      <w:sz w:val="16"/>
      <w:szCs w:val="20"/>
      <w:lang w:val="es-ES_tradnl" w:eastAsia="x-none"/>
    </w:rPr>
  </w:style>
  <w:style w:type="character" w:styleId="Refdenotaalpie">
    <w:name w:val="footnote reference"/>
    <w:aliases w:val="Appel note de bas de page,Footnotes refss,Footnote number,referencia nota al pie,BVI fnr,f,4_G,16 Point,Superscript 6 Point,Texto nota al pie,Footnote Reference Char3,Footnote Reference Char1 Char,Ref. de nota al,Ref. de nota al pi"/>
    <w:basedOn w:val="Fuentedeprrafopredeter"/>
    <w:link w:val="4GChar"/>
    <w:uiPriority w:val="99"/>
    <w:unhideWhenUsed/>
    <w:qFormat/>
    <w:rsid w:val="00880D4E"/>
    <w:rPr>
      <w:vertAlign w:val="superscript"/>
      <w:lang w:val="en-US"/>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880D4E"/>
    <w:pPr>
      <w:spacing w:line="240" w:lineRule="auto"/>
    </w:pPr>
    <w:rPr>
      <w:rFonts w:eastAsiaTheme="minorHAnsi"/>
      <w:vertAlign w:val="superscript"/>
      <w:lang w:val="en-US"/>
    </w:rPr>
  </w:style>
  <w:style w:type="paragraph" w:customStyle="1" w:styleId="Numberedparagraphs">
    <w:name w:val="Numbered paragraphs"/>
    <w:basedOn w:val="Normal"/>
    <w:link w:val="NumberedparagraphsCar"/>
    <w:qFormat/>
    <w:rsid w:val="009C37EC"/>
    <w:pPr>
      <w:spacing w:line="240" w:lineRule="auto"/>
    </w:pPr>
    <w:rPr>
      <w:rFonts w:eastAsia="MS Mincho"/>
      <w:color w:val="000000"/>
      <w:lang w:val="es-ES_tradnl"/>
    </w:rPr>
  </w:style>
  <w:style w:type="character" w:customStyle="1" w:styleId="FootnoteTextChar1">
    <w:name w:val="Footnote Text Char1"/>
    <w:aliases w:val="2. Footnote Text Char1,Footnote Tesina Char1,FA Fu Char2,Footnote Text Char Char Char Char Char Char2,Footnote Text Char Char Char Char Char3,Footnote reference Char2,Footnote Text Char Char Char Char3,Footnote Text Cha Char2,C Char1"/>
    <w:basedOn w:val="Fuentedeprrafopredeter"/>
    <w:rsid w:val="009C37EC"/>
    <w:rPr>
      <w:sz w:val="20"/>
      <w:szCs w:val="20"/>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uiPriority w:val="99"/>
    <w:qFormat/>
    <w:rsid w:val="009C37EC"/>
    <w:pPr>
      <w:spacing w:after="160" w:line="240" w:lineRule="exact"/>
    </w:pPr>
    <w:rPr>
      <w:rFonts w:eastAsiaTheme="minorHAnsi"/>
      <w:vertAlign w:val="superscript"/>
    </w:rPr>
  </w:style>
  <w:style w:type="paragraph" w:customStyle="1" w:styleId="Estilo3">
    <w:name w:val="Estilo3"/>
    <w:basedOn w:val="Prrafodelista"/>
    <w:rsid w:val="009C37EC"/>
    <w:pPr>
      <w:numPr>
        <w:ilvl w:val="4"/>
        <w:numId w:val="2"/>
      </w:numPr>
      <w:spacing w:after="120" w:line="216" w:lineRule="auto"/>
      <w:ind w:right="17"/>
    </w:pPr>
    <w:rPr>
      <w:rFonts w:eastAsia="Calibri"/>
      <w:spacing w:val="-2"/>
      <w:lang w:eastAsia="x-none"/>
    </w:rPr>
  </w:style>
  <w:style w:type="paragraph" w:customStyle="1" w:styleId="Estilo5">
    <w:name w:val="Estilo5"/>
    <w:basedOn w:val="Prrafodelista"/>
    <w:link w:val="Estilo5Car"/>
    <w:rsid w:val="009C37EC"/>
    <w:pPr>
      <w:numPr>
        <w:numId w:val="2"/>
      </w:numPr>
      <w:spacing w:after="120" w:line="216" w:lineRule="auto"/>
      <w:ind w:right="18"/>
    </w:pPr>
    <w:rPr>
      <w:rFonts w:eastAsia="Calibri"/>
      <w:spacing w:val="-2"/>
      <w:lang w:eastAsia="x-none"/>
    </w:rPr>
  </w:style>
  <w:style w:type="character" w:customStyle="1" w:styleId="Estilo5Car">
    <w:name w:val="Estilo5 Car"/>
    <w:link w:val="Estilo5"/>
    <w:rsid w:val="009C37EC"/>
    <w:rPr>
      <w:rFonts w:ascii="Verdana" w:eastAsia="Calibri" w:hAnsi="Verdana" w:cs="Times New Roman"/>
      <w:spacing w:val="-2"/>
      <w:sz w:val="20"/>
      <w:szCs w:val="20"/>
      <w:lang w:eastAsia="x-none"/>
    </w:rPr>
  </w:style>
  <w:style w:type="paragraph" w:customStyle="1" w:styleId="Estilo8">
    <w:name w:val="Estilo8"/>
    <w:basedOn w:val="Estilo3"/>
    <w:rsid w:val="009C37EC"/>
    <w:pPr>
      <w:numPr>
        <w:ilvl w:val="5"/>
      </w:numPr>
    </w:pPr>
  </w:style>
  <w:style w:type="paragraph" w:customStyle="1" w:styleId="Estilo2">
    <w:name w:val="Estilo2"/>
    <w:basedOn w:val="Normal"/>
    <w:qFormat/>
    <w:rsid w:val="00880D4E"/>
    <w:pPr>
      <w:tabs>
        <w:tab w:val="left" w:pos="567"/>
        <w:tab w:val="left" w:pos="1134"/>
        <w:tab w:val="num" w:pos="4767"/>
      </w:tabs>
      <w:spacing w:after="120" w:line="240" w:lineRule="auto"/>
      <w:ind w:left="4767" w:hanging="360"/>
    </w:pPr>
    <w:rPr>
      <w:rFonts w:eastAsia="Calibri"/>
      <w:lang w:val="es-ES"/>
    </w:rPr>
  </w:style>
  <w:style w:type="paragraph" w:customStyle="1" w:styleId="Estilo7">
    <w:name w:val="Estilo7"/>
    <w:basedOn w:val="Normal"/>
    <w:qFormat/>
    <w:rsid w:val="00880D4E"/>
    <w:pPr>
      <w:tabs>
        <w:tab w:val="left" w:pos="567"/>
        <w:tab w:val="left" w:pos="851"/>
        <w:tab w:val="num" w:pos="2160"/>
      </w:tabs>
      <w:spacing w:before="120" w:after="120" w:line="240" w:lineRule="auto"/>
      <w:ind w:left="2160" w:hanging="180"/>
    </w:pPr>
    <w:rPr>
      <w:b/>
      <w:i/>
      <w:lang w:val="es-ES_tradnl" w:eastAsia="es-MX"/>
    </w:rPr>
  </w:style>
  <w:style w:type="paragraph" w:customStyle="1" w:styleId="NormalNumbered">
    <w:name w:val="Normal Numbered"/>
    <w:basedOn w:val="Normal"/>
    <w:qFormat/>
    <w:rsid w:val="00880D4E"/>
    <w:pPr>
      <w:numPr>
        <w:numId w:val="5"/>
      </w:numPr>
      <w:spacing w:line="240" w:lineRule="auto"/>
    </w:pPr>
    <w:rPr>
      <w:lang w:val="x-none" w:eastAsia="x-none"/>
    </w:rPr>
  </w:style>
  <w:style w:type="paragraph" w:styleId="TDC1">
    <w:name w:val="toc 1"/>
    <w:basedOn w:val="Normal"/>
    <w:next w:val="Normal"/>
    <w:autoRedefine/>
    <w:uiPriority w:val="39"/>
    <w:unhideWhenUsed/>
    <w:qFormat/>
    <w:rsid w:val="00EA3CBB"/>
    <w:pPr>
      <w:tabs>
        <w:tab w:val="right" w:leader="dot" w:pos="8828"/>
      </w:tabs>
      <w:spacing w:before="120" w:after="120" w:line="240" w:lineRule="auto"/>
    </w:pPr>
    <w:rPr>
      <w:b/>
      <w:bCs/>
      <w:caps/>
    </w:rPr>
  </w:style>
  <w:style w:type="paragraph" w:styleId="TDC2">
    <w:name w:val="toc 2"/>
    <w:basedOn w:val="Normal"/>
    <w:next w:val="Normal"/>
    <w:autoRedefine/>
    <w:uiPriority w:val="39"/>
    <w:unhideWhenUsed/>
    <w:qFormat/>
    <w:rsid w:val="00EA3CBB"/>
    <w:pPr>
      <w:tabs>
        <w:tab w:val="left" w:pos="880"/>
        <w:tab w:val="right" w:leader="dot" w:pos="8828"/>
        <w:tab w:val="right" w:leader="dot" w:pos="9792"/>
      </w:tabs>
      <w:spacing w:before="20" w:after="20" w:line="240" w:lineRule="auto"/>
      <w:ind w:left="221"/>
    </w:pPr>
    <w:rPr>
      <w:bCs/>
      <w:i/>
      <w:noProof/>
      <w:lang w:val="es-ES_tradnl"/>
    </w:rPr>
  </w:style>
  <w:style w:type="paragraph" w:styleId="TDC3">
    <w:name w:val="toc 3"/>
    <w:basedOn w:val="Normal"/>
    <w:next w:val="Normal"/>
    <w:autoRedefine/>
    <w:uiPriority w:val="39"/>
    <w:unhideWhenUsed/>
    <w:qFormat/>
    <w:rsid w:val="00EA3CBB"/>
    <w:pPr>
      <w:tabs>
        <w:tab w:val="right" w:leader="dot" w:pos="8828"/>
      </w:tabs>
      <w:spacing w:before="20" w:after="20" w:line="240" w:lineRule="auto"/>
      <w:ind w:left="442"/>
    </w:pPr>
    <w:rPr>
      <w:i/>
      <w:iCs/>
    </w:rPr>
  </w:style>
  <w:style w:type="character" w:styleId="nfasissutil">
    <w:name w:val="Subtle Emphasis"/>
    <w:uiPriority w:val="19"/>
    <w:qFormat/>
    <w:rsid w:val="00880D4E"/>
  </w:style>
  <w:style w:type="character" w:styleId="Hipervnculo">
    <w:name w:val="Hyperlink"/>
    <w:basedOn w:val="Fuentedeprrafopredeter"/>
    <w:uiPriority w:val="99"/>
    <w:unhideWhenUsed/>
    <w:rsid w:val="00E0705E"/>
    <w:rPr>
      <w:color w:val="0000FF" w:themeColor="hyperlink"/>
      <w:u w:val="single"/>
    </w:rPr>
  </w:style>
  <w:style w:type="paragraph" w:styleId="Textodebloque">
    <w:name w:val="Block Text"/>
    <w:basedOn w:val="Normal"/>
    <w:semiHidden/>
    <w:unhideWhenUsed/>
    <w:rsid w:val="00E0705E"/>
    <w:pPr>
      <w:widowControl/>
      <w:tabs>
        <w:tab w:val="left" w:pos="720"/>
      </w:tabs>
      <w:adjustRightInd/>
      <w:spacing w:line="240" w:lineRule="auto"/>
      <w:ind w:left="720" w:right="720"/>
    </w:pPr>
    <w:rPr>
      <w:rFonts w:ascii="Garamond" w:hAnsi="Garamond"/>
      <w:sz w:val="22"/>
      <w:lang w:val="en-GB" w:eastAsia="en-US"/>
    </w:rPr>
  </w:style>
  <w:style w:type="character" w:customStyle="1" w:styleId="highlight">
    <w:name w:val="highlight"/>
    <w:basedOn w:val="Fuentedeprrafopredeter"/>
    <w:rsid w:val="00E0705E"/>
  </w:style>
  <w:style w:type="paragraph" w:styleId="Encabezado">
    <w:name w:val="header"/>
    <w:aliases w:val="encabezado"/>
    <w:basedOn w:val="Normal"/>
    <w:link w:val="EncabezadoCar"/>
    <w:uiPriority w:val="99"/>
    <w:unhideWhenUsed/>
    <w:rsid w:val="006E0712"/>
    <w:pPr>
      <w:tabs>
        <w:tab w:val="center" w:pos="4419"/>
        <w:tab w:val="right" w:pos="8838"/>
      </w:tabs>
      <w:spacing w:line="240" w:lineRule="auto"/>
    </w:pPr>
  </w:style>
  <w:style w:type="character" w:customStyle="1" w:styleId="EncabezadoCar">
    <w:name w:val="Encabezado Car"/>
    <w:aliases w:val="encabezado Car"/>
    <w:basedOn w:val="Fuentedeprrafopredeter"/>
    <w:link w:val="Encabezado"/>
    <w:uiPriority w:val="99"/>
    <w:rsid w:val="006E0712"/>
    <w:rPr>
      <w:rFonts w:ascii="Verdana" w:eastAsia="Times New Roman" w:hAnsi="Verdana" w:cs="Times New Roman"/>
      <w:sz w:val="20"/>
      <w:szCs w:val="20"/>
      <w:lang w:eastAsia="es-CR"/>
    </w:rPr>
  </w:style>
  <w:style w:type="paragraph" w:styleId="Piedepgina">
    <w:name w:val="footer"/>
    <w:basedOn w:val="Normal"/>
    <w:link w:val="PiedepginaCar"/>
    <w:uiPriority w:val="99"/>
    <w:unhideWhenUsed/>
    <w:rsid w:val="006E071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E0712"/>
    <w:rPr>
      <w:rFonts w:ascii="Verdana" w:eastAsia="Times New Roman" w:hAnsi="Verdana" w:cs="Times New Roman"/>
      <w:sz w:val="20"/>
      <w:szCs w:val="20"/>
      <w:lang w:eastAsia="es-CR"/>
    </w:rPr>
  </w:style>
  <w:style w:type="character" w:styleId="Nmerodelnea">
    <w:name w:val="line number"/>
    <w:basedOn w:val="Fuentedeprrafopredeter"/>
    <w:uiPriority w:val="99"/>
    <w:semiHidden/>
    <w:unhideWhenUsed/>
    <w:rsid w:val="00DA682E"/>
  </w:style>
  <w:style w:type="character" w:styleId="Mencinsinresolver">
    <w:name w:val="Unresolved Mention"/>
    <w:basedOn w:val="Fuentedeprrafopredeter"/>
    <w:uiPriority w:val="99"/>
    <w:semiHidden/>
    <w:unhideWhenUsed/>
    <w:rsid w:val="005C4AB4"/>
    <w:rPr>
      <w:color w:val="605E5C"/>
      <w:shd w:val="clear" w:color="auto" w:fill="E1DFDD"/>
    </w:rPr>
  </w:style>
  <w:style w:type="paragraph" w:customStyle="1" w:styleId="Default">
    <w:name w:val="Default"/>
    <w:rsid w:val="00CA24E4"/>
    <w:pPr>
      <w:autoSpaceDE w:val="0"/>
      <w:autoSpaceDN w:val="0"/>
      <w:adjustRightInd w:val="0"/>
      <w:spacing w:after="0" w:line="240" w:lineRule="auto"/>
    </w:pPr>
    <w:rPr>
      <w:rFonts w:ascii="Verdana" w:hAnsi="Verdana" w:cs="Verdana"/>
      <w:color w:val="000000"/>
      <w:sz w:val="24"/>
      <w:szCs w:val="24"/>
    </w:rPr>
  </w:style>
  <w:style w:type="character" w:styleId="Refdecomentario">
    <w:name w:val="annotation reference"/>
    <w:basedOn w:val="Fuentedeprrafopredeter"/>
    <w:uiPriority w:val="99"/>
    <w:unhideWhenUsed/>
    <w:rsid w:val="00C32D68"/>
    <w:rPr>
      <w:sz w:val="16"/>
      <w:szCs w:val="16"/>
    </w:rPr>
  </w:style>
  <w:style w:type="paragraph" w:styleId="Textocomentario">
    <w:name w:val="annotation text"/>
    <w:basedOn w:val="Normal"/>
    <w:link w:val="TextocomentarioCar"/>
    <w:uiPriority w:val="99"/>
    <w:unhideWhenUsed/>
    <w:rsid w:val="00C32D68"/>
    <w:pPr>
      <w:spacing w:line="240" w:lineRule="auto"/>
    </w:pPr>
  </w:style>
  <w:style w:type="character" w:customStyle="1" w:styleId="TextocomentarioCar">
    <w:name w:val="Texto comentario Car"/>
    <w:basedOn w:val="Fuentedeprrafopredeter"/>
    <w:link w:val="Textocomentario"/>
    <w:uiPriority w:val="99"/>
    <w:rsid w:val="00C32D68"/>
    <w:rPr>
      <w:rFonts w:ascii="Verdana" w:eastAsia="Times New Roman" w:hAnsi="Verdana" w:cs="Times New Roman"/>
      <w:sz w:val="20"/>
      <w:szCs w:val="20"/>
      <w:lang w:eastAsia="es-CR"/>
    </w:rPr>
  </w:style>
  <w:style w:type="paragraph" w:styleId="Asuntodelcomentario">
    <w:name w:val="annotation subject"/>
    <w:basedOn w:val="Textocomentario"/>
    <w:next w:val="Textocomentario"/>
    <w:link w:val="AsuntodelcomentarioCar"/>
    <w:uiPriority w:val="99"/>
    <w:semiHidden/>
    <w:unhideWhenUsed/>
    <w:rsid w:val="00C32D68"/>
    <w:rPr>
      <w:b/>
      <w:bCs/>
    </w:rPr>
  </w:style>
  <w:style w:type="character" w:customStyle="1" w:styleId="AsuntodelcomentarioCar">
    <w:name w:val="Asunto del comentario Car"/>
    <w:basedOn w:val="TextocomentarioCar"/>
    <w:link w:val="Asuntodelcomentario"/>
    <w:uiPriority w:val="99"/>
    <w:semiHidden/>
    <w:rsid w:val="00C32D68"/>
    <w:rPr>
      <w:rFonts w:ascii="Verdana" w:eastAsia="Times New Roman" w:hAnsi="Verdana" w:cs="Times New Roman"/>
      <w:b/>
      <w:bCs/>
      <w:sz w:val="20"/>
      <w:szCs w:val="20"/>
      <w:lang w:eastAsia="es-CR"/>
    </w:rPr>
  </w:style>
  <w:style w:type="paragraph" w:styleId="Revisin">
    <w:name w:val="Revision"/>
    <w:hidden/>
    <w:uiPriority w:val="99"/>
    <w:semiHidden/>
    <w:rsid w:val="001C03A2"/>
    <w:pPr>
      <w:spacing w:after="0" w:line="240" w:lineRule="auto"/>
    </w:pPr>
    <w:rPr>
      <w:rFonts w:ascii="Verdana" w:eastAsia="Times New Roman" w:hAnsi="Verdana" w:cs="Times New Roman"/>
      <w:sz w:val="20"/>
      <w:szCs w:val="20"/>
      <w:lang w:eastAsia="es-CR"/>
    </w:rPr>
  </w:style>
  <w:style w:type="paragraph" w:customStyle="1" w:styleId="Normal1">
    <w:name w:val="Normal1"/>
    <w:rsid w:val="003A7436"/>
    <w:pPr>
      <w:widowControl w:val="0"/>
      <w:spacing w:after="0" w:line="240" w:lineRule="auto"/>
    </w:pPr>
    <w:rPr>
      <w:rFonts w:ascii="Times New Roman" w:eastAsia="Times New Roman" w:hAnsi="Times New Roman" w:cs="Times New Roman"/>
      <w:sz w:val="24"/>
      <w:szCs w:val="24"/>
    </w:rPr>
  </w:style>
  <w:style w:type="table" w:styleId="Tablaconcuadrcula4-nfasis5">
    <w:name w:val="Grid Table 4 Accent 5"/>
    <w:basedOn w:val="Tablanormal"/>
    <w:uiPriority w:val="49"/>
    <w:rsid w:val="00832704"/>
    <w:pPr>
      <w:spacing w:after="0" w:line="240" w:lineRule="auto"/>
    </w:pPr>
    <w:rPr>
      <w:lang w:val="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Hipervnculovisitado">
    <w:name w:val="FollowedHyperlink"/>
    <w:basedOn w:val="Fuentedeprrafopredeter"/>
    <w:uiPriority w:val="99"/>
    <w:semiHidden/>
    <w:unhideWhenUsed/>
    <w:rsid w:val="005B49A0"/>
    <w:rPr>
      <w:color w:val="800080" w:themeColor="followedHyperlink"/>
      <w:u w:val="single"/>
    </w:rPr>
  </w:style>
  <w:style w:type="character" w:customStyle="1" w:styleId="markedcontent">
    <w:name w:val="markedcontent"/>
    <w:basedOn w:val="Fuentedeprrafopredeter"/>
    <w:rsid w:val="002A24BC"/>
  </w:style>
  <w:style w:type="table" w:styleId="Tablaconcuadrcula">
    <w:name w:val="Table Grid"/>
    <w:basedOn w:val="Tablanormal"/>
    <w:uiPriority w:val="39"/>
    <w:rsid w:val="00854B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
    <w:name w:val="normal--char"/>
    <w:basedOn w:val="Fuentedeprrafopredeter"/>
    <w:uiPriority w:val="99"/>
    <w:rsid w:val="00424B78"/>
  </w:style>
  <w:style w:type="paragraph" w:customStyle="1" w:styleId="ju-005fpara">
    <w:name w:val="ju-005fpara"/>
    <w:basedOn w:val="Normal"/>
    <w:rsid w:val="00424B78"/>
    <w:pPr>
      <w:widowControl/>
      <w:adjustRightInd/>
      <w:spacing w:before="100" w:beforeAutospacing="1" w:after="100" w:afterAutospacing="1" w:line="240" w:lineRule="auto"/>
      <w:jc w:val="left"/>
    </w:pPr>
    <w:rPr>
      <w:rFonts w:ascii="Times New Roman" w:hAnsi="Times New Roman"/>
      <w:sz w:val="24"/>
      <w:szCs w:val="24"/>
      <w:lang w:val="es-ES" w:eastAsia="es-ES"/>
    </w:rPr>
  </w:style>
  <w:style w:type="character" w:customStyle="1" w:styleId="ju-005fpara--char">
    <w:name w:val="ju-005fpara--char"/>
    <w:basedOn w:val="Fuentedeprrafopredeter"/>
    <w:rsid w:val="00424B78"/>
  </w:style>
  <w:style w:type="paragraph" w:styleId="Textoindependiente">
    <w:name w:val="Body Text"/>
    <w:basedOn w:val="Normal"/>
    <w:link w:val="TextoindependienteCar"/>
    <w:uiPriority w:val="1"/>
    <w:qFormat/>
    <w:rsid w:val="00FD2465"/>
    <w:pPr>
      <w:autoSpaceDE w:val="0"/>
      <w:autoSpaceDN w:val="0"/>
      <w:adjustRightInd/>
      <w:spacing w:line="240" w:lineRule="auto"/>
      <w:jc w:val="left"/>
    </w:pPr>
    <w:rPr>
      <w:rFonts w:eastAsia="Verdana" w:cs="Verdana"/>
      <w:lang w:val="en-US" w:eastAsia="en-US"/>
    </w:rPr>
  </w:style>
  <w:style w:type="character" w:customStyle="1" w:styleId="TextoindependienteCar">
    <w:name w:val="Texto independiente Car"/>
    <w:basedOn w:val="Fuentedeprrafopredeter"/>
    <w:link w:val="Textoindependiente"/>
    <w:uiPriority w:val="1"/>
    <w:rsid w:val="00FD2465"/>
    <w:rPr>
      <w:rFonts w:ascii="Verdana" w:eastAsia="Verdana" w:hAnsi="Verdana" w:cs="Verdana"/>
      <w:sz w:val="20"/>
      <w:szCs w:val="20"/>
      <w:lang w:val="en-US"/>
    </w:rPr>
  </w:style>
  <w:style w:type="paragraph" w:customStyle="1" w:styleId="pf0">
    <w:name w:val="pf0"/>
    <w:basedOn w:val="Normal"/>
    <w:rsid w:val="00157BDB"/>
    <w:pPr>
      <w:widowControl/>
      <w:adjustRightInd/>
      <w:spacing w:before="100" w:beforeAutospacing="1" w:after="100" w:afterAutospacing="1" w:line="240" w:lineRule="auto"/>
      <w:jc w:val="left"/>
    </w:pPr>
    <w:rPr>
      <w:rFonts w:ascii="Times New Roman" w:hAnsi="Times New Roman"/>
      <w:sz w:val="24"/>
      <w:szCs w:val="24"/>
    </w:rPr>
  </w:style>
  <w:style w:type="character" w:customStyle="1" w:styleId="cf01">
    <w:name w:val="cf01"/>
    <w:basedOn w:val="Fuentedeprrafopredeter"/>
    <w:rsid w:val="00157BDB"/>
    <w:rPr>
      <w:rFonts w:ascii="Segoe UI" w:hAnsi="Segoe UI" w:cs="Segoe UI" w:hint="default"/>
      <w:sz w:val="18"/>
      <w:szCs w:val="18"/>
    </w:rPr>
  </w:style>
  <w:style w:type="paragraph" w:styleId="Textonotaalfinal">
    <w:name w:val="endnote text"/>
    <w:basedOn w:val="Normal"/>
    <w:link w:val="TextonotaalfinalCar"/>
    <w:uiPriority w:val="99"/>
    <w:semiHidden/>
    <w:unhideWhenUsed/>
    <w:rsid w:val="00600413"/>
    <w:pPr>
      <w:spacing w:line="240" w:lineRule="auto"/>
    </w:pPr>
  </w:style>
  <w:style w:type="character" w:customStyle="1" w:styleId="TextonotaalfinalCar">
    <w:name w:val="Texto nota al final Car"/>
    <w:basedOn w:val="Fuentedeprrafopredeter"/>
    <w:link w:val="Textonotaalfinal"/>
    <w:uiPriority w:val="99"/>
    <w:semiHidden/>
    <w:rsid w:val="00600413"/>
    <w:rPr>
      <w:rFonts w:ascii="Verdana" w:eastAsia="Times New Roman" w:hAnsi="Verdana" w:cs="Times New Roman"/>
      <w:sz w:val="20"/>
      <w:szCs w:val="20"/>
      <w:lang w:eastAsia="es-CR"/>
    </w:rPr>
  </w:style>
  <w:style w:type="character" w:styleId="Refdenotaalfinal">
    <w:name w:val="endnote reference"/>
    <w:basedOn w:val="Fuentedeprrafopredeter"/>
    <w:uiPriority w:val="99"/>
    <w:semiHidden/>
    <w:unhideWhenUsed/>
    <w:rsid w:val="00600413"/>
    <w:rPr>
      <w:vertAlign w:val="superscript"/>
    </w:rPr>
  </w:style>
  <w:style w:type="paragraph" w:styleId="Sangradetextonormal">
    <w:name w:val="Body Text Indent"/>
    <w:basedOn w:val="Normal"/>
    <w:link w:val="SangradetextonormalCar"/>
    <w:uiPriority w:val="99"/>
    <w:semiHidden/>
    <w:unhideWhenUsed/>
    <w:rsid w:val="009C15ED"/>
    <w:pPr>
      <w:widowControl/>
      <w:adjustRightInd/>
      <w:spacing w:after="120" w:line="259" w:lineRule="auto"/>
      <w:ind w:left="283"/>
      <w:jc w:val="left"/>
    </w:pPr>
    <w:rPr>
      <w:rFonts w:asciiTheme="minorHAnsi" w:eastAsiaTheme="minorHAnsi" w:hAnsiTheme="minorHAnsi" w:cstheme="minorBidi"/>
      <w:kern w:val="2"/>
      <w:sz w:val="22"/>
      <w:szCs w:val="22"/>
      <w:lang w:eastAsia="en-US"/>
      <w14:ligatures w14:val="standardContextual"/>
    </w:rPr>
  </w:style>
  <w:style w:type="character" w:customStyle="1" w:styleId="SangradetextonormalCar">
    <w:name w:val="Sangría de texto normal Car"/>
    <w:basedOn w:val="Fuentedeprrafopredeter"/>
    <w:link w:val="Sangradetextonormal"/>
    <w:uiPriority w:val="99"/>
    <w:semiHidden/>
    <w:rsid w:val="009C15ED"/>
    <w:rPr>
      <w:kern w:val="2"/>
      <w14:ligatures w14:val="standardContextual"/>
    </w:rPr>
  </w:style>
  <w:style w:type="character" w:customStyle="1" w:styleId="Smbolodenotaalpie">
    <w:name w:val="Símbolo de nota al pie"/>
    <w:rsid w:val="009762ED"/>
    <w:rPr>
      <w:rFonts w:cs="Times New Roman"/>
      <w:szCs w:val="20"/>
      <w:vertAlign w:val="superscript"/>
    </w:rPr>
  </w:style>
  <w:style w:type="character" w:customStyle="1" w:styleId="None">
    <w:name w:val="None"/>
    <w:rsid w:val="009762ED"/>
  </w:style>
  <w:style w:type="character" w:customStyle="1" w:styleId="NumberedparagraphsCar">
    <w:name w:val="Numbered paragraphs Car"/>
    <w:basedOn w:val="Fuentedeprrafopredeter"/>
    <w:link w:val="Numberedparagraphs"/>
    <w:rsid w:val="00A63DE6"/>
    <w:rPr>
      <w:rFonts w:ascii="Verdana" w:eastAsia="MS Mincho" w:hAnsi="Verdana" w:cs="Times New Roman"/>
      <w:color w:val="000000"/>
      <w:sz w:val="20"/>
      <w:szCs w:val="20"/>
      <w:lang w:val="es-ES_tradnl" w:eastAsia="es-CR"/>
    </w:rPr>
  </w:style>
  <w:style w:type="table" w:customStyle="1" w:styleId="Tabladecuadrcula4-nfasis52">
    <w:name w:val="Tabla de cuadrícula 4 - Énfasis 52"/>
    <w:basedOn w:val="Tablanormal"/>
    <w:next w:val="Tablaconcuadrcula4-nfasis5"/>
    <w:uiPriority w:val="49"/>
    <w:rsid w:val="00816697"/>
    <w:pPr>
      <w:spacing w:after="0" w:line="240" w:lineRule="auto"/>
    </w:pPr>
    <w:rPr>
      <w:lang w:val="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decuadrcula4-nfasis51">
    <w:name w:val="Tabla de cuadrícula 4 - Énfasis 51"/>
    <w:basedOn w:val="Tablanormal"/>
    <w:next w:val="Tablaconcuadrcula4-nfasis5"/>
    <w:uiPriority w:val="49"/>
    <w:rsid w:val="00816697"/>
    <w:pPr>
      <w:spacing w:after="0" w:line="240" w:lineRule="auto"/>
    </w:pPr>
    <w:rPr>
      <w:lang w:val="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45221">
      <w:bodyDiv w:val="1"/>
      <w:marLeft w:val="0"/>
      <w:marRight w:val="0"/>
      <w:marTop w:val="0"/>
      <w:marBottom w:val="0"/>
      <w:divBdr>
        <w:top w:val="none" w:sz="0" w:space="0" w:color="auto"/>
        <w:left w:val="none" w:sz="0" w:space="0" w:color="auto"/>
        <w:bottom w:val="none" w:sz="0" w:space="0" w:color="auto"/>
        <w:right w:val="none" w:sz="0" w:space="0" w:color="auto"/>
      </w:divBdr>
    </w:div>
    <w:div w:id="94256916">
      <w:bodyDiv w:val="1"/>
      <w:marLeft w:val="0"/>
      <w:marRight w:val="0"/>
      <w:marTop w:val="0"/>
      <w:marBottom w:val="0"/>
      <w:divBdr>
        <w:top w:val="none" w:sz="0" w:space="0" w:color="auto"/>
        <w:left w:val="none" w:sz="0" w:space="0" w:color="auto"/>
        <w:bottom w:val="none" w:sz="0" w:space="0" w:color="auto"/>
        <w:right w:val="none" w:sz="0" w:space="0" w:color="auto"/>
      </w:divBdr>
    </w:div>
    <w:div w:id="96221144">
      <w:bodyDiv w:val="1"/>
      <w:marLeft w:val="0"/>
      <w:marRight w:val="0"/>
      <w:marTop w:val="0"/>
      <w:marBottom w:val="0"/>
      <w:divBdr>
        <w:top w:val="none" w:sz="0" w:space="0" w:color="auto"/>
        <w:left w:val="none" w:sz="0" w:space="0" w:color="auto"/>
        <w:bottom w:val="none" w:sz="0" w:space="0" w:color="auto"/>
        <w:right w:val="none" w:sz="0" w:space="0" w:color="auto"/>
      </w:divBdr>
    </w:div>
    <w:div w:id="96675556">
      <w:bodyDiv w:val="1"/>
      <w:marLeft w:val="0"/>
      <w:marRight w:val="0"/>
      <w:marTop w:val="0"/>
      <w:marBottom w:val="0"/>
      <w:divBdr>
        <w:top w:val="none" w:sz="0" w:space="0" w:color="auto"/>
        <w:left w:val="none" w:sz="0" w:space="0" w:color="auto"/>
        <w:bottom w:val="none" w:sz="0" w:space="0" w:color="auto"/>
        <w:right w:val="none" w:sz="0" w:space="0" w:color="auto"/>
      </w:divBdr>
    </w:div>
    <w:div w:id="130754480">
      <w:bodyDiv w:val="1"/>
      <w:marLeft w:val="0"/>
      <w:marRight w:val="0"/>
      <w:marTop w:val="0"/>
      <w:marBottom w:val="0"/>
      <w:divBdr>
        <w:top w:val="none" w:sz="0" w:space="0" w:color="auto"/>
        <w:left w:val="none" w:sz="0" w:space="0" w:color="auto"/>
        <w:bottom w:val="none" w:sz="0" w:space="0" w:color="auto"/>
        <w:right w:val="none" w:sz="0" w:space="0" w:color="auto"/>
      </w:divBdr>
    </w:div>
    <w:div w:id="138228714">
      <w:bodyDiv w:val="1"/>
      <w:marLeft w:val="0"/>
      <w:marRight w:val="0"/>
      <w:marTop w:val="0"/>
      <w:marBottom w:val="0"/>
      <w:divBdr>
        <w:top w:val="none" w:sz="0" w:space="0" w:color="auto"/>
        <w:left w:val="none" w:sz="0" w:space="0" w:color="auto"/>
        <w:bottom w:val="none" w:sz="0" w:space="0" w:color="auto"/>
        <w:right w:val="none" w:sz="0" w:space="0" w:color="auto"/>
      </w:divBdr>
    </w:div>
    <w:div w:id="163594352">
      <w:bodyDiv w:val="1"/>
      <w:marLeft w:val="0"/>
      <w:marRight w:val="0"/>
      <w:marTop w:val="0"/>
      <w:marBottom w:val="0"/>
      <w:divBdr>
        <w:top w:val="none" w:sz="0" w:space="0" w:color="auto"/>
        <w:left w:val="none" w:sz="0" w:space="0" w:color="auto"/>
        <w:bottom w:val="none" w:sz="0" w:space="0" w:color="auto"/>
        <w:right w:val="none" w:sz="0" w:space="0" w:color="auto"/>
      </w:divBdr>
      <w:divsChild>
        <w:div w:id="915627368">
          <w:marLeft w:val="446"/>
          <w:marRight w:val="0"/>
          <w:marTop w:val="0"/>
          <w:marBottom w:val="0"/>
          <w:divBdr>
            <w:top w:val="none" w:sz="0" w:space="0" w:color="auto"/>
            <w:left w:val="none" w:sz="0" w:space="0" w:color="auto"/>
            <w:bottom w:val="none" w:sz="0" w:space="0" w:color="auto"/>
            <w:right w:val="none" w:sz="0" w:space="0" w:color="auto"/>
          </w:divBdr>
        </w:div>
      </w:divsChild>
    </w:div>
    <w:div w:id="204298109">
      <w:bodyDiv w:val="1"/>
      <w:marLeft w:val="0"/>
      <w:marRight w:val="0"/>
      <w:marTop w:val="0"/>
      <w:marBottom w:val="0"/>
      <w:divBdr>
        <w:top w:val="none" w:sz="0" w:space="0" w:color="auto"/>
        <w:left w:val="none" w:sz="0" w:space="0" w:color="auto"/>
        <w:bottom w:val="none" w:sz="0" w:space="0" w:color="auto"/>
        <w:right w:val="none" w:sz="0" w:space="0" w:color="auto"/>
      </w:divBdr>
    </w:div>
    <w:div w:id="248662904">
      <w:bodyDiv w:val="1"/>
      <w:marLeft w:val="0"/>
      <w:marRight w:val="0"/>
      <w:marTop w:val="0"/>
      <w:marBottom w:val="0"/>
      <w:divBdr>
        <w:top w:val="none" w:sz="0" w:space="0" w:color="auto"/>
        <w:left w:val="none" w:sz="0" w:space="0" w:color="auto"/>
        <w:bottom w:val="none" w:sz="0" w:space="0" w:color="auto"/>
        <w:right w:val="none" w:sz="0" w:space="0" w:color="auto"/>
      </w:divBdr>
    </w:div>
    <w:div w:id="357320183">
      <w:bodyDiv w:val="1"/>
      <w:marLeft w:val="0"/>
      <w:marRight w:val="0"/>
      <w:marTop w:val="0"/>
      <w:marBottom w:val="0"/>
      <w:divBdr>
        <w:top w:val="none" w:sz="0" w:space="0" w:color="auto"/>
        <w:left w:val="none" w:sz="0" w:space="0" w:color="auto"/>
        <w:bottom w:val="none" w:sz="0" w:space="0" w:color="auto"/>
        <w:right w:val="none" w:sz="0" w:space="0" w:color="auto"/>
      </w:divBdr>
    </w:div>
    <w:div w:id="422607598">
      <w:bodyDiv w:val="1"/>
      <w:marLeft w:val="0"/>
      <w:marRight w:val="0"/>
      <w:marTop w:val="0"/>
      <w:marBottom w:val="0"/>
      <w:divBdr>
        <w:top w:val="none" w:sz="0" w:space="0" w:color="auto"/>
        <w:left w:val="none" w:sz="0" w:space="0" w:color="auto"/>
        <w:bottom w:val="none" w:sz="0" w:space="0" w:color="auto"/>
        <w:right w:val="none" w:sz="0" w:space="0" w:color="auto"/>
      </w:divBdr>
    </w:div>
    <w:div w:id="565608372">
      <w:bodyDiv w:val="1"/>
      <w:marLeft w:val="0"/>
      <w:marRight w:val="0"/>
      <w:marTop w:val="0"/>
      <w:marBottom w:val="0"/>
      <w:divBdr>
        <w:top w:val="none" w:sz="0" w:space="0" w:color="auto"/>
        <w:left w:val="none" w:sz="0" w:space="0" w:color="auto"/>
        <w:bottom w:val="none" w:sz="0" w:space="0" w:color="auto"/>
        <w:right w:val="none" w:sz="0" w:space="0" w:color="auto"/>
      </w:divBdr>
    </w:div>
    <w:div w:id="611205746">
      <w:bodyDiv w:val="1"/>
      <w:marLeft w:val="0"/>
      <w:marRight w:val="0"/>
      <w:marTop w:val="0"/>
      <w:marBottom w:val="0"/>
      <w:divBdr>
        <w:top w:val="none" w:sz="0" w:space="0" w:color="auto"/>
        <w:left w:val="none" w:sz="0" w:space="0" w:color="auto"/>
        <w:bottom w:val="none" w:sz="0" w:space="0" w:color="auto"/>
        <w:right w:val="none" w:sz="0" w:space="0" w:color="auto"/>
      </w:divBdr>
    </w:div>
    <w:div w:id="612782085">
      <w:bodyDiv w:val="1"/>
      <w:marLeft w:val="0"/>
      <w:marRight w:val="0"/>
      <w:marTop w:val="0"/>
      <w:marBottom w:val="0"/>
      <w:divBdr>
        <w:top w:val="none" w:sz="0" w:space="0" w:color="auto"/>
        <w:left w:val="none" w:sz="0" w:space="0" w:color="auto"/>
        <w:bottom w:val="none" w:sz="0" w:space="0" w:color="auto"/>
        <w:right w:val="none" w:sz="0" w:space="0" w:color="auto"/>
      </w:divBdr>
    </w:div>
    <w:div w:id="660427650">
      <w:bodyDiv w:val="1"/>
      <w:marLeft w:val="0"/>
      <w:marRight w:val="0"/>
      <w:marTop w:val="0"/>
      <w:marBottom w:val="0"/>
      <w:divBdr>
        <w:top w:val="none" w:sz="0" w:space="0" w:color="auto"/>
        <w:left w:val="none" w:sz="0" w:space="0" w:color="auto"/>
        <w:bottom w:val="none" w:sz="0" w:space="0" w:color="auto"/>
        <w:right w:val="none" w:sz="0" w:space="0" w:color="auto"/>
      </w:divBdr>
    </w:div>
    <w:div w:id="680737352">
      <w:bodyDiv w:val="1"/>
      <w:marLeft w:val="0"/>
      <w:marRight w:val="0"/>
      <w:marTop w:val="0"/>
      <w:marBottom w:val="0"/>
      <w:divBdr>
        <w:top w:val="none" w:sz="0" w:space="0" w:color="auto"/>
        <w:left w:val="none" w:sz="0" w:space="0" w:color="auto"/>
        <w:bottom w:val="none" w:sz="0" w:space="0" w:color="auto"/>
        <w:right w:val="none" w:sz="0" w:space="0" w:color="auto"/>
      </w:divBdr>
    </w:div>
    <w:div w:id="793064010">
      <w:bodyDiv w:val="1"/>
      <w:marLeft w:val="0"/>
      <w:marRight w:val="0"/>
      <w:marTop w:val="0"/>
      <w:marBottom w:val="0"/>
      <w:divBdr>
        <w:top w:val="none" w:sz="0" w:space="0" w:color="auto"/>
        <w:left w:val="none" w:sz="0" w:space="0" w:color="auto"/>
        <w:bottom w:val="none" w:sz="0" w:space="0" w:color="auto"/>
        <w:right w:val="none" w:sz="0" w:space="0" w:color="auto"/>
      </w:divBdr>
    </w:div>
    <w:div w:id="998457572">
      <w:bodyDiv w:val="1"/>
      <w:marLeft w:val="0"/>
      <w:marRight w:val="0"/>
      <w:marTop w:val="0"/>
      <w:marBottom w:val="0"/>
      <w:divBdr>
        <w:top w:val="none" w:sz="0" w:space="0" w:color="auto"/>
        <w:left w:val="none" w:sz="0" w:space="0" w:color="auto"/>
        <w:bottom w:val="none" w:sz="0" w:space="0" w:color="auto"/>
        <w:right w:val="none" w:sz="0" w:space="0" w:color="auto"/>
      </w:divBdr>
    </w:div>
    <w:div w:id="1008865921">
      <w:bodyDiv w:val="1"/>
      <w:marLeft w:val="0"/>
      <w:marRight w:val="0"/>
      <w:marTop w:val="0"/>
      <w:marBottom w:val="0"/>
      <w:divBdr>
        <w:top w:val="none" w:sz="0" w:space="0" w:color="auto"/>
        <w:left w:val="none" w:sz="0" w:space="0" w:color="auto"/>
        <w:bottom w:val="none" w:sz="0" w:space="0" w:color="auto"/>
        <w:right w:val="none" w:sz="0" w:space="0" w:color="auto"/>
      </w:divBdr>
    </w:div>
    <w:div w:id="1121652372">
      <w:bodyDiv w:val="1"/>
      <w:marLeft w:val="0"/>
      <w:marRight w:val="0"/>
      <w:marTop w:val="0"/>
      <w:marBottom w:val="0"/>
      <w:divBdr>
        <w:top w:val="none" w:sz="0" w:space="0" w:color="auto"/>
        <w:left w:val="none" w:sz="0" w:space="0" w:color="auto"/>
        <w:bottom w:val="none" w:sz="0" w:space="0" w:color="auto"/>
        <w:right w:val="none" w:sz="0" w:space="0" w:color="auto"/>
      </w:divBdr>
    </w:div>
    <w:div w:id="1140420180">
      <w:bodyDiv w:val="1"/>
      <w:marLeft w:val="0"/>
      <w:marRight w:val="0"/>
      <w:marTop w:val="0"/>
      <w:marBottom w:val="0"/>
      <w:divBdr>
        <w:top w:val="none" w:sz="0" w:space="0" w:color="auto"/>
        <w:left w:val="none" w:sz="0" w:space="0" w:color="auto"/>
        <w:bottom w:val="none" w:sz="0" w:space="0" w:color="auto"/>
        <w:right w:val="none" w:sz="0" w:space="0" w:color="auto"/>
      </w:divBdr>
    </w:div>
    <w:div w:id="1145392838">
      <w:bodyDiv w:val="1"/>
      <w:marLeft w:val="0"/>
      <w:marRight w:val="0"/>
      <w:marTop w:val="0"/>
      <w:marBottom w:val="0"/>
      <w:divBdr>
        <w:top w:val="none" w:sz="0" w:space="0" w:color="auto"/>
        <w:left w:val="none" w:sz="0" w:space="0" w:color="auto"/>
        <w:bottom w:val="none" w:sz="0" w:space="0" w:color="auto"/>
        <w:right w:val="none" w:sz="0" w:space="0" w:color="auto"/>
      </w:divBdr>
    </w:div>
    <w:div w:id="1157069910">
      <w:bodyDiv w:val="1"/>
      <w:marLeft w:val="0"/>
      <w:marRight w:val="0"/>
      <w:marTop w:val="0"/>
      <w:marBottom w:val="0"/>
      <w:divBdr>
        <w:top w:val="none" w:sz="0" w:space="0" w:color="auto"/>
        <w:left w:val="none" w:sz="0" w:space="0" w:color="auto"/>
        <w:bottom w:val="none" w:sz="0" w:space="0" w:color="auto"/>
        <w:right w:val="none" w:sz="0" w:space="0" w:color="auto"/>
      </w:divBdr>
    </w:div>
    <w:div w:id="1208449136">
      <w:bodyDiv w:val="1"/>
      <w:marLeft w:val="0"/>
      <w:marRight w:val="0"/>
      <w:marTop w:val="0"/>
      <w:marBottom w:val="0"/>
      <w:divBdr>
        <w:top w:val="none" w:sz="0" w:space="0" w:color="auto"/>
        <w:left w:val="none" w:sz="0" w:space="0" w:color="auto"/>
        <w:bottom w:val="none" w:sz="0" w:space="0" w:color="auto"/>
        <w:right w:val="none" w:sz="0" w:space="0" w:color="auto"/>
      </w:divBdr>
    </w:div>
    <w:div w:id="1215506732">
      <w:bodyDiv w:val="1"/>
      <w:marLeft w:val="0"/>
      <w:marRight w:val="0"/>
      <w:marTop w:val="0"/>
      <w:marBottom w:val="0"/>
      <w:divBdr>
        <w:top w:val="none" w:sz="0" w:space="0" w:color="auto"/>
        <w:left w:val="none" w:sz="0" w:space="0" w:color="auto"/>
        <w:bottom w:val="none" w:sz="0" w:space="0" w:color="auto"/>
        <w:right w:val="none" w:sz="0" w:space="0" w:color="auto"/>
      </w:divBdr>
    </w:div>
    <w:div w:id="1230535628">
      <w:bodyDiv w:val="1"/>
      <w:marLeft w:val="0"/>
      <w:marRight w:val="0"/>
      <w:marTop w:val="0"/>
      <w:marBottom w:val="0"/>
      <w:divBdr>
        <w:top w:val="none" w:sz="0" w:space="0" w:color="auto"/>
        <w:left w:val="none" w:sz="0" w:space="0" w:color="auto"/>
        <w:bottom w:val="none" w:sz="0" w:space="0" w:color="auto"/>
        <w:right w:val="none" w:sz="0" w:space="0" w:color="auto"/>
      </w:divBdr>
    </w:div>
    <w:div w:id="1242987650">
      <w:bodyDiv w:val="1"/>
      <w:marLeft w:val="0"/>
      <w:marRight w:val="0"/>
      <w:marTop w:val="0"/>
      <w:marBottom w:val="0"/>
      <w:divBdr>
        <w:top w:val="none" w:sz="0" w:space="0" w:color="auto"/>
        <w:left w:val="none" w:sz="0" w:space="0" w:color="auto"/>
        <w:bottom w:val="none" w:sz="0" w:space="0" w:color="auto"/>
        <w:right w:val="none" w:sz="0" w:space="0" w:color="auto"/>
      </w:divBdr>
    </w:div>
    <w:div w:id="1283927049">
      <w:bodyDiv w:val="1"/>
      <w:marLeft w:val="0"/>
      <w:marRight w:val="0"/>
      <w:marTop w:val="0"/>
      <w:marBottom w:val="0"/>
      <w:divBdr>
        <w:top w:val="none" w:sz="0" w:space="0" w:color="auto"/>
        <w:left w:val="none" w:sz="0" w:space="0" w:color="auto"/>
        <w:bottom w:val="none" w:sz="0" w:space="0" w:color="auto"/>
        <w:right w:val="none" w:sz="0" w:space="0" w:color="auto"/>
      </w:divBdr>
    </w:div>
    <w:div w:id="1330645042">
      <w:bodyDiv w:val="1"/>
      <w:marLeft w:val="0"/>
      <w:marRight w:val="0"/>
      <w:marTop w:val="0"/>
      <w:marBottom w:val="0"/>
      <w:divBdr>
        <w:top w:val="none" w:sz="0" w:space="0" w:color="auto"/>
        <w:left w:val="none" w:sz="0" w:space="0" w:color="auto"/>
        <w:bottom w:val="none" w:sz="0" w:space="0" w:color="auto"/>
        <w:right w:val="none" w:sz="0" w:space="0" w:color="auto"/>
      </w:divBdr>
    </w:div>
    <w:div w:id="1343043346">
      <w:bodyDiv w:val="1"/>
      <w:marLeft w:val="0"/>
      <w:marRight w:val="0"/>
      <w:marTop w:val="0"/>
      <w:marBottom w:val="0"/>
      <w:divBdr>
        <w:top w:val="none" w:sz="0" w:space="0" w:color="auto"/>
        <w:left w:val="none" w:sz="0" w:space="0" w:color="auto"/>
        <w:bottom w:val="none" w:sz="0" w:space="0" w:color="auto"/>
        <w:right w:val="none" w:sz="0" w:space="0" w:color="auto"/>
      </w:divBdr>
    </w:div>
    <w:div w:id="1430812649">
      <w:bodyDiv w:val="1"/>
      <w:marLeft w:val="0"/>
      <w:marRight w:val="0"/>
      <w:marTop w:val="0"/>
      <w:marBottom w:val="0"/>
      <w:divBdr>
        <w:top w:val="none" w:sz="0" w:space="0" w:color="auto"/>
        <w:left w:val="none" w:sz="0" w:space="0" w:color="auto"/>
        <w:bottom w:val="none" w:sz="0" w:space="0" w:color="auto"/>
        <w:right w:val="none" w:sz="0" w:space="0" w:color="auto"/>
      </w:divBdr>
    </w:div>
    <w:div w:id="1495098458">
      <w:bodyDiv w:val="1"/>
      <w:marLeft w:val="0"/>
      <w:marRight w:val="0"/>
      <w:marTop w:val="0"/>
      <w:marBottom w:val="0"/>
      <w:divBdr>
        <w:top w:val="none" w:sz="0" w:space="0" w:color="auto"/>
        <w:left w:val="none" w:sz="0" w:space="0" w:color="auto"/>
        <w:bottom w:val="none" w:sz="0" w:space="0" w:color="auto"/>
        <w:right w:val="none" w:sz="0" w:space="0" w:color="auto"/>
      </w:divBdr>
    </w:div>
    <w:div w:id="1516112982">
      <w:bodyDiv w:val="1"/>
      <w:marLeft w:val="0"/>
      <w:marRight w:val="0"/>
      <w:marTop w:val="0"/>
      <w:marBottom w:val="0"/>
      <w:divBdr>
        <w:top w:val="none" w:sz="0" w:space="0" w:color="auto"/>
        <w:left w:val="none" w:sz="0" w:space="0" w:color="auto"/>
        <w:bottom w:val="none" w:sz="0" w:space="0" w:color="auto"/>
        <w:right w:val="none" w:sz="0" w:space="0" w:color="auto"/>
      </w:divBdr>
    </w:div>
    <w:div w:id="1604418232">
      <w:bodyDiv w:val="1"/>
      <w:marLeft w:val="0"/>
      <w:marRight w:val="0"/>
      <w:marTop w:val="0"/>
      <w:marBottom w:val="0"/>
      <w:divBdr>
        <w:top w:val="none" w:sz="0" w:space="0" w:color="auto"/>
        <w:left w:val="none" w:sz="0" w:space="0" w:color="auto"/>
        <w:bottom w:val="none" w:sz="0" w:space="0" w:color="auto"/>
        <w:right w:val="none" w:sz="0" w:space="0" w:color="auto"/>
      </w:divBdr>
    </w:div>
    <w:div w:id="1641880326">
      <w:bodyDiv w:val="1"/>
      <w:marLeft w:val="0"/>
      <w:marRight w:val="0"/>
      <w:marTop w:val="0"/>
      <w:marBottom w:val="0"/>
      <w:divBdr>
        <w:top w:val="none" w:sz="0" w:space="0" w:color="auto"/>
        <w:left w:val="none" w:sz="0" w:space="0" w:color="auto"/>
        <w:bottom w:val="none" w:sz="0" w:space="0" w:color="auto"/>
        <w:right w:val="none" w:sz="0" w:space="0" w:color="auto"/>
      </w:divBdr>
    </w:div>
    <w:div w:id="1732118882">
      <w:bodyDiv w:val="1"/>
      <w:marLeft w:val="0"/>
      <w:marRight w:val="0"/>
      <w:marTop w:val="0"/>
      <w:marBottom w:val="0"/>
      <w:divBdr>
        <w:top w:val="none" w:sz="0" w:space="0" w:color="auto"/>
        <w:left w:val="none" w:sz="0" w:space="0" w:color="auto"/>
        <w:bottom w:val="none" w:sz="0" w:space="0" w:color="auto"/>
        <w:right w:val="none" w:sz="0" w:space="0" w:color="auto"/>
      </w:divBdr>
    </w:div>
    <w:div w:id="1825317623">
      <w:bodyDiv w:val="1"/>
      <w:marLeft w:val="0"/>
      <w:marRight w:val="0"/>
      <w:marTop w:val="0"/>
      <w:marBottom w:val="0"/>
      <w:divBdr>
        <w:top w:val="none" w:sz="0" w:space="0" w:color="auto"/>
        <w:left w:val="none" w:sz="0" w:space="0" w:color="auto"/>
        <w:bottom w:val="none" w:sz="0" w:space="0" w:color="auto"/>
        <w:right w:val="none" w:sz="0" w:space="0" w:color="auto"/>
      </w:divBdr>
    </w:div>
    <w:div w:id="1874807851">
      <w:bodyDiv w:val="1"/>
      <w:marLeft w:val="0"/>
      <w:marRight w:val="0"/>
      <w:marTop w:val="0"/>
      <w:marBottom w:val="0"/>
      <w:divBdr>
        <w:top w:val="none" w:sz="0" w:space="0" w:color="auto"/>
        <w:left w:val="none" w:sz="0" w:space="0" w:color="auto"/>
        <w:bottom w:val="none" w:sz="0" w:space="0" w:color="auto"/>
        <w:right w:val="none" w:sz="0" w:space="0" w:color="auto"/>
      </w:divBdr>
    </w:div>
    <w:div w:id="1972128364">
      <w:bodyDiv w:val="1"/>
      <w:marLeft w:val="0"/>
      <w:marRight w:val="0"/>
      <w:marTop w:val="0"/>
      <w:marBottom w:val="0"/>
      <w:divBdr>
        <w:top w:val="none" w:sz="0" w:space="0" w:color="auto"/>
        <w:left w:val="none" w:sz="0" w:space="0" w:color="auto"/>
        <w:bottom w:val="none" w:sz="0" w:space="0" w:color="auto"/>
        <w:right w:val="none" w:sz="0" w:space="0" w:color="auto"/>
      </w:divBdr>
      <w:divsChild>
        <w:div w:id="169563125">
          <w:marLeft w:val="0"/>
          <w:marRight w:val="0"/>
          <w:marTop w:val="0"/>
          <w:marBottom w:val="0"/>
          <w:divBdr>
            <w:top w:val="none" w:sz="0" w:space="0" w:color="auto"/>
            <w:left w:val="none" w:sz="0" w:space="0" w:color="auto"/>
            <w:bottom w:val="none" w:sz="0" w:space="0" w:color="auto"/>
            <w:right w:val="none" w:sz="0" w:space="0" w:color="auto"/>
          </w:divBdr>
          <w:divsChild>
            <w:div w:id="581723829">
              <w:marLeft w:val="0"/>
              <w:marRight w:val="0"/>
              <w:marTop w:val="0"/>
              <w:marBottom w:val="0"/>
              <w:divBdr>
                <w:top w:val="none" w:sz="0" w:space="0" w:color="auto"/>
                <w:left w:val="none" w:sz="0" w:space="0" w:color="auto"/>
                <w:bottom w:val="none" w:sz="0" w:space="0" w:color="auto"/>
                <w:right w:val="none" w:sz="0" w:space="0" w:color="auto"/>
              </w:divBdr>
            </w:div>
            <w:div w:id="189125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96913">
      <w:bodyDiv w:val="1"/>
      <w:marLeft w:val="0"/>
      <w:marRight w:val="0"/>
      <w:marTop w:val="0"/>
      <w:marBottom w:val="0"/>
      <w:divBdr>
        <w:top w:val="none" w:sz="0" w:space="0" w:color="auto"/>
        <w:left w:val="none" w:sz="0" w:space="0" w:color="auto"/>
        <w:bottom w:val="none" w:sz="0" w:space="0" w:color="auto"/>
        <w:right w:val="none" w:sz="0" w:space="0" w:color="auto"/>
      </w:divBdr>
    </w:div>
    <w:div w:id="20057373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https://digitallibrary.un.org/record/183599?ln=es" TargetMode="External"/><Relationship Id="rId3" Type="http://schemas.openxmlformats.org/officeDocument/2006/relationships/hyperlink" Target="https://digitallibrary.un.org/record/183599?ln=es" TargetMode="External"/><Relationship Id="rId7" Type="http://schemas.openxmlformats.org/officeDocument/2006/relationships/hyperlink" Target="https://digitallibrary.un.org/record/183599?ln=es" TargetMode="External"/><Relationship Id="rId2" Type="http://schemas.openxmlformats.org/officeDocument/2006/relationships/hyperlink" Target="https://www.youtube.com/watch?v=Lta6xhHs0gk" TargetMode="External"/><Relationship Id="rId1" Type="http://schemas.openxmlformats.org/officeDocument/2006/relationships/hyperlink" Target="https://www.corteidh.or.cr/docs/casos/articulos/seriec_491_esp.pdf" TargetMode="External"/><Relationship Id="rId6" Type="http://schemas.openxmlformats.org/officeDocument/2006/relationships/hyperlink" Target="https://digitallibrary.un.org/record/183599?ln=es" TargetMode="External"/><Relationship Id="rId5" Type="http://schemas.openxmlformats.org/officeDocument/2006/relationships/hyperlink" Target="https://digitallibrary.un.org/record/183599?ln=es" TargetMode="External"/><Relationship Id="rId4" Type="http://schemas.openxmlformats.org/officeDocument/2006/relationships/hyperlink" Target="https://digitallibrary.un.org/record/183599?ln=es" TargetMode="External"/><Relationship Id="rId9" Type="http://schemas.openxmlformats.org/officeDocument/2006/relationships/hyperlink" Target="https://digitallibrary.un.org/record/183599?l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D0D7C5-2926-48BC-B9CE-5C2ED0572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59</Pages>
  <Words>22275</Words>
  <Characters>122516</Characters>
  <Application>Microsoft Office Word</Application>
  <DocSecurity>0</DocSecurity>
  <Lines>1020</Lines>
  <Paragraphs>289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3</cp:revision>
  <cp:lastPrinted>2024-05-15T22:47:00Z</cp:lastPrinted>
  <dcterms:created xsi:type="dcterms:W3CDTF">2024-05-15T22:47:00Z</dcterms:created>
  <dcterms:modified xsi:type="dcterms:W3CDTF">2024-05-15T22:47:00Z</dcterms:modified>
</cp:coreProperties>
</file>