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9459F6" w14:textId="0FD20EDA" w:rsidR="00AF7CB6" w:rsidRPr="00975C02" w:rsidRDefault="00AF7CB6" w:rsidP="00030E2E">
      <w:pPr>
        <w:spacing w:line="240" w:lineRule="auto"/>
        <w:ind w:left="1416" w:hanging="1416"/>
        <w:rPr>
          <w:rFonts w:eastAsia="Calibri" w:cs="Calibri"/>
          <w:b/>
          <w:sz w:val="20"/>
          <w:szCs w:val="20"/>
          <w:lang w:val="es-ES"/>
        </w:rPr>
      </w:pPr>
    </w:p>
    <w:p w14:paraId="334BE612" w14:textId="77777777" w:rsidR="006C37C9" w:rsidRPr="00975C02" w:rsidRDefault="006C37C9" w:rsidP="006C37C9">
      <w:pPr>
        <w:spacing w:line="240" w:lineRule="auto"/>
        <w:rPr>
          <w:rFonts w:eastAsia="Calibri" w:cs="Calibri"/>
          <w:b/>
          <w:sz w:val="20"/>
          <w:szCs w:val="20"/>
          <w:lang w:val="es-ES"/>
        </w:rPr>
      </w:pPr>
    </w:p>
    <w:p w14:paraId="01C600C2" w14:textId="77777777" w:rsidR="006C37C9" w:rsidRPr="00975C02" w:rsidRDefault="006C37C9" w:rsidP="006C37C9">
      <w:pPr>
        <w:spacing w:line="240" w:lineRule="auto"/>
        <w:rPr>
          <w:rFonts w:eastAsia="Calibri" w:cs="Calibri"/>
          <w:b/>
          <w:sz w:val="20"/>
          <w:szCs w:val="20"/>
          <w:lang w:val="es-ES"/>
        </w:rPr>
      </w:pPr>
    </w:p>
    <w:p w14:paraId="2417C4A5" w14:textId="77777777" w:rsidR="006C37C9" w:rsidRPr="00975C02" w:rsidRDefault="006C37C9" w:rsidP="006C37C9">
      <w:pPr>
        <w:spacing w:line="240" w:lineRule="auto"/>
        <w:jc w:val="center"/>
        <w:rPr>
          <w:rFonts w:eastAsia="Calibri" w:cs="Calibri"/>
          <w:b/>
          <w:sz w:val="20"/>
          <w:szCs w:val="20"/>
          <w:lang w:val="es-ES"/>
        </w:rPr>
      </w:pPr>
    </w:p>
    <w:p w14:paraId="3EDFA594" w14:textId="77777777" w:rsidR="006C37C9" w:rsidRPr="00975C02" w:rsidRDefault="006C37C9" w:rsidP="006C37C9">
      <w:pPr>
        <w:spacing w:line="240" w:lineRule="auto"/>
        <w:jc w:val="center"/>
        <w:rPr>
          <w:rFonts w:eastAsia="Calibri" w:cs="Calibri"/>
          <w:b/>
          <w:sz w:val="20"/>
          <w:szCs w:val="20"/>
          <w:lang w:val="es-ES"/>
        </w:rPr>
      </w:pPr>
    </w:p>
    <w:p w14:paraId="24DFF75F" w14:textId="77777777" w:rsidR="006C37C9" w:rsidRPr="00975C02" w:rsidRDefault="006C37C9" w:rsidP="006C37C9">
      <w:pPr>
        <w:spacing w:line="240" w:lineRule="auto"/>
        <w:jc w:val="center"/>
        <w:rPr>
          <w:rFonts w:eastAsia="Calibri" w:cs="Calibri"/>
          <w:b/>
          <w:sz w:val="20"/>
          <w:szCs w:val="20"/>
          <w:lang w:val="es-ES"/>
        </w:rPr>
      </w:pPr>
      <w:r w:rsidRPr="00975C02">
        <w:rPr>
          <w:rFonts w:eastAsia="Calibri" w:cs="Calibri"/>
          <w:b/>
          <w:sz w:val="20"/>
          <w:szCs w:val="20"/>
          <w:lang w:val="es-ES"/>
        </w:rPr>
        <w:t>CORTE INTERAMERICANA DE DERECHOS HUMANOS</w:t>
      </w:r>
    </w:p>
    <w:p w14:paraId="3F21B627" w14:textId="77777777" w:rsidR="006C37C9" w:rsidRPr="00975C02" w:rsidRDefault="006C37C9" w:rsidP="006C37C9">
      <w:pPr>
        <w:tabs>
          <w:tab w:val="left" w:pos="720"/>
        </w:tabs>
        <w:spacing w:line="240" w:lineRule="auto"/>
        <w:jc w:val="center"/>
        <w:rPr>
          <w:rFonts w:eastAsia="Calibri" w:cs="Verdana"/>
          <w:b/>
          <w:bCs/>
          <w:caps/>
          <w:snapToGrid w:val="0"/>
          <w:sz w:val="20"/>
          <w:szCs w:val="20"/>
          <w:lang w:val="es-ES" w:eastAsia="es-ES"/>
        </w:rPr>
      </w:pPr>
    </w:p>
    <w:p w14:paraId="0B55CA51" w14:textId="023DE652" w:rsidR="006C37C9" w:rsidRPr="00975C02" w:rsidRDefault="006C37C9" w:rsidP="006C37C9">
      <w:pPr>
        <w:spacing w:line="240" w:lineRule="auto"/>
        <w:jc w:val="center"/>
        <w:rPr>
          <w:rFonts w:eastAsia="Calibri" w:cs="Calibri"/>
          <w:b/>
          <w:sz w:val="20"/>
          <w:szCs w:val="20"/>
          <w:lang w:val="es-ES"/>
        </w:rPr>
      </w:pPr>
      <w:r w:rsidRPr="00975C02">
        <w:rPr>
          <w:rFonts w:eastAsia="Calibri" w:cs="Calibri"/>
          <w:b/>
          <w:sz w:val="20"/>
          <w:szCs w:val="20"/>
          <w:lang w:val="es-ES"/>
        </w:rPr>
        <w:t xml:space="preserve">CASO </w:t>
      </w:r>
      <w:r w:rsidR="00B824B2" w:rsidRPr="00975C02">
        <w:rPr>
          <w:rFonts w:eastAsia="Calibri" w:cs="Calibri"/>
          <w:b/>
          <w:sz w:val="20"/>
          <w:szCs w:val="20"/>
          <w:lang w:val="es-ES"/>
        </w:rPr>
        <w:t>V.R.P</w:t>
      </w:r>
      <w:r w:rsidRPr="00975C02">
        <w:rPr>
          <w:rFonts w:eastAsia="Calibri" w:cs="Calibri"/>
          <w:b/>
          <w:sz w:val="20"/>
          <w:szCs w:val="20"/>
          <w:lang w:val="es-ES"/>
        </w:rPr>
        <w:t>.</w:t>
      </w:r>
      <w:r w:rsidR="005F1C88" w:rsidRPr="00975C02">
        <w:rPr>
          <w:rFonts w:eastAsia="Calibri" w:cs="Calibri"/>
          <w:b/>
          <w:sz w:val="20"/>
          <w:szCs w:val="20"/>
          <w:lang w:val="es-ES"/>
        </w:rPr>
        <w:t>,</w:t>
      </w:r>
      <w:r w:rsidR="00B824B2" w:rsidRPr="00975C02">
        <w:rPr>
          <w:rFonts w:eastAsia="Calibri" w:cs="Calibri"/>
          <w:b/>
          <w:sz w:val="20"/>
          <w:szCs w:val="20"/>
          <w:lang w:val="es-ES"/>
        </w:rPr>
        <w:t xml:space="preserve"> V.P.C.</w:t>
      </w:r>
      <w:r w:rsidRPr="00975C02">
        <w:rPr>
          <w:rStyle w:val="FootnoteReference"/>
          <w:rFonts w:eastAsia="Calibri" w:cs="Calibri"/>
          <w:b/>
          <w:sz w:val="20"/>
          <w:szCs w:val="20"/>
          <w:lang w:val="es-ES"/>
        </w:rPr>
        <w:footnoteReference w:customMarkFollows="1" w:id="1"/>
        <w:t>*</w:t>
      </w:r>
      <w:r w:rsidRPr="00975C02">
        <w:rPr>
          <w:rFonts w:eastAsia="Calibri" w:cs="Calibri"/>
          <w:b/>
          <w:sz w:val="20"/>
          <w:szCs w:val="20"/>
          <w:lang w:val="es-ES"/>
        </w:rPr>
        <w:t xml:space="preserve"> </w:t>
      </w:r>
      <w:r w:rsidR="001A6085" w:rsidRPr="00975C02">
        <w:rPr>
          <w:rFonts w:eastAsia="Calibri" w:cs="Calibri"/>
          <w:b/>
          <w:sz w:val="20"/>
          <w:szCs w:val="20"/>
          <w:lang w:val="es-ES"/>
        </w:rPr>
        <w:t xml:space="preserve">Y </w:t>
      </w:r>
      <w:r w:rsidR="00F42900" w:rsidRPr="00975C02">
        <w:rPr>
          <w:rFonts w:eastAsia="Calibri" w:cs="Calibri"/>
          <w:b/>
          <w:sz w:val="20"/>
          <w:szCs w:val="20"/>
          <w:lang w:val="es-ES"/>
        </w:rPr>
        <w:t>OTROS</w:t>
      </w:r>
      <w:r w:rsidR="001A6085" w:rsidRPr="00975C02">
        <w:rPr>
          <w:rFonts w:eastAsia="Calibri" w:cs="Calibri"/>
          <w:b/>
          <w:sz w:val="20"/>
          <w:szCs w:val="20"/>
          <w:lang w:val="es-ES"/>
        </w:rPr>
        <w:t xml:space="preserve"> </w:t>
      </w:r>
      <w:r w:rsidRPr="00975C02">
        <w:rPr>
          <w:rFonts w:eastAsia="Calibri" w:cs="Calibri"/>
          <w:b/>
          <w:i/>
          <w:sz w:val="20"/>
          <w:szCs w:val="20"/>
          <w:lang w:val="es-ES"/>
        </w:rPr>
        <w:t>VS</w:t>
      </w:r>
      <w:r w:rsidRPr="00975C02">
        <w:rPr>
          <w:rFonts w:eastAsia="Calibri" w:cs="Calibri"/>
          <w:b/>
          <w:sz w:val="20"/>
          <w:szCs w:val="20"/>
          <w:lang w:val="es-ES"/>
        </w:rPr>
        <w:t xml:space="preserve">. </w:t>
      </w:r>
      <w:r w:rsidR="00B824B2" w:rsidRPr="00975C02">
        <w:rPr>
          <w:rFonts w:eastAsia="Calibri" w:cs="Calibri"/>
          <w:b/>
          <w:sz w:val="20"/>
          <w:szCs w:val="20"/>
          <w:lang w:val="es-ES"/>
        </w:rPr>
        <w:t>NICARAGUA</w:t>
      </w:r>
    </w:p>
    <w:p w14:paraId="753F3839" w14:textId="77777777" w:rsidR="006C37C9" w:rsidRPr="00975C02" w:rsidRDefault="006C37C9" w:rsidP="006C37C9">
      <w:pPr>
        <w:tabs>
          <w:tab w:val="left" w:pos="720"/>
        </w:tabs>
        <w:spacing w:line="240" w:lineRule="auto"/>
        <w:jc w:val="center"/>
        <w:rPr>
          <w:rFonts w:eastAsia="Calibri" w:cs="Verdana"/>
          <w:b/>
          <w:bCs/>
          <w:caps/>
          <w:snapToGrid w:val="0"/>
          <w:sz w:val="20"/>
          <w:szCs w:val="20"/>
          <w:lang w:val="es-ES" w:eastAsia="es-ES"/>
        </w:rPr>
      </w:pPr>
    </w:p>
    <w:p w14:paraId="155CE8C2" w14:textId="73BD50CC" w:rsidR="006C37C9" w:rsidRPr="00975C02" w:rsidRDefault="006C37C9" w:rsidP="006C37C9">
      <w:pPr>
        <w:tabs>
          <w:tab w:val="left" w:pos="720"/>
        </w:tabs>
        <w:spacing w:line="240" w:lineRule="auto"/>
        <w:jc w:val="center"/>
        <w:rPr>
          <w:rFonts w:eastAsia="Calibri" w:cs="Verdana"/>
          <w:b/>
          <w:bCs/>
          <w:snapToGrid w:val="0"/>
          <w:sz w:val="20"/>
          <w:szCs w:val="20"/>
          <w:lang w:val="es-ES" w:eastAsia="es-ES"/>
        </w:rPr>
      </w:pPr>
      <w:r w:rsidRPr="00975C02">
        <w:rPr>
          <w:rFonts w:eastAsia="Calibri" w:cs="Verdana"/>
          <w:b/>
          <w:bCs/>
          <w:snapToGrid w:val="0"/>
          <w:sz w:val="20"/>
          <w:szCs w:val="20"/>
          <w:lang w:val="es-ES" w:eastAsia="es-ES"/>
        </w:rPr>
        <w:t xml:space="preserve">SENTENCIA DE </w:t>
      </w:r>
      <w:r w:rsidR="001A29DE" w:rsidRPr="00975C02">
        <w:rPr>
          <w:rFonts w:eastAsia="Calibri" w:cs="Verdana"/>
          <w:b/>
          <w:bCs/>
          <w:snapToGrid w:val="0"/>
          <w:sz w:val="20"/>
          <w:szCs w:val="20"/>
          <w:lang w:val="es-ES" w:eastAsia="es-ES"/>
        </w:rPr>
        <w:t xml:space="preserve">8 </w:t>
      </w:r>
      <w:r w:rsidR="00FB359E" w:rsidRPr="00975C02">
        <w:rPr>
          <w:rFonts w:eastAsia="Calibri" w:cs="Verdana"/>
          <w:b/>
          <w:bCs/>
          <w:snapToGrid w:val="0"/>
          <w:sz w:val="20"/>
          <w:szCs w:val="20"/>
          <w:lang w:val="es-ES" w:eastAsia="es-ES"/>
        </w:rPr>
        <w:t xml:space="preserve">DE </w:t>
      </w:r>
      <w:r w:rsidR="00CD3A46" w:rsidRPr="00975C02">
        <w:rPr>
          <w:rFonts w:eastAsia="Calibri" w:cs="Verdana"/>
          <w:b/>
          <w:bCs/>
          <w:snapToGrid w:val="0"/>
          <w:sz w:val="20"/>
          <w:szCs w:val="20"/>
          <w:lang w:val="es-ES" w:eastAsia="es-ES"/>
        </w:rPr>
        <w:t>MARZO</w:t>
      </w:r>
      <w:r w:rsidR="00FB359E" w:rsidRPr="00975C02">
        <w:rPr>
          <w:rFonts w:eastAsia="Calibri" w:cs="Verdana"/>
          <w:b/>
          <w:bCs/>
          <w:snapToGrid w:val="0"/>
          <w:sz w:val="20"/>
          <w:szCs w:val="20"/>
          <w:lang w:val="es-ES" w:eastAsia="es-ES"/>
        </w:rPr>
        <w:t xml:space="preserve"> DE 2018</w:t>
      </w:r>
    </w:p>
    <w:p w14:paraId="285A0C4E" w14:textId="77777777" w:rsidR="006C37C9" w:rsidRPr="00975C02" w:rsidRDefault="006C37C9" w:rsidP="006C37C9">
      <w:pPr>
        <w:tabs>
          <w:tab w:val="left" w:pos="720"/>
        </w:tabs>
        <w:spacing w:line="240" w:lineRule="auto"/>
        <w:jc w:val="center"/>
        <w:rPr>
          <w:rFonts w:eastAsia="Calibri" w:cs="Verdana"/>
          <w:b/>
          <w:bCs/>
          <w:caps/>
          <w:snapToGrid w:val="0"/>
          <w:sz w:val="20"/>
          <w:szCs w:val="20"/>
          <w:lang w:val="es-ES" w:eastAsia="es-ES"/>
        </w:rPr>
      </w:pPr>
    </w:p>
    <w:p w14:paraId="2196DE29" w14:textId="77777777" w:rsidR="006C37C9" w:rsidRPr="00975C02" w:rsidRDefault="006C37C9" w:rsidP="006C37C9">
      <w:pPr>
        <w:tabs>
          <w:tab w:val="left" w:pos="720"/>
        </w:tabs>
        <w:spacing w:line="240" w:lineRule="auto"/>
        <w:jc w:val="center"/>
        <w:rPr>
          <w:rFonts w:eastAsia="Calibri" w:cs="Verdana"/>
          <w:b/>
          <w:bCs/>
          <w:caps/>
          <w:snapToGrid w:val="0"/>
          <w:sz w:val="20"/>
          <w:szCs w:val="20"/>
          <w:lang w:val="es-ES" w:eastAsia="es-ES"/>
        </w:rPr>
      </w:pPr>
      <w:r w:rsidRPr="00975C02">
        <w:rPr>
          <w:rFonts w:eastAsia="Calibri" w:cs="Verdana"/>
          <w:b/>
          <w:bCs/>
          <w:i/>
          <w:iCs/>
          <w:snapToGrid w:val="0"/>
          <w:sz w:val="20"/>
          <w:szCs w:val="20"/>
          <w:lang w:val="es-ES" w:eastAsia="es-ES"/>
        </w:rPr>
        <w:t>(Exce</w:t>
      </w:r>
      <w:bookmarkStart w:id="0" w:name="_GoBack"/>
      <w:bookmarkEnd w:id="0"/>
      <w:r w:rsidRPr="00975C02">
        <w:rPr>
          <w:rFonts w:eastAsia="Calibri" w:cs="Verdana"/>
          <w:b/>
          <w:bCs/>
          <w:i/>
          <w:iCs/>
          <w:snapToGrid w:val="0"/>
          <w:sz w:val="20"/>
          <w:szCs w:val="20"/>
          <w:lang w:val="es-ES" w:eastAsia="es-ES"/>
        </w:rPr>
        <w:t>pciones Preliminares, Fondo, Reparaciones y Costas)</w:t>
      </w:r>
    </w:p>
    <w:p w14:paraId="33D58BDC" w14:textId="77777777" w:rsidR="006C37C9" w:rsidRPr="00975C02" w:rsidRDefault="006C37C9" w:rsidP="006C37C9">
      <w:pPr>
        <w:spacing w:before="4" w:line="280" w:lineRule="exact"/>
        <w:rPr>
          <w:rFonts w:ascii="Calibri" w:eastAsia="Calibri" w:hAnsi="Calibri"/>
          <w:sz w:val="28"/>
          <w:szCs w:val="28"/>
          <w:lang w:val="es-ES"/>
        </w:rPr>
      </w:pPr>
    </w:p>
    <w:p w14:paraId="22633CE8" w14:textId="77777777" w:rsidR="006C37C9" w:rsidRPr="00975C02" w:rsidRDefault="006C37C9" w:rsidP="006C37C9">
      <w:pPr>
        <w:spacing w:before="4" w:line="280" w:lineRule="exact"/>
        <w:rPr>
          <w:rFonts w:ascii="Calibri" w:eastAsia="Calibri" w:hAnsi="Calibri"/>
          <w:sz w:val="28"/>
          <w:szCs w:val="28"/>
          <w:lang w:val="es-ES"/>
        </w:rPr>
      </w:pPr>
    </w:p>
    <w:p w14:paraId="54245CC8" w14:textId="77777777" w:rsidR="006C37C9" w:rsidRPr="00975C02" w:rsidRDefault="006C37C9" w:rsidP="006C37C9">
      <w:pPr>
        <w:spacing w:before="4" w:line="280" w:lineRule="exact"/>
        <w:rPr>
          <w:rFonts w:ascii="Calibri" w:eastAsia="Calibri" w:hAnsi="Calibri"/>
          <w:sz w:val="28"/>
          <w:szCs w:val="28"/>
          <w:lang w:val="es-ES"/>
        </w:rPr>
      </w:pPr>
    </w:p>
    <w:p w14:paraId="12084FF5" w14:textId="77777777" w:rsidR="006C37C9" w:rsidRPr="00975C02" w:rsidRDefault="006C37C9" w:rsidP="006C37C9">
      <w:pPr>
        <w:spacing w:before="4" w:line="280" w:lineRule="exact"/>
        <w:rPr>
          <w:rFonts w:ascii="Calibri" w:eastAsia="Calibri" w:hAnsi="Calibri"/>
          <w:sz w:val="28"/>
          <w:szCs w:val="28"/>
          <w:lang w:val="es-ES"/>
        </w:rPr>
      </w:pPr>
    </w:p>
    <w:p w14:paraId="63F021AC" w14:textId="1BB98439" w:rsidR="006C37C9" w:rsidRPr="00975C02" w:rsidRDefault="006C37C9" w:rsidP="006C37C9">
      <w:pPr>
        <w:tabs>
          <w:tab w:val="left" w:pos="720"/>
        </w:tabs>
        <w:spacing w:line="240" w:lineRule="auto"/>
        <w:rPr>
          <w:rFonts w:eastAsia="Verdana" w:cs="Verdana"/>
          <w:sz w:val="20"/>
          <w:szCs w:val="20"/>
          <w:lang w:val="es-ES"/>
        </w:rPr>
      </w:pPr>
      <w:r w:rsidRPr="00975C02">
        <w:rPr>
          <w:rFonts w:eastAsia="Verdana" w:cs="Verdana"/>
          <w:sz w:val="20"/>
          <w:szCs w:val="20"/>
          <w:lang w:val="es-ES"/>
        </w:rPr>
        <w:t xml:space="preserve">En el caso </w:t>
      </w:r>
      <w:r w:rsidRPr="00975C02">
        <w:rPr>
          <w:rFonts w:eastAsia="Verdana" w:cs="Verdana"/>
          <w:i/>
          <w:sz w:val="20"/>
          <w:szCs w:val="20"/>
          <w:lang w:val="es-ES"/>
        </w:rPr>
        <w:t>V.</w:t>
      </w:r>
      <w:r w:rsidR="00B824B2" w:rsidRPr="00975C02">
        <w:rPr>
          <w:rFonts w:eastAsia="Verdana" w:cs="Verdana"/>
          <w:i/>
          <w:sz w:val="20"/>
          <w:szCs w:val="20"/>
          <w:lang w:val="es-ES"/>
        </w:rPr>
        <w:t>R.P.</w:t>
      </w:r>
      <w:r w:rsidR="005F1C88" w:rsidRPr="00975C02">
        <w:rPr>
          <w:rFonts w:eastAsia="Verdana" w:cs="Verdana"/>
          <w:i/>
          <w:sz w:val="20"/>
          <w:szCs w:val="20"/>
          <w:lang w:val="es-ES"/>
        </w:rPr>
        <w:t>,</w:t>
      </w:r>
      <w:r w:rsidR="00B824B2" w:rsidRPr="00975C02">
        <w:rPr>
          <w:rFonts w:eastAsia="Verdana" w:cs="Verdana"/>
          <w:i/>
          <w:sz w:val="20"/>
          <w:szCs w:val="20"/>
          <w:lang w:val="es-ES"/>
        </w:rPr>
        <w:t xml:space="preserve"> V.P.C</w:t>
      </w:r>
      <w:r w:rsidR="00D411B7" w:rsidRPr="00975C02">
        <w:rPr>
          <w:rFonts w:eastAsia="Verdana" w:cs="Verdana"/>
          <w:i/>
          <w:sz w:val="20"/>
          <w:szCs w:val="20"/>
          <w:lang w:val="es-ES"/>
        </w:rPr>
        <w:t>.</w:t>
      </w:r>
      <w:r w:rsidR="005F1C88" w:rsidRPr="00975C02">
        <w:rPr>
          <w:rFonts w:eastAsia="Verdana" w:cs="Verdana"/>
          <w:i/>
          <w:sz w:val="20"/>
          <w:szCs w:val="20"/>
          <w:lang w:val="es-ES"/>
        </w:rPr>
        <w:t xml:space="preserve"> y otros</w:t>
      </w:r>
      <w:r w:rsidRPr="00975C02">
        <w:rPr>
          <w:rFonts w:eastAsia="Verdana" w:cs="Verdana"/>
          <w:sz w:val="20"/>
          <w:szCs w:val="20"/>
          <w:lang w:val="es-ES"/>
        </w:rPr>
        <w:t>,</w:t>
      </w:r>
    </w:p>
    <w:p w14:paraId="0E48C21E" w14:textId="77777777" w:rsidR="006C37C9" w:rsidRPr="00975C02" w:rsidRDefault="006C37C9" w:rsidP="006C37C9">
      <w:pPr>
        <w:spacing w:before="4" w:line="240" w:lineRule="exact"/>
        <w:rPr>
          <w:rFonts w:ascii="Calibri" w:eastAsia="Calibri" w:hAnsi="Calibri"/>
          <w:lang w:val="es-ES"/>
        </w:rPr>
      </w:pPr>
    </w:p>
    <w:p w14:paraId="184BAB54" w14:textId="0F502870"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la Corte Interamericana de Derechos Humanos (en adelante “la Corte Interamericana”, “la Corte” o “este Tribunal”), integrada por los siguientes jueces</w:t>
      </w:r>
      <w:r w:rsidR="00F72A3A" w:rsidRPr="00975C02">
        <w:rPr>
          <w:rStyle w:val="FootnoteReference"/>
          <w:rFonts w:eastAsia="Calibri" w:cs="Verdana"/>
          <w:sz w:val="20"/>
          <w:szCs w:val="20"/>
          <w:lang w:val="es-ES"/>
        </w:rPr>
        <w:footnoteReference w:customMarkFollows="1" w:id="2"/>
        <w:t>**</w:t>
      </w:r>
      <w:r w:rsidRPr="00975C02">
        <w:rPr>
          <w:rFonts w:eastAsia="Calibri" w:cs="Verdana"/>
          <w:sz w:val="20"/>
          <w:szCs w:val="20"/>
          <w:lang w:val="es-ES"/>
        </w:rPr>
        <w:t>:</w:t>
      </w:r>
    </w:p>
    <w:p w14:paraId="29F8725C" w14:textId="77777777" w:rsidR="006C37C9" w:rsidRPr="00975C02" w:rsidRDefault="006C37C9" w:rsidP="006C37C9">
      <w:pPr>
        <w:tabs>
          <w:tab w:val="left" w:pos="720"/>
        </w:tabs>
        <w:spacing w:line="240" w:lineRule="auto"/>
        <w:rPr>
          <w:rFonts w:eastAsia="Calibri" w:cs="Verdana"/>
          <w:sz w:val="20"/>
          <w:szCs w:val="20"/>
          <w:lang w:val="es-ES"/>
        </w:rPr>
      </w:pPr>
    </w:p>
    <w:p w14:paraId="3B47F9C8" w14:textId="77777777" w:rsidR="006C37C9" w:rsidRPr="00C40724" w:rsidRDefault="006C37C9" w:rsidP="006C37C9">
      <w:pPr>
        <w:tabs>
          <w:tab w:val="left" w:pos="720"/>
        </w:tabs>
        <w:spacing w:line="240" w:lineRule="auto"/>
        <w:rPr>
          <w:rFonts w:eastAsia="Calibri" w:cs="Verdana"/>
          <w:sz w:val="20"/>
          <w:szCs w:val="20"/>
          <w:lang w:val="pt-BR"/>
        </w:rPr>
      </w:pPr>
      <w:r w:rsidRPr="00C40724">
        <w:rPr>
          <w:rFonts w:eastAsia="Calibri" w:cs="Verdana"/>
          <w:sz w:val="20"/>
          <w:szCs w:val="20"/>
          <w:lang w:val="pt-BR"/>
        </w:rPr>
        <w:t xml:space="preserve">Eduardo Ferrer Mac-Gregor Poisot, </w:t>
      </w:r>
      <w:r w:rsidR="00465DA8" w:rsidRPr="00C40724">
        <w:rPr>
          <w:rFonts w:eastAsia="Calibri" w:cs="Verdana"/>
          <w:sz w:val="20"/>
          <w:szCs w:val="20"/>
          <w:lang w:val="pt-BR"/>
        </w:rPr>
        <w:t>Presidente</w:t>
      </w:r>
      <w:r w:rsidRPr="00C40724">
        <w:rPr>
          <w:rFonts w:eastAsia="Calibri" w:cs="Verdana"/>
          <w:sz w:val="20"/>
          <w:szCs w:val="20"/>
          <w:lang w:val="pt-BR"/>
        </w:rPr>
        <w:t>;</w:t>
      </w:r>
    </w:p>
    <w:p w14:paraId="01A96132"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Humberto Antonio Sierra Porto, Juez;</w:t>
      </w:r>
    </w:p>
    <w:p w14:paraId="5A025B75"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Elizabeth Odio Benito, Jueza;</w:t>
      </w:r>
    </w:p>
    <w:p w14:paraId="277B7C5C"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Eugenio Raúl Zaffaroni, Juez, y</w:t>
      </w:r>
    </w:p>
    <w:p w14:paraId="475EA718"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L. Patricio Pazmiño Freire, Juez;</w:t>
      </w:r>
    </w:p>
    <w:p w14:paraId="153D1D1C" w14:textId="77777777" w:rsidR="006C37C9" w:rsidRPr="00975C02" w:rsidRDefault="006C37C9" w:rsidP="006C37C9">
      <w:pPr>
        <w:tabs>
          <w:tab w:val="left" w:pos="720"/>
        </w:tabs>
        <w:spacing w:line="240" w:lineRule="auto"/>
        <w:rPr>
          <w:rFonts w:eastAsia="Calibri" w:cs="Verdana"/>
          <w:sz w:val="20"/>
          <w:szCs w:val="20"/>
          <w:lang w:val="es-ES"/>
        </w:rPr>
      </w:pPr>
    </w:p>
    <w:p w14:paraId="64928965"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presentes además,</w:t>
      </w:r>
    </w:p>
    <w:p w14:paraId="64ADD9CE" w14:textId="77777777" w:rsidR="006C37C9" w:rsidRPr="00975C02" w:rsidRDefault="006C37C9" w:rsidP="006C37C9">
      <w:pPr>
        <w:tabs>
          <w:tab w:val="left" w:pos="720"/>
        </w:tabs>
        <w:spacing w:line="240" w:lineRule="auto"/>
        <w:rPr>
          <w:rFonts w:eastAsia="Calibri" w:cs="Verdana"/>
          <w:sz w:val="20"/>
          <w:szCs w:val="20"/>
          <w:lang w:val="es-ES"/>
        </w:rPr>
      </w:pPr>
    </w:p>
    <w:p w14:paraId="7C89A62C"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 xml:space="preserve">Pablo Saavedra Alessandri, Secretario, y </w:t>
      </w:r>
    </w:p>
    <w:p w14:paraId="47B8ED3B"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eastAsia="es-MX"/>
        </w:rPr>
        <w:t>Emilia Segares Rodríguez, Secretaria Adjunta,</w:t>
      </w:r>
    </w:p>
    <w:p w14:paraId="1C71C508" w14:textId="77777777" w:rsidR="006C37C9" w:rsidRPr="00975C02" w:rsidRDefault="006C37C9" w:rsidP="006C37C9">
      <w:pPr>
        <w:tabs>
          <w:tab w:val="left" w:pos="720"/>
        </w:tabs>
        <w:spacing w:line="240" w:lineRule="auto"/>
        <w:rPr>
          <w:rFonts w:eastAsia="Calibri" w:cs="Verdana"/>
          <w:sz w:val="20"/>
          <w:szCs w:val="20"/>
          <w:lang w:val="es-ES"/>
        </w:rPr>
      </w:pPr>
    </w:p>
    <w:p w14:paraId="53A07A27" w14:textId="77777777" w:rsidR="006C37C9" w:rsidRPr="00975C02" w:rsidRDefault="006C37C9" w:rsidP="006C37C9">
      <w:pPr>
        <w:tabs>
          <w:tab w:val="left" w:pos="720"/>
        </w:tabs>
        <w:spacing w:line="240" w:lineRule="auto"/>
        <w:rPr>
          <w:rFonts w:eastAsia="Calibri" w:cs="Verdana"/>
          <w:sz w:val="20"/>
          <w:szCs w:val="20"/>
          <w:lang w:val="es-ES"/>
        </w:rPr>
      </w:pPr>
      <w:r w:rsidRPr="00975C02">
        <w:rPr>
          <w:rFonts w:eastAsia="Calibri" w:cs="Verdana"/>
          <w:sz w:val="20"/>
          <w:szCs w:val="20"/>
          <w:lang w:val="es-ES"/>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4E7B177D" w14:textId="77777777" w:rsidR="006C37C9" w:rsidRPr="00975C02" w:rsidRDefault="006C37C9" w:rsidP="006C37C9">
      <w:pPr>
        <w:spacing w:before="1" w:line="235" w:lineRule="exact"/>
        <w:ind w:left="100" w:right="-1085"/>
        <w:rPr>
          <w:rFonts w:eastAsia="Verdana" w:cs="Verdana"/>
          <w:position w:val="-1"/>
          <w:sz w:val="20"/>
          <w:szCs w:val="20"/>
          <w:lang w:val="es-ES"/>
        </w:rPr>
      </w:pPr>
    </w:p>
    <w:p w14:paraId="6340F0C6" w14:textId="77777777" w:rsidR="006C37C9" w:rsidRPr="00975C02" w:rsidRDefault="006C37C9" w:rsidP="006C37C9">
      <w:pPr>
        <w:spacing w:before="1" w:line="235" w:lineRule="exact"/>
        <w:ind w:left="100" w:right="-20"/>
        <w:rPr>
          <w:rFonts w:eastAsia="Verdana" w:cs="Verdana"/>
          <w:position w:val="-1"/>
          <w:sz w:val="20"/>
          <w:szCs w:val="20"/>
          <w:lang w:val="es-ES"/>
        </w:rPr>
      </w:pPr>
    </w:p>
    <w:p w14:paraId="4D61B804" w14:textId="77777777" w:rsidR="00E16176" w:rsidRPr="00975C02" w:rsidRDefault="006C37C9" w:rsidP="00B824B2">
      <w:pPr>
        <w:rPr>
          <w:rFonts w:eastAsia="Verdana" w:cs="Verdana"/>
          <w:position w:val="-1"/>
          <w:sz w:val="20"/>
          <w:szCs w:val="20"/>
          <w:lang w:val="es-ES"/>
        </w:rPr>
      </w:pPr>
      <w:r w:rsidRPr="00975C02">
        <w:rPr>
          <w:rFonts w:eastAsia="Verdana" w:cs="Verdana"/>
          <w:position w:val="-1"/>
          <w:sz w:val="20"/>
          <w:szCs w:val="20"/>
          <w:lang w:val="es-ES"/>
        </w:rPr>
        <w:br w:type="page"/>
      </w:r>
    </w:p>
    <w:sdt>
      <w:sdtPr>
        <w:rPr>
          <w:rFonts w:ascii="Verdana" w:eastAsia="Times New Roman" w:hAnsi="Verdana" w:cs="Times New Roman"/>
          <w:b w:val="0"/>
          <w:bCs w:val="0"/>
          <w:color w:val="auto"/>
          <w:sz w:val="18"/>
          <w:szCs w:val="18"/>
          <w:lang w:val="es-ES" w:eastAsia="es-CR"/>
        </w:rPr>
        <w:id w:val="-402446192"/>
        <w:docPartObj>
          <w:docPartGallery w:val="Table of Contents"/>
          <w:docPartUnique/>
        </w:docPartObj>
      </w:sdtPr>
      <w:sdtEndPr/>
      <w:sdtContent>
        <w:p w14:paraId="38DD545C" w14:textId="77777777" w:rsidR="00F414CE" w:rsidRPr="00975C02" w:rsidRDefault="002E0E96" w:rsidP="00E95A72">
          <w:pPr>
            <w:pStyle w:val="TOCHeading"/>
            <w:spacing w:before="0" w:line="240" w:lineRule="auto"/>
            <w:rPr>
              <w:rFonts w:ascii="Verdana" w:hAnsi="Verdana"/>
              <w:color w:val="auto"/>
              <w:sz w:val="18"/>
              <w:szCs w:val="18"/>
              <w:lang w:val="es-ES"/>
            </w:rPr>
          </w:pPr>
          <w:r w:rsidRPr="00975C02">
            <w:rPr>
              <w:rFonts w:ascii="Verdana" w:hAnsi="Verdana"/>
              <w:color w:val="auto"/>
              <w:sz w:val="18"/>
              <w:szCs w:val="18"/>
              <w:lang w:val="es-ES"/>
            </w:rPr>
            <w:t>CONTENIDO</w:t>
          </w:r>
        </w:p>
        <w:p w14:paraId="266B0E18" w14:textId="77777777" w:rsidR="001D3CA2" w:rsidRPr="001D3CA2" w:rsidRDefault="00920B09" w:rsidP="001D3CA2">
          <w:pPr>
            <w:pStyle w:val="TOC1"/>
            <w:tabs>
              <w:tab w:val="right" w:leader="dot" w:pos="10070"/>
            </w:tabs>
            <w:spacing w:after="0" w:line="240" w:lineRule="auto"/>
            <w:rPr>
              <w:rFonts w:eastAsiaTheme="minorEastAsia" w:cstheme="minorBidi"/>
              <w:noProof/>
              <w:sz w:val="18"/>
              <w:szCs w:val="18"/>
            </w:rPr>
          </w:pPr>
          <w:r w:rsidRPr="001D3CA2">
            <w:rPr>
              <w:sz w:val="18"/>
              <w:szCs w:val="18"/>
              <w:lang w:val="es-ES"/>
            </w:rPr>
            <w:fldChar w:fldCharType="begin"/>
          </w:r>
          <w:r w:rsidR="00F414CE" w:rsidRPr="001D3CA2">
            <w:rPr>
              <w:sz w:val="18"/>
              <w:szCs w:val="18"/>
              <w:lang w:val="es-ES"/>
            </w:rPr>
            <w:instrText xml:space="preserve"> TOC \o "1-3" \h \z \u </w:instrText>
          </w:r>
          <w:r w:rsidRPr="001D3CA2">
            <w:rPr>
              <w:sz w:val="18"/>
              <w:szCs w:val="18"/>
              <w:lang w:val="es-ES"/>
            </w:rPr>
            <w:fldChar w:fldCharType="separate"/>
          </w:r>
          <w:hyperlink w:anchor="_Toc514172589" w:history="1">
            <w:r w:rsidR="001D3CA2" w:rsidRPr="001D3CA2">
              <w:rPr>
                <w:rStyle w:val="Hyperlink"/>
                <w:rFonts w:cs="Verdana"/>
                <w:b/>
                <w:bCs/>
                <w:caps/>
                <w:noProof/>
                <w:snapToGrid w:val="0"/>
                <w:sz w:val="18"/>
                <w:szCs w:val="18"/>
                <w:lang w:val="es-ES"/>
              </w:rPr>
              <w:t>I INTRODUCCIÓN DE LA CAUSA y OBJETO DE LA CONTROVERSIA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_Toc514172589 \h </w:instrText>
            </w:r>
            <w:r w:rsidR="001D3CA2" w:rsidRPr="001D3CA2">
              <w:rPr>
                <w:noProof/>
                <w:webHidden/>
                <w:sz w:val="18"/>
                <w:szCs w:val="18"/>
              </w:rPr>
            </w:r>
            <w:r w:rsidR="001D3CA2" w:rsidRPr="001D3CA2">
              <w:rPr>
                <w:noProof/>
                <w:webHidden/>
                <w:sz w:val="18"/>
                <w:szCs w:val="18"/>
              </w:rPr>
              <w:fldChar w:fldCharType="separate"/>
            </w:r>
            <w:r w:rsidR="00EF48C1">
              <w:rPr>
                <w:noProof/>
                <w:webHidden/>
                <w:sz w:val="18"/>
                <w:szCs w:val="18"/>
              </w:rPr>
              <w:t>4</w:t>
            </w:r>
            <w:r w:rsidR="001D3CA2" w:rsidRPr="001D3CA2">
              <w:rPr>
                <w:noProof/>
                <w:webHidden/>
                <w:sz w:val="18"/>
                <w:szCs w:val="18"/>
              </w:rPr>
              <w:fldChar w:fldCharType="end"/>
            </w:r>
          </w:hyperlink>
        </w:p>
        <w:p w14:paraId="740880FD"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590" w:history="1">
            <w:r w:rsidR="001D3CA2" w:rsidRPr="001D3CA2">
              <w:rPr>
                <w:rStyle w:val="Hyperlink"/>
                <w:rFonts w:cs="Verdana"/>
                <w:b/>
                <w:bCs/>
                <w:caps/>
                <w:noProof/>
                <w:snapToGrid w:val="0"/>
                <w:sz w:val="18"/>
                <w:szCs w:val="18"/>
                <w:lang w:val="es-ES"/>
              </w:rPr>
              <w:t>II PROCEDIMIENTO ANTE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w:t>
            </w:r>
            <w:r w:rsidR="001D3CA2" w:rsidRPr="001D3CA2">
              <w:rPr>
                <w:noProof/>
                <w:webHidden/>
                <w:sz w:val="18"/>
                <w:szCs w:val="18"/>
              </w:rPr>
              <w:fldChar w:fldCharType="end"/>
            </w:r>
          </w:hyperlink>
        </w:p>
        <w:p w14:paraId="054954B0"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591" w:history="1">
            <w:r w:rsidR="001D3CA2" w:rsidRPr="001D3CA2">
              <w:rPr>
                <w:rStyle w:val="Hyperlink"/>
                <w:rFonts w:cs="Verdana"/>
                <w:b/>
                <w:bCs/>
                <w:caps/>
                <w:noProof/>
                <w:snapToGrid w:val="0"/>
                <w:sz w:val="18"/>
                <w:szCs w:val="18"/>
                <w:lang w:val="es-ES"/>
              </w:rPr>
              <w:t>III COMPETENCIA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w:t>
            </w:r>
            <w:r w:rsidR="001D3CA2" w:rsidRPr="001D3CA2">
              <w:rPr>
                <w:noProof/>
                <w:webHidden/>
                <w:sz w:val="18"/>
                <w:szCs w:val="18"/>
              </w:rPr>
              <w:fldChar w:fldCharType="end"/>
            </w:r>
          </w:hyperlink>
        </w:p>
        <w:p w14:paraId="69429144"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592" w:history="1">
            <w:r w:rsidR="001D3CA2" w:rsidRPr="001D3CA2">
              <w:rPr>
                <w:rStyle w:val="Hyperlink"/>
                <w:rFonts w:cs="Verdana"/>
                <w:b/>
                <w:bCs/>
                <w:caps/>
                <w:noProof/>
                <w:snapToGrid w:val="0"/>
                <w:sz w:val="18"/>
                <w:szCs w:val="18"/>
                <w:lang w:val="es-ES"/>
              </w:rPr>
              <w:t>IV EXCEPCIONES PRELIMINARES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w:t>
            </w:r>
            <w:r w:rsidR="001D3CA2" w:rsidRPr="001D3CA2">
              <w:rPr>
                <w:noProof/>
                <w:webHidden/>
                <w:sz w:val="18"/>
                <w:szCs w:val="18"/>
              </w:rPr>
              <w:fldChar w:fldCharType="end"/>
            </w:r>
          </w:hyperlink>
        </w:p>
        <w:p w14:paraId="39CBD9C9" w14:textId="77777777" w:rsidR="001D3CA2" w:rsidRPr="001D3CA2" w:rsidRDefault="00EF48C1" w:rsidP="001D3CA2">
          <w:pPr>
            <w:pStyle w:val="TOC2"/>
            <w:jc w:val="both"/>
            <w:rPr>
              <w:rFonts w:eastAsiaTheme="minorEastAsia" w:cstheme="minorBidi"/>
              <w:noProof/>
              <w:sz w:val="18"/>
              <w:szCs w:val="18"/>
            </w:rPr>
          </w:pPr>
          <w:hyperlink w:anchor="_Toc514172593"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Excepción sobre la alegada falta de agotamiento de los recursos internos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w:t>
            </w:r>
            <w:r w:rsidR="001D3CA2" w:rsidRPr="001D3CA2">
              <w:rPr>
                <w:noProof/>
                <w:webHidden/>
                <w:sz w:val="18"/>
                <w:szCs w:val="18"/>
              </w:rPr>
              <w:fldChar w:fldCharType="end"/>
            </w:r>
          </w:hyperlink>
        </w:p>
        <w:p w14:paraId="5C6EC611" w14:textId="77777777" w:rsidR="001D3CA2" w:rsidRPr="001D3CA2" w:rsidRDefault="00EF48C1" w:rsidP="001D3CA2">
          <w:pPr>
            <w:pStyle w:val="TOC2"/>
            <w:jc w:val="both"/>
            <w:rPr>
              <w:rFonts w:eastAsiaTheme="minorEastAsia" w:cstheme="minorBidi"/>
              <w:noProof/>
              <w:sz w:val="18"/>
              <w:szCs w:val="18"/>
            </w:rPr>
          </w:pPr>
          <w:hyperlink w:anchor="_Toc514172594" w:history="1">
            <w:r w:rsidR="001D3CA2" w:rsidRPr="001D3CA2">
              <w:rPr>
                <w:rStyle w:val="Hyperlink"/>
                <w:i/>
                <w:noProof/>
                <w:sz w:val="18"/>
                <w:szCs w:val="18"/>
                <w:lang w:val="es-ES"/>
              </w:rPr>
              <w:t xml:space="preserve">A.1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w:t>
            </w:r>
            <w:r w:rsidR="001D3CA2" w:rsidRPr="001D3CA2">
              <w:rPr>
                <w:noProof/>
                <w:webHidden/>
                <w:sz w:val="18"/>
                <w:szCs w:val="18"/>
              </w:rPr>
              <w:fldChar w:fldCharType="end"/>
            </w:r>
          </w:hyperlink>
        </w:p>
        <w:p w14:paraId="20B1500C" w14:textId="77777777" w:rsidR="001D3CA2" w:rsidRPr="001D3CA2" w:rsidRDefault="00EF48C1" w:rsidP="001D3CA2">
          <w:pPr>
            <w:pStyle w:val="TOC2"/>
            <w:jc w:val="both"/>
            <w:rPr>
              <w:rFonts w:eastAsiaTheme="minorEastAsia" w:cstheme="minorBidi"/>
              <w:noProof/>
              <w:sz w:val="18"/>
              <w:szCs w:val="18"/>
            </w:rPr>
          </w:pPr>
          <w:hyperlink w:anchor="_Toc514172595" w:history="1">
            <w:r w:rsidR="001D3CA2" w:rsidRPr="001D3CA2">
              <w:rPr>
                <w:rStyle w:val="Hyperlink"/>
                <w:i/>
                <w:noProof/>
                <w:sz w:val="18"/>
                <w:szCs w:val="18"/>
                <w:lang w:val="es-ES"/>
              </w:rPr>
              <w:t>A.2</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10</w:t>
            </w:r>
            <w:r w:rsidR="001D3CA2" w:rsidRPr="001D3CA2">
              <w:rPr>
                <w:noProof/>
                <w:webHidden/>
                <w:sz w:val="18"/>
                <w:szCs w:val="18"/>
              </w:rPr>
              <w:fldChar w:fldCharType="end"/>
            </w:r>
          </w:hyperlink>
        </w:p>
        <w:p w14:paraId="4D5895FB" w14:textId="77777777" w:rsidR="001D3CA2" w:rsidRPr="001D3CA2" w:rsidRDefault="00EF48C1" w:rsidP="001D3CA2">
          <w:pPr>
            <w:pStyle w:val="TOC2"/>
            <w:jc w:val="both"/>
            <w:rPr>
              <w:rFonts w:eastAsiaTheme="minorEastAsia" w:cstheme="minorBidi"/>
              <w:noProof/>
              <w:sz w:val="18"/>
              <w:szCs w:val="18"/>
            </w:rPr>
          </w:pPr>
          <w:hyperlink w:anchor="_Toc514172596" w:history="1">
            <w:r w:rsidR="001D3CA2" w:rsidRPr="001D3CA2">
              <w:rPr>
                <w:rStyle w:val="Hyperlink"/>
                <w:rFonts w:eastAsia="MS Mincho"/>
                <w:b/>
                <w:bCs/>
                <w:i/>
                <w:noProof/>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Excepción sobre la alegada falta de competencia ratione temporis de la Comisión y de la Corte Interamericana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12</w:t>
            </w:r>
            <w:r w:rsidR="001D3CA2" w:rsidRPr="001D3CA2">
              <w:rPr>
                <w:noProof/>
                <w:webHidden/>
                <w:sz w:val="18"/>
                <w:szCs w:val="18"/>
              </w:rPr>
              <w:fldChar w:fldCharType="end"/>
            </w:r>
          </w:hyperlink>
        </w:p>
        <w:p w14:paraId="5A7E8BCF" w14:textId="77777777" w:rsidR="001D3CA2" w:rsidRPr="001D3CA2" w:rsidRDefault="00EF48C1" w:rsidP="001D3CA2">
          <w:pPr>
            <w:pStyle w:val="TOC2"/>
            <w:jc w:val="both"/>
            <w:rPr>
              <w:rFonts w:eastAsiaTheme="minorEastAsia" w:cstheme="minorBidi"/>
              <w:noProof/>
              <w:sz w:val="18"/>
              <w:szCs w:val="18"/>
            </w:rPr>
          </w:pPr>
          <w:hyperlink w:anchor="_Toc514172597" w:history="1">
            <w:r w:rsidR="001D3CA2" w:rsidRPr="001D3CA2">
              <w:rPr>
                <w:rStyle w:val="Hyperlink"/>
                <w:i/>
                <w:noProof/>
                <w:sz w:val="18"/>
                <w:szCs w:val="18"/>
                <w:lang w:val="es-ES"/>
              </w:rPr>
              <w:t xml:space="preserve">B.1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12</w:t>
            </w:r>
            <w:r w:rsidR="001D3CA2" w:rsidRPr="001D3CA2">
              <w:rPr>
                <w:noProof/>
                <w:webHidden/>
                <w:sz w:val="18"/>
                <w:szCs w:val="18"/>
              </w:rPr>
              <w:fldChar w:fldCharType="end"/>
            </w:r>
          </w:hyperlink>
        </w:p>
        <w:p w14:paraId="43C664EF" w14:textId="77777777" w:rsidR="001D3CA2" w:rsidRPr="001D3CA2" w:rsidRDefault="00EF48C1" w:rsidP="001D3CA2">
          <w:pPr>
            <w:pStyle w:val="TOC2"/>
            <w:jc w:val="both"/>
            <w:rPr>
              <w:rFonts w:eastAsiaTheme="minorEastAsia" w:cstheme="minorBidi"/>
              <w:noProof/>
              <w:sz w:val="18"/>
              <w:szCs w:val="18"/>
            </w:rPr>
          </w:pPr>
          <w:hyperlink w:anchor="_Toc514172598" w:history="1">
            <w:r w:rsidR="001D3CA2" w:rsidRPr="001D3CA2">
              <w:rPr>
                <w:rStyle w:val="Hyperlink"/>
                <w:i/>
                <w:noProof/>
                <w:sz w:val="18"/>
                <w:szCs w:val="18"/>
                <w:lang w:val="es-ES"/>
              </w:rPr>
              <w:t xml:space="preserve">B.2 </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12</w:t>
            </w:r>
            <w:r w:rsidR="001D3CA2" w:rsidRPr="001D3CA2">
              <w:rPr>
                <w:noProof/>
                <w:webHidden/>
                <w:sz w:val="18"/>
                <w:szCs w:val="18"/>
              </w:rPr>
              <w:fldChar w:fldCharType="end"/>
            </w:r>
          </w:hyperlink>
        </w:p>
        <w:p w14:paraId="2D1AEB68" w14:textId="77777777" w:rsidR="001D3CA2" w:rsidRPr="001D3CA2" w:rsidRDefault="00EF48C1" w:rsidP="001D3CA2">
          <w:pPr>
            <w:pStyle w:val="TOC2"/>
            <w:jc w:val="both"/>
            <w:rPr>
              <w:rFonts w:eastAsiaTheme="minorEastAsia" w:cstheme="minorBidi"/>
              <w:noProof/>
              <w:sz w:val="18"/>
              <w:szCs w:val="18"/>
            </w:rPr>
          </w:pPr>
          <w:hyperlink w:anchor="_Toc514172599" w:history="1">
            <w:r w:rsidR="001D3CA2" w:rsidRPr="001D3CA2">
              <w:rPr>
                <w:rStyle w:val="Hyperlink"/>
                <w:rFonts w:eastAsia="MS Mincho"/>
                <w:b/>
                <w:bCs/>
                <w:i/>
                <w:noProof/>
                <w:sz w:val="18"/>
                <w:szCs w:val="18"/>
                <w:lang w:val="es-ES"/>
              </w:rPr>
              <w:t>C.</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Excepción sobre la alegada falta de competencia ratione materiae de la Corte en relación con la presunta violación de artículos de la Convención sobre los Derechos del Niño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_Toc514172599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13</w:t>
            </w:r>
            <w:r w:rsidR="001D3CA2" w:rsidRPr="001D3CA2">
              <w:rPr>
                <w:noProof/>
                <w:webHidden/>
                <w:sz w:val="18"/>
                <w:szCs w:val="18"/>
              </w:rPr>
              <w:fldChar w:fldCharType="end"/>
            </w:r>
          </w:hyperlink>
        </w:p>
        <w:p w14:paraId="7CC5D2AA" w14:textId="77777777" w:rsidR="001D3CA2" w:rsidRPr="001D3CA2" w:rsidRDefault="00EF48C1" w:rsidP="001D3CA2">
          <w:pPr>
            <w:pStyle w:val="TOC2"/>
            <w:jc w:val="both"/>
            <w:rPr>
              <w:rFonts w:eastAsiaTheme="minorEastAsia" w:cstheme="minorBidi"/>
              <w:noProof/>
              <w:sz w:val="18"/>
              <w:szCs w:val="18"/>
            </w:rPr>
          </w:pPr>
          <w:hyperlink w:anchor="_Toc514172600" w:history="1">
            <w:r w:rsidR="001D3CA2" w:rsidRPr="001D3CA2">
              <w:rPr>
                <w:rStyle w:val="Hyperlink"/>
                <w:i/>
                <w:noProof/>
                <w:sz w:val="18"/>
                <w:szCs w:val="18"/>
                <w:lang w:val="es-ES"/>
              </w:rPr>
              <w:t xml:space="preserve">C.1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13</w:t>
            </w:r>
            <w:r w:rsidR="001D3CA2" w:rsidRPr="001D3CA2">
              <w:rPr>
                <w:noProof/>
                <w:webHidden/>
                <w:sz w:val="18"/>
                <w:szCs w:val="18"/>
              </w:rPr>
              <w:fldChar w:fldCharType="end"/>
            </w:r>
          </w:hyperlink>
        </w:p>
        <w:p w14:paraId="4C2FB473" w14:textId="77777777" w:rsidR="001D3CA2" w:rsidRPr="001D3CA2" w:rsidRDefault="00EF48C1" w:rsidP="001D3CA2">
          <w:pPr>
            <w:pStyle w:val="TOC2"/>
            <w:jc w:val="both"/>
            <w:rPr>
              <w:rFonts w:eastAsiaTheme="minorEastAsia" w:cstheme="minorBidi"/>
              <w:noProof/>
              <w:sz w:val="18"/>
              <w:szCs w:val="18"/>
            </w:rPr>
          </w:pPr>
          <w:hyperlink w:anchor="_Toc514172601" w:history="1">
            <w:r w:rsidR="001D3CA2" w:rsidRPr="001D3CA2">
              <w:rPr>
                <w:rStyle w:val="Hyperlink"/>
                <w:i/>
                <w:noProof/>
                <w:sz w:val="18"/>
                <w:szCs w:val="18"/>
                <w:lang w:val="es-ES"/>
              </w:rPr>
              <w:t xml:space="preserve">C.2 </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14</w:t>
            </w:r>
            <w:r w:rsidR="001D3CA2" w:rsidRPr="001D3CA2">
              <w:rPr>
                <w:noProof/>
                <w:webHidden/>
                <w:sz w:val="18"/>
                <w:szCs w:val="18"/>
              </w:rPr>
              <w:fldChar w:fldCharType="end"/>
            </w:r>
          </w:hyperlink>
        </w:p>
        <w:p w14:paraId="5D2A80CF"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02" w:history="1">
            <w:r w:rsidR="001D3CA2" w:rsidRPr="001D3CA2">
              <w:rPr>
                <w:rStyle w:val="Hyperlink"/>
                <w:rFonts w:cs="Verdana"/>
                <w:b/>
                <w:bCs/>
                <w:caps/>
                <w:noProof/>
                <w:snapToGrid w:val="0"/>
                <w:sz w:val="18"/>
                <w:szCs w:val="18"/>
                <w:lang w:val="es-ES"/>
              </w:rPr>
              <w:t>V CONSIDERACIONES PREVIAS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15</w:t>
            </w:r>
            <w:r w:rsidR="001D3CA2" w:rsidRPr="001D3CA2">
              <w:rPr>
                <w:noProof/>
                <w:webHidden/>
                <w:sz w:val="18"/>
                <w:szCs w:val="18"/>
              </w:rPr>
              <w:fldChar w:fldCharType="end"/>
            </w:r>
          </w:hyperlink>
        </w:p>
        <w:p w14:paraId="429C67A8" w14:textId="77777777" w:rsidR="001D3CA2" w:rsidRPr="001D3CA2" w:rsidRDefault="00EF48C1" w:rsidP="001D3CA2">
          <w:pPr>
            <w:pStyle w:val="TOC2"/>
            <w:jc w:val="both"/>
            <w:rPr>
              <w:rFonts w:eastAsiaTheme="minorEastAsia" w:cstheme="minorBidi"/>
              <w:noProof/>
              <w:sz w:val="18"/>
              <w:szCs w:val="18"/>
            </w:rPr>
          </w:pPr>
          <w:hyperlink w:anchor="_Toc514172603"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Determinación de las presuntas víctimas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15</w:t>
            </w:r>
            <w:r w:rsidR="001D3CA2" w:rsidRPr="001D3CA2">
              <w:rPr>
                <w:noProof/>
                <w:webHidden/>
                <w:sz w:val="18"/>
                <w:szCs w:val="18"/>
              </w:rPr>
              <w:fldChar w:fldCharType="end"/>
            </w:r>
          </w:hyperlink>
        </w:p>
        <w:p w14:paraId="05416570" w14:textId="77777777" w:rsidR="001D3CA2" w:rsidRPr="001D3CA2" w:rsidRDefault="00EF48C1" w:rsidP="001D3CA2">
          <w:pPr>
            <w:pStyle w:val="TOC2"/>
            <w:jc w:val="both"/>
            <w:rPr>
              <w:rFonts w:eastAsiaTheme="minorEastAsia" w:cstheme="minorBidi"/>
              <w:noProof/>
              <w:sz w:val="18"/>
              <w:szCs w:val="18"/>
            </w:rPr>
          </w:pPr>
          <w:hyperlink w:anchor="_Toc514172604" w:history="1">
            <w:r w:rsidR="001D3CA2" w:rsidRPr="001D3CA2">
              <w:rPr>
                <w:rStyle w:val="Hyperlink"/>
                <w:i/>
                <w:noProof/>
                <w:sz w:val="18"/>
                <w:szCs w:val="18"/>
                <w:lang w:val="es-ES"/>
              </w:rPr>
              <w:t xml:space="preserve">A.1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15</w:t>
            </w:r>
            <w:r w:rsidR="001D3CA2" w:rsidRPr="001D3CA2">
              <w:rPr>
                <w:noProof/>
                <w:webHidden/>
                <w:sz w:val="18"/>
                <w:szCs w:val="18"/>
              </w:rPr>
              <w:fldChar w:fldCharType="end"/>
            </w:r>
          </w:hyperlink>
        </w:p>
        <w:p w14:paraId="38DD1F27" w14:textId="77777777" w:rsidR="001D3CA2" w:rsidRPr="001D3CA2" w:rsidRDefault="00EF48C1" w:rsidP="001D3CA2">
          <w:pPr>
            <w:pStyle w:val="TOC2"/>
            <w:jc w:val="both"/>
            <w:rPr>
              <w:rFonts w:eastAsiaTheme="minorEastAsia" w:cstheme="minorBidi"/>
              <w:noProof/>
              <w:sz w:val="18"/>
              <w:szCs w:val="18"/>
            </w:rPr>
          </w:pPr>
          <w:hyperlink w:anchor="_Toc514172605" w:history="1">
            <w:r w:rsidR="001D3CA2" w:rsidRPr="001D3CA2">
              <w:rPr>
                <w:rStyle w:val="Hyperlink"/>
                <w:i/>
                <w:noProof/>
                <w:sz w:val="18"/>
                <w:szCs w:val="18"/>
                <w:lang w:val="es-ES"/>
              </w:rPr>
              <w:t xml:space="preserve">A.2 </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16</w:t>
            </w:r>
            <w:r w:rsidR="001D3CA2" w:rsidRPr="001D3CA2">
              <w:rPr>
                <w:noProof/>
                <w:webHidden/>
                <w:sz w:val="18"/>
                <w:szCs w:val="18"/>
              </w:rPr>
              <w:fldChar w:fldCharType="end"/>
            </w:r>
          </w:hyperlink>
        </w:p>
        <w:p w14:paraId="1600EE1E" w14:textId="77777777" w:rsidR="001D3CA2" w:rsidRPr="001D3CA2" w:rsidRDefault="00EF48C1" w:rsidP="001D3CA2">
          <w:pPr>
            <w:pStyle w:val="TOC2"/>
            <w:jc w:val="both"/>
            <w:rPr>
              <w:rFonts w:eastAsiaTheme="minorEastAsia" w:cstheme="minorBidi"/>
              <w:noProof/>
              <w:sz w:val="18"/>
              <w:szCs w:val="18"/>
            </w:rPr>
          </w:pPr>
          <w:hyperlink w:anchor="_Toc514172606" w:history="1">
            <w:r w:rsidR="001D3CA2" w:rsidRPr="001D3CA2">
              <w:rPr>
                <w:rStyle w:val="Hyperlink"/>
                <w:rFonts w:eastAsia="MS Mincho"/>
                <w:b/>
                <w:bCs/>
                <w:i/>
                <w:noProof/>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Otras violaciones de derechos humanos alegadas por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16</w:t>
            </w:r>
            <w:r w:rsidR="001D3CA2" w:rsidRPr="001D3CA2">
              <w:rPr>
                <w:noProof/>
                <w:webHidden/>
                <w:sz w:val="18"/>
                <w:szCs w:val="18"/>
              </w:rPr>
              <w:fldChar w:fldCharType="end"/>
            </w:r>
          </w:hyperlink>
        </w:p>
        <w:p w14:paraId="3CBBAB4C" w14:textId="77777777" w:rsidR="001D3CA2" w:rsidRPr="001D3CA2" w:rsidRDefault="00EF48C1" w:rsidP="001D3CA2">
          <w:pPr>
            <w:pStyle w:val="TOC2"/>
            <w:jc w:val="both"/>
            <w:rPr>
              <w:rFonts w:eastAsiaTheme="minorEastAsia" w:cstheme="minorBidi"/>
              <w:noProof/>
              <w:sz w:val="18"/>
              <w:szCs w:val="18"/>
            </w:rPr>
          </w:pPr>
          <w:hyperlink w:anchor="_Toc514172607" w:history="1">
            <w:r w:rsidR="001D3CA2" w:rsidRPr="001D3CA2">
              <w:rPr>
                <w:rStyle w:val="Hyperlink"/>
                <w:i/>
                <w:noProof/>
                <w:sz w:val="18"/>
                <w:szCs w:val="18"/>
                <w:lang w:val="es-ES"/>
              </w:rPr>
              <w:t xml:space="preserve">B.1 </w:t>
            </w:r>
            <w:r w:rsidR="001D3CA2" w:rsidRPr="001D3CA2">
              <w:rPr>
                <w:rFonts w:eastAsiaTheme="minorEastAsia" w:cstheme="minorBidi"/>
                <w:noProof/>
                <w:sz w:val="18"/>
                <w:szCs w:val="18"/>
              </w:rPr>
              <w:tab/>
            </w:r>
            <w:r w:rsidR="001D3CA2" w:rsidRPr="001D3CA2">
              <w:rPr>
                <w:rStyle w:val="Hyperlink"/>
                <w:i/>
                <w:noProof/>
                <w:sz w:val="18"/>
                <w:szCs w:val="18"/>
                <w:lang w:val="es-ES"/>
              </w:rPr>
              <w:t>Alegatos del Estado y observaciones de la Comisión y las representantes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16</w:t>
            </w:r>
            <w:r w:rsidR="001D3CA2" w:rsidRPr="001D3CA2">
              <w:rPr>
                <w:noProof/>
                <w:webHidden/>
                <w:sz w:val="18"/>
                <w:szCs w:val="18"/>
              </w:rPr>
              <w:fldChar w:fldCharType="end"/>
            </w:r>
          </w:hyperlink>
        </w:p>
        <w:p w14:paraId="06A75782" w14:textId="77777777" w:rsidR="001D3CA2" w:rsidRPr="001D3CA2" w:rsidRDefault="00EF48C1" w:rsidP="001D3CA2">
          <w:pPr>
            <w:pStyle w:val="TOC2"/>
            <w:jc w:val="both"/>
            <w:rPr>
              <w:rFonts w:eastAsiaTheme="minorEastAsia" w:cstheme="minorBidi"/>
              <w:noProof/>
              <w:sz w:val="18"/>
              <w:szCs w:val="18"/>
            </w:rPr>
          </w:pPr>
          <w:hyperlink w:anchor="_Toc514172608" w:history="1">
            <w:r w:rsidR="001D3CA2" w:rsidRPr="001D3CA2">
              <w:rPr>
                <w:rStyle w:val="Hyperlink"/>
                <w:i/>
                <w:noProof/>
                <w:sz w:val="18"/>
                <w:szCs w:val="18"/>
                <w:lang w:val="es-ES"/>
              </w:rPr>
              <w:t xml:space="preserve">B.2 </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17</w:t>
            </w:r>
            <w:r w:rsidR="001D3CA2" w:rsidRPr="001D3CA2">
              <w:rPr>
                <w:noProof/>
                <w:webHidden/>
                <w:sz w:val="18"/>
                <w:szCs w:val="18"/>
              </w:rPr>
              <w:fldChar w:fldCharType="end"/>
            </w:r>
          </w:hyperlink>
        </w:p>
        <w:p w14:paraId="5CD4C1FC"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09" w:history="1">
            <w:r w:rsidR="001D3CA2" w:rsidRPr="001D3CA2">
              <w:rPr>
                <w:rStyle w:val="Hyperlink"/>
                <w:rFonts w:cs="Verdana"/>
                <w:b/>
                <w:bCs/>
                <w:caps/>
                <w:noProof/>
                <w:snapToGrid w:val="0"/>
                <w:sz w:val="18"/>
                <w:szCs w:val="18"/>
                <w:lang w:val="es-ES"/>
              </w:rPr>
              <w:t>VI PRUEBA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_Toc514172609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18</w:t>
            </w:r>
            <w:r w:rsidR="001D3CA2" w:rsidRPr="001D3CA2">
              <w:rPr>
                <w:noProof/>
                <w:webHidden/>
                <w:sz w:val="18"/>
                <w:szCs w:val="18"/>
              </w:rPr>
              <w:fldChar w:fldCharType="end"/>
            </w:r>
          </w:hyperlink>
        </w:p>
        <w:p w14:paraId="6922BD61" w14:textId="77777777" w:rsidR="001D3CA2" w:rsidRPr="001D3CA2" w:rsidRDefault="00EF48C1" w:rsidP="001D3CA2">
          <w:pPr>
            <w:pStyle w:val="TOC2"/>
            <w:jc w:val="both"/>
            <w:rPr>
              <w:rFonts w:eastAsiaTheme="minorEastAsia" w:cstheme="minorBidi"/>
              <w:noProof/>
              <w:sz w:val="18"/>
              <w:szCs w:val="18"/>
            </w:rPr>
          </w:pPr>
          <w:hyperlink w:anchor="_Toc514172610"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Prueba documental, testimonial y pericial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18</w:t>
            </w:r>
            <w:r w:rsidR="001D3CA2" w:rsidRPr="001D3CA2">
              <w:rPr>
                <w:noProof/>
                <w:webHidden/>
                <w:sz w:val="18"/>
                <w:szCs w:val="18"/>
              </w:rPr>
              <w:fldChar w:fldCharType="end"/>
            </w:r>
          </w:hyperlink>
        </w:p>
        <w:p w14:paraId="74C83476" w14:textId="77777777" w:rsidR="001D3CA2" w:rsidRPr="001D3CA2" w:rsidRDefault="00EF48C1" w:rsidP="001D3CA2">
          <w:pPr>
            <w:pStyle w:val="TOC2"/>
            <w:jc w:val="both"/>
            <w:rPr>
              <w:rFonts w:eastAsiaTheme="minorEastAsia" w:cstheme="minorBidi"/>
              <w:noProof/>
              <w:sz w:val="18"/>
              <w:szCs w:val="18"/>
            </w:rPr>
          </w:pPr>
          <w:hyperlink w:anchor="_Toc514172611" w:history="1">
            <w:r w:rsidR="001D3CA2" w:rsidRPr="001D3CA2">
              <w:rPr>
                <w:rStyle w:val="Hyperlink"/>
                <w:rFonts w:eastAsia="MS Mincho"/>
                <w:b/>
                <w:bCs/>
                <w:i/>
                <w:noProof/>
                <w:sz w:val="18"/>
                <w:szCs w:val="18"/>
                <w:lang w:val="es-ES"/>
              </w:rPr>
              <w:t xml:space="preserve">B. </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Admisión de la prueba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18</w:t>
            </w:r>
            <w:r w:rsidR="001D3CA2" w:rsidRPr="001D3CA2">
              <w:rPr>
                <w:noProof/>
                <w:webHidden/>
                <w:sz w:val="18"/>
                <w:szCs w:val="18"/>
              </w:rPr>
              <w:fldChar w:fldCharType="end"/>
            </w:r>
          </w:hyperlink>
        </w:p>
        <w:p w14:paraId="3F91873B" w14:textId="77777777" w:rsidR="001D3CA2" w:rsidRPr="001D3CA2" w:rsidRDefault="00EF48C1" w:rsidP="001D3CA2">
          <w:pPr>
            <w:pStyle w:val="TOC2"/>
            <w:jc w:val="both"/>
            <w:rPr>
              <w:rFonts w:eastAsiaTheme="minorEastAsia" w:cstheme="minorBidi"/>
              <w:noProof/>
              <w:sz w:val="18"/>
              <w:szCs w:val="18"/>
            </w:rPr>
          </w:pPr>
          <w:hyperlink w:anchor="_Toc514172612" w:history="1">
            <w:r w:rsidR="001D3CA2" w:rsidRPr="001D3CA2">
              <w:rPr>
                <w:rStyle w:val="Hyperlink"/>
                <w:i/>
                <w:noProof/>
                <w:sz w:val="18"/>
                <w:szCs w:val="18"/>
                <w:lang w:val="es-ES"/>
              </w:rPr>
              <w:t xml:space="preserve">B.1 </w:t>
            </w:r>
            <w:r w:rsidR="001D3CA2" w:rsidRPr="001D3CA2">
              <w:rPr>
                <w:rFonts w:eastAsiaTheme="minorEastAsia" w:cstheme="minorBidi"/>
                <w:noProof/>
                <w:sz w:val="18"/>
                <w:szCs w:val="18"/>
              </w:rPr>
              <w:tab/>
            </w:r>
            <w:r w:rsidR="001D3CA2" w:rsidRPr="001D3CA2">
              <w:rPr>
                <w:rStyle w:val="Hyperlink"/>
                <w:i/>
                <w:noProof/>
                <w:sz w:val="18"/>
                <w:szCs w:val="18"/>
                <w:lang w:val="es-ES"/>
              </w:rPr>
              <w:t>Admisión de la prueba documental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18</w:t>
            </w:r>
            <w:r w:rsidR="001D3CA2" w:rsidRPr="001D3CA2">
              <w:rPr>
                <w:noProof/>
                <w:webHidden/>
                <w:sz w:val="18"/>
                <w:szCs w:val="18"/>
              </w:rPr>
              <w:fldChar w:fldCharType="end"/>
            </w:r>
          </w:hyperlink>
        </w:p>
        <w:p w14:paraId="4CFDBFB8" w14:textId="77777777" w:rsidR="001D3CA2" w:rsidRPr="001D3CA2" w:rsidRDefault="00EF48C1" w:rsidP="001D3CA2">
          <w:pPr>
            <w:pStyle w:val="TOC2"/>
            <w:jc w:val="both"/>
            <w:rPr>
              <w:rFonts w:eastAsiaTheme="minorEastAsia" w:cstheme="minorBidi"/>
              <w:noProof/>
              <w:sz w:val="18"/>
              <w:szCs w:val="18"/>
            </w:rPr>
          </w:pPr>
          <w:hyperlink w:anchor="_Toc514172613" w:history="1">
            <w:r w:rsidR="001D3CA2" w:rsidRPr="001D3CA2">
              <w:rPr>
                <w:rStyle w:val="Hyperlink"/>
                <w:i/>
                <w:noProof/>
                <w:sz w:val="18"/>
                <w:szCs w:val="18"/>
                <w:lang w:val="es-ES"/>
              </w:rPr>
              <w:t xml:space="preserve">B.2 </w:t>
            </w:r>
            <w:r w:rsidR="001D3CA2" w:rsidRPr="001D3CA2">
              <w:rPr>
                <w:rFonts w:eastAsiaTheme="minorEastAsia" w:cstheme="minorBidi"/>
                <w:noProof/>
                <w:sz w:val="18"/>
                <w:szCs w:val="18"/>
              </w:rPr>
              <w:tab/>
            </w:r>
            <w:r w:rsidR="001D3CA2" w:rsidRPr="001D3CA2">
              <w:rPr>
                <w:rStyle w:val="Hyperlink"/>
                <w:i/>
                <w:noProof/>
                <w:sz w:val="18"/>
                <w:szCs w:val="18"/>
                <w:lang w:val="es-ES"/>
              </w:rPr>
              <w:t>Admisión de las declaraciones y de los dictámenes periciales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19</w:t>
            </w:r>
            <w:r w:rsidR="001D3CA2" w:rsidRPr="001D3CA2">
              <w:rPr>
                <w:noProof/>
                <w:webHidden/>
                <w:sz w:val="18"/>
                <w:szCs w:val="18"/>
              </w:rPr>
              <w:fldChar w:fldCharType="end"/>
            </w:r>
          </w:hyperlink>
        </w:p>
        <w:p w14:paraId="3DB0D527" w14:textId="77777777" w:rsidR="001D3CA2" w:rsidRPr="001D3CA2" w:rsidRDefault="00EF48C1" w:rsidP="001D3CA2">
          <w:pPr>
            <w:pStyle w:val="TOC2"/>
            <w:jc w:val="both"/>
            <w:rPr>
              <w:rFonts w:eastAsiaTheme="minorEastAsia" w:cstheme="minorBidi"/>
              <w:noProof/>
              <w:sz w:val="18"/>
              <w:szCs w:val="18"/>
            </w:rPr>
          </w:pPr>
          <w:hyperlink w:anchor="_Toc514172614" w:history="1">
            <w:r w:rsidR="001D3CA2" w:rsidRPr="001D3CA2">
              <w:rPr>
                <w:rStyle w:val="Hyperlink"/>
                <w:rFonts w:eastAsia="MS Mincho"/>
                <w:b/>
                <w:bCs/>
                <w:i/>
                <w:noProof/>
                <w:sz w:val="18"/>
                <w:szCs w:val="18"/>
                <w:lang w:val="es-ES"/>
              </w:rPr>
              <w:t xml:space="preserve">C. </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Valoración de la prueba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19</w:t>
            </w:r>
            <w:r w:rsidR="001D3CA2" w:rsidRPr="001D3CA2">
              <w:rPr>
                <w:noProof/>
                <w:webHidden/>
                <w:sz w:val="18"/>
                <w:szCs w:val="18"/>
              </w:rPr>
              <w:fldChar w:fldCharType="end"/>
            </w:r>
          </w:hyperlink>
        </w:p>
        <w:p w14:paraId="43EE14CE"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15" w:history="1">
            <w:r w:rsidR="001D3CA2" w:rsidRPr="001D3CA2">
              <w:rPr>
                <w:rStyle w:val="Hyperlink"/>
                <w:rFonts w:cs="Verdana"/>
                <w:b/>
                <w:bCs/>
                <w:caps/>
                <w:noProof/>
                <w:snapToGrid w:val="0"/>
                <w:sz w:val="18"/>
                <w:szCs w:val="18"/>
                <w:lang w:val="es-ES"/>
              </w:rPr>
              <w:t>ViI HECHOS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19</w:t>
            </w:r>
            <w:r w:rsidR="001D3CA2" w:rsidRPr="001D3CA2">
              <w:rPr>
                <w:noProof/>
                <w:webHidden/>
                <w:sz w:val="18"/>
                <w:szCs w:val="18"/>
              </w:rPr>
              <w:fldChar w:fldCharType="end"/>
            </w:r>
          </w:hyperlink>
        </w:p>
        <w:p w14:paraId="1FA1024C" w14:textId="77777777" w:rsidR="001D3CA2" w:rsidRPr="001D3CA2" w:rsidRDefault="00EF48C1" w:rsidP="001D3CA2">
          <w:pPr>
            <w:pStyle w:val="TOC2"/>
            <w:jc w:val="both"/>
            <w:rPr>
              <w:rFonts w:eastAsiaTheme="minorEastAsia" w:cstheme="minorBidi"/>
              <w:noProof/>
              <w:sz w:val="18"/>
              <w:szCs w:val="18"/>
            </w:rPr>
          </w:pPr>
          <w:hyperlink w:anchor="_Toc514172616"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Antecedentes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19</w:t>
            </w:r>
            <w:r w:rsidR="001D3CA2" w:rsidRPr="001D3CA2">
              <w:rPr>
                <w:noProof/>
                <w:webHidden/>
                <w:sz w:val="18"/>
                <w:szCs w:val="18"/>
              </w:rPr>
              <w:fldChar w:fldCharType="end"/>
            </w:r>
          </w:hyperlink>
        </w:p>
        <w:p w14:paraId="7EE1E0D1" w14:textId="77777777" w:rsidR="001D3CA2" w:rsidRPr="001D3CA2" w:rsidRDefault="00EF48C1" w:rsidP="001D3CA2">
          <w:pPr>
            <w:pStyle w:val="TOC2"/>
            <w:jc w:val="both"/>
            <w:rPr>
              <w:rFonts w:eastAsiaTheme="minorEastAsia" w:cstheme="minorBidi"/>
              <w:noProof/>
              <w:sz w:val="18"/>
              <w:szCs w:val="18"/>
            </w:rPr>
          </w:pPr>
          <w:hyperlink w:anchor="_Toc514172617" w:history="1">
            <w:r w:rsidR="001D3CA2" w:rsidRPr="001D3CA2">
              <w:rPr>
                <w:rStyle w:val="Hyperlink"/>
                <w:rFonts w:eastAsia="MS Mincho"/>
                <w:b/>
                <w:bCs/>
                <w:i/>
                <w:noProof/>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Los hechos ocurridos en el año 2000</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20</w:t>
            </w:r>
            <w:r w:rsidR="001D3CA2" w:rsidRPr="001D3CA2">
              <w:rPr>
                <w:noProof/>
                <w:webHidden/>
                <w:sz w:val="18"/>
                <w:szCs w:val="18"/>
              </w:rPr>
              <w:fldChar w:fldCharType="end"/>
            </w:r>
          </w:hyperlink>
        </w:p>
        <w:p w14:paraId="3A7AAF82" w14:textId="77777777" w:rsidR="001D3CA2" w:rsidRPr="001D3CA2" w:rsidRDefault="00EF48C1" w:rsidP="001D3CA2">
          <w:pPr>
            <w:pStyle w:val="TOC2"/>
            <w:jc w:val="both"/>
            <w:rPr>
              <w:rFonts w:eastAsiaTheme="minorEastAsia" w:cstheme="minorBidi"/>
              <w:noProof/>
              <w:sz w:val="18"/>
              <w:szCs w:val="18"/>
            </w:rPr>
          </w:pPr>
          <w:hyperlink w:anchor="_Toc514172618" w:history="1">
            <w:r w:rsidR="001D3CA2" w:rsidRPr="001D3CA2">
              <w:rPr>
                <w:rStyle w:val="Hyperlink"/>
                <w:rFonts w:eastAsia="MS Mincho"/>
                <w:b/>
                <w:bCs/>
                <w:i/>
                <w:noProof/>
                <w:sz w:val="18"/>
                <w:szCs w:val="18"/>
                <w:lang w:val="es-ES"/>
              </w:rPr>
              <w:t>C.</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 denuncia penal y el inicio de la investigación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20</w:t>
            </w:r>
            <w:r w:rsidR="001D3CA2" w:rsidRPr="001D3CA2">
              <w:rPr>
                <w:noProof/>
                <w:webHidden/>
                <w:sz w:val="18"/>
                <w:szCs w:val="18"/>
              </w:rPr>
              <w:fldChar w:fldCharType="end"/>
            </w:r>
          </w:hyperlink>
        </w:p>
        <w:p w14:paraId="0FABD231" w14:textId="77777777" w:rsidR="001D3CA2" w:rsidRPr="001D3CA2" w:rsidRDefault="00EF48C1" w:rsidP="001D3CA2">
          <w:pPr>
            <w:pStyle w:val="TOC2"/>
            <w:jc w:val="both"/>
            <w:rPr>
              <w:rFonts w:eastAsiaTheme="minorEastAsia" w:cstheme="minorBidi"/>
              <w:noProof/>
              <w:sz w:val="18"/>
              <w:szCs w:val="18"/>
            </w:rPr>
          </w:pPr>
          <w:hyperlink w:anchor="_Toc514172619" w:history="1">
            <w:r w:rsidR="001D3CA2" w:rsidRPr="001D3CA2">
              <w:rPr>
                <w:rStyle w:val="Hyperlink"/>
                <w:rFonts w:eastAsia="MS Mincho"/>
                <w:b/>
                <w:bCs/>
                <w:i/>
                <w:noProof/>
                <w:sz w:val="18"/>
                <w:szCs w:val="18"/>
                <w:lang w:val="es-ES"/>
              </w:rPr>
              <w:t>D.</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Las medidas de prueba ordenadas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_Toc514172619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22</w:t>
            </w:r>
            <w:r w:rsidR="001D3CA2" w:rsidRPr="001D3CA2">
              <w:rPr>
                <w:noProof/>
                <w:webHidden/>
                <w:sz w:val="18"/>
                <w:szCs w:val="18"/>
              </w:rPr>
              <w:fldChar w:fldCharType="end"/>
            </w:r>
          </w:hyperlink>
        </w:p>
        <w:p w14:paraId="4DAB4B9C" w14:textId="77777777" w:rsidR="001D3CA2" w:rsidRPr="001D3CA2" w:rsidRDefault="00EF48C1" w:rsidP="001D3CA2">
          <w:pPr>
            <w:pStyle w:val="TOC2"/>
            <w:jc w:val="both"/>
            <w:rPr>
              <w:rFonts w:eastAsiaTheme="minorEastAsia" w:cstheme="minorBidi"/>
              <w:noProof/>
              <w:sz w:val="18"/>
              <w:szCs w:val="18"/>
            </w:rPr>
          </w:pPr>
          <w:hyperlink w:anchor="_Toc514172620" w:history="1">
            <w:r w:rsidR="001D3CA2" w:rsidRPr="001D3CA2">
              <w:rPr>
                <w:rStyle w:val="Hyperlink"/>
                <w:rFonts w:eastAsia="MS Mincho"/>
                <w:b/>
                <w:bCs/>
                <w:i/>
                <w:noProof/>
                <w:sz w:val="18"/>
                <w:szCs w:val="18"/>
                <w:lang w:val="es-ES"/>
              </w:rPr>
              <w:t>E.</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 detención preventiva del acusado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26</w:t>
            </w:r>
            <w:r w:rsidR="001D3CA2" w:rsidRPr="001D3CA2">
              <w:rPr>
                <w:noProof/>
                <w:webHidden/>
                <w:sz w:val="18"/>
                <w:szCs w:val="18"/>
              </w:rPr>
              <w:fldChar w:fldCharType="end"/>
            </w:r>
          </w:hyperlink>
        </w:p>
        <w:p w14:paraId="3F808726" w14:textId="77777777" w:rsidR="001D3CA2" w:rsidRPr="001D3CA2" w:rsidRDefault="00EF48C1" w:rsidP="001D3CA2">
          <w:pPr>
            <w:pStyle w:val="TOC2"/>
            <w:jc w:val="both"/>
            <w:rPr>
              <w:rFonts w:eastAsiaTheme="minorEastAsia" w:cstheme="minorBidi"/>
              <w:noProof/>
              <w:sz w:val="18"/>
              <w:szCs w:val="18"/>
            </w:rPr>
          </w:pPr>
          <w:hyperlink w:anchor="_Toc514172621" w:history="1">
            <w:r w:rsidR="001D3CA2" w:rsidRPr="001D3CA2">
              <w:rPr>
                <w:rStyle w:val="Hyperlink"/>
                <w:rFonts w:eastAsia="MS Mincho"/>
                <w:b/>
                <w:bCs/>
                <w:i/>
                <w:noProof/>
                <w:sz w:val="18"/>
                <w:szCs w:val="18"/>
                <w:lang w:val="es-ES"/>
              </w:rPr>
              <w:t>F.</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El juicio por un Tribunal de Jurados y la absolución del acusado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26</w:t>
            </w:r>
            <w:r w:rsidR="001D3CA2" w:rsidRPr="001D3CA2">
              <w:rPr>
                <w:noProof/>
                <w:webHidden/>
                <w:sz w:val="18"/>
                <w:szCs w:val="18"/>
              </w:rPr>
              <w:fldChar w:fldCharType="end"/>
            </w:r>
          </w:hyperlink>
        </w:p>
        <w:p w14:paraId="40CD90BA" w14:textId="77777777" w:rsidR="001D3CA2" w:rsidRPr="001D3CA2" w:rsidRDefault="00EF48C1" w:rsidP="001D3CA2">
          <w:pPr>
            <w:pStyle w:val="TOC2"/>
            <w:jc w:val="both"/>
            <w:rPr>
              <w:rFonts w:eastAsiaTheme="minorEastAsia" w:cstheme="minorBidi"/>
              <w:noProof/>
              <w:sz w:val="18"/>
              <w:szCs w:val="18"/>
            </w:rPr>
          </w:pPr>
          <w:hyperlink w:anchor="_Toc514172622" w:history="1">
            <w:r w:rsidR="001D3CA2" w:rsidRPr="001D3CA2">
              <w:rPr>
                <w:rStyle w:val="Hyperlink"/>
                <w:rFonts w:eastAsia="MS Mincho"/>
                <w:b/>
                <w:bCs/>
                <w:i/>
                <w:noProof/>
                <w:sz w:val="18"/>
                <w:szCs w:val="18"/>
                <w:lang w:val="es-ES"/>
              </w:rPr>
              <w:t>G.</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 continuación del proceso y la confirmación de la sentencia absolutoria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28</w:t>
            </w:r>
            <w:r w:rsidR="001D3CA2" w:rsidRPr="001D3CA2">
              <w:rPr>
                <w:noProof/>
                <w:webHidden/>
                <w:sz w:val="18"/>
                <w:szCs w:val="18"/>
              </w:rPr>
              <w:fldChar w:fldCharType="end"/>
            </w:r>
          </w:hyperlink>
        </w:p>
        <w:p w14:paraId="2935F3D5" w14:textId="77777777" w:rsidR="001D3CA2" w:rsidRPr="001D3CA2" w:rsidRDefault="00EF48C1" w:rsidP="001D3CA2">
          <w:pPr>
            <w:pStyle w:val="TOC2"/>
            <w:jc w:val="both"/>
            <w:rPr>
              <w:rFonts w:eastAsiaTheme="minorEastAsia" w:cstheme="minorBidi"/>
              <w:noProof/>
              <w:sz w:val="18"/>
              <w:szCs w:val="18"/>
            </w:rPr>
          </w:pPr>
          <w:hyperlink w:anchor="_Toc514172623" w:history="1">
            <w:r w:rsidR="001D3CA2" w:rsidRPr="001D3CA2">
              <w:rPr>
                <w:rStyle w:val="Hyperlink"/>
                <w:rFonts w:eastAsia="MS Mincho"/>
                <w:b/>
                <w:bCs/>
                <w:i/>
                <w:noProof/>
                <w:sz w:val="18"/>
                <w:szCs w:val="18"/>
                <w:lang w:val="es-ES"/>
              </w:rPr>
              <w:t>H.</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Las quejas presentadas por la señora V.P.C. por irregularidades en el transcurso de la investigación y del proceso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33</w:t>
            </w:r>
            <w:r w:rsidR="001D3CA2" w:rsidRPr="001D3CA2">
              <w:rPr>
                <w:noProof/>
                <w:webHidden/>
                <w:sz w:val="18"/>
                <w:szCs w:val="18"/>
              </w:rPr>
              <w:fldChar w:fldCharType="end"/>
            </w:r>
          </w:hyperlink>
        </w:p>
        <w:p w14:paraId="15D7F811" w14:textId="77777777" w:rsidR="001D3CA2" w:rsidRPr="001D3CA2" w:rsidRDefault="00EF48C1" w:rsidP="001D3CA2">
          <w:pPr>
            <w:pStyle w:val="TOC2"/>
            <w:jc w:val="both"/>
            <w:rPr>
              <w:rFonts w:eastAsiaTheme="minorEastAsia" w:cstheme="minorBidi"/>
              <w:noProof/>
              <w:sz w:val="18"/>
              <w:szCs w:val="18"/>
            </w:rPr>
          </w:pPr>
          <w:hyperlink w:anchor="_Toc514172624" w:history="1">
            <w:r w:rsidR="001D3CA2" w:rsidRPr="001D3CA2">
              <w:rPr>
                <w:rStyle w:val="Hyperlink"/>
                <w:rFonts w:eastAsia="MS Mincho"/>
                <w:b/>
                <w:bCs/>
                <w:i/>
                <w:noProof/>
                <w:sz w:val="18"/>
                <w:szCs w:val="18"/>
                <w:lang w:val="es-ES"/>
              </w:rPr>
              <w:t>I.</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Las acciones intentadas contra la señora V.P.C. y sus familiares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35</w:t>
            </w:r>
            <w:r w:rsidR="001D3CA2" w:rsidRPr="001D3CA2">
              <w:rPr>
                <w:noProof/>
                <w:webHidden/>
                <w:sz w:val="18"/>
                <w:szCs w:val="18"/>
              </w:rPr>
              <w:fldChar w:fldCharType="end"/>
            </w:r>
          </w:hyperlink>
        </w:p>
        <w:p w14:paraId="195454CF" w14:textId="77777777" w:rsidR="001D3CA2" w:rsidRPr="001D3CA2" w:rsidRDefault="00EF48C1" w:rsidP="001D3CA2">
          <w:pPr>
            <w:pStyle w:val="TOC2"/>
            <w:jc w:val="both"/>
            <w:rPr>
              <w:rFonts w:eastAsiaTheme="minorEastAsia" w:cstheme="minorBidi"/>
              <w:noProof/>
              <w:sz w:val="18"/>
              <w:szCs w:val="18"/>
            </w:rPr>
          </w:pPr>
          <w:hyperlink w:anchor="_Toc514172625" w:history="1">
            <w:r w:rsidR="001D3CA2" w:rsidRPr="001D3CA2">
              <w:rPr>
                <w:rStyle w:val="Hyperlink"/>
                <w:rFonts w:eastAsia="MS Mincho"/>
                <w:b/>
                <w:bCs/>
                <w:i/>
                <w:noProof/>
                <w:sz w:val="18"/>
                <w:szCs w:val="18"/>
                <w:lang w:val="es-ES"/>
              </w:rPr>
              <w:t>J.</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La salida de la señora V.P.C. junto a sus hijas a los Estados Unidos de América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36</w:t>
            </w:r>
            <w:r w:rsidR="001D3CA2" w:rsidRPr="001D3CA2">
              <w:rPr>
                <w:noProof/>
                <w:webHidden/>
                <w:sz w:val="18"/>
                <w:szCs w:val="18"/>
              </w:rPr>
              <w:fldChar w:fldCharType="end"/>
            </w:r>
          </w:hyperlink>
        </w:p>
        <w:p w14:paraId="53463841"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26" w:history="1">
            <w:r w:rsidR="001D3CA2" w:rsidRPr="001D3CA2">
              <w:rPr>
                <w:rStyle w:val="Hyperlink"/>
                <w:rFonts w:cs="Verdana"/>
                <w:b/>
                <w:bCs/>
                <w:caps/>
                <w:noProof/>
                <w:snapToGrid w:val="0"/>
                <w:sz w:val="18"/>
                <w:szCs w:val="18"/>
                <w:lang w:val="es-ES"/>
              </w:rPr>
              <w:t>vIii FONDO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37</w:t>
            </w:r>
            <w:r w:rsidR="001D3CA2" w:rsidRPr="001D3CA2">
              <w:rPr>
                <w:noProof/>
                <w:webHidden/>
                <w:sz w:val="18"/>
                <w:szCs w:val="18"/>
              </w:rPr>
              <w:fldChar w:fldCharType="end"/>
            </w:r>
          </w:hyperlink>
        </w:p>
        <w:p w14:paraId="47E8F226"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27" w:history="1">
            <w:r w:rsidR="001D3CA2" w:rsidRPr="001D3CA2">
              <w:rPr>
                <w:rStyle w:val="Hyperlink"/>
                <w:rFonts w:cs="Arial"/>
                <w:b/>
                <w:bCs/>
                <w:caps/>
                <w:noProof/>
                <w:kern w:val="2"/>
                <w:sz w:val="18"/>
                <w:szCs w:val="18"/>
                <w:lang w:val="es-ES" w:eastAsia="en-US"/>
              </w:rPr>
              <w:t xml:space="preserve">VIII-1 derechoS A LA INTEGRIDAD personal, a la vida privada y familiar, a los derechos de lA niñA, A LA IGUALDAD ante LA LEY, </w:t>
            </w:r>
            <w:r w:rsidR="001D3CA2" w:rsidRPr="001D3CA2">
              <w:rPr>
                <w:rStyle w:val="Hyperlink"/>
                <w:rFonts w:cs="Verdana"/>
                <w:b/>
                <w:bCs/>
                <w:caps/>
                <w:noProof/>
                <w:snapToGrid w:val="0"/>
                <w:sz w:val="18"/>
                <w:szCs w:val="18"/>
                <w:lang w:val="es-ES"/>
              </w:rPr>
              <w:t>A LAS GARANTÍAS JUDICIALES Y A LA PROTECCIÓN JUDICIAL, EN RELACIÓN CON LAS OBLIGACIONES DE RESPETAR Y GARANTIZAR LOS DERECHOS y de no discriminar</w:t>
            </w:r>
            <w:r w:rsidR="001D3CA2" w:rsidRPr="001D3CA2">
              <w:rPr>
                <w:rStyle w:val="Hyperlink"/>
                <w:rFonts w:cs="Arial"/>
                <w:b/>
                <w:bCs/>
                <w:caps/>
                <w:noProof/>
                <w:kern w:val="2"/>
                <w:sz w:val="18"/>
                <w:szCs w:val="18"/>
                <w:lang w:val="es-ES" w:eastAsia="en-US"/>
              </w:rPr>
              <w:t>, así como con el artículo 7.B) de la convención de belém do pará</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38</w:t>
            </w:r>
            <w:r w:rsidR="001D3CA2" w:rsidRPr="001D3CA2">
              <w:rPr>
                <w:noProof/>
                <w:webHidden/>
                <w:sz w:val="18"/>
                <w:szCs w:val="18"/>
              </w:rPr>
              <w:fldChar w:fldCharType="end"/>
            </w:r>
          </w:hyperlink>
        </w:p>
        <w:p w14:paraId="4E9E8228" w14:textId="77777777" w:rsidR="001D3CA2" w:rsidRPr="001D3CA2" w:rsidRDefault="00EF48C1" w:rsidP="001D3CA2">
          <w:pPr>
            <w:pStyle w:val="TOC2"/>
            <w:jc w:val="both"/>
            <w:rPr>
              <w:rFonts w:eastAsiaTheme="minorEastAsia" w:cstheme="minorBidi"/>
              <w:noProof/>
              <w:sz w:val="18"/>
              <w:szCs w:val="18"/>
            </w:rPr>
          </w:pPr>
          <w:hyperlink w:anchor="_Toc514172628" w:history="1">
            <w:r w:rsidR="001D3CA2" w:rsidRPr="001D3CA2">
              <w:rPr>
                <w:rStyle w:val="Hyperlink"/>
                <w:rFonts w:eastAsia="MS Mincho" w:cs="Arial"/>
                <w:b/>
                <w:bCs/>
                <w:i/>
                <w:noProof/>
                <w:kern w:val="2"/>
                <w:sz w:val="18"/>
                <w:szCs w:val="18"/>
                <w:lang w:val="es-ES" w:eastAsia="en-US"/>
              </w:rPr>
              <w:t>A.</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Debida diligencia reforzada y protección especial en investigaciones y procesos penales por violencia sexual en perjuicio de niñas, niños o adolescentes y deber de no revictimización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38</w:t>
            </w:r>
            <w:r w:rsidR="001D3CA2" w:rsidRPr="001D3CA2">
              <w:rPr>
                <w:noProof/>
                <w:webHidden/>
                <w:sz w:val="18"/>
                <w:szCs w:val="18"/>
              </w:rPr>
              <w:fldChar w:fldCharType="end"/>
            </w:r>
          </w:hyperlink>
        </w:p>
        <w:p w14:paraId="31F41704" w14:textId="77777777" w:rsidR="001D3CA2" w:rsidRPr="001D3CA2" w:rsidRDefault="00EF48C1" w:rsidP="001D3CA2">
          <w:pPr>
            <w:pStyle w:val="TOC2"/>
            <w:jc w:val="both"/>
            <w:rPr>
              <w:rFonts w:eastAsiaTheme="minorEastAsia" w:cstheme="minorBidi"/>
              <w:noProof/>
              <w:sz w:val="18"/>
              <w:szCs w:val="18"/>
            </w:rPr>
          </w:pPr>
          <w:hyperlink w:anchor="_Toc514172629" w:history="1">
            <w:r w:rsidR="001D3CA2" w:rsidRPr="001D3CA2">
              <w:rPr>
                <w:rStyle w:val="Hyperlink"/>
                <w:i/>
                <w:noProof/>
                <w:sz w:val="18"/>
                <w:szCs w:val="18"/>
                <w:lang w:val="es-ES"/>
              </w:rPr>
              <w:t>A.1</w:t>
            </w:r>
            <w:r w:rsidR="001D3CA2" w:rsidRPr="001D3CA2">
              <w:rPr>
                <w:rFonts w:eastAsiaTheme="minorEastAsia" w:cstheme="minorBidi"/>
                <w:noProof/>
                <w:sz w:val="18"/>
                <w:szCs w:val="18"/>
              </w:rPr>
              <w:tab/>
            </w:r>
            <w:r w:rsidR="001D3CA2" w:rsidRPr="001D3CA2">
              <w:rPr>
                <w:rStyle w:val="Hyperlink"/>
                <w:i/>
                <w:noProof/>
                <w:sz w:val="18"/>
                <w:szCs w:val="18"/>
                <w:lang w:val="es-ES"/>
              </w:rPr>
              <w:t>Argumentos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_Toc514172629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39</w:t>
            </w:r>
            <w:r w:rsidR="001D3CA2" w:rsidRPr="001D3CA2">
              <w:rPr>
                <w:noProof/>
                <w:webHidden/>
                <w:sz w:val="18"/>
                <w:szCs w:val="18"/>
              </w:rPr>
              <w:fldChar w:fldCharType="end"/>
            </w:r>
          </w:hyperlink>
        </w:p>
        <w:p w14:paraId="7C23D029" w14:textId="77777777" w:rsidR="001D3CA2" w:rsidRPr="001D3CA2" w:rsidRDefault="00EF48C1" w:rsidP="001D3CA2">
          <w:pPr>
            <w:pStyle w:val="TOC2"/>
            <w:jc w:val="both"/>
            <w:rPr>
              <w:rFonts w:eastAsiaTheme="minorEastAsia" w:cstheme="minorBidi"/>
              <w:noProof/>
              <w:sz w:val="18"/>
              <w:szCs w:val="18"/>
            </w:rPr>
          </w:pPr>
          <w:hyperlink w:anchor="_Toc514172630" w:history="1">
            <w:r w:rsidR="001D3CA2" w:rsidRPr="001D3CA2">
              <w:rPr>
                <w:rStyle w:val="Hyperlink"/>
                <w:i/>
                <w:noProof/>
                <w:sz w:val="18"/>
                <w:szCs w:val="18"/>
                <w:lang w:val="es-ES"/>
              </w:rPr>
              <w:t>A.2</w:t>
            </w:r>
            <w:r w:rsidR="001D3CA2" w:rsidRPr="001D3CA2">
              <w:rPr>
                <w:rFonts w:eastAsiaTheme="minorEastAsia" w:cstheme="minorBidi"/>
                <w:noProof/>
                <w:sz w:val="18"/>
                <w:szCs w:val="18"/>
              </w:rPr>
              <w:tab/>
            </w:r>
            <w:r w:rsidR="001D3CA2" w:rsidRPr="001D3CA2">
              <w:rPr>
                <w:rStyle w:val="Hyperlink"/>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41</w:t>
            </w:r>
            <w:r w:rsidR="001D3CA2" w:rsidRPr="001D3CA2">
              <w:rPr>
                <w:noProof/>
                <w:webHidden/>
                <w:sz w:val="18"/>
                <w:szCs w:val="18"/>
              </w:rPr>
              <w:fldChar w:fldCharType="end"/>
            </w:r>
          </w:hyperlink>
        </w:p>
        <w:p w14:paraId="04F5C1B0" w14:textId="77777777" w:rsidR="001D3CA2" w:rsidRPr="001D3CA2" w:rsidRDefault="00EF48C1" w:rsidP="001D3CA2">
          <w:pPr>
            <w:pStyle w:val="TOC3"/>
            <w:rPr>
              <w:rFonts w:eastAsiaTheme="minorEastAsia" w:cstheme="minorBidi"/>
              <w:noProof/>
              <w:sz w:val="18"/>
              <w:szCs w:val="18"/>
            </w:rPr>
          </w:pPr>
          <w:hyperlink w:anchor="_Toc514172631" w:history="1">
            <w:r w:rsidR="001D3CA2" w:rsidRPr="001D3CA2">
              <w:rPr>
                <w:rStyle w:val="Hyperlink"/>
                <w:i/>
                <w:noProof/>
                <w:sz w:val="18"/>
                <w:szCs w:val="18"/>
              </w:rPr>
              <w:t xml:space="preserve">A.2.a </w:t>
            </w:r>
            <w:r w:rsidR="001D3CA2" w:rsidRPr="001D3CA2">
              <w:rPr>
                <w:rFonts w:eastAsiaTheme="minorEastAsia" w:cstheme="minorBidi"/>
                <w:noProof/>
                <w:sz w:val="18"/>
                <w:szCs w:val="18"/>
              </w:rPr>
              <w:tab/>
            </w:r>
            <w:r w:rsidR="001D3CA2" w:rsidRPr="001D3CA2">
              <w:rPr>
                <w:rStyle w:val="Hyperlink"/>
                <w:i/>
                <w:noProof/>
                <w:sz w:val="18"/>
                <w:szCs w:val="18"/>
              </w:rPr>
              <w:t>Los componentes esenciales del deber de debida diligencia reforzada y protección especial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45</w:t>
            </w:r>
            <w:r w:rsidR="001D3CA2" w:rsidRPr="001D3CA2">
              <w:rPr>
                <w:noProof/>
                <w:webHidden/>
                <w:sz w:val="18"/>
                <w:szCs w:val="18"/>
              </w:rPr>
              <w:fldChar w:fldCharType="end"/>
            </w:r>
          </w:hyperlink>
        </w:p>
        <w:p w14:paraId="63143C1A" w14:textId="77777777" w:rsidR="001D3CA2" w:rsidRPr="001D3CA2" w:rsidRDefault="00EF48C1" w:rsidP="001D3CA2">
          <w:pPr>
            <w:pStyle w:val="TOC3"/>
            <w:rPr>
              <w:rFonts w:eastAsiaTheme="minorEastAsia" w:cstheme="minorBidi"/>
              <w:noProof/>
              <w:sz w:val="18"/>
              <w:szCs w:val="18"/>
            </w:rPr>
          </w:pPr>
          <w:hyperlink w:anchor="_Toc514172632" w:history="1">
            <w:r w:rsidR="001D3CA2" w:rsidRPr="001D3CA2">
              <w:rPr>
                <w:rStyle w:val="Hyperlink"/>
                <w:i/>
                <w:noProof/>
                <w:sz w:val="18"/>
                <w:szCs w:val="18"/>
              </w:rPr>
              <w:t xml:space="preserve">A.2.b </w:t>
            </w:r>
            <w:r w:rsidR="001D3CA2" w:rsidRPr="001D3CA2">
              <w:rPr>
                <w:rFonts w:eastAsiaTheme="minorEastAsia" w:cstheme="minorBidi"/>
                <w:noProof/>
                <w:sz w:val="18"/>
                <w:szCs w:val="18"/>
              </w:rPr>
              <w:tab/>
            </w:r>
            <w:r w:rsidR="001D3CA2" w:rsidRPr="001D3CA2">
              <w:rPr>
                <w:rStyle w:val="Hyperlink"/>
                <w:i/>
                <w:noProof/>
                <w:sz w:val="18"/>
                <w:szCs w:val="18"/>
              </w:rPr>
              <w:t>El examen médico forense al que fue sometida la niña V.R.P.</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53</w:t>
            </w:r>
            <w:r w:rsidR="001D3CA2" w:rsidRPr="001D3CA2">
              <w:rPr>
                <w:noProof/>
                <w:webHidden/>
                <w:sz w:val="18"/>
                <w:szCs w:val="18"/>
              </w:rPr>
              <w:fldChar w:fldCharType="end"/>
            </w:r>
          </w:hyperlink>
        </w:p>
        <w:p w14:paraId="1A529002" w14:textId="77777777" w:rsidR="001D3CA2" w:rsidRPr="001D3CA2" w:rsidRDefault="00EF48C1" w:rsidP="001D3CA2">
          <w:pPr>
            <w:pStyle w:val="TOC3"/>
            <w:rPr>
              <w:rFonts w:eastAsiaTheme="minorEastAsia" w:cstheme="minorBidi"/>
              <w:noProof/>
              <w:sz w:val="18"/>
              <w:szCs w:val="18"/>
            </w:rPr>
          </w:pPr>
          <w:hyperlink w:anchor="_Toc514172633" w:history="1">
            <w:r w:rsidR="001D3CA2" w:rsidRPr="001D3CA2">
              <w:rPr>
                <w:rStyle w:val="Hyperlink"/>
                <w:i/>
                <w:noProof/>
                <w:sz w:val="18"/>
                <w:szCs w:val="18"/>
              </w:rPr>
              <w:t xml:space="preserve">A.2.c </w:t>
            </w:r>
            <w:r w:rsidR="001D3CA2" w:rsidRPr="001D3CA2">
              <w:rPr>
                <w:rFonts w:eastAsiaTheme="minorEastAsia" w:cstheme="minorBidi"/>
                <w:noProof/>
                <w:sz w:val="18"/>
                <w:szCs w:val="18"/>
              </w:rPr>
              <w:tab/>
            </w:r>
            <w:r w:rsidR="001D3CA2" w:rsidRPr="001D3CA2">
              <w:rPr>
                <w:rStyle w:val="Hyperlink"/>
                <w:i/>
                <w:noProof/>
                <w:sz w:val="18"/>
                <w:szCs w:val="18"/>
              </w:rPr>
              <w:t>La declaración testimonial de V.R.P.</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57</w:t>
            </w:r>
            <w:r w:rsidR="001D3CA2" w:rsidRPr="001D3CA2">
              <w:rPr>
                <w:noProof/>
                <w:webHidden/>
                <w:sz w:val="18"/>
                <w:szCs w:val="18"/>
              </w:rPr>
              <w:fldChar w:fldCharType="end"/>
            </w:r>
          </w:hyperlink>
        </w:p>
        <w:p w14:paraId="6C6B590B" w14:textId="77777777" w:rsidR="001D3CA2" w:rsidRPr="001D3CA2" w:rsidRDefault="00EF48C1" w:rsidP="001D3CA2">
          <w:pPr>
            <w:pStyle w:val="TOC3"/>
            <w:rPr>
              <w:rFonts w:eastAsiaTheme="minorEastAsia" w:cstheme="minorBidi"/>
              <w:noProof/>
              <w:sz w:val="18"/>
              <w:szCs w:val="18"/>
            </w:rPr>
          </w:pPr>
          <w:hyperlink w:anchor="_Toc514172634" w:history="1">
            <w:r w:rsidR="001D3CA2" w:rsidRPr="001D3CA2">
              <w:rPr>
                <w:rStyle w:val="Hyperlink"/>
                <w:i/>
                <w:noProof/>
                <w:sz w:val="18"/>
                <w:szCs w:val="18"/>
              </w:rPr>
              <w:t>A.2.d</w:t>
            </w:r>
            <w:r w:rsidR="001D3CA2" w:rsidRPr="001D3CA2">
              <w:rPr>
                <w:rFonts w:eastAsiaTheme="minorEastAsia" w:cstheme="minorBidi"/>
                <w:noProof/>
                <w:sz w:val="18"/>
                <w:szCs w:val="18"/>
              </w:rPr>
              <w:tab/>
            </w:r>
            <w:r w:rsidR="001D3CA2" w:rsidRPr="001D3CA2">
              <w:rPr>
                <w:rStyle w:val="Hyperlink"/>
                <w:i/>
                <w:noProof/>
                <w:sz w:val="18"/>
                <w:szCs w:val="18"/>
              </w:rPr>
              <w:t>La participación de la niña V.R.P. en la inspección ocular y la reconstrucción de los hechos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57</w:t>
            </w:r>
            <w:r w:rsidR="001D3CA2" w:rsidRPr="001D3CA2">
              <w:rPr>
                <w:noProof/>
                <w:webHidden/>
                <w:sz w:val="18"/>
                <w:szCs w:val="18"/>
              </w:rPr>
              <w:fldChar w:fldCharType="end"/>
            </w:r>
          </w:hyperlink>
        </w:p>
        <w:p w14:paraId="6D43DD4D" w14:textId="77777777" w:rsidR="001D3CA2" w:rsidRPr="001D3CA2" w:rsidRDefault="00EF48C1" w:rsidP="001D3CA2">
          <w:pPr>
            <w:pStyle w:val="TOC3"/>
            <w:rPr>
              <w:rFonts w:eastAsiaTheme="minorEastAsia" w:cstheme="minorBidi"/>
              <w:noProof/>
              <w:sz w:val="18"/>
              <w:szCs w:val="18"/>
            </w:rPr>
          </w:pPr>
          <w:hyperlink w:anchor="_Toc514172635" w:history="1">
            <w:r w:rsidR="001D3CA2" w:rsidRPr="001D3CA2">
              <w:rPr>
                <w:rStyle w:val="Hyperlink"/>
                <w:i/>
                <w:noProof/>
                <w:sz w:val="18"/>
                <w:szCs w:val="18"/>
              </w:rPr>
              <w:t xml:space="preserve">A.2.e </w:t>
            </w:r>
            <w:r w:rsidR="001D3CA2" w:rsidRPr="001D3CA2">
              <w:rPr>
                <w:rFonts w:eastAsiaTheme="minorEastAsia" w:cstheme="minorBidi"/>
                <w:noProof/>
                <w:sz w:val="18"/>
                <w:szCs w:val="18"/>
              </w:rPr>
              <w:tab/>
            </w:r>
            <w:r w:rsidR="001D3CA2" w:rsidRPr="001D3CA2">
              <w:rPr>
                <w:rStyle w:val="Hyperlink"/>
                <w:i/>
                <w:noProof/>
                <w:sz w:val="18"/>
                <w:szCs w:val="18"/>
              </w:rPr>
              <w:t>La falta de acompañamiento y atención integral a la niña V.R.P.</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59</w:t>
            </w:r>
            <w:r w:rsidR="001D3CA2" w:rsidRPr="001D3CA2">
              <w:rPr>
                <w:noProof/>
                <w:webHidden/>
                <w:sz w:val="18"/>
                <w:szCs w:val="18"/>
              </w:rPr>
              <w:fldChar w:fldCharType="end"/>
            </w:r>
          </w:hyperlink>
        </w:p>
        <w:p w14:paraId="5F8DB8CC" w14:textId="77777777" w:rsidR="001D3CA2" w:rsidRPr="001D3CA2" w:rsidRDefault="00EF48C1" w:rsidP="001D3CA2">
          <w:pPr>
            <w:pStyle w:val="TOC3"/>
            <w:rPr>
              <w:rFonts w:eastAsiaTheme="minorEastAsia" w:cstheme="minorBidi"/>
              <w:noProof/>
              <w:sz w:val="18"/>
              <w:szCs w:val="18"/>
            </w:rPr>
          </w:pPr>
          <w:hyperlink w:anchor="_Toc514172636" w:history="1">
            <w:r w:rsidR="001D3CA2" w:rsidRPr="001D3CA2">
              <w:rPr>
                <w:rStyle w:val="Hyperlink"/>
                <w:i/>
                <w:noProof/>
                <w:sz w:val="18"/>
                <w:szCs w:val="18"/>
              </w:rPr>
              <w:t xml:space="preserve">A.2.f </w:t>
            </w:r>
            <w:r w:rsidR="001D3CA2" w:rsidRPr="001D3CA2">
              <w:rPr>
                <w:rFonts w:eastAsiaTheme="minorEastAsia" w:cstheme="minorBidi"/>
                <w:noProof/>
                <w:sz w:val="18"/>
                <w:szCs w:val="18"/>
              </w:rPr>
              <w:tab/>
            </w:r>
            <w:r w:rsidR="001D3CA2" w:rsidRPr="001D3CA2">
              <w:rPr>
                <w:rStyle w:val="Hyperlink"/>
                <w:i/>
                <w:noProof/>
                <w:sz w:val="18"/>
                <w:szCs w:val="18"/>
              </w:rPr>
              <w:t>Conclusión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61</w:t>
            </w:r>
            <w:r w:rsidR="001D3CA2" w:rsidRPr="001D3CA2">
              <w:rPr>
                <w:noProof/>
                <w:webHidden/>
                <w:sz w:val="18"/>
                <w:szCs w:val="18"/>
              </w:rPr>
              <w:fldChar w:fldCharType="end"/>
            </w:r>
          </w:hyperlink>
        </w:p>
        <w:p w14:paraId="5AF7649E" w14:textId="77777777" w:rsidR="001D3CA2" w:rsidRPr="001D3CA2" w:rsidRDefault="00EF48C1" w:rsidP="001D3CA2">
          <w:pPr>
            <w:pStyle w:val="TOC2"/>
            <w:jc w:val="both"/>
            <w:rPr>
              <w:rFonts w:eastAsiaTheme="minorEastAsia" w:cstheme="minorBidi"/>
              <w:noProof/>
              <w:sz w:val="18"/>
              <w:szCs w:val="18"/>
            </w:rPr>
          </w:pPr>
          <w:hyperlink w:anchor="_Toc514172637" w:history="1">
            <w:r w:rsidR="001D3CA2" w:rsidRPr="001D3CA2">
              <w:rPr>
                <w:rStyle w:val="Hyperlink"/>
                <w:rFonts w:eastAsia="MS Mincho" w:cs="Arial"/>
                <w:b/>
                <w:bCs/>
                <w:i/>
                <w:noProof/>
                <w:kern w:val="2"/>
                <w:sz w:val="18"/>
                <w:szCs w:val="18"/>
                <w:lang w:val="es-ES" w:eastAsia="en-US"/>
              </w:rPr>
              <w:t>B.</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La aplicación de las exigencias del debido proceso al juicio por jurados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61</w:t>
            </w:r>
            <w:r w:rsidR="001D3CA2" w:rsidRPr="001D3CA2">
              <w:rPr>
                <w:noProof/>
                <w:webHidden/>
                <w:sz w:val="18"/>
                <w:szCs w:val="18"/>
              </w:rPr>
              <w:fldChar w:fldCharType="end"/>
            </w:r>
          </w:hyperlink>
        </w:p>
        <w:p w14:paraId="5FDBDA90" w14:textId="77777777" w:rsidR="001D3CA2" w:rsidRPr="001D3CA2" w:rsidRDefault="00EF48C1" w:rsidP="001D3CA2">
          <w:pPr>
            <w:pStyle w:val="TOC2"/>
            <w:jc w:val="both"/>
            <w:rPr>
              <w:rFonts w:eastAsiaTheme="minorEastAsia" w:cstheme="minorBidi"/>
              <w:noProof/>
              <w:sz w:val="18"/>
              <w:szCs w:val="18"/>
            </w:rPr>
          </w:pPr>
          <w:hyperlink w:anchor="_Toc514172638" w:history="1">
            <w:r w:rsidR="001D3CA2" w:rsidRPr="001D3CA2">
              <w:rPr>
                <w:rStyle w:val="Hyperlink"/>
                <w:bCs/>
                <w:i/>
                <w:noProof/>
                <w:sz w:val="18"/>
                <w:szCs w:val="18"/>
                <w:lang w:val="es-ES"/>
              </w:rPr>
              <w:t xml:space="preserve">B.1 </w:t>
            </w:r>
            <w:r w:rsidR="001D3CA2" w:rsidRPr="001D3CA2">
              <w:rPr>
                <w:rFonts w:eastAsiaTheme="minorEastAsia" w:cstheme="minorBidi"/>
                <w:noProof/>
                <w:sz w:val="18"/>
                <w:szCs w:val="18"/>
              </w:rPr>
              <w:tab/>
            </w:r>
            <w:r w:rsidR="001D3CA2" w:rsidRPr="001D3CA2">
              <w:rPr>
                <w:rStyle w:val="Hyperlink"/>
                <w:bCs/>
                <w:i/>
                <w:noProof/>
                <w:sz w:val="18"/>
                <w:szCs w:val="18"/>
                <w:lang w:val="es-ES"/>
              </w:rPr>
              <w:t>Alegatos</w:t>
            </w:r>
            <w:r w:rsidR="001D3CA2" w:rsidRPr="001D3CA2">
              <w:rPr>
                <w:rStyle w:val="Hyperlink"/>
                <w:noProof/>
                <w:sz w:val="18"/>
                <w:szCs w:val="18"/>
                <w:lang w:val="es-ES"/>
              </w:rPr>
              <w:t xml:space="preserve"> </w:t>
            </w:r>
            <w:r w:rsidR="001D3CA2" w:rsidRPr="001D3CA2">
              <w:rPr>
                <w:rStyle w:val="Hyperlink"/>
                <w:bCs/>
                <w:i/>
                <w:noProof/>
                <w:sz w:val="18"/>
                <w:szCs w:val="18"/>
                <w:lang w:val="es-ES"/>
              </w:rPr>
              <w:t>de las partes y de la Comisión en torno a la imparcialidad</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61</w:t>
            </w:r>
            <w:r w:rsidR="001D3CA2" w:rsidRPr="001D3CA2">
              <w:rPr>
                <w:noProof/>
                <w:webHidden/>
                <w:sz w:val="18"/>
                <w:szCs w:val="18"/>
              </w:rPr>
              <w:fldChar w:fldCharType="end"/>
            </w:r>
          </w:hyperlink>
        </w:p>
        <w:p w14:paraId="105CA600" w14:textId="77777777" w:rsidR="001D3CA2" w:rsidRPr="001D3CA2" w:rsidRDefault="00EF48C1" w:rsidP="001D3CA2">
          <w:pPr>
            <w:pStyle w:val="TOC2"/>
            <w:jc w:val="both"/>
            <w:rPr>
              <w:rFonts w:eastAsiaTheme="minorEastAsia" w:cstheme="minorBidi"/>
              <w:noProof/>
              <w:sz w:val="18"/>
              <w:szCs w:val="18"/>
            </w:rPr>
          </w:pPr>
          <w:hyperlink w:anchor="_Toc514172639" w:history="1">
            <w:r w:rsidR="001D3CA2" w:rsidRPr="001D3CA2">
              <w:rPr>
                <w:rStyle w:val="Hyperlink"/>
                <w:bCs/>
                <w:i/>
                <w:noProof/>
                <w:sz w:val="18"/>
                <w:szCs w:val="18"/>
                <w:lang w:val="es-ES"/>
              </w:rPr>
              <w:t xml:space="preserve">B.2 </w:t>
            </w:r>
            <w:r w:rsidR="001D3CA2" w:rsidRPr="001D3CA2">
              <w:rPr>
                <w:rFonts w:eastAsiaTheme="minorEastAsia" w:cstheme="minorBidi"/>
                <w:noProof/>
                <w:sz w:val="18"/>
                <w:szCs w:val="18"/>
              </w:rPr>
              <w:tab/>
            </w:r>
            <w:r w:rsidR="001D3CA2" w:rsidRPr="001D3CA2">
              <w:rPr>
                <w:rStyle w:val="Hyperlink"/>
                <w:bCs/>
                <w:i/>
                <w:noProof/>
                <w:sz w:val="18"/>
                <w:szCs w:val="18"/>
                <w:lang w:val="es-ES"/>
              </w:rPr>
              <w:t>Alegatos de las partes y de la Comisión en relación con el deber de motivar</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_Toc514172639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62</w:t>
            </w:r>
            <w:r w:rsidR="001D3CA2" w:rsidRPr="001D3CA2">
              <w:rPr>
                <w:noProof/>
                <w:webHidden/>
                <w:sz w:val="18"/>
                <w:szCs w:val="18"/>
              </w:rPr>
              <w:fldChar w:fldCharType="end"/>
            </w:r>
          </w:hyperlink>
        </w:p>
        <w:p w14:paraId="4D58FFC0" w14:textId="77777777" w:rsidR="001D3CA2" w:rsidRPr="001D3CA2" w:rsidRDefault="00EF48C1" w:rsidP="001D3CA2">
          <w:pPr>
            <w:pStyle w:val="TOC2"/>
            <w:jc w:val="both"/>
            <w:rPr>
              <w:rFonts w:eastAsiaTheme="minorEastAsia" w:cstheme="minorBidi"/>
              <w:noProof/>
              <w:sz w:val="18"/>
              <w:szCs w:val="18"/>
            </w:rPr>
          </w:pPr>
          <w:hyperlink w:anchor="_Toc514172640" w:history="1">
            <w:r w:rsidR="001D3CA2" w:rsidRPr="001D3CA2">
              <w:rPr>
                <w:rStyle w:val="Hyperlink"/>
                <w:bCs/>
                <w:i/>
                <w:noProof/>
                <w:sz w:val="18"/>
                <w:szCs w:val="18"/>
                <w:lang w:val="es-ES"/>
              </w:rPr>
              <w:t>B.3</w:t>
            </w:r>
            <w:r w:rsidR="001D3CA2" w:rsidRPr="001D3CA2">
              <w:rPr>
                <w:rFonts w:eastAsiaTheme="minorEastAsia" w:cstheme="minorBidi"/>
                <w:noProof/>
                <w:sz w:val="18"/>
                <w:szCs w:val="18"/>
              </w:rPr>
              <w:tab/>
            </w:r>
            <w:r w:rsidR="001D3CA2" w:rsidRPr="001D3CA2">
              <w:rPr>
                <w:rStyle w:val="Hyperlink"/>
                <w:bCs/>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64</w:t>
            </w:r>
            <w:r w:rsidR="001D3CA2" w:rsidRPr="001D3CA2">
              <w:rPr>
                <w:noProof/>
                <w:webHidden/>
                <w:sz w:val="18"/>
                <w:szCs w:val="18"/>
              </w:rPr>
              <w:fldChar w:fldCharType="end"/>
            </w:r>
          </w:hyperlink>
        </w:p>
        <w:p w14:paraId="6A5859F7" w14:textId="77777777" w:rsidR="001D3CA2" w:rsidRPr="001D3CA2" w:rsidRDefault="00EF48C1" w:rsidP="001D3CA2">
          <w:pPr>
            <w:pStyle w:val="TOC3"/>
            <w:rPr>
              <w:rFonts w:eastAsiaTheme="minorEastAsia" w:cstheme="minorBidi"/>
              <w:noProof/>
              <w:sz w:val="18"/>
              <w:szCs w:val="18"/>
            </w:rPr>
          </w:pPr>
          <w:hyperlink w:anchor="_Toc514172641" w:history="1">
            <w:r w:rsidR="001D3CA2" w:rsidRPr="001D3CA2">
              <w:rPr>
                <w:rStyle w:val="Hyperlink"/>
                <w:i/>
                <w:noProof/>
                <w:sz w:val="18"/>
                <w:szCs w:val="18"/>
              </w:rPr>
              <w:t>B.3.a</w:t>
            </w:r>
            <w:r w:rsidR="001D3CA2" w:rsidRPr="001D3CA2">
              <w:rPr>
                <w:rFonts w:eastAsiaTheme="minorEastAsia" w:cstheme="minorBidi"/>
                <w:noProof/>
                <w:sz w:val="18"/>
                <w:szCs w:val="18"/>
              </w:rPr>
              <w:tab/>
            </w:r>
            <w:r w:rsidR="001D3CA2" w:rsidRPr="001D3CA2">
              <w:rPr>
                <w:rStyle w:val="Hyperlink"/>
                <w:i/>
                <w:noProof/>
                <w:sz w:val="18"/>
                <w:szCs w:val="18"/>
              </w:rPr>
              <w:t>La legislación procesal penal relativa a los jurados en Nicaragua en la época de los hechos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66</w:t>
            </w:r>
            <w:r w:rsidR="001D3CA2" w:rsidRPr="001D3CA2">
              <w:rPr>
                <w:noProof/>
                <w:webHidden/>
                <w:sz w:val="18"/>
                <w:szCs w:val="18"/>
              </w:rPr>
              <w:fldChar w:fldCharType="end"/>
            </w:r>
          </w:hyperlink>
        </w:p>
        <w:p w14:paraId="5A80442D" w14:textId="77777777" w:rsidR="001D3CA2" w:rsidRPr="001D3CA2" w:rsidRDefault="00EF48C1" w:rsidP="001D3CA2">
          <w:pPr>
            <w:pStyle w:val="TOC3"/>
            <w:rPr>
              <w:rFonts w:eastAsiaTheme="minorEastAsia" w:cstheme="minorBidi"/>
              <w:noProof/>
              <w:sz w:val="18"/>
              <w:szCs w:val="18"/>
            </w:rPr>
          </w:pPr>
          <w:hyperlink w:anchor="_Toc514172642" w:history="1">
            <w:r w:rsidR="001D3CA2" w:rsidRPr="001D3CA2">
              <w:rPr>
                <w:rStyle w:val="Hyperlink"/>
                <w:i/>
                <w:noProof/>
                <w:sz w:val="18"/>
                <w:szCs w:val="18"/>
              </w:rPr>
              <w:t>B.3.b</w:t>
            </w:r>
            <w:r w:rsidR="001D3CA2" w:rsidRPr="001D3CA2">
              <w:rPr>
                <w:rFonts w:eastAsiaTheme="minorEastAsia" w:cstheme="minorBidi"/>
                <w:noProof/>
                <w:sz w:val="18"/>
                <w:szCs w:val="18"/>
              </w:rPr>
              <w:tab/>
            </w:r>
            <w:r w:rsidR="001D3CA2" w:rsidRPr="001D3CA2">
              <w:rPr>
                <w:rStyle w:val="Hyperlink"/>
                <w:i/>
                <w:noProof/>
                <w:sz w:val="18"/>
                <w:szCs w:val="18"/>
              </w:rPr>
              <w:t>La garantía de imparcialidad de los jurados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69</w:t>
            </w:r>
            <w:r w:rsidR="001D3CA2" w:rsidRPr="001D3CA2">
              <w:rPr>
                <w:noProof/>
                <w:webHidden/>
                <w:sz w:val="18"/>
                <w:szCs w:val="18"/>
              </w:rPr>
              <w:fldChar w:fldCharType="end"/>
            </w:r>
          </w:hyperlink>
        </w:p>
        <w:p w14:paraId="05C45E53" w14:textId="77777777" w:rsidR="001D3CA2" w:rsidRPr="001D3CA2" w:rsidRDefault="00EF48C1" w:rsidP="001D3CA2">
          <w:pPr>
            <w:pStyle w:val="TOC3"/>
            <w:rPr>
              <w:rFonts w:eastAsiaTheme="minorEastAsia" w:cstheme="minorBidi"/>
              <w:noProof/>
              <w:sz w:val="18"/>
              <w:szCs w:val="18"/>
            </w:rPr>
          </w:pPr>
          <w:hyperlink w:anchor="_Toc514172643" w:history="1">
            <w:r w:rsidR="001D3CA2" w:rsidRPr="001D3CA2">
              <w:rPr>
                <w:rStyle w:val="Hyperlink"/>
                <w:i/>
                <w:noProof/>
                <w:sz w:val="18"/>
                <w:szCs w:val="18"/>
              </w:rPr>
              <w:t xml:space="preserve">B.3.c </w:t>
            </w:r>
            <w:r w:rsidR="001D3CA2" w:rsidRPr="001D3CA2">
              <w:rPr>
                <w:rFonts w:eastAsiaTheme="minorEastAsia" w:cstheme="minorBidi"/>
                <w:noProof/>
                <w:sz w:val="18"/>
                <w:szCs w:val="18"/>
              </w:rPr>
              <w:tab/>
            </w:r>
            <w:r w:rsidR="001D3CA2" w:rsidRPr="001D3CA2">
              <w:rPr>
                <w:rStyle w:val="Hyperlink"/>
                <w:i/>
                <w:noProof/>
                <w:sz w:val="18"/>
                <w:szCs w:val="18"/>
              </w:rPr>
              <w:t>El deber de motivación y las garantías contra la arbitrariedad del veredicto</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73</w:t>
            </w:r>
            <w:r w:rsidR="001D3CA2" w:rsidRPr="001D3CA2">
              <w:rPr>
                <w:noProof/>
                <w:webHidden/>
                <w:sz w:val="18"/>
                <w:szCs w:val="18"/>
              </w:rPr>
              <w:fldChar w:fldCharType="end"/>
            </w:r>
          </w:hyperlink>
        </w:p>
        <w:p w14:paraId="59633FD0" w14:textId="77777777" w:rsidR="001D3CA2" w:rsidRPr="001D3CA2" w:rsidRDefault="00EF48C1" w:rsidP="001D3CA2">
          <w:pPr>
            <w:pStyle w:val="TOC3"/>
            <w:rPr>
              <w:rFonts w:eastAsiaTheme="minorEastAsia" w:cstheme="minorBidi"/>
              <w:noProof/>
              <w:sz w:val="18"/>
              <w:szCs w:val="18"/>
            </w:rPr>
          </w:pPr>
          <w:hyperlink w:anchor="_Toc514172644" w:history="1">
            <w:r w:rsidR="001D3CA2" w:rsidRPr="001D3CA2">
              <w:rPr>
                <w:rStyle w:val="Hyperlink"/>
                <w:i/>
                <w:noProof/>
                <w:sz w:val="18"/>
                <w:szCs w:val="18"/>
              </w:rPr>
              <w:t xml:space="preserve">B.3.d </w:t>
            </w:r>
            <w:r w:rsidR="001D3CA2" w:rsidRPr="001D3CA2">
              <w:rPr>
                <w:rFonts w:eastAsiaTheme="minorEastAsia" w:cstheme="minorBidi"/>
                <w:noProof/>
                <w:sz w:val="18"/>
                <w:szCs w:val="18"/>
              </w:rPr>
              <w:tab/>
            </w:r>
            <w:r w:rsidR="001D3CA2" w:rsidRPr="001D3CA2">
              <w:rPr>
                <w:rStyle w:val="Hyperlink"/>
                <w:i/>
                <w:noProof/>
                <w:sz w:val="18"/>
                <w:szCs w:val="18"/>
              </w:rPr>
              <w:t>Conclusión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77</w:t>
            </w:r>
            <w:r w:rsidR="001D3CA2" w:rsidRPr="001D3CA2">
              <w:rPr>
                <w:noProof/>
                <w:webHidden/>
                <w:sz w:val="18"/>
                <w:szCs w:val="18"/>
              </w:rPr>
              <w:fldChar w:fldCharType="end"/>
            </w:r>
          </w:hyperlink>
        </w:p>
        <w:p w14:paraId="4F93E81A" w14:textId="77777777" w:rsidR="001D3CA2" w:rsidRPr="001D3CA2" w:rsidRDefault="00EF48C1" w:rsidP="001D3CA2">
          <w:pPr>
            <w:pStyle w:val="TOC2"/>
            <w:jc w:val="both"/>
            <w:rPr>
              <w:rFonts w:eastAsiaTheme="minorEastAsia" w:cstheme="minorBidi"/>
              <w:noProof/>
              <w:sz w:val="18"/>
              <w:szCs w:val="18"/>
            </w:rPr>
          </w:pPr>
          <w:hyperlink w:anchor="_Toc514172645" w:history="1">
            <w:r w:rsidR="001D3CA2" w:rsidRPr="001D3CA2">
              <w:rPr>
                <w:rStyle w:val="Hyperlink"/>
                <w:rFonts w:eastAsia="MS Mincho" w:cs="Arial"/>
                <w:b/>
                <w:bCs/>
                <w:i/>
                <w:noProof/>
                <w:kern w:val="2"/>
                <w:sz w:val="18"/>
                <w:szCs w:val="18"/>
                <w:lang w:val="es-ES" w:eastAsia="en-US"/>
              </w:rPr>
              <w:t>C.</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Plazo Razonable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78</w:t>
            </w:r>
            <w:r w:rsidR="001D3CA2" w:rsidRPr="001D3CA2">
              <w:rPr>
                <w:noProof/>
                <w:webHidden/>
                <w:sz w:val="18"/>
                <w:szCs w:val="18"/>
              </w:rPr>
              <w:fldChar w:fldCharType="end"/>
            </w:r>
          </w:hyperlink>
        </w:p>
        <w:p w14:paraId="783C099B" w14:textId="77777777" w:rsidR="001D3CA2" w:rsidRPr="001D3CA2" w:rsidRDefault="00EF48C1" w:rsidP="001D3CA2">
          <w:pPr>
            <w:pStyle w:val="TOC2"/>
            <w:jc w:val="both"/>
            <w:rPr>
              <w:rFonts w:eastAsiaTheme="minorEastAsia" w:cstheme="minorBidi"/>
              <w:noProof/>
              <w:sz w:val="18"/>
              <w:szCs w:val="18"/>
            </w:rPr>
          </w:pPr>
          <w:hyperlink w:anchor="_Toc514172646" w:history="1">
            <w:r w:rsidR="001D3CA2" w:rsidRPr="001D3CA2">
              <w:rPr>
                <w:rStyle w:val="Hyperlink"/>
                <w:bCs/>
                <w:i/>
                <w:noProof/>
                <w:sz w:val="18"/>
                <w:szCs w:val="18"/>
                <w:lang w:val="es-ES"/>
              </w:rPr>
              <w:t xml:space="preserve">C.1 </w:t>
            </w:r>
            <w:r w:rsidR="001D3CA2" w:rsidRPr="001D3CA2">
              <w:rPr>
                <w:rFonts w:eastAsiaTheme="minorEastAsia" w:cstheme="minorBidi"/>
                <w:noProof/>
                <w:sz w:val="18"/>
                <w:szCs w:val="18"/>
              </w:rPr>
              <w:tab/>
            </w:r>
            <w:r w:rsidR="001D3CA2" w:rsidRPr="001D3CA2">
              <w:rPr>
                <w:rStyle w:val="Hyperlink"/>
                <w:bCs/>
                <w:i/>
                <w:noProof/>
                <w:sz w:val="18"/>
                <w:szCs w:val="18"/>
                <w:lang w:val="es-ES"/>
              </w:rPr>
              <w:t>Alegatos de las partes y de la Comisión en relación con el plazo razonable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78</w:t>
            </w:r>
            <w:r w:rsidR="001D3CA2" w:rsidRPr="001D3CA2">
              <w:rPr>
                <w:noProof/>
                <w:webHidden/>
                <w:sz w:val="18"/>
                <w:szCs w:val="18"/>
              </w:rPr>
              <w:fldChar w:fldCharType="end"/>
            </w:r>
          </w:hyperlink>
        </w:p>
        <w:p w14:paraId="3249692F" w14:textId="77777777" w:rsidR="001D3CA2" w:rsidRPr="001D3CA2" w:rsidRDefault="00EF48C1" w:rsidP="001D3CA2">
          <w:pPr>
            <w:pStyle w:val="TOC2"/>
            <w:jc w:val="both"/>
            <w:rPr>
              <w:rFonts w:eastAsiaTheme="minorEastAsia" w:cstheme="minorBidi"/>
              <w:noProof/>
              <w:sz w:val="18"/>
              <w:szCs w:val="18"/>
            </w:rPr>
          </w:pPr>
          <w:hyperlink w:anchor="_Toc514172647" w:history="1">
            <w:r w:rsidR="001D3CA2" w:rsidRPr="001D3CA2">
              <w:rPr>
                <w:rStyle w:val="Hyperlink"/>
                <w:bCs/>
                <w:i/>
                <w:noProof/>
                <w:sz w:val="18"/>
                <w:szCs w:val="18"/>
                <w:lang w:val="es-ES"/>
              </w:rPr>
              <w:t>C.2</w:t>
            </w:r>
            <w:r w:rsidR="001D3CA2" w:rsidRPr="001D3CA2">
              <w:rPr>
                <w:rFonts w:eastAsiaTheme="minorEastAsia" w:cstheme="minorBidi"/>
                <w:noProof/>
                <w:sz w:val="18"/>
                <w:szCs w:val="18"/>
              </w:rPr>
              <w:tab/>
            </w:r>
            <w:r w:rsidR="001D3CA2" w:rsidRPr="001D3CA2">
              <w:rPr>
                <w:rStyle w:val="Hyperlink"/>
                <w:bCs/>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79</w:t>
            </w:r>
            <w:r w:rsidR="001D3CA2" w:rsidRPr="001D3CA2">
              <w:rPr>
                <w:noProof/>
                <w:webHidden/>
                <w:sz w:val="18"/>
                <w:szCs w:val="18"/>
              </w:rPr>
              <w:fldChar w:fldCharType="end"/>
            </w:r>
          </w:hyperlink>
        </w:p>
        <w:p w14:paraId="4554FCE0" w14:textId="77777777" w:rsidR="001D3CA2" w:rsidRPr="001D3CA2" w:rsidRDefault="00EF48C1" w:rsidP="001D3CA2">
          <w:pPr>
            <w:pStyle w:val="TOC2"/>
            <w:jc w:val="both"/>
            <w:rPr>
              <w:rFonts w:eastAsiaTheme="minorEastAsia" w:cstheme="minorBidi"/>
              <w:noProof/>
              <w:sz w:val="18"/>
              <w:szCs w:val="18"/>
            </w:rPr>
          </w:pPr>
          <w:hyperlink w:anchor="_Toc514172648" w:history="1">
            <w:r w:rsidR="001D3CA2" w:rsidRPr="001D3CA2">
              <w:rPr>
                <w:rStyle w:val="Hyperlink"/>
                <w:rFonts w:eastAsia="MS Mincho" w:cs="Arial"/>
                <w:b/>
                <w:bCs/>
                <w:i/>
                <w:noProof/>
                <w:kern w:val="2"/>
                <w:sz w:val="18"/>
                <w:szCs w:val="18"/>
                <w:lang w:val="es-ES" w:eastAsia="en-US"/>
              </w:rPr>
              <w:t>D.</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El principio de igualdad y no discriminación en el acceso a la justicia de la niña V.R.P. y la violencia institucional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81</w:t>
            </w:r>
            <w:r w:rsidR="001D3CA2" w:rsidRPr="001D3CA2">
              <w:rPr>
                <w:noProof/>
                <w:webHidden/>
                <w:sz w:val="18"/>
                <w:szCs w:val="18"/>
              </w:rPr>
              <w:fldChar w:fldCharType="end"/>
            </w:r>
          </w:hyperlink>
        </w:p>
        <w:p w14:paraId="6875FE2E" w14:textId="77777777" w:rsidR="001D3CA2" w:rsidRPr="001D3CA2" w:rsidRDefault="00EF48C1" w:rsidP="001D3CA2">
          <w:pPr>
            <w:pStyle w:val="TOC2"/>
            <w:jc w:val="both"/>
            <w:rPr>
              <w:rFonts w:eastAsiaTheme="minorEastAsia" w:cstheme="minorBidi"/>
              <w:noProof/>
              <w:sz w:val="18"/>
              <w:szCs w:val="18"/>
            </w:rPr>
          </w:pPr>
          <w:hyperlink w:anchor="_Toc514172649" w:history="1">
            <w:r w:rsidR="001D3CA2" w:rsidRPr="001D3CA2">
              <w:rPr>
                <w:rStyle w:val="Hyperlink"/>
                <w:bCs/>
                <w:i/>
                <w:noProof/>
                <w:sz w:val="18"/>
                <w:szCs w:val="18"/>
                <w:lang w:val="es-ES"/>
              </w:rPr>
              <w:t xml:space="preserve">D.1 </w:t>
            </w:r>
            <w:r w:rsidR="001D3CA2" w:rsidRPr="001D3CA2">
              <w:rPr>
                <w:rFonts w:eastAsiaTheme="minorEastAsia" w:cstheme="minorBidi"/>
                <w:noProof/>
                <w:sz w:val="18"/>
                <w:szCs w:val="18"/>
              </w:rPr>
              <w:tab/>
            </w:r>
            <w:r w:rsidR="001D3CA2" w:rsidRPr="001D3CA2">
              <w:rPr>
                <w:rStyle w:val="Hyperlink"/>
                <w:bCs/>
                <w:i/>
                <w:noProof/>
                <w:sz w:val="18"/>
                <w:szCs w:val="18"/>
                <w:lang w:val="es-ES"/>
              </w:rPr>
              <w:t>Alegatos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_Toc514172649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81</w:t>
            </w:r>
            <w:r w:rsidR="001D3CA2" w:rsidRPr="001D3CA2">
              <w:rPr>
                <w:noProof/>
                <w:webHidden/>
                <w:sz w:val="18"/>
                <w:szCs w:val="18"/>
              </w:rPr>
              <w:fldChar w:fldCharType="end"/>
            </w:r>
          </w:hyperlink>
        </w:p>
        <w:p w14:paraId="11A51EA1" w14:textId="77777777" w:rsidR="001D3CA2" w:rsidRPr="001D3CA2" w:rsidRDefault="00EF48C1" w:rsidP="001D3CA2">
          <w:pPr>
            <w:pStyle w:val="TOC2"/>
            <w:jc w:val="both"/>
            <w:rPr>
              <w:rFonts w:eastAsiaTheme="minorEastAsia" w:cstheme="minorBidi"/>
              <w:noProof/>
              <w:sz w:val="18"/>
              <w:szCs w:val="18"/>
            </w:rPr>
          </w:pPr>
          <w:hyperlink w:anchor="_Toc514172650" w:history="1">
            <w:r w:rsidR="001D3CA2" w:rsidRPr="001D3CA2">
              <w:rPr>
                <w:rStyle w:val="Hyperlink"/>
                <w:bCs/>
                <w:i/>
                <w:noProof/>
                <w:sz w:val="18"/>
                <w:szCs w:val="18"/>
                <w:lang w:val="es-ES"/>
              </w:rPr>
              <w:t xml:space="preserve">D.2 </w:t>
            </w:r>
            <w:r w:rsidR="001D3CA2" w:rsidRPr="001D3CA2">
              <w:rPr>
                <w:rFonts w:eastAsiaTheme="minorEastAsia" w:cstheme="minorBidi"/>
                <w:noProof/>
                <w:sz w:val="18"/>
                <w:szCs w:val="18"/>
              </w:rPr>
              <w:tab/>
            </w:r>
            <w:r w:rsidR="001D3CA2" w:rsidRPr="001D3CA2">
              <w:rPr>
                <w:rStyle w:val="Hyperlink"/>
                <w:bCs/>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82</w:t>
            </w:r>
            <w:r w:rsidR="001D3CA2" w:rsidRPr="001D3CA2">
              <w:rPr>
                <w:noProof/>
                <w:webHidden/>
                <w:sz w:val="18"/>
                <w:szCs w:val="18"/>
              </w:rPr>
              <w:fldChar w:fldCharType="end"/>
            </w:r>
          </w:hyperlink>
        </w:p>
        <w:p w14:paraId="0694B9E5" w14:textId="77777777" w:rsidR="001D3CA2" w:rsidRPr="001D3CA2" w:rsidRDefault="00EF48C1" w:rsidP="001D3CA2">
          <w:pPr>
            <w:pStyle w:val="TOC2"/>
            <w:jc w:val="both"/>
            <w:rPr>
              <w:rFonts w:eastAsiaTheme="minorEastAsia" w:cstheme="minorBidi"/>
              <w:noProof/>
              <w:sz w:val="18"/>
              <w:szCs w:val="18"/>
            </w:rPr>
          </w:pPr>
          <w:hyperlink w:anchor="_Toc514172651" w:history="1">
            <w:r w:rsidR="001D3CA2" w:rsidRPr="001D3CA2">
              <w:rPr>
                <w:rStyle w:val="Hyperlink"/>
                <w:rFonts w:eastAsia="MS Mincho" w:cs="Arial"/>
                <w:b/>
                <w:bCs/>
                <w:i/>
                <w:noProof/>
                <w:kern w:val="2"/>
                <w:sz w:val="18"/>
                <w:szCs w:val="18"/>
                <w:lang w:val="es-ES" w:eastAsia="en-US"/>
              </w:rPr>
              <w:t>E.</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Recurso efectivo y derecho a conocer la verdad</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85</w:t>
            </w:r>
            <w:r w:rsidR="001D3CA2" w:rsidRPr="001D3CA2">
              <w:rPr>
                <w:noProof/>
                <w:webHidden/>
                <w:sz w:val="18"/>
                <w:szCs w:val="18"/>
              </w:rPr>
              <w:fldChar w:fldCharType="end"/>
            </w:r>
          </w:hyperlink>
        </w:p>
        <w:p w14:paraId="12AC2A89" w14:textId="77777777" w:rsidR="001D3CA2" w:rsidRPr="001D3CA2" w:rsidRDefault="00EF48C1" w:rsidP="001D3CA2">
          <w:pPr>
            <w:pStyle w:val="TOC2"/>
            <w:jc w:val="both"/>
            <w:rPr>
              <w:rFonts w:eastAsiaTheme="minorEastAsia" w:cstheme="minorBidi"/>
              <w:noProof/>
              <w:sz w:val="18"/>
              <w:szCs w:val="18"/>
            </w:rPr>
          </w:pPr>
          <w:hyperlink w:anchor="_Toc514172652" w:history="1">
            <w:r w:rsidR="001D3CA2" w:rsidRPr="001D3CA2">
              <w:rPr>
                <w:rStyle w:val="Hyperlink"/>
                <w:i/>
                <w:noProof/>
                <w:sz w:val="18"/>
                <w:szCs w:val="18"/>
                <w:lang w:val="es-ES"/>
              </w:rPr>
              <w:t>E.1</w:t>
            </w:r>
            <w:r w:rsidR="001D3CA2" w:rsidRPr="001D3CA2">
              <w:rPr>
                <w:rFonts w:eastAsiaTheme="minorEastAsia" w:cstheme="minorBidi"/>
                <w:noProof/>
                <w:sz w:val="18"/>
                <w:szCs w:val="18"/>
              </w:rPr>
              <w:tab/>
            </w:r>
            <w:r w:rsidR="001D3CA2" w:rsidRPr="001D3CA2">
              <w:rPr>
                <w:rStyle w:val="Hyperlink"/>
                <w:i/>
                <w:noProof/>
                <w:sz w:val="18"/>
                <w:szCs w:val="18"/>
                <w:lang w:val="es-ES"/>
              </w:rPr>
              <w:t>Argumentos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85</w:t>
            </w:r>
            <w:r w:rsidR="001D3CA2" w:rsidRPr="001D3CA2">
              <w:rPr>
                <w:noProof/>
                <w:webHidden/>
                <w:sz w:val="18"/>
                <w:szCs w:val="18"/>
              </w:rPr>
              <w:fldChar w:fldCharType="end"/>
            </w:r>
          </w:hyperlink>
        </w:p>
        <w:p w14:paraId="71E880EA" w14:textId="77777777" w:rsidR="001D3CA2" w:rsidRPr="001D3CA2" w:rsidRDefault="00EF48C1" w:rsidP="001D3CA2">
          <w:pPr>
            <w:pStyle w:val="TOC2"/>
            <w:jc w:val="both"/>
            <w:rPr>
              <w:rFonts w:eastAsiaTheme="minorEastAsia" w:cstheme="minorBidi"/>
              <w:noProof/>
              <w:sz w:val="18"/>
              <w:szCs w:val="18"/>
            </w:rPr>
          </w:pPr>
          <w:hyperlink w:anchor="_Toc514172653" w:history="1">
            <w:r w:rsidR="001D3CA2" w:rsidRPr="001D3CA2">
              <w:rPr>
                <w:rStyle w:val="Hyperlink"/>
                <w:bCs/>
                <w:i/>
                <w:noProof/>
                <w:sz w:val="18"/>
                <w:szCs w:val="18"/>
                <w:lang w:val="es-ES"/>
              </w:rPr>
              <w:t xml:space="preserve">E.2 </w:t>
            </w:r>
            <w:r w:rsidR="001D3CA2" w:rsidRPr="001D3CA2">
              <w:rPr>
                <w:rFonts w:eastAsiaTheme="minorEastAsia" w:cstheme="minorBidi"/>
                <w:noProof/>
                <w:sz w:val="18"/>
                <w:szCs w:val="18"/>
              </w:rPr>
              <w:tab/>
            </w:r>
            <w:r w:rsidR="001D3CA2" w:rsidRPr="001D3CA2">
              <w:rPr>
                <w:rStyle w:val="Hyperlink"/>
                <w:bCs/>
                <w:i/>
                <w:noProof/>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85</w:t>
            </w:r>
            <w:r w:rsidR="001D3CA2" w:rsidRPr="001D3CA2">
              <w:rPr>
                <w:noProof/>
                <w:webHidden/>
                <w:sz w:val="18"/>
                <w:szCs w:val="18"/>
              </w:rPr>
              <w:fldChar w:fldCharType="end"/>
            </w:r>
          </w:hyperlink>
        </w:p>
        <w:p w14:paraId="7FA68538" w14:textId="77777777" w:rsidR="001D3CA2" w:rsidRPr="001D3CA2" w:rsidRDefault="00EF48C1" w:rsidP="001D3CA2">
          <w:pPr>
            <w:pStyle w:val="TOC2"/>
            <w:jc w:val="both"/>
            <w:rPr>
              <w:rFonts w:eastAsiaTheme="minorEastAsia" w:cstheme="minorBidi"/>
              <w:noProof/>
              <w:sz w:val="18"/>
              <w:szCs w:val="18"/>
            </w:rPr>
          </w:pPr>
          <w:hyperlink w:anchor="_Toc514172654" w:history="1">
            <w:r w:rsidR="001D3CA2" w:rsidRPr="001D3CA2">
              <w:rPr>
                <w:rStyle w:val="Hyperlink"/>
                <w:rFonts w:eastAsia="MS Mincho" w:cs="Arial"/>
                <w:b/>
                <w:bCs/>
                <w:i/>
                <w:noProof/>
                <w:kern w:val="2"/>
                <w:sz w:val="18"/>
                <w:szCs w:val="18"/>
                <w:lang w:val="es-ES" w:eastAsia="en-US"/>
              </w:rPr>
              <w:t>F.</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Conclusión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85</w:t>
            </w:r>
            <w:r w:rsidR="001D3CA2" w:rsidRPr="001D3CA2">
              <w:rPr>
                <w:noProof/>
                <w:webHidden/>
                <w:sz w:val="18"/>
                <w:szCs w:val="18"/>
              </w:rPr>
              <w:fldChar w:fldCharType="end"/>
            </w:r>
          </w:hyperlink>
        </w:p>
        <w:p w14:paraId="3251AB0F"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55" w:history="1">
            <w:r w:rsidR="001D3CA2" w:rsidRPr="001D3CA2">
              <w:rPr>
                <w:rStyle w:val="Hyperlink"/>
                <w:rFonts w:cs="Arial"/>
                <w:b/>
                <w:bCs/>
                <w:caps/>
                <w:noProof/>
                <w:kern w:val="2"/>
                <w:sz w:val="18"/>
                <w:szCs w:val="18"/>
                <w:lang w:val="es-ES" w:eastAsia="en-US"/>
              </w:rPr>
              <w:t>VIII-2 DERECHOS DE RESIDENCIA, A LA PROTECCIÓN A LA FAMILIA, Y A LAS MEDIDAS ESPECIALES DE PROTECCIÓN DE NIÑAS EN RELACIÓN CON LAS OBLIGACIONES DE RESPETAR Y GARANTIZAR LOS DERECHOS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86</w:t>
            </w:r>
            <w:r w:rsidR="001D3CA2" w:rsidRPr="001D3CA2">
              <w:rPr>
                <w:noProof/>
                <w:webHidden/>
                <w:sz w:val="18"/>
                <w:szCs w:val="18"/>
              </w:rPr>
              <w:fldChar w:fldCharType="end"/>
            </w:r>
          </w:hyperlink>
        </w:p>
        <w:p w14:paraId="021C1FB7" w14:textId="77777777" w:rsidR="001D3CA2" w:rsidRPr="001D3CA2" w:rsidRDefault="00EF48C1" w:rsidP="001D3CA2">
          <w:pPr>
            <w:pStyle w:val="TOC2"/>
            <w:jc w:val="both"/>
            <w:rPr>
              <w:rFonts w:eastAsiaTheme="minorEastAsia" w:cstheme="minorBidi"/>
              <w:noProof/>
              <w:sz w:val="18"/>
              <w:szCs w:val="18"/>
            </w:rPr>
          </w:pPr>
          <w:hyperlink w:anchor="_Toc514172656" w:history="1">
            <w:r w:rsidR="001D3CA2" w:rsidRPr="001D3CA2">
              <w:rPr>
                <w:rStyle w:val="Hyperlink"/>
                <w:rFonts w:eastAsia="MS Mincho" w:cs="Arial"/>
                <w:b/>
                <w:bCs/>
                <w:i/>
                <w:noProof/>
                <w:kern w:val="2"/>
                <w:sz w:val="18"/>
                <w:szCs w:val="18"/>
                <w:lang w:val="es-ES" w:eastAsia="en-US"/>
              </w:rPr>
              <w:t>A.</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eastAsia="en-US"/>
              </w:rPr>
              <w:t>Argumentos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86</w:t>
            </w:r>
            <w:r w:rsidR="001D3CA2" w:rsidRPr="001D3CA2">
              <w:rPr>
                <w:noProof/>
                <w:webHidden/>
                <w:sz w:val="18"/>
                <w:szCs w:val="18"/>
              </w:rPr>
              <w:fldChar w:fldCharType="end"/>
            </w:r>
          </w:hyperlink>
        </w:p>
        <w:p w14:paraId="0BF96AFA" w14:textId="77777777" w:rsidR="001D3CA2" w:rsidRPr="001D3CA2" w:rsidRDefault="00EF48C1" w:rsidP="001D3CA2">
          <w:pPr>
            <w:pStyle w:val="TOC2"/>
            <w:jc w:val="both"/>
            <w:rPr>
              <w:rFonts w:eastAsiaTheme="minorEastAsia" w:cstheme="minorBidi"/>
              <w:noProof/>
              <w:sz w:val="18"/>
              <w:szCs w:val="18"/>
            </w:rPr>
          </w:pPr>
          <w:hyperlink w:anchor="_Toc514172657" w:history="1">
            <w:r w:rsidR="001D3CA2" w:rsidRPr="001D3CA2">
              <w:rPr>
                <w:rStyle w:val="Hyperlink"/>
                <w:rFonts w:eastAsia="MS Mincho" w:cs="Arial"/>
                <w:b/>
                <w:bCs/>
                <w:i/>
                <w:noProof/>
                <w:kern w:val="2"/>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cs="Arial"/>
                <w:b/>
                <w:bCs/>
                <w:i/>
                <w:noProof/>
                <w:kern w:val="2"/>
                <w:sz w:val="18"/>
                <w:szCs w:val="18"/>
                <w:lang w:val="es-E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86</w:t>
            </w:r>
            <w:r w:rsidR="001D3CA2" w:rsidRPr="001D3CA2">
              <w:rPr>
                <w:noProof/>
                <w:webHidden/>
                <w:sz w:val="18"/>
                <w:szCs w:val="18"/>
              </w:rPr>
              <w:fldChar w:fldCharType="end"/>
            </w:r>
          </w:hyperlink>
        </w:p>
        <w:p w14:paraId="7A89B4D6"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58" w:history="1">
            <w:r w:rsidR="001D3CA2" w:rsidRPr="001D3CA2">
              <w:rPr>
                <w:rStyle w:val="Hyperlink"/>
                <w:rFonts w:cs="Arial"/>
                <w:b/>
                <w:bCs/>
                <w:caps/>
                <w:noProof/>
                <w:sz w:val="18"/>
                <w:szCs w:val="18"/>
                <w:lang w:val="es-ES" w:eastAsia="en-US"/>
              </w:rPr>
              <w:t>VIII-3 derecho A LA INTEGRIDAD personal DE LOS FAMILIARES en relación con la obligación de respetar los derechos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91</w:t>
            </w:r>
            <w:r w:rsidR="001D3CA2" w:rsidRPr="001D3CA2">
              <w:rPr>
                <w:noProof/>
                <w:webHidden/>
                <w:sz w:val="18"/>
                <w:szCs w:val="18"/>
              </w:rPr>
              <w:fldChar w:fldCharType="end"/>
            </w:r>
          </w:hyperlink>
        </w:p>
        <w:p w14:paraId="0FEB7989" w14:textId="77777777" w:rsidR="001D3CA2" w:rsidRPr="001D3CA2" w:rsidRDefault="00EF48C1" w:rsidP="001D3CA2">
          <w:pPr>
            <w:pStyle w:val="TOC2"/>
            <w:jc w:val="both"/>
            <w:rPr>
              <w:rFonts w:eastAsiaTheme="minorEastAsia" w:cstheme="minorBidi"/>
              <w:noProof/>
              <w:sz w:val="18"/>
              <w:szCs w:val="18"/>
            </w:rPr>
          </w:pPr>
          <w:hyperlink w:anchor="_Toc514172659" w:history="1">
            <w:r w:rsidR="001D3CA2" w:rsidRPr="001D3CA2">
              <w:rPr>
                <w:rStyle w:val="Hyperlink"/>
                <w:rFonts w:eastAsia="MS Mincho" w:cs="Arial"/>
                <w:b/>
                <w:bCs/>
                <w:i/>
                <w:noProof/>
                <w:sz w:val="18"/>
                <w:szCs w:val="18"/>
                <w:lang w:val="es-ES" w:eastAsia="en-US"/>
              </w:rPr>
              <w:t>A.</w:t>
            </w:r>
            <w:r w:rsidR="001D3CA2" w:rsidRPr="001D3CA2">
              <w:rPr>
                <w:rFonts w:eastAsiaTheme="minorEastAsia" w:cstheme="minorBidi"/>
                <w:noProof/>
                <w:sz w:val="18"/>
                <w:szCs w:val="18"/>
              </w:rPr>
              <w:tab/>
            </w:r>
            <w:r w:rsidR="001D3CA2" w:rsidRPr="001D3CA2">
              <w:rPr>
                <w:rStyle w:val="Hyperlink"/>
                <w:rFonts w:eastAsia="MS Mincho" w:cs="Arial"/>
                <w:b/>
                <w:bCs/>
                <w:i/>
                <w:noProof/>
                <w:sz w:val="18"/>
                <w:szCs w:val="18"/>
                <w:lang w:val="es-ES" w:eastAsia="en-US"/>
              </w:rPr>
              <w:t>Argumentos de las partes y de la Comisión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_Toc514172659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91</w:t>
            </w:r>
            <w:r w:rsidR="001D3CA2" w:rsidRPr="001D3CA2">
              <w:rPr>
                <w:noProof/>
                <w:webHidden/>
                <w:sz w:val="18"/>
                <w:szCs w:val="18"/>
              </w:rPr>
              <w:fldChar w:fldCharType="end"/>
            </w:r>
          </w:hyperlink>
        </w:p>
        <w:p w14:paraId="57A23471" w14:textId="77777777" w:rsidR="001D3CA2" w:rsidRPr="001D3CA2" w:rsidRDefault="00EF48C1" w:rsidP="001D3CA2">
          <w:pPr>
            <w:pStyle w:val="TOC2"/>
            <w:jc w:val="both"/>
            <w:rPr>
              <w:rFonts w:eastAsiaTheme="minorEastAsia" w:cstheme="minorBidi"/>
              <w:noProof/>
              <w:sz w:val="18"/>
              <w:szCs w:val="18"/>
            </w:rPr>
          </w:pPr>
          <w:hyperlink w:anchor="_Toc514172660" w:history="1">
            <w:r w:rsidR="001D3CA2" w:rsidRPr="001D3CA2">
              <w:rPr>
                <w:rStyle w:val="Hyperlink"/>
                <w:rFonts w:eastAsia="MS Mincho" w:cs="Arial"/>
                <w:b/>
                <w:bCs/>
                <w:i/>
                <w:noProof/>
                <w:sz w:val="18"/>
                <w:szCs w:val="18"/>
                <w:lang w:val="es-ES" w:eastAsia="en-US"/>
              </w:rPr>
              <w:t>B.</w:t>
            </w:r>
            <w:r w:rsidR="001D3CA2" w:rsidRPr="001D3CA2">
              <w:rPr>
                <w:rFonts w:eastAsiaTheme="minorEastAsia" w:cstheme="minorBidi"/>
                <w:noProof/>
                <w:sz w:val="18"/>
                <w:szCs w:val="18"/>
              </w:rPr>
              <w:tab/>
            </w:r>
            <w:r w:rsidR="001D3CA2" w:rsidRPr="001D3CA2">
              <w:rPr>
                <w:rStyle w:val="Hyperlink"/>
                <w:rFonts w:eastAsia="MS Mincho" w:cs="Arial"/>
                <w:b/>
                <w:bCs/>
                <w:i/>
                <w:noProof/>
                <w:sz w:val="18"/>
                <w:szCs w:val="18"/>
                <w:lang w:val="es-ES" w:eastAsia="en-US"/>
              </w:rPr>
              <w:t>Consideraciones de la Corte</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92</w:t>
            </w:r>
            <w:r w:rsidR="001D3CA2" w:rsidRPr="001D3CA2">
              <w:rPr>
                <w:noProof/>
                <w:webHidden/>
                <w:sz w:val="18"/>
                <w:szCs w:val="18"/>
              </w:rPr>
              <w:fldChar w:fldCharType="end"/>
            </w:r>
          </w:hyperlink>
        </w:p>
        <w:p w14:paraId="04C2AB52"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61" w:history="1">
            <w:r w:rsidR="001D3CA2" w:rsidRPr="001D3CA2">
              <w:rPr>
                <w:rStyle w:val="Hyperlink"/>
                <w:rFonts w:cs="Verdana"/>
                <w:b/>
                <w:bCs/>
                <w:caps/>
                <w:noProof/>
                <w:snapToGrid w:val="0"/>
                <w:sz w:val="18"/>
                <w:szCs w:val="18"/>
                <w:lang w:val="es-ES"/>
              </w:rPr>
              <w:t>IX REPARACIONES (</w:t>
            </w:r>
            <w:r w:rsidR="001D3CA2" w:rsidRPr="001D3CA2">
              <w:rPr>
                <w:rStyle w:val="Hyperlink"/>
                <w:rFonts w:cs="Verdana"/>
                <w:b/>
                <w:bCs/>
                <w:noProof/>
                <w:snapToGrid w:val="0"/>
                <w:sz w:val="18"/>
                <w:szCs w:val="18"/>
                <w:lang w:val="es-ES"/>
              </w:rPr>
              <w:t>Aplicación del artículo 63.1 de la Convención Americana</w:t>
            </w:r>
            <w:r w:rsidR="001D3CA2" w:rsidRPr="001D3CA2">
              <w:rPr>
                <w:rStyle w:val="Hyperlink"/>
                <w:rFonts w:cs="Verdana"/>
                <w:b/>
                <w:bCs/>
                <w:caps/>
                <w:noProof/>
                <w:snapToGrid w:val="0"/>
                <w:sz w:val="18"/>
                <w:szCs w:val="18"/>
                <w:lang w:val="es-ES"/>
              </w:rPr>
              <w:t>)</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94</w:t>
            </w:r>
            <w:r w:rsidR="001D3CA2" w:rsidRPr="001D3CA2">
              <w:rPr>
                <w:noProof/>
                <w:webHidden/>
                <w:sz w:val="18"/>
                <w:szCs w:val="18"/>
              </w:rPr>
              <w:fldChar w:fldCharType="end"/>
            </w:r>
          </w:hyperlink>
        </w:p>
        <w:p w14:paraId="3B331B37" w14:textId="77777777" w:rsidR="001D3CA2" w:rsidRPr="001D3CA2" w:rsidRDefault="00EF48C1" w:rsidP="001D3CA2">
          <w:pPr>
            <w:pStyle w:val="TOC2"/>
            <w:jc w:val="both"/>
            <w:rPr>
              <w:rFonts w:eastAsiaTheme="minorEastAsia" w:cstheme="minorBidi"/>
              <w:noProof/>
              <w:sz w:val="18"/>
              <w:szCs w:val="18"/>
            </w:rPr>
          </w:pPr>
          <w:hyperlink w:anchor="_Toc514172662" w:history="1">
            <w:r w:rsidR="001D3CA2" w:rsidRPr="001D3CA2">
              <w:rPr>
                <w:rStyle w:val="Hyperlink"/>
                <w:rFonts w:eastAsia="MS Mincho"/>
                <w:b/>
                <w:bCs/>
                <w:i/>
                <w:noProof/>
                <w:sz w:val="18"/>
                <w:szCs w:val="18"/>
                <w:lang w:val="es-ES"/>
              </w:rPr>
              <w:t>A.</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Parte Lesionada</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95</w:t>
            </w:r>
            <w:r w:rsidR="001D3CA2" w:rsidRPr="001D3CA2">
              <w:rPr>
                <w:noProof/>
                <w:webHidden/>
                <w:sz w:val="18"/>
                <w:szCs w:val="18"/>
              </w:rPr>
              <w:fldChar w:fldCharType="end"/>
            </w:r>
          </w:hyperlink>
        </w:p>
        <w:p w14:paraId="32A7F030" w14:textId="77777777" w:rsidR="001D3CA2" w:rsidRPr="001D3CA2" w:rsidRDefault="00EF48C1" w:rsidP="001D3CA2">
          <w:pPr>
            <w:pStyle w:val="TOC2"/>
            <w:jc w:val="both"/>
            <w:rPr>
              <w:rFonts w:eastAsiaTheme="minorEastAsia" w:cstheme="minorBidi"/>
              <w:noProof/>
              <w:sz w:val="18"/>
              <w:szCs w:val="18"/>
            </w:rPr>
          </w:pPr>
          <w:hyperlink w:anchor="_Toc514172663" w:history="1">
            <w:r w:rsidR="001D3CA2" w:rsidRPr="001D3CA2">
              <w:rPr>
                <w:rStyle w:val="Hyperlink"/>
                <w:rFonts w:eastAsia="MS Mincho"/>
                <w:b/>
                <w:bCs/>
                <w:i/>
                <w:noProof/>
                <w:sz w:val="18"/>
                <w:szCs w:val="18"/>
                <w:lang w:val="es-ES"/>
              </w:rPr>
              <w:t>B.</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Obligación de investigar los hechos e identificar, juzgar y, en su caso, sancionar a los responsables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95</w:t>
            </w:r>
            <w:r w:rsidR="001D3CA2" w:rsidRPr="001D3CA2">
              <w:rPr>
                <w:noProof/>
                <w:webHidden/>
                <w:sz w:val="18"/>
                <w:szCs w:val="18"/>
              </w:rPr>
              <w:fldChar w:fldCharType="end"/>
            </w:r>
          </w:hyperlink>
        </w:p>
        <w:p w14:paraId="6FB627CB" w14:textId="77777777" w:rsidR="001D3CA2" w:rsidRPr="001D3CA2" w:rsidRDefault="00EF48C1" w:rsidP="001D3CA2">
          <w:pPr>
            <w:pStyle w:val="TOC2"/>
            <w:jc w:val="both"/>
            <w:rPr>
              <w:rFonts w:eastAsiaTheme="minorEastAsia" w:cstheme="minorBidi"/>
              <w:noProof/>
              <w:sz w:val="18"/>
              <w:szCs w:val="18"/>
            </w:rPr>
          </w:pPr>
          <w:hyperlink w:anchor="_Toc514172664" w:history="1">
            <w:r w:rsidR="001D3CA2" w:rsidRPr="001D3CA2">
              <w:rPr>
                <w:rStyle w:val="Hyperlink"/>
                <w:rFonts w:eastAsia="MS Mincho"/>
                <w:b/>
                <w:bCs/>
                <w:i/>
                <w:noProof/>
                <w:sz w:val="18"/>
                <w:szCs w:val="18"/>
                <w:lang w:val="es-ES"/>
              </w:rPr>
              <w:t>C.</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Medidas de rehabilitación, satisfacción y garantías de no repetición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96</w:t>
            </w:r>
            <w:r w:rsidR="001D3CA2" w:rsidRPr="001D3CA2">
              <w:rPr>
                <w:noProof/>
                <w:webHidden/>
                <w:sz w:val="18"/>
                <w:szCs w:val="18"/>
              </w:rPr>
              <w:fldChar w:fldCharType="end"/>
            </w:r>
          </w:hyperlink>
        </w:p>
        <w:p w14:paraId="3A218617" w14:textId="77777777" w:rsidR="001D3CA2" w:rsidRPr="001D3CA2" w:rsidRDefault="00EF48C1" w:rsidP="001D3CA2">
          <w:pPr>
            <w:pStyle w:val="TOC2"/>
            <w:jc w:val="both"/>
            <w:rPr>
              <w:rFonts w:eastAsiaTheme="minorEastAsia" w:cstheme="minorBidi"/>
              <w:noProof/>
              <w:sz w:val="18"/>
              <w:szCs w:val="18"/>
            </w:rPr>
          </w:pPr>
          <w:hyperlink w:anchor="_Toc514172665" w:history="1">
            <w:r w:rsidR="001D3CA2" w:rsidRPr="001D3CA2">
              <w:rPr>
                <w:rStyle w:val="Hyperlink"/>
                <w:i/>
                <w:noProof/>
                <w:sz w:val="18"/>
                <w:szCs w:val="18"/>
                <w:lang w:val="es-ES"/>
              </w:rPr>
              <w:t xml:space="preserve">C.1 </w:t>
            </w:r>
            <w:r w:rsidR="001D3CA2" w:rsidRPr="001D3CA2">
              <w:rPr>
                <w:rFonts w:eastAsiaTheme="minorEastAsia" w:cstheme="minorBidi"/>
                <w:noProof/>
                <w:sz w:val="18"/>
                <w:szCs w:val="18"/>
              </w:rPr>
              <w:tab/>
            </w:r>
            <w:r w:rsidR="001D3CA2" w:rsidRPr="001D3CA2">
              <w:rPr>
                <w:rStyle w:val="Hyperlink"/>
                <w:i/>
                <w:noProof/>
                <w:sz w:val="18"/>
                <w:szCs w:val="18"/>
                <w:lang w:val="es-ES"/>
              </w:rPr>
              <w:t>Rehabilitación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96</w:t>
            </w:r>
            <w:r w:rsidR="001D3CA2" w:rsidRPr="001D3CA2">
              <w:rPr>
                <w:noProof/>
                <w:webHidden/>
                <w:sz w:val="18"/>
                <w:szCs w:val="18"/>
              </w:rPr>
              <w:fldChar w:fldCharType="end"/>
            </w:r>
          </w:hyperlink>
        </w:p>
        <w:p w14:paraId="3321F70C" w14:textId="77777777" w:rsidR="001D3CA2" w:rsidRPr="001D3CA2" w:rsidRDefault="00EF48C1" w:rsidP="001D3CA2">
          <w:pPr>
            <w:pStyle w:val="TOC2"/>
            <w:jc w:val="both"/>
            <w:rPr>
              <w:rFonts w:eastAsiaTheme="minorEastAsia" w:cstheme="minorBidi"/>
              <w:noProof/>
              <w:sz w:val="18"/>
              <w:szCs w:val="18"/>
            </w:rPr>
          </w:pPr>
          <w:hyperlink w:anchor="_Toc514172666" w:history="1">
            <w:r w:rsidR="001D3CA2" w:rsidRPr="001D3CA2">
              <w:rPr>
                <w:rStyle w:val="Hyperlink"/>
                <w:i/>
                <w:noProof/>
                <w:sz w:val="18"/>
                <w:szCs w:val="18"/>
                <w:lang w:val="es-ES"/>
              </w:rPr>
              <w:t xml:space="preserve">C.2 </w:t>
            </w:r>
            <w:r w:rsidR="001D3CA2" w:rsidRPr="001D3CA2">
              <w:rPr>
                <w:rFonts w:eastAsiaTheme="minorEastAsia" w:cstheme="minorBidi"/>
                <w:noProof/>
                <w:sz w:val="18"/>
                <w:szCs w:val="18"/>
              </w:rPr>
              <w:tab/>
            </w:r>
            <w:r w:rsidR="001D3CA2" w:rsidRPr="001D3CA2">
              <w:rPr>
                <w:rStyle w:val="Hyperlink"/>
                <w:i/>
                <w:noProof/>
                <w:sz w:val="18"/>
                <w:szCs w:val="18"/>
                <w:lang w:val="es-ES"/>
              </w:rPr>
              <w:t>Satisfacción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_Toc514172666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98</w:t>
            </w:r>
            <w:r w:rsidR="001D3CA2" w:rsidRPr="001D3CA2">
              <w:rPr>
                <w:noProof/>
                <w:webHidden/>
                <w:sz w:val="18"/>
                <w:szCs w:val="18"/>
              </w:rPr>
              <w:fldChar w:fldCharType="end"/>
            </w:r>
          </w:hyperlink>
        </w:p>
        <w:p w14:paraId="390F6745" w14:textId="77777777" w:rsidR="001D3CA2" w:rsidRPr="001D3CA2" w:rsidRDefault="00EF48C1" w:rsidP="001D3CA2">
          <w:pPr>
            <w:pStyle w:val="TOC2"/>
            <w:jc w:val="both"/>
            <w:rPr>
              <w:rFonts w:eastAsiaTheme="minorEastAsia" w:cstheme="minorBidi"/>
              <w:noProof/>
              <w:sz w:val="18"/>
              <w:szCs w:val="18"/>
            </w:rPr>
          </w:pPr>
          <w:hyperlink w:anchor="_Toc514172667" w:history="1">
            <w:r w:rsidR="001D3CA2" w:rsidRPr="001D3CA2">
              <w:rPr>
                <w:rStyle w:val="Hyperlink"/>
                <w:i/>
                <w:noProof/>
                <w:sz w:val="18"/>
                <w:szCs w:val="18"/>
                <w:lang w:val="es-ES"/>
              </w:rPr>
              <w:t xml:space="preserve">C.3 </w:t>
            </w:r>
            <w:r w:rsidR="001D3CA2" w:rsidRPr="001D3CA2">
              <w:rPr>
                <w:rFonts w:eastAsiaTheme="minorEastAsia" w:cstheme="minorBidi"/>
                <w:noProof/>
                <w:sz w:val="18"/>
                <w:szCs w:val="18"/>
              </w:rPr>
              <w:tab/>
            </w:r>
            <w:r w:rsidR="001D3CA2" w:rsidRPr="001D3CA2">
              <w:rPr>
                <w:rStyle w:val="Hyperlink"/>
                <w:i/>
                <w:noProof/>
                <w:sz w:val="18"/>
                <w:szCs w:val="18"/>
                <w:lang w:val="es-ES"/>
              </w:rPr>
              <w:t>Garantías de no repetición</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_Toc514172667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100</w:t>
            </w:r>
            <w:r w:rsidR="001D3CA2" w:rsidRPr="001D3CA2">
              <w:rPr>
                <w:noProof/>
                <w:webHidden/>
                <w:sz w:val="18"/>
                <w:szCs w:val="18"/>
              </w:rPr>
              <w:fldChar w:fldCharType="end"/>
            </w:r>
          </w:hyperlink>
        </w:p>
        <w:p w14:paraId="1EF988BA" w14:textId="77777777" w:rsidR="001D3CA2" w:rsidRPr="001D3CA2" w:rsidRDefault="00EF48C1" w:rsidP="001D3CA2">
          <w:pPr>
            <w:pStyle w:val="TOC2"/>
            <w:jc w:val="both"/>
            <w:rPr>
              <w:rFonts w:eastAsiaTheme="minorEastAsia" w:cstheme="minorBidi"/>
              <w:noProof/>
              <w:sz w:val="18"/>
              <w:szCs w:val="18"/>
            </w:rPr>
          </w:pPr>
          <w:hyperlink w:anchor="_Toc514172668" w:history="1">
            <w:r w:rsidR="001D3CA2" w:rsidRPr="001D3CA2">
              <w:rPr>
                <w:rStyle w:val="Hyperlink"/>
                <w:i/>
                <w:noProof/>
                <w:sz w:val="18"/>
                <w:szCs w:val="18"/>
                <w:lang w:val="es-ES"/>
              </w:rPr>
              <w:t xml:space="preserve">C.4 </w:t>
            </w:r>
            <w:r w:rsidR="001D3CA2" w:rsidRPr="001D3CA2">
              <w:rPr>
                <w:rFonts w:eastAsiaTheme="minorEastAsia" w:cstheme="minorBidi"/>
                <w:noProof/>
                <w:sz w:val="18"/>
                <w:szCs w:val="18"/>
              </w:rPr>
              <w:tab/>
            </w:r>
            <w:r w:rsidR="001D3CA2" w:rsidRPr="001D3CA2">
              <w:rPr>
                <w:rStyle w:val="Hyperlink"/>
                <w:i/>
                <w:noProof/>
                <w:sz w:val="18"/>
                <w:szCs w:val="18"/>
                <w:lang w:val="es-ES"/>
              </w:rPr>
              <w:t>Otras medidas solicitadas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_Toc514172668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108</w:t>
            </w:r>
            <w:r w:rsidR="001D3CA2" w:rsidRPr="001D3CA2">
              <w:rPr>
                <w:noProof/>
                <w:webHidden/>
                <w:sz w:val="18"/>
                <w:szCs w:val="18"/>
              </w:rPr>
              <w:fldChar w:fldCharType="end"/>
            </w:r>
          </w:hyperlink>
        </w:p>
        <w:p w14:paraId="65FF060F" w14:textId="77777777" w:rsidR="001D3CA2" w:rsidRPr="001D3CA2" w:rsidRDefault="00EF48C1" w:rsidP="001D3CA2">
          <w:pPr>
            <w:pStyle w:val="TOC2"/>
            <w:jc w:val="both"/>
            <w:rPr>
              <w:rFonts w:eastAsiaTheme="minorEastAsia" w:cstheme="minorBidi"/>
              <w:noProof/>
              <w:sz w:val="18"/>
              <w:szCs w:val="18"/>
            </w:rPr>
          </w:pPr>
          <w:hyperlink w:anchor="_Toc514172669" w:history="1">
            <w:r w:rsidR="001D3CA2" w:rsidRPr="001D3CA2">
              <w:rPr>
                <w:rStyle w:val="Hyperlink"/>
                <w:rFonts w:eastAsia="MS Mincho"/>
                <w:b/>
                <w:bCs/>
                <w:i/>
                <w:noProof/>
                <w:sz w:val="18"/>
                <w:szCs w:val="18"/>
                <w:lang w:val="es-ES"/>
              </w:rPr>
              <w:t>D.</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Indemnizaciones compensatorias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_Toc514172669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109</w:t>
            </w:r>
            <w:r w:rsidR="001D3CA2" w:rsidRPr="001D3CA2">
              <w:rPr>
                <w:noProof/>
                <w:webHidden/>
                <w:sz w:val="18"/>
                <w:szCs w:val="18"/>
              </w:rPr>
              <w:fldChar w:fldCharType="end"/>
            </w:r>
          </w:hyperlink>
        </w:p>
        <w:p w14:paraId="03985A06" w14:textId="77777777" w:rsidR="001D3CA2" w:rsidRPr="001D3CA2" w:rsidRDefault="00EF48C1" w:rsidP="001D3CA2">
          <w:pPr>
            <w:pStyle w:val="TOC2"/>
            <w:jc w:val="both"/>
            <w:rPr>
              <w:rFonts w:eastAsiaTheme="minorEastAsia" w:cstheme="minorBidi"/>
              <w:noProof/>
              <w:sz w:val="18"/>
              <w:szCs w:val="18"/>
            </w:rPr>
          </w:pPr>
          <w:hyperlink w:anchor="_Toc514172670" w:history="1">
            <w:r w:rsidR="001D3CA2" w:rsidRPr="001D3CA2">
              <w:rPr>
                <w:rStyle w:val="Hyperlink"/>
                <w:i/>
                <w:noProof/>
                <w:sz w:val="18"/>
                <w:szCs w:val="18"/>
                <w:lang w:val="es-ES"/>
              </w:rPr>
              <w:t>D.1</w:t>
            </w:r>
            <w:r w:rsidR="001D3CA2" w:rsidRPr="001D3CA2">
              <w:rPr>
                <w:rFonts w:eastAsiaTheme="minorEastAsia" w:cstheme="minorBidi"/>
                <w:noProof/>
                <w:sz w:val="18"/>
                <w:szCs w:val="18"/>
              </w:rPr>
              <w:tab/>
            </w:r>
            <w:r w:rsidR="001D3CA2" w:rsidRPr="001D3CA2">
              <w:rPr>
                <w:rStyle w:val="Hyperlink"/>
                <w:i/>
                <w:noProof/>
                <w:sz w:val="18"/>
                <w:szCs w:val="18"/>
                <w:lang w:val="es-ES"/>
              </w:rPr>
              <w:t>Daño material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_Toc514172670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110</w:t>
            </w:r>
            <w:r w:rsidR="001D3CA2" w:rsidRPr="001D3CA2">
              <w:rPr>
                <w:noProof/>
                <w:webHidden/>
                <w:sz w:val="18"/>
                <w:szCs w:val="18"/>
              </w:rPr>
              <w:fldChar w:fldCharType="end"/>
            </w:r>
          </w:hyperlink>
        </w:p>
        <w:p w14:paraId="06C2533A" w14:textId="77777777" w:rsidR="001D3CA2" w:rsidRPr="001D3CA2" w:rsidRDefault="00EF48C1" w:rsidP="001D3CA2">
          <w:pPr>
            <w:pStyle w:val="TOC2"/>
            <w:jc w:val="both"/>
            <w:rPr>
              <w:rFonts w:eastAsiaTheme="minorEastAsia" w:cstheme="minorBidi"/>
              <w:noProof/>
              <w:sz w:val="18"/>
              <w:szCs w:val="18"/>
            </w:rPr>
          </w:pPr>
          <w:hyperlink w:anchor="_Toc514172671" w:history="1">
            <w:r w:rsidR="001D3CA2" w:rsidRPr="001D3CA2">
              <w:rPr>
                <w:rStyle w:val="Hyperlink"/>
                <w:i/>
                <w:noProof/>
                <w:sz w:val="18"/>
                <w:szCs w:val="18"/>
                <w:lang w:val="es-ES"/>
              </w:rPr>
              <w:t>D.2</w:t>
            </w:r>
            <w:r w:rsidR="001D3CA2" w:rsidRPr="001D3CA2">
              <w:rPr>
                <w:rFonts w:eastAsiaTheme="minorEastAsia" w:cstheme="minorBidi"/>
                <w:noProof/>
                <w:sz w:val="18"/>
                <w:szCs w:val="18"/>
              </w:rPr>
              <w:tab/>
            </w:r>
            <w:r w:rsidR="001D3CA2" w:rsidRPr="001D3CA2">
              <w:rPr>
                <w:rStyle w:val="Hyperlink"/>
                <w:i/>
                <w:noProof/>
                <w:sz w:val="18"/>
                <w:szCs w:val="18"/>
                <w:lang w:val="es-ES"/>
              </w:rPr>
              <w:t>Daño inmaterial</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_Toc514172671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113</w:t>
            </w:r>
            <w:r w:rsidR="001D3CA2" w:rsidRPr="001D3CA2">
              <w:rPr>
                <w:noProof/>
                <w:webHidden/>
                <w:sz w:val="18"/>
                <w:szCs w:val="18"/>
              </w:rPr>
              <w:fldChar w:fldCharType="end"/>
            </w:r>
          </w:hyperlink>
        </w:p>
        <w:p w14:paraId="67FF90A4" w14:textId="77777777" w:rsidR="001D3CA2" w:rsidRPr="001D3CA2" w:rsidRDefault="00EF48C1" w:rsidP="001D3CA2">
          <w:pPr>
            <w:pStyle w:val="TOC2"/>
            <w:jc w:val="both"/>
            <w:rPr>
              <w:rFonts w:eastAsiaTheme="minorEastAsia" w:cstheme="minorBidi"/>
              <w:noProof/>
              <w:sz w:val="18"/>
              <w:szCs w:val="18"/>
            </w:rPr>
          </w:pPr>
          <w:hyperlink w:anchor="_Toc514172672" w:history="1">
            <w:r w:rsidR="001D3CA2" w:rsidRPr="001D3CA2">
              <w:rPr>
                <w:rStyle w:val="Hyperlink"/>
                <w:rFonts w:eastAsia="MS Mincho"/>
                <w:b/>
                <w:bCs/>
                <w:i/>
                <w:noProof/>
                <w:sz w:val="18"/>
                <w:szCs w:val="18"/>
                <w:lang w:val="es-ES"/>
              </w:rPr>
              <w:t>E.</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Costas y Gastos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_Toc514172672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115</w:t>
            </w:r>
            <w:r w:rsidR="001D3CA2" w:rsidRPr="001D3CA2">
              <w:rPr>
                <w:noProof/>
                <w:webHidden/>
                <w:sz w:val="18"/>
                <w:szCs w:val="18"/>
              </w:rPr>
              <w:fldChar w:fldCharType="end"/>
            </w:r>
          </w:hyperlink>
        </w:p>
        <w:p w14:paraId="525CC2BC" w14:textId="77777777" w:rsidR="001D3CA2" w:rsidRPr="001D3CA2" w:rsidRDefault="00EF48C1" w:rsidP="001D3CA2">
          <w:pPr>
            <w:pStyle w:val="TOC2"/>
            <w:jc w:val="both"/>
            <w:rPr>
              <w:rFonts w:eastAsiaTheme="minorEastAsia" w:cstheme="minorBidi"/>
              <w:noProof/>
              <w:sz w:val="18"/>
              <w:szCs w:val="18"/>
            </w:rPr>
          </w:pPr>
          <w:hyperlink w:anchor="_Toc514172673" w:history="1">
            <w:r w:rsidR="001D3CA2" w:rsidRPr="001D3CA2">
              <w:rPr>
                <w:rStyle w:val="Hyperlink"/>
                <w:rFonts w:eastAsia="MS Mincho"/>
                <w:b/>
                <w:bCs/>
                <w:i/>
                <w:noProof/>
                <w:sz w:val="18"/>
                <w:szCs w:val="18"/>
                <w:lang w:val="es-ES"/>
              </w:rPr>
              <w:t>F.</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Reintegro de los gastos al Fondo de Asistencia Legal de Víctimas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_Toc514172673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116</w:t>
            </w:r>
            <w:r w:rsidR="001D3CA2" w:rsidRPr="001D3CA2">
              <w:rPr>
                <w:noProof/>
                <w:webHidden/>
                <w:sz w:val="18"/>
                <w:szCs w:val="18"/>
              </w:rPr>
              <w:fldChar w:fldCharType="end"/>
            </w:r>
          </w:hyperlink>
        </w:p>
        <w:p w14:paraId="4BA79A5C" w14:textId="77777777" w:rsidR="001D3CA2" w:rsidRPr="001D3CA2" w:rsidRDefault="00EF48C1" w:rsidP="001D3CA2">
          <w:pPr>
            <w:pStyle w:val="TOC2"/>
            <w:jc w:val="both"/>
            <w:rPr>
              <w:rFonts w:eastAsiaTheme="minorEastAsia" w:cstheme="minorBidi"/>
              <w:noProof/>
              <w:sz w:val="18"/>
              <w:szCs w:val="18"/>
            </w:rPr>
          </w:pPr>
          <w:hyperlink w:anchor="_Toc514172674" w:history="1">
            <w:r w:rsidR="001D3CA2" w:rsidRPr="001D3CA2">
              <w:rPr>
                <w:rStyle w:val="Hyperlink"/>
                <w:rFonts w:eastAsia="MS Mincho"/>
                <w:b/>
                <w:bCs/>
                <w:i/>
                <w:noProof/>
                <w:sz w:val="18"/>
                <w:szCs w:val="18"/>
                <w:lang w:val="es-ES"/>
              </w:rPr>
              <w:t>G.</w:t>
            </w:r>
            <w:r w:rsidR="001D3CA2" w:rsidRPr="001D3CA2">
              <w:rPr>
                <w:rFonts w:eastAsiaTheme="minorEastAsia" w:cstheme="minorBidi"/>
                <w:noProof/>
                <w:sz w:val="18"/>
                <w:szCs w:val="18"/>
              </w:rPr>
              <w:tab/>
            </w:r>
            <w:r w:rsidR="001D3CA2" w:rsidRPr="001D3CA2">
              <w:rPr>
                <w:rStyle w:val="Hyperlink"/>
                <w:rFonts w:eastAsia="MS Mincho"/>
                <w:b/>
                <w:bCs/>
                <w:i/>
                <w:noProof/>
                <w:sz w:val="18"/>
                <w:szCs w:val="18"/>
                <w:lang w:val="es-ES"/>
              </w:rPr>
              <w:t>Modalidad de cumplimiento de los pagos ordenados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_Toc514172674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118</w:t>
            </w:r>
            <w:r w:rsidR="001D3CA2" w:rsidRPr="001D3CA2">
              <w:rPr>
                <w:noProof/>
                <w:webHidden/>
                <w:sz w:val="18"/>
                <w:szCs w:val="18"/>
              </w:rPr>
              <w:fldChar w:fldCharType="end"/>
            </w:r>
          </w:hyperlink>
        </w:p>
        <w:p w14:paraId="77D9A31F" w14:textId="77777777" w:rsidR="001D3CA2" w:rsidRPr="001D3CA2" w:rsidRDefault="00EF48C1" w:rsidP="001D3CA2">
          <w:pPr>
            <w:pStyle w:val="TOC1"/>
            <w:tabs>
              <w:tab w:val="right" w:leader="dot" w:pos="10070"/>
            </w:tabs>
            <w:spacing w:after="0" w:line="240" w:lineRule="auto"/>
            <w:rPr>
              <w:rFonts w:eastAsiaTheme="minorEastAsia" w:cstheme="minorBidi"/>
              <w:noProof/>
              <w:sz w:val="18"/>
              <w:szCs w:val="18"/>
            </w:rPr>
          </w:pPr>
          <w:hyperlink w:anchor="_Toc514172675" w:history="1">
            <w:r w:rsidR="001D3CA2" w:rsidRPr="001D3CA2">
              <w:rPr>
                <w:rStyle w:val="Hyperlink"/>
                <w:rFonts w:cs="Verdana"/>
                <w:b/>
                <w:bCs/>
                <w:caps/>
                <w:noProof/>
                <w:snapToGrid w:val="0"/>
                <w:sz w:val="18"/>
                <w:szCs w:val="18"/>
                <w:lang w:val="es-ES"/>
              </w:rPr>
              <w:t>X PUNTOS RESOLUTIVOS</w:t>
            </w:r>
            <w:r w:rsidR="001D3CA2" w:rsidRPr="001D3CA2">
              <w:rPr>
                <w:noProof/>
                <w:webHidden/>
                <w:sz w:val="18"/>
                <w:szCs w:val="18"/>
              </w:rPr>
              <w:tab/>
            </w:r>
            <w:r w:rsidR="001D3CA2" w:rsidRPr="001D3CA2">
              <w:rPr>
                <w:noProof/>
                <w:webHidden/>
                <w:sz w:val="18"/>
                <w:szCs w:val="18"/>
              </w:rPr>
              <w:fldChar w:fldCharType="begin"/>
            </w:r>
            <w:r w:rsidR="001D3CA2" w:rsidRPr="001D3CA2">
              <w:rPr>
                <w:noProof/>
                <w:webHidden/>
                <w:sz w:val="18"/>
                <w:szCs w:val="18"/>
              </w:rPr>
              <w:instrText xml:space="preserve"> PAGEREF _Toc514172675 \h </w:instrText>
            </w:r>
            <w:r w:rsidR="001D3CA2" w:rsidRPr="001D3CA2">
              <w:rPr>
                <w:noProof/>
                <w:webHidden/>
                <w:sz w:val="18"/>
                <w:szCs w:val="18"/>
              </w:rPr>
            </w:r>
            <w:r w:rsidR="001D3CA2" w:rsidRPr="001D3CA2">
              <w:rPr>
                <w:noProof/>
                <w:webHidden/>
                <w:sz w:val="18"/>
                <w:szCs w:val="18"/>
              </w:rPr>
              <w:fldChar w:fldCharType="separate"/>
            </w:r>
            <w:r>
              <w:rPr>
                <w:noProof/>
                <w:webHidden/>
                <w:sz w:val="18"/>
                <w:szCs w:val="18"/>
              </w:rPr>
              <w:t>118</w:t>
            </w:r>
            <w:r w:rsidR="001D3CA2" w:rsidRPr="001D3CA2">
              <w:rPr>
                <w:noProof/>
                <w:webHidden/>
                <w:sz w:val="18"/>
                <w:szCs w:val="18"/>
              </w:rPr>
              <w:fldChar w:fldCharType="end"/>
            </w:r>
          </w:hyperlink>
        </w:p>
        <w:p w14:paraId="75F299B5" w14:textId="77777777" w:rsidR="00F414CE" w:rsidRPr="001D3CA2" w:rsidRDefault="00920B09" w:rsidP="001D3CA2">
          <w:pPr>
            <w:spacing w:line="240" w:lineRule="auto"/>
            <w:rPr>
              <w:sz w:val="18"/>
              <w:szCs w:val="18"/>
              <w:lang w:val="es-ES"/>
            </w:rPr>
          </w:pPr>
          <w:r w:rsidRPr="001D3CA2">
            <w:rPr>
              <w:b/>
              <w:bCs/>
              <w:sz w:val="18"/>
              <w:szCs w:val="18"/>
              <w:lang w:val="es-ES"/>
            </w:rPr>
            <w:fldChar w:fldCharType="end"/>
          </w:r>
        </w:p>
      </w:sdtContent>
    </w:sdt>
    <w:p w14:paraId="76FF9AF4" w14:textId="77777777" w:rsidR="00F414CE" w:rsidRPr="003D5FBA" w:rsidRDefault="00F414CE" w:rsidP="003D5FBA">
      <w:pPr>
        <w:spacing w:line="240" w:lineRule="auto"/>
        <w:rPr>
          <w:rFonts w:eastAsia="Verdana" w:cs="Verdana"/>
          <w:position w:val="-1"/>
          <w:sz w:val="18"/>
          <w:szCs w:val="18"/>
          <w:lang w:val="es-ES"/>
        </w:rPr>
      </w:pPr>
    </w:p>
    <w:p w14:paraId="46E8798D" w14:textId="77777777" w:rsidR="00F414CE" w:rsidRPr="00975C02" w:rsidRDefault="00F414CE">
      <w:pPr>
        <w:widowControl/>
        <w:adjustRightInd/>
        <w:spacing w:after="200" w:line="276" w:lineRule="auto"/>
        <w:jc w:val="left"/>
        <w:textAlignment w:val="auto"/>
        <w:rPr>
          <w:rFonts w:eastAsia="Verdana" w:cs="Verdana"/>
          <w:position w:val="-1"/>
          <w:sz w:val="20"/>
          <w:szCs w:val="20"/>
          <w:lang w:val="es-ES"/>
        </w:rPr>
      </w:pPr>
      <w:r w:rsidRPr="00975C02">
        <w:rPr>
          <w:rFonts w:eastAsia="Verdana" w:cs="Verdana"/>
          <w:position w:val="-1"/>
          <w:sz w:val="20"/>
          <w:szCs w:val="20"/>
          <w:lang w:val="es-ES"/>
        </w:rPr>
        <w:br w:type="page"/>
      </w:r>
    </w:p>
    <w:p w14:paraId="5F8BFA40" w14:textId="77777777" w:rsidR="00E16176" w:rsidRPr="00975C02" w:rsidRDefault="00E16176" w:rsidP="006C37C9">
      <w:pPr>
        <w:spacing w:before="23" w:line="240" w:lineRule="auto"/>
        <w:ind w:right="5131"/>
        <w:rPr>
          <w:rFonts w:eastAsia="Verdana" w:cs="Verdana"/>
          <w:b/>
          <w:bCs/>
          <w:sz w:val="20"/>
          <w:szCs w:val="20"/>
          <w:lang w:val="es-ES"/>
        </w:rPr>
      </w:pPr>
    </w:p>
    <w:p w14:paraId="180C55E6" w14:textId="77777777" w:rsidR="006C37C9" w:rsidRPr="00975C02" w:rsidRDefault="006C37C9" w:rsidP="00A93967">
      <w:pPr>
        <w:keepNext/>
        <w:keepLines/>
        <w:tabs>
          <w:tab w:val="left" w:pos="851"/>
        </w:tabs>
        <w:spacing w:line="240" w:lineRule="auto"/>
        <w:jc w:val="center"/>
        <w:outlineLvl w:val="0"/>
        <w:rPr>
          <w:rFonts w:cs="Verdana"/>
          <w:b/>
          <w:bCs/>
          <w:caps/>
          <w:snapToGrid w:val="0"/>
          <w:sz w:val="20"/>
          <w:szCs w:val="20"/>
          <w:lang w:val="es-ES"/>
        </w:rPr>
      </w:pPr>
      <w:bookmarkStart w:id="1" w:name="_Toc373093233"/>
      <w:bookmarkStart w:id="2" w:name="_Toc373350045"/>
      <w:bookmarkStart w:id="3" w:name="_Toc375560891"/>
      <w:bookmarkStart w:id="4" w:name="_Toc401931877"/>
      <w:bookmarkStart w:id="5" w:name="_Toc428369976"/>
      <w:bookmarkStart w:id="6" w:name="_Toc459158092"/>
      <w:bookmarkStart w:id="7" w:name="_Toc470180032"/>
      <w:bookmarkStart w:id="8" w:name="_Toc514172589"/>
      <w:r w:rsidRPr="00975C02">
        <w:rPr>
          <w:rFonts w:cs="Verdana"/>
          <w:b/>
          <w:bCs/>
          <w:caps/>
          <w:snapToGrid w:val="0"/>
          <w:sz w:val="20"/>
          <w:szCs w:val="20"/>
          <w:lang w:val="es-ES"/>
        </w:rPr>
        <w:t>I</w:t>
      </w:r>
      <w:bookmarkStart w:id="9" w:name="_Toc375062709"/>
      <w:bookmarkStart w:id="10" w:name="_Toc375140859"/>
      <w:bookmarkStart w:id="11" w:name="_Toc375504818"/>
      <w:bookmarkStart w:id="12" w:name="_Toc375560892"/>
      <w:bookmarkEnd w:id="1"/>
      <w:bookmarkEnd w:id="2"/>
      <w:bookmarkEnd w:id="3"/>
      <w:r w:rsidRPr="00975C02">
        <w:rPr>
          <w:rFonts w:cs="Verdana"/>
          <w:b/>
          <w:bCs/>
          <w:caps/>
          <w:snapToGrid w:val="0"/>
          <w:sz w:val="20"/>
          <w:szCs w:val="20"/>
          <w:lang w:val="es-ES"/>
        </w:rPr>
        <w:br/>
        <w:t>INTRODUCCIÓN DE LA CAUSA y OBJETO DE LA CONTROVERSIA</w:t>
      </w:r>
      <w:bookmarkEnd w:id="4"/>
      <w:bookmarkEnd w:id="5"/>
      <w:bookmarkEnd w:id="6"/>
      <w:bookmarkEnd w:id="7"/>
      <w:bookmarkEnd w:id="8"/>
      <w:bookmarkEnd w:id="9"/>
      <w:bookmarkEnd w:id="10"/>
      <w:bookmarkEnd w:id="11"/>
      <w:bookmarkEnd w:id="12"/>
    </w:p>
    <w:p w14:paraId="2C481A91" w14:textId="77777777" w:rsidR="006C37C9" w:rsidRPr="00975C02" w:rsidRDefault="006C37C9" w:rsidP="006C37C9">
      <w:pPr>
        <w:spacing w:before="4" w:line="240" w:lineRule="exact"/>
        <w:rPr>
          <w:rFonts w:ascii="Calibri" w:eastAsia="Calibri" w:hAnsi="Calibri"/>
          <w:lang w:val="es-ES"/>
        </w:rPr>
      </w:pPr>
    </w:p>
    <w:p w14:paraId="6530077D" w14:textId="0DE1E44B" w:rsidR="006C37C9" w:rsidRPr="00975C02" w:rsidRDefault="006C37C9" w:rsidP="00C8070B">
      <w:pPr>
        <w:numPr>
          <w:ilvl w:val="0"/>
          <w:numId w:val="2"/>
        </w:numPr>
        <w:tabs>
          <w:tab w:val="left" w:pos="567"/>
          <w:tab w:val="num" w:pos="12305"/>
        </w:tabs>
        <w:spacing w:line="240" w:lineRule="auto"/>
        <w:ind w:left="0" w:firstLine="0"/>
        <w:rPr>
          <w:rFonts w:eastAsia="Calibri" w:cs="Arial"/>
          <w:sz w:val="20"/>
          <w:szCs w:val="20"/>
          <w:lang w:val="es-ES"/>
        </w:rPr>
      </w:pPr>
      <w:r w:rsidRPr="00975C02">
        <w:rPr>
          <w:rFonts w:eastAsia="Verdana" w:cs="Verdana"/>
          <w:i/>
          <w:sz w:val="20"/>
          <w:szCs w:val="20"/>
          <w:lang w:val="es-ES"/>
        </w:rPr>
        <w:t xml:space="preserve">El caso sometido a la Corte. – </w:t>
      </w:r>
      <w:r w:rsidR="0058113B" w:rsidRPr="00975C02">
        <w:rPr>
          <w:rFonts w:eastAsia="Verdana" w:cs="Verdana"/>
          <w:sz w:val="20"/>
          <w:szCs w:val="20"/>
          <w:lang w:val="es-ES"/>
        </w:rPr>
        <w:t>El 25</w:t>
      </w:r>
      <w:r w:rsidRPr="00975C02">
        <w:rPr>
          <w:rFonts w:eastAsia="Verdana" w:cs="Verdana"/>
          <w:sz w:val="20"/>
          <w:szCs w:val="20"/>
          <w:lang w:val="es-ES"/>
        </w:rPr>
        <w:t xml:space="preserve"> de a</w:t>
      </w:r>
      <w:r w:rsidR="0058113B" w:rsidRPr="00975C02">
        <w:rPr>
          <w:rFonts w:eastAsia="Verdana" w:cs="Verdana"/>
          <w:sz w:val="20"/>
          <w:szCs w:val="20"/>
          <w:lang w:val="es-ES"/>
        </w:rPr>
        <w:t>gosto de 2016</w:t>
      </w:r>
      <w:r w:rsidRPr="00975C02">
        <w:rPr>
          <w:rFonts w:eastAsia="Verdana" w:cs="Verdana"/>
          <w:sz w:val="20"/>
          <w:szCs w:val="20"/>
          <w:lang w:val="es-ES"/>
        </w:rPr>
        <w:t xml:space="preserve"> la Comisión Interamericana de Derechos Humanos (en adelante “la Comisión</w:t>
      </w:r>
      <w:r w:rsidR="006A1285" w:rsidRPr="00975C02">
        <w:rPr>
          <w:rFonts w:eastAsia="Verdana" w:cs="Verdana"/>
          <w:sz w:val="20"/>
          <w:szCs w:val="20"/>
          <w:lang w:val="es-ES"/>
        </w:rPr>
        <w:t xml:space="preserve"> </w:t>
      </w:r>
      <w:r w:rsidRPr="00975C02">
        <w:rPr>
          <w:rFonts w:eastAsia="Verdana" w:cs="Verdana"/>
          <w:sz w:val="20"/>
          <w:szCs w:val="20"/>
          <w:lang w:val="es-ES"/>
        </w:rPr>
        <w:t xml:space="preserve">Interamericana” o “la Comisión”) sometió a la jurisdicción de la Corte el caso </w:t>
      </w:r>
      <w:r w:rsidR="0058113B" w:rsidRPr="00975C02">
        <w:rPr>
          <w:rFonts w:eastAsia="Verdana" w:cs="Verdana"/>
          <w:i/>
          <w:sz w:val="20"/>
          <w:szCs w:val="20"/>
          <w:lang w:val="es-ES"/>
        </w:rPr>
        <w:t>“V.R.P. y V.P.C.</w:t>
      </w:r>
      <w:r w:rsidRPr="00975C02">
        <w:rPr>
          <w:rFonts w:eastAsia="Verdana" w:cs="Verdana"/>
          <w:i/>
          <w:sz w:val="20"/>
          <w:szCs w:val="20"/>
          <w:lang w:val="es-ES"/>
        </w:rPr>
        <w:t>”</w:t>
      </w:r>
      <w:r w:rsidRPr="00975C02">
        <w:rPr>
          <w:rFonts w:eastAsia="Verdana" w:cs="Verdana"/>
          <w:sz w:val="20"/>
          <w:szCs w:val="20"/>
          <w:lang w:val="es-ES"/>
        </w:rPr>
        <w:t xml:space="preserve"> contra </w:t>
      </w:r>
      <w:r w:rsidR="0058113B" w:rsidRPr="00975C02">
        <w:rPr>
          <w:rFonts w:eastAsia="Verdana" w:cs="Verdana"/>
          <w:sz w:val="20"/>
          <w:szCs w:val="20"/>
          <w:lang w:val="es-ES"/>
        </w:rPr>
        <w:t>la República de Nicaragua</w:t>
      </w:r>
      <w:r w:rsidRPr="00975C02">
        <w:rPr>
          <w:rFonts w:eastAsia="Verdana" w:cs="Verdana"/>
          <w:sz w:val="20"/>
          <w:szCs w:val="20"/>
          <w:lang w:val="es-ES"/>
        </w:rPr>
        <w:t xml:space="preserve"> (en adelante “el Estado de </w:t>
      </w:r>
      <w:r w:rsidR="0058113B" w:rsidRPr="00975C02">
        <w:rPr>
          <w:rFonts w:eastAsia="Verdana" w:cs="Verdana"/>
          <w:sz w:val="20"/>
          <w:szCs w:val="20"/>
          <w:lang w:val="es-ES"/>
        </w:rPr>
        <w:t>Nicaragua</w:t>
      </w:r>
      <w:r w:rsidRPr="00975C02">
        <w:rPr>
          <w:rFonts w:eastAsia="Verdana" w:cs="Verdana"/>
          <w:sz w:val="20"/>
          <w:szCs w:val="20"/>
          <w:lang w:val="es-ES"/>
        </w:rPr>
        <w:t>”, “el Estado” o “</w:t>
      </w:r>
      <w:r w:rsidR="0058113B" w:rsidRPr="00975C02">
        <w:rPr>
          <w:rFonts w:eastAsia="Verdana" w:cs="Verdana"/>
          <w:sz w:val="20"/>
          <w:szCs w:val="20"/>
          <w:lang w:val="es-ES"/>
        </w:rPr>
        <w:t>Nicaragua</w:t>
      </w:r>
      <w:r w:rsidRPr="00975C02">
        <w:rPr>
          <w:rFonts w:eastAsia="Verdana" w:cs="Verdana"/>
          <w:sz w:val="20"/>
          <w:szCs w:val="20"/>
          <w:lang w:val="es-ES"/>
        </w:rPr>
        <w:t>”). De acuerdo con lo indicado por la Comisión, el caso se refiere a la</w:t>
      </w:r>
      <w:r w:rsidR="00F14674" w:rsidRPr="00975C02">
        <w:rPr>
          <w:rFonts w:eastAsia="Calibri" w:cs="Arial"/>
          <w:sz w:val="20"/>
          <w:szCs w:val="20"/>
          <w:lang w:val="es-ES"/>
        </w:rPr>
        <w:t xml:space="preserve"> alegada responsabilidad internacional del Estado de Nicaragua por la supuesta falta de respuesta estatal frente a la violación sexual cometida por un actor no estatal contra una niña, quien al momento de los hechos tenía </w:t>
      </w:r>
      <w:r w:rsidR="00490BF0" w:rsidRPr="00975C02">
        <w:rPr>
          <w:rFonts w:eastAsia="Calibri" w:cs="Arial"/>
          <w:sz w:val="20"/>
          <w:szCs w:val="20"/>
          <w:lang w:val="es-ES"/>
        </w:rPr>
        <w:t>ocho</w:t>
      </w:r>
      <w:r w:rsidR="00F14674" w:rsidRPr="00975C02">
        <w:rPr>
          <w:rFonts w:eastAsia="Calibri" w:cs="Arial"/>
          <w:sz w:val="20"/>
          <w:szCs w:val="20"/>
          <w:lang w:val="es-ES"/>
        </w:rPr>
        <w:t xml:space="preserve"> años de edad y afirmó que el responsable sería su padre, </w:t>
      </w:r>
      <w:r w:rsidR="007C5E70" w:rsidRPr="00975C02">
        <w:rPr>
          <w:rFonts w:eastAsia="Calibri" w:cs="Arial"/>
          <w:sz w:val="20"/>
          <w:szCs w:val="20"/>
          <w:lang w:val="es-ES"/>
        </w:rPr>
        <w:t>así como</w:t>
      </w:r>
      <w:r w:rsidR="00F14674" w:rsidRPr="00975C02">
        <w:rPr>
          <w:rFonts w:eastAsia="Calibri" w:cs="Arial"/>
          <w:sz w:val="20"/>
          <w:szCs w:val="20"/>
          <w:lang w:val="es-ES"/>
        </w:rPr>
        <w:t xml:space="preserve"> las alegadas afectaciones a los derechos a la integridad personal, a la dignidad, vida privada y autonomía, a la igualdad y no discriminación y a la protección especial como niña, particularmente por el alegado incumplimiento del deber de investigar con la debida diligencia, en un plazo razonable y de manera acorde con una perspectiva de género y los deberes estatales reforzados derivados de la condición de niña de la víctima, toda vez que ésta habría sido gravemente revictimizada con un impacto severo en su integridad psíquica y en la de su madre y hermanos. </w:t>
      </w:r>
      <w:r w:rsidR="00050C17" w:rsidRPr="00975C02">
        <w:rPr>
          <w:rFonts w:eastAsia="Calibri" w:cs="Arial"/>
          <w:sz w:val="20"/>
          <w:szCs w:val="20"/>
          <w:lang w:val="es-ES"/>
        </w:rPr>
        <w:t>Las presuntas víctimas en este caso son</w:t>
      </w:r>
      <w:r w:rsidR="00050C17" w:rsidRPr="00975C02">
        <w:rPr>
          <w:rFonts w:eastAsia="Calibri" w:cs="Arial"/>
          <w:sz w:val="18"/>
          <w:szCs w:val="18"/>
          <w:lang w:val="es-ES"/>
        </w:rPr>
        <w:t xml:space="preserve"> </w:t>
      </w:r>
      <w:r w:rsidR="00050C17" w:rsidRPr="00975C02">
        <w:rPr>
          <w:sz w:val="20"/>
          <w:szCs w:val="20"/>
          <w:lang w:val="es-ES" w:eastAsia="en-US"/>
        </w:rPr>
        <w:t xml:space="preserve">V.R.P. y V.P.C., así como </w:t>
      </w:r>
      <w:r w:rsidR="00762232" w:rsidRPr="00975C02">
        <w:rPr>
          <w:sz w:val="20"/>
          <w:szCs w:val="20"/>
          <w:lang w:val="es-ES" w:eastAsia="en-US"/>
        </w:rPr>
        <w:t xml:space="preserve">N.R.P., </w:t>
      </w:r>
      <w:r w:rsidR="00050C17" w:rsidRPr="00975C02">
        <w:rPr>
          <w:sz w:val="20"/>
          <w:szCs w:val="20"/>
          <w:lang w:val="es-ES" w:eastAsia="en-US"/>
        </w:rPr>
        <w:t>H.</w:t>
      </w:r>
      <w:r w:rsidR="00500D8E" w:rsidRPr="00975C02">
        <w:rPr>
          <w:sz w:val="20"/>
          <w:szCs w:val="20"/>
          <w:lang w:val="es-ES" w:eastAsia="en-US"/>
        </w:rPr>
        <w:t>J.</w:t>
      </w:r>
      <w:r w:rsidR="00050C17" w:rsidRPr="00975C02">
        <w:rPr>
          <w:sz w:val="20"/>
          <w:szCs w:val="20"/>
          <w:lang w:val="es-ES" w:eastAsia="en-US"/>
        </w:rPr>
        <w:t>R.P.</w:t>
      </w:r>
      <w:r w:rsidR="00762232" w:rsidRPr="00975C02">
        <w:rPr>
          <w:sz w:val="20"/>
          <w:szCs w:val="20"/>
          <w:lang w:val="es-ES" w:eastAsia="en-US"/>
        </w:rPr>
        <w:t xml:space="preserve"> y</w:t>
      </w:r>
      <w:r w:rsidR="00050C17" w:rsidRPr="00975C02">
        <w:rPr>
          <w:sz w:val="20"/>
          <w:szCs w:val="20"/>
          <w:lang w:val="es-ES" w:eastAsia="en-US"/>
        </w:rPr>
        <w:t xml:space="preserve"> V.A.R.P.</w:t>
      </w:r>
      <w:r w:rsidR="00762232" w:rsidRPr="00975C02">
        <w:rPr>
          <w:sz w:val="20"/>
          <w:szCs w:val="20"/>
          <w:lang w:val="es-ES" w:eastAsia="en-US"/>
        </w:rPr>
        <w:t>,</w:t>
      </w:r>
      <w:r w:rsidR="00050C17" w:rsidRPr="00975C02">
        <w:rPr>
          <w:sz w:val="20"/>
          <w:szCs w:val="20"/>
          <w:lang w:val="es-ES" w:eastAsia="en-US"/>
        </w:rPr>
        <w:t xml:space="preserve"> </w:t>
      </w:r>
      <w:r w:rsidR="008C4F59" w:rsidRPr="00975C02">
        <w:rPr>
          <w:sz w:val="20"/>
          <w:szCs w:val="20"/>
          <w:lang w:val="es-ES" w:eastAsia="en-US"/>
        </w:rPr>
        <w:t>de acuerdo a las consideraciones vertidas</w:t>
      </w:r>
      <w:r w:rsidR="00050C17" w:rsidRPr="00975C02">
        <w:rPr>
          <w:sz w:val="20"/>
          <w:szCs w:val="20"/>
          <w:lang w:val="es-ES" w:eastAsia="en-US"/>
        </w:rPr>
        <w:t xml:space="preserve"> </w:t>
      </w:r>
      <w:r w:rsidR="00050C17" w:rsidRPr="00975C02">
        <w:rPr>
          <w:i/>
          <w:sz w:val="20"/>
          <w:szCs w:val="20"/>
          <w:lang w:val="es-ES" w:eastAsia="en-US"/>
        </w:rPr>
        <w:t>infra</w:t>
      </w:r>
      <w:r w:rsidR="00050C17" w:rsidRPr="00975C02">
        <w:rPr>
          <w:sz w:val="20"/>
          <w:szCs w:val="20"/>
          <w:lang w:val="es-ES" w:eastAsia="en-US"/>
        </w:rPr>
        <w:t xml:space="preserve"> en el capítulo relativo a las consideraciones previas</w:t>
      </w:r>
      <w:r w:rsidR="00050C17" w:rsidRPr="00975C02">
        <w:rPr>
          <w:i/>
          <w:sz w:val="20"/>
          <w:szCs w:val="20"/>
          <w:lang w:val="es-ES" w:eastAsia="en-US"/>
        </w:rPr>
        <w:t>.</w:t>
      </w:r>
    </w:p>
    <w:p w14:paraId="7E9C25F1" w14:textId="77777777" w:rsidR="006C37C9" w:rsidRPr="00975C02" w:rsidRDefault="006C37C9" w:rsidP="006C37C9">
      <w:pPr>
        <w:tabs>
          <w:tab w:val="left" w:pos="567"/>
        </w:tabs>
        <w:spacing w:line="240" w:lineRule="auto"/>
        <w:rPr>
          <w:rFonts w:eastAsia="Calibri" w:cs="Arial"/>
          <w:sz w:val="20"/>
          <w:szCs w:val="20"/>
          <w:lang w:val="es-ES"/>
        </w:rPr>
      </w:pPr>
    </w:p>
    <w:p w14:paraId="47687F18" w14:textId="77777777" w:rsidR="006C37C9" w:rsidRPr="00975C02" w:rsidRDefault="006C37C9" w:rsidP="00C8070B">
      <w:pPr>
        <w:numPr>
          <w:ilvl w:val="0"/>
          <w:numId w:val="2"/>
        </w:numPr>
        <w:tabs>
          <w:tab w:val="left" w:pos="567"/>
          <w:tab w:val="num" w:pos="12305"/>
        </w:tabs>
        <w:spacing w:line="240" w:lineRule="auto"/>
        <w:ind w:left="0" w:firstLine="0"/>
        <w:rPr>
          <w:rFonts w:eastAsia="Calibri" w:cs="Arial"/>
          <w:sz w:val="20"/>
          <w:szCs w:val="20"/>
          <w:lang w:val="es-ES"/>
        </w:rPr>
      </w:pPr>
      <w:r w:rsidRPr="00975C02">
        <w:rPr>
          <w:rFonts w:eastAsia="Verdana" w:cs="Verdana"/>
          <w:i/>
          <w:sz w:val="20"/>
          <w:szCs w:val="20"/>
          <w:lang w:val="es-ES"/>
        </w:rPr>
        <w:t xml:space="preserve">Trámite ante la Comisión. – </w:t>
      </w:r>
      <w:r w:rsidRPr="00975C02">
        <w:rPr>
          <w:rFonts w:eastAsia="Verdana" w:cs="Verdana"/>
          <w:sz w:val="20"/>
          <w:szCs w:val="20"/>
          <w:lang w:val="es-ES"/>
        </w:rPr>
        <w:t>El trámite ante la Comisión fue el siguiente:</w:t>
      </w:r>
    </w:p>
    <w:p w14:paraId="0EE08EF8" w14:textId="77777777" w:rsidR="006C37C9" w:rsidRPr="00975C02" w:rsidRDefault="006C37C9" w:rsidP="006C37C9">
      <w:pPr>
        <w:spacing w:line="240" w:lineRule="auto"/>
        <w:rPr>
          <w:rFonts w:eastAsia="Calibri"/>
          <w:sz w:val="20"/>
          <w:szCs w:val="20"/>
          <w:lang w:val="es-ES"/>
        </w:rPr>
      </w:pPr>
    </w:p>
    <w:p w14:paraId="57D96C00" w14:textId="64F50344" w:rsidR="006C37C9" w:rsidRPr="00975C02" w:rsidRDefault="006C37C9" w:rsidP="00C8070B">
      <w:pPr>
        <w:numPr>
          <w:ilvl w:val="0"/>
          <w:numId w:val="3"/>
        </w:numPr>
        <w:adjustRightInd/>
        <w:spacing w:after="200" w:line="240" w:lineRule="auto"/>
        <w:ind w:right="144"/>
        <w:contextualSpacing/>
        <w:textAlignment w:val="auto"/>
        <w:rPr>
          <w:rFonts w:eastAsia="Verdana" w:cs="Verdana"/>
          <w:sz w:val="20"/>
          <w:szCs w:val="20"/>
          <w:lang w:val="es-ES"/>
        </w:rPr>
      </w:pPr>
      <w:r w:rsidRPr="00975C02">
        <w:rPr>
          <w:rFonts w:eastAsia="Verdana" w:cs="Verdana"/>
          <w:i/>
          <w:sz w:val="20"/>
          <w:szCs w:val="20"/>
          <w:lang w:val="es-ES"/>
        </w:rPr>
        <w:t xml:space="preserve">Petición. – </w:t>
      </w:r>
      <w:r w:rsidRPr="00975C02">
        <w:rPr>
          <w:rFonts w:eastAsia="Verdana" w:cs="Verdana"/>
          <w:sz w:val="20"/>
          <w:szCs w:val="20"/>
          <w:lang w:val="es-ES"/>
        </w:rPr>
        <w:t xml:space="preserve">El </w:t>
      </w:r>
      <w:r w:rsidR="00F14674" w:rsidRPr="00975C02">
        <w:rPr>
          <w:rFonts w:eastAsia="Verdana" w:cs="Verdana"/>
          <w:sz w:val="20"/>
          <w:szCs w:val="20"/>
          <w:lang w:val="es-ES"/>
        </w:rPr>
        <w:t>28</w:t>
      </w:r>
      <w:r w:rsidRPr="00975C02">
        <w:rPr>
          <w:rFonts w:eastAsia="Verdana" w:cs="Verdana"/>
          <w:sz w:val="20"/>
          <w:szCs w:val="20"/>
          <w:lang w:val="es-ES"/>
        </w:rPr>
        <w:t xml:space="preserve"> de </w:t>
      </w:r>
      <w:r w:rsidR="00F14674" w:rsidRPr="00975C02">
        <w:rPr>
          <w:rFonts w:eastAsia="Verdana" w:cs="Verdana"/>
          <w:sz w:val="20"/>
          <w:szCs w:val="20"/>
          <w:lang w:val="es-ES"/>
        </w:rPr>
        <w:t>octubre</w:t>
      </w:r>
      <w:r w:rsidRPr="00975C02">
        <w:rPr>
          <w:rFonts w:eastAsia="Verdana" w:cs="Verdana"/>
          <w:sz w:val="20"/>
          <w:szCs w:val="20"/>
          <w:lang w:val="es-ES"/>
        </w:rPr>
        <w:t xml:space="preserve"> d</w:t>
      </w:r>
      <w:r w:rsidR="00F14674" w:rsidRPr="00975C02">
        <w:rPr>
          <w:rFonts w:eastAsia="Verdana" w:cs="Verdana"/>
          <w:sz w:val="20"/>
          <w:szCs w:val="20"/>
          <w:lang w:val="es-ES"/>
        </w:rPr>
        <w:t>e 2002</w:t>
      </w:r>
      <w:r w:rsidRPr="00975C02">
        <w:rPr>
          <w:rFonts w:eastAsia="Verdana" w:cs="Verdana"/>
          <w:sz w:val="20"/>
          <w:szCs w:val="20"/>
          <w:lang w:val="es-ES"/>
        </w:rPr>
        <w:t xml:space="preserve"> </w:t>
      </w:r>
      <w:r w:rsidR="00F14674" w:rsidRPr="00975C02">
        <w:rPr>
          <w:rFonts w:eastAsia="Verdana" w:cs="Verdana"/>
          <w:sz w:val="20"/>
          <w:szCs w:val="20"/>
          <w:lang w:val="es-ES"/>
        </w:rPr>
        <w:t>la señora V.P.C.</w:t>
      </w:r>
      <w:r w:rsidRPr="00975C02">
        <w:rPr>
          <w:rFonts w:eastAsia="Verdana" w:cs="Verdana"/>
          <w:sz w:val="20"/>
          <w:szCs w:val="20"/>
          <w:lang w:val="es-ES"/>
        </w:rPr>
        <w:t xml:space="preserve"> (en adelante “</w:t>
      </w:r>
      <w:r w:rsidR="00F14674" w:rsidRPr="00975C02">
        <w:rPr>
          <w:rFonts w:eastAsia="Verdana" w:cs="Verdana"/>
          <w:sz w:val="20"/>
          <w:szCs w:val="20"/>
          <w:lang w:val="es-ES"/>
        </w:rPr>
        <w:t>la peticionaria</w:t>
      </w:r>
      <w:r w:rsidRPr="00975C02">
        <w:rPr>
          <w:rFonts w:eastAsia="Verdana" w:cs="Verdana"/>
          <w:sz w:val="20"/>
          <w:szCs w:val="20"/>
          <w:lang w:val="es-ES"/>
        </w:rPr>
        <w:t>”</w:t>
      </w:r>
      <w:r w:rsidR="00E51B99" w:rsidRPr="00975C02">
        <w:rPr>
          <w:rFonts w:eastAsia="Verdana" w:cs="Verdana"/>
          <w:sz w:val="20"/>
          <w:szCs w:val="20"/>
          <w:lang w:val="es-ES"/>
        </w:rPr>
        <w:t xml:space="preserve"> o “presunta víctima”</w:t>
      </w:r>
      <w:r w:rsidRPr="00975C02">
        <w:rPr>
          <w:rFonts w:eastAsia="Verdana" w:cs="Verdana"/>
          <w:sz w:val="20"/>
          <w:szCs w:val="20"/>
          <w:lang w:val="es-ES"/>
        </w:rPr>
        <w:t>) presentó la petición inicial ante la Comisión</w:t>
      </w:r>
      <w:r w:rsidR="009647EB" w:rsidRPr="00975C02">
        <w:rPr>
          <w:rFonts w:eastAsia="Verdana" w:cs="Verdana"/>
          <w:sz w:val="20"/>
          <w:szCs w:val="20"/>
          <w:lang w:val="es-ES"/>
        </w:rPr>
        <w:t>,</w:t>
      </w:r>
      <w:r w:rsidR="000F5ADD" w:rsidRPr="00975C02">
        <w:rPr>
          <w:rFonts w:eastAsia="Verdana" w:cs="Verdana"/>
          <w:sz w:val="20"/>
          <w:szCs w:val="20"/>
          <w:lang w:val="es-ES"/>
        </w:rPr>
        <w:t xml:space="preserve"> en la cual alegó la responsabilidad internacional de Nicaragua por las </w:t>
      </w:r>
      <w:r w:rsidR="009647EB" w:rsidRPr="00975C02">
        <w:rPr>
          <w:rFonts w:eastAsia="Verdana" w:cs="Verdana"/>
          <w:sz w:val="20"/>
          <w:szCs w:val="20"/>
          <w:lang w:val="es-ES"/>
        </w:rPr>
        <w:t xml:space="preserve">supuestas </w:t>
      </w:r>
      <w:r w:rsidR="000F5ADD" w:rsidRPr="00975C02">
        <w:rPr>
          <w:rFonts w:eastAsia="Verdana" w:cs="Verdana"/>
          <w:sz w:val="20"/>
          <w:szCs w:val="20"/>
          <w:lang w:val="es-ES"/>
        </w:rPr>
        <w:t xml:space="preserve">irregularidades y situación de impunidad en el proceso penal seguido por el delito de violación sexual </w:t>
      </w:r>
      <w:r w:rsidR="005E1A6C" w:rsidRPr="00975C02">
        <w:rPr>
          <w:rFonts w:eastAsia="Verdana" w:cs="Verdana"/>
          <w:sz w:val="20"/>
          <w:szCs w:val="20"/>
          <w:lang w:val="es-ES"/>
        </w:rPr>
        <w:t xml:space="preserve">cometido </w:t>
      </w:r>
      <w:r w:rsidR="000F5ADD" w:rsidRPr="00975C02">
        <w:rPr>
          <w:rFonts w:eastAsia="Verdana" w:cs="Verdana"/>
          <w:sz w:val="20"/>
          <w:szCs w:val="20"/>
          <w:lang w:val="es-ES"/>
        </w:rPr>
        <w:t>en contra de la niña V.R.P</w:t>
      </w:r>
      <w:r w:rsidRPr="00975C02">
        <w:rPr>
          <w:rFonts w:eastAsia="Verdana" w:cs="Verdana"/>
          <w:sz w:val="20"/>
          <w:szCs w:val="20"/>
          <w:lang w:val="es-ES"/>
        </w:rPr>
        <w:t>.</w:t>
      </w:r>
      <w:r w:rsidR="000F5ADD" w:rsidRPr="00975C02">
        <w:rPr>
          <w:rFonts w:eastAsia="Verdana" w:cs="Verdana"/>
          <w:sz w:val="20"/>
          <w:szCs w:val="20"/>
          <w:lang w:val="es-ES"/>
        </w:rPr>
        <w:t xml:space="preserve"> (en adelante “la presunta víctima”)</w:t>
      </w:r>
      <w:r w:rsidR="00DF5313" w:rsidRPr="00975C02">
        <w:rPr>
          <w:rFonts w:eastAsia="Verdana" w:cs="Verdana"/>
          <w:sz w:val="20"/>
          <w:szCs w:val="20"/>
          <w:lang w:val="es-ES"/>
        </w:rPr>
        <w:t>.</w:t>
      </w:r>
    </w:p>
    <w:p w14:paraId="4B1126C6" w14:textId="77777777" w:rsidR="006C37C9" w:rsidRPr="00975C02" w:rsidRDefault="006C37C9" w:rsidP="006C37C9">
      <w:pPr>
        <w:spacing w:line="240" w:lineRule="auto"/>
        <w:ind w:left="818" w:right="144"/>
        <w:contextualSpacing/>
        <w:rPr>
          <w:rFonts w:eastAsia="Verdana" w:cs="Verdana"/>
          <w:sz w:val="20"/>
          <w:szCs w:val="20"/>
          <w:lang w:val="es-ES"/>
        </w:rPr>
      </w:pPr>
    </w:p>
    <w:p w14:paraId="6C094D8C" w14:textId="3428F90B" w:rsidR="006C37C9" w:rsidRPr="00975C02" w:rsidRDefault="006C37C9" w:rsidP="00C8070B">
      <w:pPr>
        <w:numPr>
          <w:ilvl w:val="0"/>
          <w:numId w:val="3"/>
        </w:numPr>
        <w:adjustRightInd/>
        <w:spacing w:after="200" w:line="240" w:lineRule="auto"/>
        <w:ind w:right="144"/>
        <w:contextualSpacing/>
        <w:textAlignment w:val="auto"/>
        <w:rPr>
          <w:rFonts w:eastAsia="Verdana" w:cs="Verdana"/>
          <w:sz w:val="20"/>
          <w:szCs w:val="20"/>
          <w:lang w:val="es-ES"/>
        </w:rPr>
      </w:pPr>
      <w:r w:rsidRPr="00975C02">
        <w:rPr>
          <w:rFonts w:eastAsia="Verdana" w:cs="Verdana"/>
          <w:i/>
          <w:sz w:val="20"/>
          <w:szCs w:val="20"/>
          <w:lang w:val="es-ES"/>
        </w:rPr>
        <w:t xml:space="preserve">Informe de Admisibilidad. – </w:t>
      </w:r>
      <w:r w:rsidRPr="00975C02">
        <w:rPr>
          <w:rFonts w:eastAsia="Verdana" w:cs="Verdana"/>
          <w:sz w:val="20"/>
          <w:szCs w:val="20"/>
          <w:lang w:val="es-ES"/>
        </w:rPr>
        <w:t xml:space="preserve">El </w:t>
      </w:r>
      <w:r w:rsidR="000F5ADD" w:rsidRPr="00975C02">
        <w:rPr>
          <w:rFonts w:eastAsia="Verdana" w:cs="Verdana"/>
          <w:sz w:val="20"/>
          <w:szCs w:val="20"/>
          <w:lang w:val="es-ES"/>
        </w:rPr>
        <w:t>11</w:t>
      </w:r>
      <w:r w:rsidRPr="00975C02">
        <w:rPr>
          <w:rFonts w:eastAsia="Verdana" w:cs="Verdana"/>
          <w:sz w:val="20"/>
          <w:szCs w:val="20"/>
          <w:lang w:val="es-ES"/>
        </w:rPr>
        <w:t xml:space="preserve"> de </w:t>
      </w:r>
      <w:r w:rsidR="000F5ADD" w:rsidRPr="00975C02">
        <w:rPr>
          <w:rFonts w:eastAsia="Verdana" w:cs="Verdana"/>
          <w:sz w:val="20"/>
          <w:szCs w:val="20"/>
          <w:lang w:val="es-ES"/>
        </w:rPr>
        <w:t>febrero de 2009</w:t>
      </w:r>
      <w:r w:rsidRPr="00975C02">
        <w:rPr>
          <w:rFonts w:eastAsia="Verdana" w:cs="Verdana"/>
          <w:sz w:val="20"/>
          <w:szCs w:val="20"/>
          <w:lang w:val="es-ES"/>
        </w:rPr>
        <w:t xml:space="preserve"> la Comisión aprobó el Informe de </w:t>
      </w:r>
      <w:r w:rsidRPr="00975C02">
        <w:rPr>
          <w:rFonts w:eastAsia="Verdana" w:cs="Verdana"/>
          <w:position w:val="-1"/>
          <w:sz w:val="20"/>
          <w:szCs w:val="20"/>
          <w:lang w:val="es-ES"/>
        </w:rPr>
        <w:t xml:space="preserve">Admisibilidad No. </w:t>
      </w:r>
      <w:r w:rsidR="000F5ADD" w:rsidRPr="00975C02">
        <w:rPr>
          <w:rFonts w:eastAsia="Verdana" w:cs="Verdana"/>
          <w:position w:val="-1"/>
          <w:sz w:val="20"/>
          <w:szCs w:val="20"/>
          <w:lang w:val="es-ES"/>
        </w:rPr>
        <w:t>3/09</w:t>
      </w:r>
      <w:r w:rsidRPr="00975C02">
        <w:rPr>
          <w:rFonts w:eastAsia="Verdana" w:cs="Verdana"/>
          <w:position w:val="-1"/>
          <w:sz w:val="20"/>
          <w:szCs w:val="20"/>
          <w:lang w:val="es-ES"/>
        </w:rPr>
        <w:t xml:space="preserve"> </w:t>
      </w:r>
      <w:r w:rsidRPr="00975C02">
        <w:rPr>
          <w:rFonts w:cs="Verdana"/>
          <w:sz w:val="20"/>
          <w:szCs w:val="20"/>
          <w:lang w:val="es-ES"/>
        </w:rPr>
        <w:t xml:space="preserve">en el que concluyó que la petición </w:t>
      </w:r>
      <w:r w:rsidR="003A6303" w:rsidRPr="00975C02">
        <w:rPr>
          <w:rFonts w:cs="Verdana"/>
          <w:sz w:val="20"/>
          <w:szCs w:val="20"/>
          <w:lang w:val="es-ES"/>
        </w:rPr>
        <w:t>4408-02</w:t>
      </w:r>
      <w:r w:rsidRPr="00975C02">
        <w:rPr>
          <w:rFonts w:cs="Verdana"/>
          <w:sz w:val="20"/>
          <w:szCs w:val="20"/>
          <w:lang w:val="es-ES"/>
        </w:rPr>
        <w:t xml:space="preserve"> era admisible</w:t>
      </w:r>
      <w:r w:rsidRPr="00975C02">
        <w:rPr>
          <w:rStyle w:val="FootnoteReference"/>
          <w:rFonts w:eastAsia="Verdana" w:cs="Verdana"/>
          <w:position w:val="-1"/>
          <w:sz w:val="20"/>
          <w:szCs w:val="20"/>
          <w:lang w:val="es-ES"/>
        </w:rPr>
        <w:footnoteReference w:id="3"/>
      </w:r>
      <w:r w:rsidRPr="00975C02">
        <w:rPr>
          <w:rFonts w:eastAsia="Verdana" w:cs="Verdana"/>
          <w:position w:val="-1"/>
          <w:sz w:val="20"/>
          <w:szCs w:val="20"/>
          <w:lang w:val="es-ES"/>
        </w:rPr>
        <w:t>.</w:t>
      </w:r>
    </w:p>
    <w:p w14:paraId="3BF0E8F9" w14:textId="77777777" w:rsidR="006C37C9" w:rsidRPr="00975C02" w:rsidRDefault="006C37C9" w:rsidP="006C37C9">
      <w:pPr>
        <w:spacing w:line="240" w:lineRule="auto"/>
        <w:ind w:left="818" w:right="144"/>
        <w:contextualSpacing/>
        <w:rPr>
          <w:rFonts w:eastAsia="Verdana" w:cs="Verdana"/>
          <w:sz w:val="20"/>
          <w:szCs w:val="20"/>
          <w:lang w:val="es-ES"/>
        </w:rPr>
      </w:pPr>
    </w:p>
    <w:p w14:paraId="24266EB4" w14:textId="77777777" w:rsidR="006C37C9" w:rsidRPr="00975C02" w:rsidRDefault="006C37C9" w:rsidP="00C8070B">
      <w:pPr>
        <w:numPr>
          <w:ilvl w:val="0"/>
          <w:numId w:val="3"/>
        </w:numPr>
        <w:adjustRightInd/>
        <w:spacing w:after="200" w:line="240" w:lineRule="auto"/>
        <w:ind w:right="144"/>
        <w:contextualSpacing/>
        <w:textAlignment w:val="auto"/>
        <w:rPr>
          <w:rFonts w:eastAsia="Verdana" w:cs="Verdana"/>
          <w:sz w:val="20"/>
          <w:szCs w:val="20"/>
          <w:lang w:val="es-ES"/>
        </w:rPr>
      </w:pPr>
      <w:r w:rsidRPr="00975C02">
        <w:rPr>
          <w:rFonts w:eastAsia="Verdana" w:cs="Verdana"/>
          <w:i/>
          <w:sz w:val="20"/>
          <w:szCs w:val="20"/>
          <w:lang w:val="es-ES"/>
        </w:rPr>
        <w:t xml:space="preserve">Informe de Fondo. – </w:t>
      </w:r>
      <w:r w:rsidR="003A6303" w:rsidRPr="00975C02">
        <w:rPr>
          <w:rFonts w:eastAsia="Verdana" w:cs="Verdana"/>
          <w:sz w:val="20"/>
          <w:szCs w:val="20"/>
          <w:lang w:val="es-ES"/>
        </w:rPr>
        <w:t>El 13</w:t>
      </w:r>
      <w:r w:rsidRPr="00975C02">
        <w:rPr>
          <w:rFonts w:eastAsia="Verdana" w:cs="Verdana"/>
          <w:sz w:val="20"/>
          <w:szCs w:val="20"/>
          <w:lang w:val="es-ES"/>
        </w:rPr>
        <w:t xml:space="preserve"> de a</w:t>
      </w:r>
      <w:r w:rsidR="003A6303" w:rsidRPr="00975C02">
        <w:rPr>
          <w:rFonts w:eastAsia="Verdana" w:cs="Verdana"/>
          <w:sz w:val="20"/>
          <w:szCs w:val="20"/>
          <w:lang w:val="es-ES"/>
        </w:rPr>
        <w:t>bril de 2016</w:t>
      </w:r>
      <w:r w:rsidRPr="00975C02">
        <w:rPr>
          <w:rFonts w:eastAsia="Verdana" w:cs="Verdana"/>
          <w:sz w:val="20"/>
          <w:szCs w:val="20"/>
          <w:lang w:val="es-ES"/>
        </w:rPr>
        <w:t xml:space="preserve"> la Comisión aprobó el Informe de Fondo No. </w:t>
      </w:r>
      <w:r w:rsidR="003A6303" w:rsidRPr="00975C02">
        <w:rPr>
          <w:rFonts w:eastAsia="Verdana" w:cs="Verdana"/>
          <w:sz w:val="20"/>
          <w:szCs w:val="20"/>
          <w:lang w:val="es-ES"/>
        </w:rPr>
        <w:t>4/16</w:t>
      </w:r>
      <w:r w:rsidRPr="00975C02">
        <w:rPr>
          <w:rFonts w:eastAsia="Verdana" w:cs="Verdana"/>
          <w:sz w:val="20"/>
          <w:szCs w:val="20"/>
          <w:lang w:val="es-ES"/>
        </w:rPr>
        <w:t xml:space="preserve">, de conformidad con el artículo 50 de la Convención (en adelante también “el </w:t>
      </w:r>
      <w:r w:rsidR="00C00A35" w:rsidRPr="00975C02">
        <w:rPr>
          <w:rFonts w:eastAsia="Verdana" w:cs="Verdana"/>
          <w:sz w:val="20"/>
          <w:szCs w:val="20"/>
          <w:lang w:val="es-ES"/>
        </w:rPr>
        <w:t>I</w:t>
      </w:r>
      <w:r w:rsidRPr="00975C02">
        <w:rPr>
          <w:rFonts w:eastAsia="Verdana" w:cs="Verdana"/>
          <w:sz w:val="20"/>
          <w:szCs w:val="20"/>
          <w:lang w:val="es-ES"/>
        </w:rPr>
        <w:t xml:space="preserve">nforme de </w:t>
      </w:r>
      <w:r w:rsidR="00C00A35" w:rsidRPr="00975C02">
        <w:rPr>
          <w:rFonts w:eastAsia="Verdana" w:cs="Verdana"/>
          <w:sz w:val="20"/>
          <w:szCs w:val="20"/>
          <w:lang w:val="es-ES"/>
        </w:rPr>
        <w:t>F</w:t>
      </w:r>
      <w:r w:rsidRPr="00975C02">
        <w:rPr>
          <w:rFonts w:eastAsia="Verdana" w:cs="Verdana"/>
          <w:sz w:val="20"/>
          <w:szCs w:val="20"/>
          <w:lang w:val="es-ES"/>
        </w:rPr>
        <w:t xml:space="preserve">ondo” o “el </w:t>
      </w:r>
      <w:r w:rsidR="00C00A35" w:rsidRPr="00975C02">
        <w:rPr>
          <w:rFonts w:eastAsia="Verdana" w:cs="Verdana"/>
          <w:sz w:val="20"/>
          <w:szCs w:val="20"/>
          <w:lang w:val="es-ES"/>
        </w:rPr>
        <w:t>I</w:t>
      </w:r>
      <w:r w:rsidRPr="00975C02">
        <w:rPr>
          <w:rFonts w:eastAsia="Verdana" w:cs="Verdana"/>
          <w:sz w:val="20"/>
          <w:szCs w:val="20"/>
          <w:lang w:val="es-ES"/>
        </w:rPr>
        <w:t xml:space="preserve">nforme No. </w:t>
      </w:r>
      <w:r w:rsidR="003A6303" w:rsidRPr="00975C02">
        <w:rPr>
          <w:rFonts w:eastAsia="Verdana" w:cs="Verdana"/>
          <w:sz w:val="20"/>
          <w:szCs w:val="20"/>
          <w:lang w:val="es-ES"/>
        </w:rPr>
        <w:t>4/16</w:t>
      </w:r>
      <w:r w:rsidRPr="00975C02">
        <w:rPr>
          <w:rFonts w:eastAsia="Verdana" w:cs="Verdana"/>
          <w:sz w:val="20"/>
          <w:szCs w:val="20"/>
          <w:lang w:val="es-ES"/>
        </w:rPr>
        <w:t>”), en el cual llegó a una serie de conclusiones y formuló varias recomendaciones al Estado.</w:t>
      </w:r>
    </w:p>
    <w:p w14:paraId="7171A57C" w14:textId="0E0FB82A" w:rsidR="006C37C9" w:rsidRPr="00975C02" w:rsidRDefault="006C37C9" w:rsidP="00C8070B">
      <w:pPr>
        <w:pStyle w:val="ListParagraph"/>
        <w:numPr>
          <w:ilvl w:val="0"/>
          <w:numId w:val="4"/>
        </w:numPr>
        <w:adjustRightInd/>
        <w:spacing w:line="240" w:lineRule="auto"/>
        <w:ind w:right="148"/>
        <w:contextualSpacing/>
        <w:textAlignment w:val="auto"/>
        <w:rPr>
          <w:rFonts w:eastAsia="Verdana" w:cs="Verdana"/>
          <w:sz w:val="20"/>
          <w:szCs w:val="20"/>
          <w:lang w:val="es-ES"/>
        </w:rPr>
      </w:pPr>
      <w:r w:rsidRPr="00975C02">
        <w:rPr>
          <w:rFonts w:eastAsia="Verdana" w:cs="Verdana"/>
          <w:i/>
          <w:sz w:val="20"/>
          <w:szCs w:val="20"/>
          <w:lang w:val="es-ES"/>
        </w:rPr>
        <w:t xml:space="preserve">Conclusiones. – </w:t>
      </w:r>
      <w:r w:rsidRPr="00975C02">
        <w:rPr>
          <w:rFonts w:eastAsia="Verdana" w:cs="Verdana"/>
          <w:sz w:val="20"/>
          <w:szCs w:val="20"/>
          <w:lang w:val="es-ES"/>
        </w:rPr>
        <w:t>La Comisión concluyó que el Estado era responsable por “</w:t>
      </w:r>
      <w:r w:rsidR="003A6303" w:rsidRPr="00975C02">
        <w:rPr>
          <w:rFonts w:eastAsia="Verdana" w:cs="Verdana"/>
          <w:sz w:val="20"/>
          <w:szCs w:val="20"/>
          <w:lang w:val="es-ES"/>
        </w:rPr>
        <w:t>la violación de los derechos establecidos</w:t>
      </w:r>
      <w:r w:rsidRPr="00975C02">
        <w:rPr>
          <w:rFonts w:eastAsia="Verdana" w:cs="Verdana"/>
          <w:sz w:val="20"/>
          <w:szCs w:val="20"/>
          <w:lang w:val="es-ES"/>
        </w:rPr>
        <w:t xml:space="preserve"> en </w:t>
      </w:r>
      <w:r w:rsidR="003A6303" w:rsidRPr="00975C02">
        <w:rPr>
          <w:sz w:val="20"/>
          <w:szCs w:val="20"/>
          <w:lang w:val="es-ES"/>
        </w:rPr>
        <w:t>los artículos 5, 8</w:t>
      </w:r>
      <w:r w:rsidRPr="00975C02">
        <w:rPr>
          <w:sz w:val="20"/>
          <w:szCs w:val="20"/>
          <w:lang w:val="es-ES"/>
        </w:rPr>
        <w:t xml:space="preserve">, 11, </w:t>
      </w:r>
      <w:r w:rsidR="003A6303" w:rsidRPr="00975C02">
        <w:rPr>
          <w:sz w:val="20"/>
          <w:szCs w:val="20"/>
          <w:lang w:val="es-ES"/>
        </w:rPr>
        <w:t>19</w:t>
      </w:r>
      <w:r w:rsidRPr="00975C02">
        <w:rPr>
          <w:sz w:val="20"/>
          <w:szCs w:val="20"/>
          <w:lang w:val="es-ES"/>
        </w:rPr>
        <w:t xml:space="preserve">, </w:t>
      </w:r>
      <w:r w:rsidR="003A6303" w:rsidRPr="00975C02">
        <w:rPr>
          <w:sz w:val="20"/>
          <w:szCs w:val="20"/>
          <w:lang w:val="es-ES"/>
        </w:rPr>
        <w:t>24 y 25</w:t>
      </w:r>
      <w:r w:rsidRPr="00975C02">
        <w:rPr>
          <w:sz w:val="20"/>
          <w:szCs w:val="20"/>
          <w:lang w:val="es-ES"/>
        </w:rPr>
        <w:t xml:space="preserve"> de la Convención Americana, en relación con el artículo 1.1 del mismo instrumento</w:t>
      </w:r>
      <w:r w:rsidR="003A6303" w:rsidRPr="00975C02">
        <w:rPr>
          <w:sz w:val="20"/>
          <w:szCs w:val="20"/>
          <w:lang w:val="es-ES"/>
        </w:rPr>
        <w:t>; y del artículo 7.b) de la</w:t>
      </w:r>
      <w:r w:rsidR="00C9501F" w:rsidRPr="00975C02">
        <w:rPr>
          <w:sz w:val="20"/>
          <w:szCs w:val="20"/>
          <w:lang w:val="es-ES"/>
        </w:rPr>
        <w:t xml:space="preserve"> [</w:t>
      </w:r>
      <w:r w:rsidR="00C9501F" w:rsidRPr="00975C02">
        <w:rPr>
          <w:rFonts w:cstheme="minorBidi"/>
          <w:sz w:val="20"/>
          <w:szCs w:val="20"/>
          <w:lang w:val="es-ES" w:eastAsia="en-US"/>
        </w:rPr>
        <w:t>Convención Interamericana para Prevenir, Sancionar y Erradicar la Violencia contra la Mujer o</w:t>
      </w:r>
      <w:r w:rsidR="00C9501F" w:rsidRPr="00975C02">
        <w:rPr>
          <w:sz w:val="20"/>
          <w:szCs w:val="20"/>
          <w:lang w:val="es-ES"/>
        </w:rPr>
        <w:t>]</w:t>
      </w:r>
      <w:r w:rsidR="003A6303" w:rsidRPr="00975C02">
        <w:rPr>
          <w:sz w:val="20"/>
          <w:szCs w:val="20"/>
          <w:lang w:val="es-ES"/>
        </w:rPr>
        <w:t xml:space="preserve"> Convención</w:t>
      </w:r>
      <w:r w:rsidR="009647EB" w:rsidRPr="00975C02">
        <w:rPr>
          <w:sz w:val="20"/>
          <w:szCs w:val="20"/>
          <w:lang w:val="es-ES"/>
        </w:rPr>
        <w:t xml:space="preserve"> de</w:t>
      </w:r>
      <w:r w:rsidR="003A6303" w:rsidRPr="00975C02">
        <w:rPr>
          <w:sz w:val="20"/>
          <w:szCs w:val="20"/>
          <w:lang w:val="es-ES"/>
        </w:rPr>
        <w:t xml:space="preserve"> Belém do Pará</w:t>
      </w:r>
      <w:r w:rsidRPr="00975C02">
        <w:rPr>
          <w:sz w:val="20"/>
          <w:szCs w:val="20"/>
          <w:lang w:val="es-ES"/>
        </w:rPr>
        <w:t xml:space="preserve">, en perjuicio </w:t>
      </w:r>
      <w:r w:rsidR="005F1B7E" w:rsidRPr="00975C02">
        <w:rPr>
          <w:sz w:val="20"/>
          <w:szCs w:val="20"/>
          <w:lang w:val="es-ES"/>
        </w:rPr>
        <w:t>de las personas que se indican en cada una de las secciones del […] informe</w:t>
      </w:r>
      <w:r w:rsidR="003A6303" w:rsidRPr="00975C02">
        <w:rPr>
          <w:sz w:val="20"/>
          <w:szCs w:val="20"/>
          <w:lang w:val="es-ES"/>
        </w:rPr>
        <w:t>”</w:t>
      </w:r>
      <w:r w:rsidR="00DF5313" w:rsidRPr="00975C02">
        <w:rPr>
          <w:sz w:val="20"/>
          <w:szCs w:val="20"/>
          <w:lang w:val="es-ES"/>
        </w:rPr>
        <w:t>.</w:t>
      </w:r>
    </w:p>
    <w:p w14:paraId="2FE68BCC" w14:textId="77777777" w:rsidR="006C37C9" w:rsidRPr="00975C02" w:rsidRDefault="006C37C9" w:rsidP="006C37C9">
      <w:pPr>
        <w:pStyle w:val="ListParagraph"/>
        <w:spacing w:line="240" w:lineRule="auto"/>
        <w:ind w:left="1900" w:right="148"/>
        <w:rPr>
          <w:rFonts w:eastAsia="Verdana" w:cs="Verdana"/>
          <w:sz w:val="20"/>
          <w:szCs w:val="20"/>
          <w:lang w:val="es-ES"/>
        </w:rPr>
      </w:pPr>
    </w:p>
    <w:p w14:paraId="3A8DCD6D" w14:textId="77777777" w:rsidR="006C37C9" w:rsidRPr="00975C02" w:rsidRDefault="006C37C9" w:rsidP="00C8070B">
      <w:pPr>
        <w:pStyle w:val="ListParagraph"/>
        <w:numPr>
          <w:ilvl w:val="0"/>
          <w:numId w:val="4"/>
        </w:numPr>
        <w:adjustRightInd/>
        <w:spacing w:line="240" w:lineRule="auto"/>
        <w:ind w:right="148"/>
        <w:contextualSpacing/>
        <w:textAlignment w:val="auto"/>
        <w:rPr>
          <w:rFonts w:eastAsia="Verdana" w:cs="Verdana"/>
          <w:sz w:val="20"/>
          <w:szCs w:val="20"/>
          <w:lang w:val="es-ES"/>
        </w:rPr>
      </w:pPr>
      <w:r w:rsidRPr="00975C02">
        <w:rPr>
          <w:rFonts w:eastAsia="Verdana" w:cs="Verdana"/>
          <w:i/>
          <w:sz w:val="20"/>
          <w:szCs w:val="20"/>
          <w:lang w:val="es-ES"/>
        </w:rPr>
        <w:t xml:space="preserve">Recomendaciones. – </w:t>
      </w:r>
      <w:r w:rsidRPr="00975C02">
        <w:rPr>
          <w:rFonts w:eastAsia="Verdana" w:cs="Verdana"/>
          <w:sz w:val="20"/>
          <w:szCs w:val="20"/>
          <w:lang w:val="es-ES"/>
        </w:rPr>
        <w:t xml:space="preserve">En consecuencia, la Comisión hizo al Estado una serie de </w:t>
      </w:r>
      <w:r w:rsidRPr="00975C02">
        <w:rPr>
          <w:rFonts w:eastAsia="Verdana" w:cs="Verdana"/>
          <w:sz w:val="20"/>
          <w:szCs w:val="20"/>
          <w:lang w:val="es-ES"/>
        </w:rPr>
        <w:lastRenderedPageBreak/>
        <w:t>recomendaciones:</w:t>
      </w:r>
    </w:p>
    <w:p w14:paraId="6D0EB0E7" w14:textId="77777777" w:rsidR="006C37C9" w:rsidRPr="00975C02" w:rsidRDefault="006C37C9" w:rsidP="006C37C9">
      <w:pPr>
        <w:pStyle w:val="ListParagraph"/>
        <w:spacing w:line="240" w:lineRule="auto"/>
        <w:ind w:left="1900" w:right="148"/>
        <w:rPr>
          <w:rFonts w:eastAsia="Verdana" w:cs="Verdana"/>
          <w:sz w:val="20"/>
          <w:szCs w:val="20"/>
          <w:lang w:val="es-ES"/>
        </w:rPr>
      </w:pPr>
    </w:p>
    <w:p w14:paraId="67A573BE" w14:textId="77777777" w:rsidR="006C37C9" w:rsidRPr="00975C02" w:rsidRDefault="00D2033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[l]levar a cabo con la debida diligencia y en un plazo razonable, las investigaciones y procesos penales correspondientes, con el fin de individualizar, identificar, juzgar y, en su caso, sancionar a la persona responsable de la violación sexual en perjuicio de V.R.P.</w:t>
      </w:r>
      <w:r w:rsidR="006C37C9" w:rsidRPr="00975C02">
        <w:rPr>
          <w:sz w:val="16"/>
          <w:szCs w:val="16"/>
          <w:lang w:val="es-ES"/>
        </w:rPr>
        <w:t>[;]</w:t>
      </w:r>
    </w:p>
    <w:p w14:paraId="51563A88" w14:textId="77777777" w:rsidR="006C37C9" w:rsidRPr="00975C02" w:rsidRDefault="006C37C9"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w:t>
      </w:r>
      <w:r w:rsidR="00D20333" w:rsidRPr="00975C02">
        <w:rPr>
          <w:sz w:val="16"/>
          <w:szCs w:val="16"/>
          <w:lang w:val="es-ES"/>
        </w:rPr>
        <w:t>r</w:t>
      </w:r>
      <w:r w:rsidRPr="00975C02">
        <w:rPr>
          <w:sz w:val="16"/>
          <w:szCs w:val="16"/>
          <w:lang w:val="es-ES"/>
        </w:rPr>
        <w:t>]</w:t>
      </w:r>
      <w:r w:rsidR="00D20333" w:rsidRPr="00975C02">
        <w:rPr>
          <w:sz w:val="16"/>
          <w:szCs w:val="16"/>
          <w:lang w:val="es-ES"/>
        </w:rPr>
        <w:t>eparar</w:t>
      </w:r>
      <w:r w:rsidRPr="00975C02">
        <w:rPr>
          <w:sz w:val="16"/>
          <w:szCs w:val="16"/>
          <w:lang w:val="es-ES"/>
        </w:rPr>
        <w:t xml:space="preserve"> </w:t>
      </w:r>
      <w:r w:rsidR="00D20333" w:rsidRPr="00975C02">
        <w:rPr>
          <w:sz w:val="16"/>
          <w:szCs w:val="16"/>
          <w:lang w:val="es-ES"/>
        </w:rPr>
        <w:t xml:space="preserve">integralmente las violaciones de derechos humanos declaradas en el </w:t>
      </w:r>
      <w:r w:rsidR="00FE183B" w:rsidRPr="00975C02">
        <w:rPr>
          <w:sz w:val="16"/>
          <w:szCs w:val="16"/>
          <w:lang w:val="es-ES"/>
        </w:rPr>
        <w:t>[…]</w:t>
      </w:r>
      <w:r w:rsidR="00D20333" w:rsidRPr="00975C02">
        <w:rPr>
          <w:sz w:val="16"/>
          <w:szCs w:val="16"/>
          <w:lang w:val="es-ES"/>
        </w:rPr>
        <w:t xml:space="preserve"> informe tanto en el aspecto material como moral</w:t>
      </w:r>
      <w:r w:rsidRPr="00975C02">
        <w:rPr>
          <w:sz w:val="16"/>
          <w:szCs w:val="16"/>
          <w:lang w:val="es-ES"/>
        </w:rPr>
        <w:t>[;]</w:t>
      </w:r>
    </w:p>
    <w:p w14:paraId="74104C91" w14:textId="0C18E28A" w:rsidR="006C37C9"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[b</w:t>
      </w:r>
      <w:r w:rsidR="006C37C9" w:rsidRPr="00975C02">
        <w:rPr>
          <w:sz w:val="16"/>
          <w:szCs w:val="16"/>
          <w:lang w:val="es-ES"/>
        </w:rPr>
        <w:t>]</w:t>
      </w:r>
      <w:r w:rsidRPr="00975C02">
        <w:rPr>
          <w:sz w:val="16"/>
          <w:szCs w:val="16"/>
          <w:lang w:val="es-ES"/>
        </w:rPr>
        <w:t>rindar</w:t>
      </w:r>
      <w:r w:rsidR="006C37C9" w:rsidRPr="00975C02">
        <w:rPr>
          <w:sz w:val="16"/>
          <w:szCs w:val="16"/>
          <w:lang w:val="es-ES"/>
        </w:rPr>
        <w:t xml:space="preserve"> </w:t>
      </w:r>
      <w:r w:rsidRPr="00975C02">
        <w:rPr>
          <w:sz w:val="16"/>
          <w:szCs w:val="16"/>
          <w:lang w:val="es-ES"/>
        </w:rPr>
        <w:t xml:space="preserve">de forma gratuita e inmediata, el tratamiento médico y psicológico o psiquiátrico, según corresponda, a las [presuntas] víctimas del presente caso que así lo soliciten. Tomando en cuenta que las [presuntas] víctimas se encuentran fuera del país, esta recomendación puede ser cumplida mediante el otorgamiento de un monto económico que razonablemente permita costear la atención en salud requerida por las </w:t>
      </w:r>
      <w:r w:rsidR="00E85F36" w:rsidRPr="00975C02">
        <w:rPr>
          <w:sz w:val="16"/>
          <w:szCs w:val="16"/>
          <w:lang w:val="es-ES"/>
        </w:rPr>
        <w:t xml:space="preserve">[presuntas] </w:t>
      </w:r>
      <w:r w:rsidRPr="00975C02">
        <w:rPr>
          <w:sz w:val="16"/>
          <w:szCs w:val="16"/>
          <w:lang w:val="es-ES"/>
        </w:rPr>
        <w:t>víctimas</w:t>
      </w:r>
      <w:r w:rsidR="006C37C9" w:rsidRPr="00975C02">
        <w:rPr>
          <w:sz w:val="16"/>
          <w:szCs w:val="16"/>
          <w:lang w:val="es-ES"/>
        </w:rPr>
        <w:t>[;]</w:t>
      </w:r>
    </w:p>
    <w:p w14:paraId="30565CB9" w14:textId="77777777" w:rsidR="006C37C9"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[d</w:t>
      </w:r>
      <w:r w:rsidR="006C37C9" w:rsidRPr="00975C02">
        <w:rPr>
          <w:sz w:val="16"/>
          <w:szCs w:val="16"/>
          <w:lang w:val="es-ES"/>
        </w:rPr>
        <w:t>]</w:t>
      </w:r>
      <w:r w:rsidRPr="00975C02">
        <w:rPr>
          <w:sz w:val="16"/>
          <w:szCs w:val="16"/>
          <w:lang w:val="es-ES"/>
        </w:rPr>
        <w:t>isponer las medidas administrativas, disciplinarias o penales correspondientes frente a las acciones u omisiones de los funcionarios estatales que contribuyeron a la denegación de justicia e impunidad en la que se</w:t>
      </w:r>
      <w:r w:rsidR="00D20333" w:rsidRPr="00975C02">
        <w:rPr>
          <w:sz w:val="16"/>
          <w:szCs w:val="16"/>
          <w:lang w:val="es-ES"/>
        </w:rPr>
        <w:t xml:space="preserve"> encuentran los hechos del caso</w:t>
      </w:r>
      <w:r w:rsidR="006C37C9" w:rsidRPr="00975C02">
        <w:rPr>
          <w:sz w:val="16"/>
          <w:szCs w:val="16"/>
          <w:lang w:val="es-ES"/>
        </w:rPr>
        <w:t>[;]</w:t>
      </w:r>
    </w:p>
    <w:p w14:paraId="7C2FFD65" w14:textId="31B7779A" w:rsidR="006C37C9" w:rsidRPr="00975C02" w:rsidRDefault="006C37C9"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w:t>
      </w:r>
      <w:r w:rsidR="00A470D3" w:rsidRPr="00975C02">
        <w:rPr>
          <w:sz w:val="16"/>
          <w:szCs w:val="16"/>
          <w:lang w:val="es-ES"/>
        </w:rPr>
        <w:t>d</w:t>
      </w:r>
      <w:r w:rsidRPr="00975C02">
        <w:rPr>
          <w:sz w:val="16"/>
          <w:szCs w:val="16"/>
          <w:lang w:val="es-ES"/>
        </w:rPr>
        <w:t>]</w:t>
      </w:r>
      <w:r w:rsidR="00A470D3" w:rsidRPr="00975C02">
        <w:rPr>
          <w:sz w:val="16"/>
          <w:szCs w:val="16"/>
          <w:lang w:val="es-ES"/>
        </w:rPr>
        <w:t>esarrollar</w:t>
      </w:r>
      <w:r w:rsidRPr="00975C02">
        <w:rPr>
          <w:sz w:val="16"/>
          <w:szCs w:val="16"/>
          <w:lang w:val="es-ES"/>
        </w:rPr>
        <w:t xml:space="preserve"> </w:t>
      </w:r>
      <w:r w:rsidR="00A470D3" w:rsidRPr="00975C02">
        <w:rPr>
          <w:sz w:val="16"/>
          <w:szCs w:val="16"/>
          <w:lang w:val="es-ES"/>
        </w:rPr>
        <w:t xml:space="preserve">protocolos de investigación para que los casos de violación sexual y otras formas de violencia sexual en contra de mujeres, incluyendo niñas, sean debidamente investigados y juzgados de conformidad con los estándares establecidos en el </w:t>
      </w:r>
      <w:r w:rsidR="008539EE" w:rsidRPr="00975C02">
        <w:rPr>
          <w:sz w:val="16"/>
          <w:szCs w:val="16"/>
          <w:lang w:val="es-ES"/>
        </w:rPr>
        <w:t>[…]</w:t>
      </w:r>
      <w:r w:rsidR="00A470D3" w:rsidRPr="00975C02">
        <w:rPr>
          <w:sz w:val="16"/>
          <w:szCs w:val="16"/>
          <w:lang w:val="es-ES"/>
        </w:rPr>
        <w:t xml:space="preserve"> informe</w:t>
      </w:r>
      <w:r w:rsidRPr="00975C02">
        <w:rPr>
          <w:sz w:val="16"/>
          <w:szCs w:val="16"/>
          <w:lang w:val="es-ES"/>
        </w:rPr>
        <w:t>[</w:t>
      </w:r>
      <w:r w:rsidR="00A470D3" w:rsidRPr="00975C02">
        <w:rPr>
          <w:sz w:val="16"/>
          <w:szCs w:val="16"/>
          <w:lang w:val="es-ES"/>
        </w:rPr>
        <w:t>;</w:t>
      </w:r>
      <w:r w:rsidRPr="00975C02">
        <w:rPr>
          <w:sz w:val="16"/>
          <w:szCs w:val="16"/>
          <w:lang w:val="es-ES"/>
        </w:rPr>
        <w:t>]</w:t>
      </w:r>
    </w:p>
    <w:p w14:paraId="581903E0" w14:textId="66741843" w:rsidR="006C37C9"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[f</w:t>
      </w:r>
      <w:r w:rsidR="006C37C9" w:rsidRPr="00975C02">
        <w:rPr>
          <w:sz w:val="16"/>
          <w:szCs w:val="16"/>
          <w:lang w:val="es-ES"/>
        </w:rPr>
        <w:t>]</w:t>
      </w:r>
      <w:r w:rsidRPr="00975C02">
        <w:rPr>
          <w:sz w:val="16"/>
          <w:szCs w:val="16"/>
          <w:lang w:val="es-ES"/>
        </w:rPr>
        <w:t>ortalecer</w:t>
      </w:r>
      <w:r w:rsidR="006C37C9" w:rsidRPr="00975C02">
        <w:rPr>
          <w:sz w:val="16"/>
          <w:szCs w:val="16"/>
          <w:lang w:val="es-ES"/>
        </w:rPr>
        <w:t xml:space="preserve"> </w:t>
      </w:r>
      <w:r w:rsidRPr="00975C02">
        <w:rPr>
          <w:sz w:val="16"/>
          <w:szCs w:val="16"/>
          <w:lang w:val="es-ES"/>
        </w:rPr>
        <w:t>la capacidad institucional para combatir la impunidad frente a casos de violación sexual y otras formas de violencia sexual contra las mujeres, incluyendo niñas, a través de investigaciones criminales efectivas con perspectiva de género, garantizando así una adecuada sanción y reparación[;]</w:t>
      </w:r>
    </w:p>
    <w:p w14:paraId="52B68FB3" w14:textId="0ED3A536" w:rsidR="00A470D3"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[d]iseñar e implementar programas de capacitación permanentes para funcionarios públicos pertenecientes al Poder Judicial, Ministerio Público y Policía Nacional, sobre estándares internacionales en materia de investigación de violación sexual y otras formas de violencia sexual en contra de mujeres, incluyendo niñas. Asimismo, se deberá capacitar al personal de salud, tanto médico como psicológico, que esté vinculado a dichas investigaciones, sobre los estándares internacionales en materia de trato a niños y niñas víctimas de violencia sexual[</w:t>
      </w:r>
      <w:r w:rsidR="00270ED1" w:rsidRPr="00975C02">
        <w:rPr>
          <w:sz w:val="16"/>
          <w:szCs w:val="16"/>
          <w:lang w:val="es-ES"/>
        </w:rPr>
        <w:t xml:space="preserve">, </w:t>
      </w:r>
      <w:r w:rsidRPr="00975C02">
        <w:rPr>
          <w:sz w:val="16"/>
          <w:szCs w:val="16"/>
          <w:lang w:val="es-ES"/>
        </w:rPr>
        <w:t>y]</w:t>
      </w:r>
    </w:p>
    <w:p w14:paraId="40B3B260" w14:textId="08C06AC1" w:rsidR="00A470D3" w:rsidRPr="00975C02" w:rsidRDefault="00A470D3" w:rsidP="00C8070B">
      <w:pPr>
        <w:pStyle w:val="ListParagraph"/>
        <w:widowControl/>
        <w:numPr>
          <w:ilvl w:val="0"/>
          <w:numId w:val="5"/>
        </w:numPr>
        <w:autoSpaceDE w:val="0"/>
        <w:autoSpaceDN w:val="0"/>
        <w:spacing w:after="120" w:line="240" w:lineRule="auto"/>
        <w:textAlignment w:val="auto"/>
        <w:rPr>
          <w:sz w:val="16"/>
          <w:szCs w:val="16"/>
          <w:lang w:val="es-ES"/>
        </w:rPr>
      </w:pPr>
      <w:r w:rsidRPr="00975C02">
        <w:rPr>
          <w:sz w:val="16"/>
          <w:szCs w:val="16"/>
          <w:lang w:val="es-ES"/>
        </w:rPr>
        <w:t>[a]doptar políticas públicas y programas institucionales integrados destinados a enfrentar la violencia contra mujeres y niñas como forma de discriminación, así como a promover la erradicación de patrones socioculturales discriminatorios que impiden su acceso pleno a la justicia.</w:t>
      </w:r>
    </w:p>
    <w:p w14:paraId="48CED960" w14:textId="53CDF931" w:rsidR="006C37C9" w:rsidRPr="00975C02" w:rsidRDefault="006C37C9" w:rsidP="00C8070B">
      <w:pPr>
        <w:pStyle w:val="ListParagraph"/>
        <w:numPr>
          <w:ilvl w:val="0"/>
          <w:numId w:val="4"/>
        </w:numPr>
        <w:adjustRightInd/>
        <w:spacing w:after="200" w:line="240" w:lineRule="auto"/>
        <w:ind w:right="148"/>
        <w:contextualSpacing/>
        <w:textAlignment w:val="auto"/>
        <w:rPr>
          <w:rFonts w:eastAsia="Verdana" w:cs="Verdana"/>
          <w:sz w:val="20"/>
          <w:szCs w:val="20"/>
          <w:lang w:val="es-ES"/>
        </w:rPr>
      </w:pPr>
      <w:r w:rsidRPr="00975C02">
        <w:rPr>
          <w:rFonts w:eastAsia="Verdana" w:cs="Verdana"/>
          <w:i/>
          <w:sz w:val="20"/>
          <w:szCs w:val="20"/>
          <w:lang w:val="es-ES"/>
        </w:rPr>
        <w:t xml:space="preserve">Notificación al Estado. – </w:t>
      </w:r>
      <w:r w:rsidRPr="00975C02">
        <w:rPr>
          <w:rFonts w:eastAsia="Verdana" w:cs="Verdana"/>
          <w:sz w:val="20"/>
          <w:szCs w:val="20"/>
          <w:lang w:val="es-ES"/>
        </w:rPr>
        <w:t xml:space="preserve">El </w:t>
      </w:r>
      <w:r w:rsidR="00D566C9" w:rsidRPr="00975C02">
        <w:rPr>
          <w:rFonts w:eastAsia="Verdana" w:cs="Verdana"/>
          <w:sz w:val="20"/>
          <w:szCs w:val="20"/>
          <w:lang w:val="es-ES"/>
        </w:rPr>
        <w:t>Informe No. 4/16</w:t>
      </w:r>
      <w:r w:rsidRPr="00975C02">
        <w:rPr>
          <w:rFonts w:eastAsia="Verdana" w:cs="Verdana"/>
          <w:sz w:val="20"/>
          <w:szCs w:val="20"/>
          <w:lang w:val="es-ES"/>
        </w:rPr>
        <w:t xml:space="preserve"> fue notificado al Estado </w:t>
      </w:r>
      <w:r w:rsidR="00EF57B6" w:rsidRPr="00975C02">
        <w:rPr>
          <w:rFonts w:eastAsia="Verdana" w:cs="Verdana"/>
          <w:sz w:val="20"/>
          <w:szCs w:val="20"/>
          <w:lang w:val="es-ES"/>
        </w:rPr>
        <w:t>mediante co</w:t>
      </w:r>
      <w:r w:rsidR="00D20333" w:rsidRPr="00975C02">
        <w:rPr>
          <w:rFonts w:eastAsia="Verdana" w:cs="Verdana"/>
          <w:sz w:val="20"/>
          <w:szCs w:val="20"/>
          <w:lang w:val="es-ES"/>
        </w:rPr>
        <w:t>municación de 25 de mayo de 2016</w:t>
      </w:r>
      <w:r w:rsidRPr="00975C02">
        <w:rPr>
          <w:rFonts w:eastAsia="Verdana" w:cs="Verdana"/>
          <w:sz w:val="20"/>
          <w:szCs w:val="20"/>
          <w:lang w:val="es-ES"/>
        </w:rPr>
        <w:t>, otorgándole un plazo de dos meses para informar sobre el cumplimiento de las recomendaciones.</w:t>
      </w:r>
    </w:p>
    <w:p w14:paraId="4276232C" w14:textId="5432AEAF" w:rsidR="006C37C9" w:rsidRPr="00975C02" w:rsidRDefault="006C37C9" w:rsidP="00C8070B">
      <w:pPr>
        <w:numPr>
          <w:ilvl w:val="0"/>
          <w:numId w:val="3"/>
        </w:numPr>
        <w:adjustRightInd/>
        <w:spacing w:after="200" w:line="240" w:lineRule="auto"/>
        <w:ind w:right="144"/>
        <w:contextualSpacing/>
        <w:textAlignment w:val="auto"/>
        <w:rPr>
          <w:rFonts w:eastAsia="Verdana" w:cs="Verdana"/>
          <w:sz w:val="20"/>
          <w:szCs w:val="20"/>
          <w:lang w:val="es-ES"/>
        </w:rPr>
      </w:pPr>
      <w:r w:rsidRPr="00975C02">
        <w:rPr>
          <w:rFonts w:eastAsia="Verdana" w:cs="Verdana"/>
          <w:i/>
          <w:sz w:val="20"/>
          <w:szCs w:val="20"/>
          <w:lang w:val="es-ES"/>
        </w:rPr>
        <w:t>Informes sobre las recomendaciones de la Comisión. –</w:t>
      </w:r>
      <w:r w:rsidR="00753849" w:rsidRPr="00975C02">
        <w:rPr>
          <w:rFonts w:eastAsia="Verdana" w:cs="Verdana"/>
          <w:i/>
          <w:sz w:val="20"/>
          <w:szCs w:val="20"/>
          <w:lang w:val="es-ES"/>
        </w:rPr>
        <w:t xml:space="preserve"> </w:t>
      </w:r>
      <w:r w:rsidR="00EF57B6" w:rsidRPr="00975C02">
        <w:rPr>
          <w:rFonts w:eastAsia="Verdana" w:cs="Verdana"/>
          <w:sz w:val="20"/>
          <w:szCs w:val="20"/>
          <w:lang w:val="es-ES"/>
        </w:rPr>
        <w:t xml:space="preserve">El Estado de Nicaragua no dio respuesta alguna al </w:t>
      </w:r>
      <w:r w:rsidR="00D566C9" w:rsidRPr="00975C02">
        <w:rPr>
          <w:rFonts w:eastAsia="Verdana" w:cs="Verdana"/>
          <w:sz w:val="20"/>
          <w:szCs w:val="20"/>
          <w:lang w:val="es-ES"/>
        </w:rPr>
        <w:t>I</w:t>
      </w:r>
      <w:r w:rsidR="00EF57B6" w:rsidRPr="00975C02">
        <w:rPr>
          <w:rFonts w:eastAsia="Verdana" w:cs="Verdana"/>
          <w:sz w:val="20"/>
          <w:szCs w:val="20"/>
          <w:lang w:val="es-ES"/>
        </w:rPr>
        <w:t xml:space="preserve">nforme de </w:t>
      </w:r>
      <w:r w:rsidR="00D566C9" w:rsidRPr="00975C02">
        <w:rPr>
          <w:rFonts w:eastAsia="Verdana" w:cs="Verdana"/>
          <w:sz w:val="20"/>
          <w:szCs w:val="20"/>
          <w:lang w:val="es-ES"/>
        </w:rPr>
        <w:t>F</w:t>
      </w:r>
      <w:r w:rsidR="00EF57B6" w:rsidRPr="00975C02">
        <w:rPr>
          <w:rFonts w:eastAsia="Verdana" w:cs="Verdana"/>
          <w:sz w:val="20"/>
          <w:szCs w:val="20"/>
          <w:lang w:val="es-ES"/>
        </w:rPr>
        <w:t>ondo de la Comisión.</w:t>
      </w:r>
    </w:p>
    <w:p w14:paraId="49302D05" w14:textId="77777777" w:rsidR="006C37C9" w:rsidRPr="00975C02" w:rsidRDefault="006C37C9" w:rsidP="006C37C9">
      <w:pPr>
        <w:spacing w:line="240" w:lineRule="auto"/>
        <w:ind w:left="818" w:right="144"/>
        <w:contextualSpacing/>
        <w:rPr>
          <w:rFonts w:eastAsia="Verdana" w:cs="Verdana"/>
          <w:sz w:val="20"/>
          <w:szCs w:val="20"/>
          <w:lang w:val="es-ES"/>
        </w:rPr>
      </w:pPr>
    </w:p>
    <w:p w14:paraId="583BF115" w14:textId="3153C3D5" w:rsidR="006C37C9" w:rsidRPr="00975C02" w:rsidRDefault="006C37C9" w:rsidP="00C8070B">
      <w:pPr>
        <w:numPr>
          <w:ilvl w:val="0"/>
          <w:numId w:val="3"/>
        </w:numPr>
        <w:adjustRightInd/>
        <w:spacing w:after="200" w:line="240" w:lineRule="auto"/>
        <w:ind w:right="144"/>
        <w:contextualSpacing/>
        <w:textAlignment w:val="auto"/>
        <w:rPr>
          <w:rFonts w:cs="Arial"/>
          <w:sz w:val="20"/>
          <w:szCs w:val="20"/>
          <w:lang w:val="es-ES"/>
        </w:rPr>
      </w:pPr>
      <w:r w:rsidRPr="00975C02">
        <w:rPr>
          <w:rFonts w:eastAsia="Verdana" w:cs="Verdana"/>
          <w:i/>
          <w:sz w:val="20"/>
          <w:szCs w:val="20"/>
          <w:lang w:val="es-ES"/>
        </w:rPr>
        <w:t xml:space="preserve">Sometimiento a la Corte. </w:t>
      </w:r>
      <w:r w:rsidR="00EF57B6" w:rsidRPr="00975C02">
        <w:rPr>
          <w:rFonts w:eastAsia="Verdana" w:cs="Verdana"/>
          <w:sz w:val="20"/>
          <w:szCs w:val="20"/>
          <w:lang w:val="es-ES"/>
        </w:rPr>
        <w:t>– El 25</w:t>
      </w:r>
      <w:r w:rsidRPr="00975C02">
        <w:rPr>
          <w:rFonts w:eastAsia="Verdana" w:cs="Verdana"/>
          <w:sz w:val="20"/>
          <w:szCs w:val="20"/>
          <w:lang w:val="es-ES"/>
        </w:rPr>
        <w:t xml:space="preserve"> de a</w:t>
      </w:r>
      <w:r w:rsidR="00EF57B6" w:rsidRPr="00975C02">
        <w:rPr>
          <w:rFonts w:eastAsia="Verdana" w:cs="Verdana"/>
          <w:sz w:val="20"/>
          <w:szCs w:val="20"/>
          <w:lang w:val="es-ES"/>
        </w:rPr>
        <w:t>gosto de 2016</w:t>
      </w:r>
      <w:r w:rsidRPr="00975C02">
        <w:rPr>
          <w:rFonts w:eastAsia="Verdana" w:cs="Verdana"/>
          <w:sz w:val="20"/>
          <w:szCs w:val="20"/>
          <w:lang w:val="es-ES"/>
        </w:rPr>
        <w:t xml:space="preserve"> la Comisión sometió a la jurisdicción de la Corte Interamericana la totalidad de los hechos y violaciones de derechos humanos descritos en el </w:t>
      </w:r>
      <w:r w:rsidR="00D566C9" w:rsidRPr="00975C02">
        <w:rPr>
          <w:rFonts w:eastAsia="Verdana" w:cs="Verdana"/>
          <w:sz w:val="20"/>
          <w:szCs w:val="20"/>
          <w:lang w:val="es-ES"/>
        </w:rPr>
        <w:t>I</w:t>
      </w:r>
      <w:r w:rsidRPr="00975C02">
        <w:rPr>
          <w:rFonts w:eastAsia="Verdana" w:cs="Verdana"/>
          <w:sz w:val="20"/>
          <w:szCs w:val="20"/>
          <w:lang w:val="es-ES"/>
        </w:rPr>
        <w:t xml:space="preserve">nforme de </w:t>
      </w:r>
      <w:r w:rsidR="00D566C9" w:rsidRPr="00975C02">
        <w:rPr>
          <w:rFonts w:eastAsia="Verdana" w:cs="Verdana"/>
          <w:sz w:val="20"/>
          <w:szCs w:val="20"/>
          <w:lang w:val="es-ES"/>
        </w:rPr>
        <w:t>F</w:t>
      </w:r>
      <w:r w:rsidRPr="00975C02">
        <w:rPr>
          <w:rFonts w:eastAsia="Verdana" w:cs="Verdana"/>
          <w:sz w:val="20"/>
          <w:szCs w:val="20"/>
          <w:lang w:val="es-ES"/>
        </w:rPr>
        <w:t>ondo “ante la necesidad de obtención de justicia”</w:t>
      </w:r>
      <w:r w:rsidR="00EB3F3D" w:rsidRPr="00975C02">
        <w:rPr>
          <w:rStyle w:val="FootnoteReference"/>
          <w:rFonts w:eastAsia="Verdana" w:cs="Verdana"/>
          <w:sz w:val="20"/>
          <w:szCs w:val="20"/>
          <w:lang w:val="es-ES"/>
        </w:rPr>
        <w:footnoteReference w:id="4"/>
      </w:r>
      <w:r w:rsidR="00DF5313" w:rsidRPr="00975C02">
        <w:rPr>
          <w:rFonts w:eastAsia="Verdana" w:cs="Verdana"/>
          <w:sz w:val="20"/>
          <w:szCs w:val="20"/>
          <w:lang w:val="es-ES"/>
        </w:rPr>
        <w:t>.</w:t>
      </w:r>
    </w:p>
    <w:p w14:paraId="0E9C8B6C" w14:textId="77777777" w:rsidR="006C37C9" w:rsidRPr="00975C02" w:rsidRDefault="006C37C9" w:rsidP="006C37C9">
      <w:pPr>
        <w:spacing w:line="240" w:lineRule="auto"/>
        <w:ind w:left="818" w:right="144"/>
        <w:contextualSpacing/>
        <w:rPr>
          <w:rFonts w:cs="Arial"/>
          <w:sz w:val="20"/>
          <w:szCs w:val="20"/>
          <w:lang w:val="es-ES"/>
        </w:rPr>
      </w:pPr>
    </w:p>
    <w:p w14:paraId="269D6B14" w14:textId="2C71D79D" w:rsidR="006C37C9" w:rsidRPr="00975C02" w:rsidRDefault="006C37C9" w:rsidP="00C8070B">
      <w:pPr>
        <w:numPr>
          <w:ilvl w:val="0"/>
          <w:numId w:val="2"/>
        </w:numPr>
        <w:tabs>
          <w:tab w:val="left" w:pos="567"/>
          <w:tab w:val="num" w:pos="12305"/>
        </w:tabs>
        <w:spacing w:line="240" w:lineRule="auto"/>
        <w:ind w:left="0" w:firstLine="0"/>
        <w:rPr>
          <w:rFonts w:eastAsia="Verdana" w:cs="Verdana"/>
          <w:sz w:val="20"/>
          <w:szCs w:val="20"/>
          <w:lang w:val="es-ES"/>
        </w:rPr>
      </w:pPr>
      <w:r w:rsidRPr="00975C02">
        <w:rPr>
          <w:rFonts w:eastAsia="Verdana" w:cs="Verdana"/>
          <w:i/>
          <w:sz w:val="20"/>
          <w:szCs w:val="20"/>
          <w:lang w:val="es-ES"/>
        </w:rPr>
        <w:t xml:space="preserve">Solicitudes de la Comisión Interamericana. – </w:t>
      </w:r>
      <w:r w:rsidRPr="00975C02">
        <w:rPr>
          <w:rFonts w:eastAsia="Verdana" w:cs="Verdana"/>
          <w:sz w:val="20"/>
          <w:szCs w:val="20"/>
          <w:lang w:val="es-ES"/>
        </w:rPr>
        <w:t xml:space="preserve">Con base en lo anterior, la Comisión solicitó a la Corte que declarara la responsabilidad internacional del Estado por las mismas violaciones señaladas en su </w:t>
      </w:r>
      <w:r w:rsidR="00D566C9" w:rsidRPr="00975C02">
        <w:rPr>
          <w:rFonts w:eastAsia="Verdana" w:cs="Verdana"/>
          <w:sz w:val="20"/>
          <w:szCs w:val="20"/>
          <w:lang w:val="es-ES"/>
        </w:rPr>
        <w:t>I</w:t>
      </w:r>
      <w:r w:rsidRPr="00975C02">
        <w:rPr>
          <w:rFonts w:eastAsia="Verdana" w:cs="Verdana"/>
          <w:sz w:val="20"/>
          <w:szCs w:val="20"/>
          <w:lang w:val="es-ES"/>
        </w:rPr>
        <w:t xml:space="preserve">nforme de </w:t>
      </w:r>
      <w:r w:rsidR="00D566C9" w:rsidRPr="00975C02">
        <w:rPr>
          <w:rFonts w:eastAsia="Verdana" w:cs="Verdana"/>
          <w:sz w:val="20"/>
          <w:szCs w:val="20"/>
          <w:lang w:val="es-ES"/>
        </w:rPr>
        <w:t>F</w:t>
      </w:r>
      <w:r w:rsidRPr="00975C02">
        <w:rPr>
          <w:rFonts w:eastAsia="Verdana" w:cs="Verdana"/>
          <w:sz w:val="20"/>
          <w:szCs w:val="20"/>
          <w:lang w:val="es-ES"/>
        </w:rPr>
        <w:t xml:space="preserve">ondo </w:t>
      </w:r>
      <w:r w:rsidRPr="00975C02">
        <w:rPr>
          <w:rFonts w:cs="Verdana"/>
          <w:sz w:val="20"/>
          <w:szCs w:val="20"/>
          <w:lang w:val="es-ES"/>
        </w:rPr>
        <w:t>(</w:t>
      </w:r>
      <w:r w:rsidRPr="00975C02">
        <w:rPr>
          <w:rFonts w:cs="Verdana"/>
          <w:i/>
          <w:iCs/>
          <w:sz w:val="20"/>
          <w:szCs w:val="20"/>
          <w:lang w:val="es-ES"/>
        </w:rPr>
        <w:t xml:space="preserve">supra </w:t>
      </w:r>
      <w:r w:rsidRPr="00975C02">
        <w:rPr>
          <w:rFonts w:cs="Verdana"/>
          <w:sz w:val="20"/>
          <w:szCs w:val="20"/>
          <w:lang w:val="es-ES"/>
        </w:rPr>
        <w:t>párr. 2.c.a)</w:t>
      </w:r>
      <w:r w:rsidRPr="00975C02">
        <w:rPr>
          <w:rFonts w:eastAsia="Verdana" w:cs="Verdana"/>
          <w:sz w:val="20"/>
          <w:szCs w:val="20"/>
          <w:lang w:val="es-ES"/>
        </w:rPr>
        <w:t xml:space="preserve">. Asimismo, la Comisión solicitó a la </w:t>
      </w:r>
      <w:r w:rsidRPr="00975C02">
        <w:rPr>
          <w:rFonts w:eastAsia="Calibri" w:cs="Arial"/>
          <w:sz w:val="20"/>
          <w:szCs w:val="20"/>
          <w:lang w:val="es-ES"/>
        </w:rPr>
        <w:t>Corte</w:t>
      </w:r>
      <w:r w:rsidRPr="00975C02">
        <w:rPr>
          <w:rFonts w:eastAsia="Verdana" w:cs="Verdana"/>
          <w:sz w:val="20"/>
          <w:szCs w:val="20"/>
          <w:lang w:val="es-ES"/>
        </w:rPr>
        <w:t xml:space="preserve"> que ordenara al Estado determinadas medidas de reparación, las cuales se detallan y analizan en el Capítulo</w:t>
      </w:r>
      <w:r w:rsidR="00646CC5" w:rsidRPr="00975C02">
        <w:rPr>
          <w:rFonts w:eastAsia="Verdana" w:cs="Verdana"/>
          <w:sz w:val="20"/>
          <w:szCs w:val="20"/>
          <w:lang w:val="es-ES"/>
        </w:rPr>
        <w:t xml:space="preserve"> IX</w:t>
      </w:r>
      <w:r w:rsidRPr="00975C02">
        <w:rPr>
          <w:rFonts w:eastAsia="Verdana" w:cs="Verdana"/>
          <w:sz w:val="20"/>
          <w:szCs w:val="20"/>
          <w:lang w:val="es-ES"/>
        </w:rPr>
        <w:t xml:space="preserve"> de la presente Sentencia.</w:t>
      </w:r>
    </w:p>
    <w:p w14:paraId="0021A4A1" w14:textId="77777777" w:rsidR="006C37C9" w:rsidRPr="00975C02" w:rsidRDefault="006C37C9" w:rsidP="006C37C9">
      <w:pPr>
        <w:pStyle w:val="ListParagraph"/>
        <w:autoSpaceDE w:val="0"/>
        <w:autoSpaceDN w:val="0"/>
        <w:spacing w:line="240" w:lineRule="auto"/>
        <w:ind w:left="709"/>
        <w:rPr>
          <w:rFonts w:eastAsia="Verdana" w:cs="Verdana"/>
          <w:sz w:val="20"/>
          <w:szCs w:val="20"/>
          <w:lang w:val="es-ES"/>
        </w:rPr>
      </w:pPr>
    </w:p>
    <w:p w14:paraId="25B5571B" w14:textId="77777777" w:rsidR="006C37C9" w:rsidRPr="00975C02" w:rsidRDefault="006C37C9" w:rsidP="00A93967">
      <w:pPr>
        <w:keepNext/>
        <w:keepLines/>
        <w:tabs>
          <w:tab w:val="left" w:pos="851"/>
        </w:tabs>
        <w:spacing w:line="240" w:lineRule="auto"/>
        <w:jc w:val="center"/>
        <w:outlineLvl w:val="0"/>
        <w:rPr>
          <w:rFonts w:cs="Verdana"/>
          <w:b/>
          <w:bCs/>
          <w:caps/>
          <w:snapToGrid w:val="0"/>
          <w:sz w:val="20"/>
          <w:szCs w:val="20"/>
          <w:lang w:val="es-ES"/>
        </w:rPr>
      </w:pPr>
      <w:bookmarkStart w:id="13" w:name="_Toc372568229"/>
      <w:bookmarkStart w:id="14" w:name="_Toc373093235"/>
      <w:bookmarkStart w:id="15" w:name="_Toc373350047"/>
      <w:bookmarkStart w:id="16" w:name="_Toc375560893"/>
      <w:bookmarkStart w:id="17" w:name="_Toc401931878"/>
      <w:bookmarkStart w:id="18" w:name="_Toc428369977"/>
      <w:bookmarkStart w:id="19" w:name="_Toc459158093"/>
      <w:bookmarkStart w:id="20" w:name="_Toc470180033"/>
      <w:bookmarkStart w:id="21" w:name="_Toc514172590"/>
      <w:r w:rsidRPr="00975C02">
        <w:rPr>
          <w:rFonts w:cs="Verdana"/>
          <w:b/>
          <w:bCs/>
          <w:caps/>
          <w:snapToGrid w:val="0"/>
          <w:sz w:val="20"/>
          <w:szCs w:val="20"/>
          <w:lang w:val="es-ES"/>
        </w:rPr>
        <w:lastRenderedPageBreak/>
        <w:t>II</w:t>
      </w:r>
      <w:bookmarkStart w:id="22" w:name="_Toc375062711"/>
      <w:bookmarkStart w:id="23" w:name="_Toc375140861"/>
      <w:bookmarkStart w:id="24" w:name="_Toc375504820"/>
      <w:bookmarkStart w:id="25" w:name="_Toc375560894"/>
      <w:bookmarkEnd w:id="13"/>
      <w:bookmarkEnd w:id="14"/>
      <w:bookmarkEnd w:id="15"/>
      <w:bookmarkEnd w:id="16"/>
      <w:r w:rsidRPr="00975C02">
        <w:rPr>
          <w:rFonts w:cs="Verdana"/>
          <w:b/>
          <w:bCs/>
          <w:caps/>
          <w:snapToGrid w:val="0"/>
          <w:sz w:val="20"/>
          <w:szCs w:val="20"/>
          <w:lang w:val="es-ES"/>
        </w:rPr>
        <w:br/>
        <w:t>PROCEDIMIENTO ANTE LA CORTE</w:t>
      </w:r>
      <w:bookmarkEnd w:id="17"/>
      <w:bookmarkEnd w:id="18"/>
      <w:bookmarkEnd w:id="19"/>
      <w:bookmarkEnd w:id="20"/>
      <w:bookmarkEnd w:id="21"/>
      <w:bookmarkEnd w:id="22"/>
      <w:bookmarkEnd w:id="23"/>
      <w:bookmarkEnd w:id="24"/>
      <w:bookmarkEnd w:id="25"/>
    </w:p>
    <w:p w14:paraId="38DB7D81" w14:textId="77777777" w:rsidR="006C37C9" w:rsidRPr="00975C02" w:rsidRDefault="006C37C9" w:rsidP="006C37C9">
      <w:pPr>
        <w:spacing w:line="240" w:lineRule="auto"/>
        <w:ind w:left="3255" w:right="3302" w:firstLine="1776"/>
        <w:rPr>
          <w:rFonts w:eastAsia="Verdana" w:cs="Verdana"/>
          <w:sz w:val="20"/>
          <w:szCs w:val="20"/>
          <w:lang w:val="es-ES"/>
        </w:rPr>
      </w:pPr>
    </w:p>
    <w:p w14:paraId="576A85CB" w14:textId="21E85FAD" w:rsidR="00724B11" w:rsidRPr="00975C02" w:rsidRDefault="00724B11" w:rsidP="00C8070B">
      <w:pPr>
        <w:numPr>
          <w:ilvl w:val="0"/>
          <w:numId w:val="2"/>
        </w:numPr>
        <w:tabs>
          <w:tab w:val="left" w:pos="567"/>
          <w:tab w:val="num" w:pos="12305"/>
        </w:tabs>
        <w:spacing w:line="240" w:lineRule="auto"/>
        <w:ind w:left="0" w:firstLine="0"/>
        <w:rPr>
          <w:rFonts w:eastAsia="Verdana" w:cs="Verdana"/>
          <w:sz w:val="16"/>
          <w:szCs w:val="16"/>
          <w:lang w:val="es-ES"/>
        </w:rPr>
      </w:pPr>
      <w:r w:rsidRPr="00975C02">
        <w:rPr>
          <w:rFonts w:eastAsia="Calibri" w:cs="Verdana"/>
          <w:i/>
          <w:snapToGrid w:val="0"/>
          <w:sz w:val="20"/>
          <w:szCs w:val="20"/>
          <w:lang w:val="es-ES" w:eastAsia="es-ES"/>
        </w:rPr>
        <w:t>Designación de Defensores Públicos Interamericanos</w:t>
      </w:r>
      <w:r w:rsidRPr="00975C02">
        <w:rPr>
          <w:rFonts w:eastAsia="Calibri" w:cs="Verdana"/>
          <w:snapToGrid w:val="0"/>
          <w:sz w:val="20"/>
          <w:szCs w:val="20"/>
          <w:lang w:val="es-ES" w:eastAsia="es-ES"/>
        </w:rPr>
        <w:t>. – En el escrito de presentación del caso, la Comisión indicó que actuó como peticionaria la señora V.P.C. Luego de una comunicación remitida por la Secretaría</w:t>
      </w:r>
      <w:r w:rsidRPr="00975C02">
        <w:rPr>
          <w:rFonts w:eastAsia="Calibri" w:cs="Verdana"/>
          <w:snapToGrid w:val="0"/>
          <w:sz w:val="20"/>
          <w:szCs w:val="20"/>
          <w:vertAlign w:val="superscript"/>
          <w:lang w:val="es-ES" w:eastAsia="es-ES"/>
        </w:rPr>
        <w:footnoteReference w:id="5"/>
      </w:r>
      <w:r w:rsidRPr="00975C02">
        <w:rPr>
          <w:rFonts w:eastAsia="Calibri" w:cs="Verdana"/>
          <w:snapToGrid w:val="0"/>
          <w:sz w:val="20"/>
          <w:szCs w:val="20"/>
          <w:lang w:val="es-ES" w:eastAsia="es-ES"/>
        </w:rPr>
        <w:t xml:space="preserve">, siguiendo instrucciones del Presidente de la Corte durante el examen preliminar del sometimiento del caso, el </w:t>
      </w:r>
      <w:r w:rsidR="00E809CA" w:rsidRPr="00975C02">
        <w:rPr>
          <w:rFonts w:eastAsia="Calibri" w:cs="Verdana"/>
          <w:snapToGrid w:val="0"/>
          <w:sz w:val="20"/>
          <w:szCs w:val="20"/>
          <w:lang w:val="es-ES" w:eastAsia="es-ES"/>
        </w:rPr>
        <w:t>4 y 10 de noviembre de 2016</w:t>
      </w:r>
      <w:r w:rsidRPr="00975C02">
        <w:rPr>
          <w:rFonts w:eastAsia="Calibri" w:cs="Verdana"/>
          <w:snapToGrid w:val="0"/>
          <w:sz w:val="20"/>
          <w:szCs w:val="20"/>
          <w:lang w:val="es-ES" w:eastAsia="es-ES"/>
        </w:rPr>
        <w:t xml:space="preserve"> l</w:t>
      </w:r>
      <w:r w:rsidR="00E809CA" w:rsidRPr="00975C02">
        <w:rPr>
          <w:rFonts w:eastAsia="Calibri" w:cs="Verdana"/>
          <w:snapToGrid w:val="0"/>
          <w:sz w:val="20"/>
          <w:szCs w:val="20"/>
          <w:lang w:val="es-ES" w:eastAsia="es-ES"/>
        </w:rPr>
        <w:t>as</w:t>
      </w:r>
      <w:r w:rsidRPr="00975C02">
        <w:rPr>
          <w:rFonts w:eastAsia="Calibri" w:cs="Verdana"/>
          <w:snapToGrid w:val="0"/>
          <w:sz w:val="20"/>
          <w:szCs w:val="20"/>
          <w:lang w:val="es-ES" w:eastAsia="es-ES"/>
        </w:rPr>
        <w:t xml:space="preserve"> señor</w:t>
      </w:r>
      <w:r w:rsidR="00E809CA" w:rsidRPr="00975C02">
        <w:rPr>
          <w:rFonts w:eastAsia="Calibri" w:cs="Verdana"/>
          <w:snapToGrid w:val="0"/>
          <w:sz w:val="20"/>
          <w:szCs w:val="20"/>
          <w:lang w:val="es-ES" w:eastAsia="es-ES"/>
        </w:rPr>
        <w:t>as V.P.C. y V.R.P.</w:t>
      </w:r>
      <w:r w:rsidRPr="00975C02">
        <w:rPr>
          <w:rFonts w:eastAsia="Calibri" w:cs="Verdana"/>
          <w:snapToGrid w:val="0"/>
          <w:sz w:val="20"/>
          <w:szCs w:val="20"/>
          <w:lang w:val="es-ES" w:eastAsia="es-ES"/>
        </w:rPr>
        <w:t xml:space="preserve"> solicit</w:t>
      </w:r>
      <w:r w:rsidR="00E809CA" w:rsidRPr="00975C02">
        <w:rPr>
          <w:rFonts w:eastAsia="Calibri" w:cs="Verdana"/>
          <w:snapToGrid w:val="0"/>
          <w:sz w:val="20"/>
          <w:szCs w:val="20"/>
          <w:lang w:val="es-ES" w:eastAsia="es-ES"/>
        </w:rPr>
        <w:t>aron</w:t>
      </w:r>
      <w:r w:rsidRPr="00975C02">
        <w:rPr>
          <w:rFonts w:eastAsia="Calibri" w:cs="Verdana"/>
          <w:snapToGrid w:val="0"/>
          <w:sz w:val="20"/>
          <w:szCs w:val="20"/>
          <w:lang w:val="es-ES" w:eastAsia="es-ES"/>
        </w:rPr>
        <w:t xml:space="preserve"> la designación de un Defensor Interamericano. Luego de las respectivas comunicaciones con la Asociación Interamericana de Defensorías Públicas (AIDEF)</w:t>
      </w:r>
      <w:r w:rsidRPr="00975C02">
        <w:rPr>
          <w:rFonts w:eastAsia="Calibri" w:cs="Verdana"/>
          <w:snapToGrid w:val="0"/>
          <w:sz w:val="20"/>
          <w:szCs w:val="20"/>
          <w:vertAlign w:val="superscript"/>
          <w:lang w:val="es-ES" w:eastAsia="es-ES"/>
        </w:rPr>
        <w:footnoteReference w:id="6"/>
      </w:r>
      <w:r w:rsidRPr="00975C02">
        <w:rPr>
          <w:rFonts w:eastAsia="Calibri" w:cs="Verdana"/>
          <w:snapToGrid w:val="0"/>
          <w:sz w:val="20"/>
          <w:szCs w:val="20"/>
          <w:lang w:val="es-ES" w:eastAsia="es-ES"/>
        </w:rPr>
        <w:t xml:space="preserve">, el </w:t>
      </w:r>
      <w:r w:rsidR="00E809CA" w:rsidRPr="00975C02">
        <w:rPr>
          <w:rFonts w:eastAsia="Calibri" w:cs="Verdana"/>
          <w:snapToGrid w:val="0"/>
          <w:sz w:val="20"/>
          <w:szCs w:val="20"/>
          <w:lang w:val="es-ES" w:eastAsia="es-ES"/>
        </w:rPr>
        <w:t>22</w:t>
      </w:r>
      <w:r w:rsidRPr="00975C02">
        <w:rPr>
          <w:rFonts w:eastAsia="Calibri" w:cs="Verdana"/>
          <w:snapToGrid w:val="0"/>
          <w:sz w:val="20"/>
          <w:szCs w:val="20"/>
          <w:lang w:val="es-ES" w:eastAsia="es-ES"/>
        </w:rPr>
        <w:t xml:space="preserve"> de </w:t>
      </w:r>
      <w:r w:rsidR="00E809CA" w:rsidRPr="00975C02">
        <w:rPr>
          <w:rFonts w:eastAsia="Calibri" w:cs="Verdana"/>
          <w:snapToGrid w:val="0"/>
          <w:sz w:val="20"/>
          <w:szCs w:val="20"/>
          <w:lang w:val="es-ES" w:eastAsia="es-ES"/>
        </w:rPr>
        <w:t>noviembre</w:t>
      </w:r>
      <w:r w:rsidRPr="00975C02">
        <w:rPr>
          <w:rFonts w:eastAsia="Calibri" w:cs="Verdana"/>
          <w:snapToGrid w:val="0"/>
          <w:sz w:val="20"/>
          <w:szCs w:val="20"/>
          <w:lang w:val="es-ES" w:eastAsia="es-ES"/>
        </w:rPr>
        <w:t xml:space="preserve"> de 201</w:t>
      </w:r>
      <w:r w:rsidR="00E809CA" w:rsidRPr="00975C02">
        <w:rPr>
          <w:rFonts w:eastAsia="Calibri" w:cs="Verdana"/>
          <w:snapToGrid w:val="0"/>
          <w:sz w:val="20"/>
          <w:szCs w:val="20"/>
          <w:lang w:val="es-ES" w:eastAsia="es-ES"/>
        </w:rPr>
        <w:t>6</w:t>
      </w:r>
      <w:r w:rsidRPr="00975C02">
        <w:rPr>
          <w:rFonts w:eastAsia="Calibri" w:cs="Verdana"/>
          <w:snapToGrid w:val="0"/>
          <w:sz w:val="20"/>
          <w:szCs w:val="20"/>
          <w:lang w:val="es-ES" w:eastAsia="es-ES"/>
        </w:rPr>
        <w:t xml:space="preserve"> </w:t>
      </w:r>
      <w:r w:rsidR="00E809CA" w:rsidRPr="00975C02">
        <w:rPr>
          <w:rFonts w:eastAsia="Calibri" w:cs="Verdana"/>
          <w:snapToGrid w:val="0"/>
          <w:sz w:val="20"/>
          <w:szCs w:val="20"/>
          <w:lang w:val="es-ES" w:eastAsia="es-ES"/>
        </w:rPr>
        <w:t>e</w:t>
      </w:r>
      <w:r w:rsidRPr="00975C02">
        <w:rPr>
          <w:rFonts w:eastAsia="Calibri" w:cs="Verdana"/>
          <w:snapToGrid w:val="0"/>
          <w:sz w:val="20"/>
          <w:szCs w:val="20"/>
          <w:lang w:val="es-ES" w:eastAsia="es-ES"/>
        </w:rPr>
        <w:t>l Coordinador General de dicha Asociación comunicó a la Corte que l</w:t>
      </w:r>
      <w:r w:rsidR="00E809CA" w:rsidRPr="00975C02">
        <w:rPr>
          <w:rFonts w:eastAsia="Calibri" w:cs="Verdana"/>
          <w:snapToGrid w:val="0"/>
          <w:sz w:val="20"/>
          <w:szCs w:val="20"/>
          <w:lang w:val="es-ES" w:eastAsia="es-ES"/>
        </w:rPr>
        <w:t>a</w:t>
      </w:r>
      <w:r w:rsidRPr="00975C02">
        <w:rPr>
          <w:rFonts w:eastAsia="Calibri" w:cs="Verdana"/>
          <w:snapToGrid w:val="0"/>
          <w:sz w:val="20"/>
          <w:szCs w:val="20"/>
          <w:lang w:val="es-ES" w:eastAsia="es-ES"/>
        </w:rPr>
        <w:t>s señor</w:t>
      </w:r>
      <w:r w:rsidR="00E809CA" w:rsidRPr="00975C02">
        <w:rPr>
          <w:rFonts w:eastAsia="Calibri" w:cs="Verdana"/>
          <w:snapToGrid w:val="0"/>
          <w:sz w:val="20"/>
          <w:szCs w:val="20"/>
          <w:lang w:val="es-ES" w:eastAsia="es-ES"/>
        </w:rPr>
        <w:t>a</w:t>
      </w:r>
      <w:r w:rsidRPr="00975C02">
        <w:rPr>
          <w:rFonts w:eastAsia="Calibri" w:cs="Verdana"/>
          <w:snapToGrid w:val="0"/>
          <w:sz w:val="20"/>
          <w:szCs w:val="20"/>
          <w:lang w:val="es-ES" w:eastAsia="es-ES"/>
        </w:rPr>
        <w:t xml:space="preserve">s </w:t>
      </w:r>
      <w:r w:rsidR="00E809CA" w:rsidRPr="00975C02">
        <w:rPr>
          <w:rFonts w:eastAsia="Calibri" w:cs="Verdana"/>
          <w:snapToGrid w:val="0"/>
          <w:sz w:val="20"/>
          <w:szCs w:val="20"/>
          <w:lang w:val="es-ES" w:eastAsia="es-ES"/>
        </w:rPr>
        <w:t>Fidencia Orozco García</w:t>
      </w:r>
      <w:r w:rsidR="00450D2C" w:rsidRPr="00975C02">
        <w:rPr>
          <w:rFonts w:eastAsia="Calibri" w:cs="Verdana"/>
          <w:snapToGrid w:val="0"/>
          <w:sz w:val="20"/>
          <w:szCs w:val="20"/>
          <w:lang w:val="es-ES" w:eastAsia="es-ES"/>
        </w:rPr>
        <w:t xml:space="preserve"> de Licardi</w:t>
      </w:r>
      <w:r w:rsidR="00E809CA" w:rsidRPr="00975C02">
        <w:rPr>
          <w:rFonts w:eastAsia="Calibri" w:cs="Verdana"/>
          <w:snapToGrid w:val="0"/>
          <w:sz w:val="20"/>
          <w:szCs w:val="20"/>
          <w:lang w:val="es-ES" w:eastAsia="es-ES"/>
        </w:rPr>
        <w:t xml:space="preserve"> (Guatemala) y Juana María Cruz Fernández (República Dominicana)</w:t>
      </w:r>
      <w:r w:rsidRPr="00975C02">
        <w:rPr>
          <w:rFonts w:eastAsia="Calibri" w:cs="Verdana"/>
          <w:snapToGrid w:val="0"/>
          <w:sz w:val="20"/>
          <w:szCs w:val="20"/>
          <w:lang w:val="es-ES" w:eastAsia="es-ES"/>
        </w:rPr>
        <w:t xml:space="preserve"> habían sido designad</w:t>
      </w:r>
      <w:r w:rsidR="00E809CA" w:rsidRPr="00975C02">
        <w:rPr>
          <w:rFonts w:eastAsia="Calibri" w:cs="Verdana"/>
          <w:snapToGrid w:val="0"/>
          <w:sz w:val="20"/>
          <w:szCs w:val="20"/>
          <w:lang w:val="es-ES" w:eastAsia="es-ES"/>
        </w:rPr>
        <w:t>a</w:t>
      </w:r>
      <w:r w:rsidRPr="00975C02">
        <w:rPr>
          <w:rFonts w:eastAsia="Calibri" w:cs="Verdana"/>
          <w:snapToGrid w:val="0"/>
          <w:sz w:val="20"/>
          <w:szCs w:val="20"/>
          <w:lang w:val="es-ES" w:eastAsia="es-ES"/>
        </w:rPr>
        <w:t>s como defensor</w:t>
      </w:r>
      <w:r w:rsidR="00E809CA" w:rsidRPr="00975C02">
        <w:rPr>
          <w:rFonts w:eastAsia="Calibri" w:cs="Verdana"/>
          <w:snapToGrid w:val="0"/>
          <w:sz w:val="20"/>
          <w:szCs w:val="20"/>
          <w:lang w:val="es-ES" w:eastAsia="es-ES"/>
        </w:rPr>
        <w:t>as públi</w:t>
      </w:r>
      <w:r w:rsidR="00664050" w:rsidRPr="00975C02">
        <w:rPr>
          <w:rFonts w:eastAsia="Calibri" w:cs="Verdana"/>
          <w:snapToGrid w:val="0"/>
          <w:sz w:val="20"/>
          <w:szCs w:val="20"/>
          <w:lang w:val="es-ES" w:eastAsia="es-ES"/>
        </w:rPr>
        <w:t>ca</w:t>
      </w:r>
      <w:r w:rsidR="00E809CA" w:rsidRPr="00975C02">
        <w:rPr>
          <w:rFonts w:eastAsia="Calibri" w:cs="Verdana"/>
          <w:snapToGrid w:val="0"/>
          <w:sz w:val="20"/>
          <w:szCs w:val="20"/>
          <w:lang w:val="es-ES" w:eastAsia="es-ES"/>
        </w:rPr>
        <w:t>s interamericanas</w:t>
      </w:r>
      <w:r w:rsidRPr="00975C02">
        <w:rPr>
          <w:rFonts w:eastAsia="Calibri" w:cs="Verdana"/>
          <w:snapToGrid w:val="0"/>
          <w:sz w:val="20"/>
          <w:szCs w:val="20"/>
          <w:lang w:val="es-ES" w:eastAsia="es-ES"/>
        </w:rPr>
        <w:t xml:space="preserve"> para ejercer la representación legal de las presuntas víctimas en este caso (en adelante “l</w:t>
      </w:r>
      <w:r w:rsidR="00E809CA" w:rsidRPr="00975C02">
        <w:rPr>
          <w:rFonts w:eastAsia="Calibri" w:cs="Verdana"/>
          <w:snapToGrid w:val="0"/>
          <w:sz w:val="20"/>
          <w:szCs w:val="20"/>
          <w:lang w:val="es-ES" w:eastAsia="es-ES"/>
        </w:rPr>
        <w:t>a</w:t>
      </w:r>
      <w:r w:rsidRPr="00975C02">
        <w:rPr>
          <w:rFonts w:eastAsia="Calibri" w:cs="Verdana"/>
          <w:snapToGrid w:val="0"/>
          <w:sz w:val="20"/>
          <w:szCs w:val="20"/>
          <w:lang w:val="es-ES" w:eastAsia="es-ES"/>
        </w:rPr>
        <w:t>s representantes”)</w:t>
      </w:r>
      <w:r w:rsidRPr="00975C02">
        <w:rPr>
          <w:rFonts w:eastAsia="Calibri" w:cs="Verdana"/>
          <w:snapToGrid w:val="0"/>
          <w:sz w:val="20"/>
          <w:szCs w:val="20"/>
          <w:vertAlign w:val="superscript"/>
          <w:lang w:val="es-ES" w:eastAsia="es-ES"/>
        </w:rPr>
        <w:footnoteReference w:id="7"/>
      </w:r>
      <w:r w:rsidRPr="00975C02">
        <w:rPr>
          <w:rFonts w:eastAsia="Calibri" w:cs="Verdana"/>
          <w:snapToGrid w:val="0"/>
          <w:sz w:val="20"/>
          <w:szCs w:val="20"/>
          <w:lang w:val="es-ES" w:eastAsia="es-ES"/>
        </w:rPr>
        <w:t>.</w:t>
      </w:r>
    </w:p>
    <w:p w14:paraId="2C9BA4F9" w14:textId="77777777" w:rsidR="00724B11" w:rsidRPr="00975C02" w:rsidRDefault="00724B11" w:rsidP="00724B11">
      <w:pPr>
        <w:tabs>
          <w:tab w:val="left" w:pos="567"/>
        </w:tabs>
        <w:spacing w:line="240" w:lineRule="auto"/>
        <w:rPr>
          <w:rFonts w:eastAsia="Verdana" w:cs="Verdana"/>
          <w:sz w:val="16"/>
          <w:szCs w:val="16"/>
          <w:lang w:val="es-ES"/>
        </w:rPr>
      </w:pPr>
    </w:p>
    <w:p w14:paraId="6A14B155" w14:textId="47DABABF" w:rsidR="006C37C9" w:rsidRPr="00975C02" w:rsidRDefault="006C37C9" w:rsidP="00C8070B">
      <w:pPr>
        <w:numPr>
          <w:ilvl w:val="0"/>
          <w:numId w:val="2"/>
        </w:numPr>
        <w:tabs>
          <w:tab w:val="left" w:pos="567"/>
          <w:tab w:val="num" w:pos="12305"/>
        </w:tabs>
        <w:spacing w:line="240" w:lineRule="auto"/>
        <w:ind w:left="0" w:firstLine="0"/>
        <w:rPr>
          <w:rFonts w:eastAsia="Verdana" w:cs="Verdana"/>
          <w:sz w:val="16"/>
          <w:szCs w:val="16"/>
          <w:lang w:val="es-ES"/>
        </w:rPr>
      </w:pPr>
      <w:r w:rsidRPr="00975C02">
        <w:rPr>
          <w:rFonts w:eastAsia="Verdana" w:cs="Verdana"/>
          <w:i/>
          <w:sz w:val="20"/>
          <w:szCs w:val="20"/>
          <w:lang w:val="es-ES"/>
        </w:rPr>
        <w:t>Notificación a la</w:t>
      </w:r>
      <w:r w:rsidR="002E5915" w:rsidRPr="00975C02">
        <w:rPr>
          <w:rFonts w:eastAsia="Verdana" w:cs="Verdana"/>
          <w:i/>
          <w:sz w:val="20"/>
          <w:szCs w:val="20"/>
          <w:lang w:val="es-ES"/>
        </w:rPr>
        <w:t>s</w:t>
      </w:r>
      <w:r w:rsidRPr="00975C02">
        <w:rPr>
          <w:rFonts w:eastAsia="Verdana" w:cs="Verdana"/>
          <w:i/>
          <w:sz w:val="20"/>
          <w:szCs w:val="20"/>
          <w:lang w:val="es-ES"/>
        </w:rPr>
        <w:t xml:space="preserve"> representante</w:t>
      </w:r>
      <w:r w:rsidR="002E5915" w:rsidRPr="00975C02">
        <w:rPr>
          <w:rFonts w:eastAsia="Verdana" w:cs="Verdana"/>
          <w:i/>
          <w:sz w:val="20"/>
          <w:szCs w:val="20"/>
          <w:lang w:val="es-ES"/>
        </w:rPr>
        <w:t>s</w:t>
      </w:r>
      <w:r w:rsidR="00A26F4E" w:rsidRPr="00975C02">
        <w:rPr>
          <w:rFonts w:eastAsia="Verdana" w:cs="Verdana"/>
          <w:i/>
          <w:sz w:val="20"/>
          <w:szCs w:val="20"/>
          <w:lang w:val="es-ES"/>
        </w:rPr>
        <w:t xml:space="preserve"> y al Estado</w:t>
      </w:r>
      <w:r w:rsidRPr="00975C02">
        <w:rPr>
          <w:rFonts w:eastAsia="Verdana" w:cs="Verdana"/>
          <w:i/>
          <w:sz w:val="20"/>
          <w:szCs w:val="20"/>
          <w:lang w:val="es-ES"/>
        </w:rPr>
        <w:t xml:space="preserve">. – </w:t>
      </w:r>
      <w:r w:rsidRPr="00975C02">
        <w:rPr>
          <w:rFonts w:eastAsia="Verdana" w:cs="Verdana"/>
          <w:sz w:val="20"/>
          <w:szCs w:val="20"/>
          <w:lang w:val="es-ES"/>
        </w:rPr>
        <w:t>El sometimiento del caso por parte de la Comisión fue notificado por la Corte a la</w:t>
      </w:r>
      <w:r w:rsidR="00E5264E" w:rsidRPr="00975C02">
        <w:rPr>
          <w:rFonts w:eastAsia="Verdana" w:cs="Verdana"/>
          <w:sz w:val="20"/>
          <w:szCs w:val="20"/>
          <w:lang w:val="es-ES"/>
        </w:rPr>
        <w:t>s</w:t>
      </w:r>
      <w:r w:rsidRPr="00975C02">
        <w:rPr>
          <w:rFonts w:eastAsia="Verdana" w:cs="Verdana"/>
          <w:sz w:val="20"/>
          <w:szCs w:val="20"/>
          <w:lang w:val="es-ES"/>
        </w:rPr>
        <w:t xml:space="preserve"> </w:t>
      </w:r>
      <w:r w:rsidR="00E5264E" w:rsidRPr="00975C02">
        <w:rPr>
          <w:rFonts w:eastAsia="Verdana" w:cs="Verdana"/>
          <w:sz w:val="20"/>
          <w:szCs w:val="20"/>
          <w:lang w:val="es-ES"/>
        </w:rPr>
        <w:t>defensoras públicas interamericanas</w:t>
      </w:r>
      <w:r w:rsidRPr="00975C02">
        <w:rPr>
          <w:rFonts w:eastAsia="Verdana" w:cs="Verdana"/>
          <w:sz w:val="20"/>
          <w:szCs w:val="20"/>
          <w:lang w:val="es-ES"/>
        </w:rPr>
        <w:t xml:space="preserve"> </w:t>
      </w:r>
      <w:r w:rsidR="008567B4" w:rsidRPr="00975C02">
        <w:rPr>
          <w:rFonts w:eastAsia="Verdana" w:cs="Verdana"/>
          <w:sz w:val="20"/>
          <w:szCs w:val="20"/>
          <w:lang w:val="es-ES"/>
        </w:rPr>
        <w:t xml:space="preserve">de las presuntas víctimas </w:t>
      </w:r>
      <w:r w:rsidRPr="00975C02">
        <w:rPr>
          <w:rFonts w:eastAsia="Verdana" w:cs="Verdana"/>
          <w:sz w:val="20"/>
          <w:szCs w:val="20"/>
          <w:lang w:val="es-ES"/>
        </w:rPr>
        <w:t xml:space="preserve">el </w:t>
      </w:r>
      <w:r w:rsidR="004B6D26" w:rsidRPr="00975C02">
        <w:rPr>
          <w:rFonts w:eastAsia="Verdana" w:cs="Verdana"/>
          <w:sz w:val="20"/>
          <w:szCs w:val="20"/>
          <w:lang w:val="es-ES"/>
        </w:rPr>
        <w:t>25</w:t>
      </w:r>
      <w:r w:rsidRPr="00975C02">
        <w:rPr>
          <w:rFonts w:eastAsia="Verdana" w:cs="Verdana"/>
          <w:sz w:val="20"/>
          <w:szCs w:val="20"/>
          <w:lang w:val="es-ES"/>
        </w:rPr>
        <w:t xml:space="preserve"> de </w:t>
      </w:r>
      <w:r w:rsidR="004B6D26" w:rsidRPr="00975C02">
        <w:rPr>
          <w:rFonts w:eastAsia="Verdana" w:cs="Verdana"/>
          <w:sz w:val="20"/>
          <w:szCs w:val="20"/>
          <w:lang w:val="es-ES"/>
        </w:rPr>
        <w:t>noviembre de 2016</w:t>
      </w:r>
      <w:r w:rsidRPr="00975C02">
        <w:rPr>
          <w:rFonts w:eastAsia="Verdana" w:cs="Verdana"/>
          <w:sz w:val="20"/>
          <w:szCs w:val="20"/>
          <w:lang w:val="es-ES"/>
        </w:rPr>
        <w:t xml:space="preserve"> y al Estado</w:t>
      </w:r>
      <w:r w:rsidR="008567B4" w:rsidRPr="00975C02">
        <w:rPr>
          <w:rFonts w:eastAsia="Verdana" w:cs="Verdana"/>
          <w:sz w:val="20"/>
          <w:szCs w:val="20"/>
          <w:lang w:val="es-ES"/>
        </w:rPr>
        <w:t xml:space="preserve"> nicaragüense</w:t>
      </w:r>
      <w:r w:rsidRPr="00975C02">
        <w:rPr>
          <w:rFonts w:eastAsia="Verdana" w:cs="Verdana"/>
          <w:sz w:val="20"/>
          <w:szCs w:val="20"/>
          <w:lang w:val="es-ES"/>
        </w:rPr>
        <w:t xml:space="preserve"> el </w:t>
      </w:r>
      <w:r w:rsidR="00E5264E" w:rsidRPr="00975C02">
        <w:rPr>
          <w:rFonts w:eastAsia="Verdana" w:cs="Verdana"/>
          <w:sz w:val="20"/>
          <w:szCs w:val="20"/>
          <w:lang w:val="es-ES"/>
        </w:rPr>
        <w:t>24</w:t>
      </w:r>
      <w:r w:rsidRPr="00975C02">
        <w:rPr>
          <w:rFonts w:eastAsia="Verdana" w:cs="Verdana"/>
          <w:sz w:val="20"/>
          <w:szCs w:val="20"/>
          <w:lang w:val="es-ES"/>
        </w:rPr>
        <w:t xml:space="preserve"> de </w:t>
      </w:r>
      <w:r w:rsidR="004B6D26" w:rsidRPr="00975C02">
        <w:rPr>
          <w:rFonts w:eastAsia="Verdana" w:cs="Verdana"/>
          <w:sz w:val="20"/>
          <w:szCs w:val="20"/>
          <w:lang w:val="es-ES"/>
        </w:rPr>
        <w:t>noviembre de 2016</w:t>
      </w:r>
      <w:r w:rsidRPr="00975C02">
        <w:rPr>
          <w:rFonts w:eastAsia="Verdana" w:cs="Verdana"/>
          <w:sz w:val="20"/>
          <w:szCs w:val="20"/>
          <w:lang w:val="es-ES"/>
        </w:rPr>
        <w:t>.</w:t>
      </w:r>
    </w:p>
    <w:p w14:paraId="36E3F1A8" w14:textId="77777777" w:rsidR="006C37C9" w:rsidRPr="00975C02" w:rsidRDefault="006C37C9" w:rsidP="006C37C9">
      <w:pPr>
        <w:spacing w:before="3" w:line="240" w:lineRule="auto"/>
        <w:rPr>
          <w:sz w:val="20"/>
          <w:szCs w:val="20"/>
          <w:lang w:val="es-ES"/>
        </w:rPr>
      </w:pPr>
    </w:p>
    <w:p w14:paraId="61BA8376" w14:textId="1C957FA2" w:rsidR="006C37C9" w:rsidRPr="00975C02" w:rsidRDefault="006C37C9" w:rsidP="00C8070B">
      <w:pPr>
        <w:numPr>
          <w:ilvl w:val="0"/>
          <w:numId w:val="2"/>
        </w:numPr>
        <w:tabs>
          <w:tab w:val="left" w:pos="567"/>
          <w:tab w:val="num" w:pos="12305"/>
        </w:tabs>
        <w:spacing w:line="240" w:lineRule="auto"/>
        <w:ind w:left="0" w:firstLine="0"/>
        <w:rPr>
          <w:rFonts w:eastAsia="Verdana" w:cs="Verdana"/>
          <w:sz w:val="20"/>
          <w:szCs w:val="20"/>
          <w:u w:val="single"/>
          <w:lang w:val="es-ES"/>
        </w:rPr>
      </w:pPr>
      <w:r w:rsidRPr="00975C02">
        <w:rPr>
          <w:rFonts w:eastAsia="Verdana" w:cs="Verdana"/>
          <w:i/>
          <w:sz w:val="20"/>
          <w:szCs w:val="20"/>
          <w:lang w:val="es-ES"/>
        </w:rPr>
        <w:t xml:space="preserve">Escrito de solicitudes, argumentos y pruebas. – </w:t>
      </w:r>
      <w:r w:rsidRPr="00975C02">
        <w:rPr>
          <w:rFonts w:eastAsia="Verdana" w:cs="Verdana"/>
          <w:sz w:val="20"/>
          <w:szCs w:val="20"/>
          <w:lang w:val="es-ES"/>
        </w:rPr>
        <w:t xml:space="preserve">El </w:t>
      </w:r>
      <w:r w:rsidR="004B6D26" w:rsidRPr="00975C02">
        <w:rPr>
          <w:rFonts w:eastAsia="Verdana" w:cs="Verdana"/>
          <w:sz w:val="20"/>
          <w:szCs w:val="20"/>
          <w:lang w:val="es-ES"/>
        </w:rPr>
        <w:t>2</w:t>
      </w:r>
      <w:r w:rsidR="00934195" w:rsidRPr="00975C02">
        <w:rPr>
          <w:rFonts w:eastAsia="Verdana" w:cs="Verdana"/>
          <w:sz w:val="20"/>
          <w:szCs w:val="20"/>
          <w:lang w:val="es-ES"/>
        </w:rPr>
        <w:t>7</w:t>
      </w:r>
      <w:r w:rsidRPr="00975C02">
        <w:rPr>
          <w:rFonts w:eastAsia="Verdana" w:cs="Verdana"/>
          <w:sz w:val="20"/>
          <w:szCs w:val="20"/>
          <w:lang w:val="es-ES"/>
        </w:rPr>
        <w:t xml:space="preserve"> de </w:t>
      </w:r>
      <w:r w:rsidR="00934195" w:rsidRPr="00975C02">
        <w:rPr>
          <w:rFonts w:eastAsia="Verdana" w:cs="Verdana"/>
          <w:sz w:val="20"/>
          <w:szCs w:val="20"/>
          <w:lang w:val="es-ES"/>
        </w:rPr>
        <w:t>enero</w:t>
      </w:r>
      <w:r w:rsidR="004B6D26" w:rsidRPr="00975C02">
        <w:rPr>
          <w:rFonts w:eastAsia="Verdana" w:cs="Verdana"/>
          <w:sz w:val="20"/>
          <w:szCs w:val="20"/>
          <w:lang w:val="es-ES"/>
        </w:rPr>
        <w:t xml:space="preserve"> de 2017</w:t>
      </w:r>
      <w:r w:rsidRPr="00975C02">
        <w:rPr>
          <w:rFonts w:eastAsia="Verdana" w:cs="Verdana"/>
          <w:sz w:val="20"/>
          <w:szCs w:val="20"/>
          <w:lang w:val="es-ES"/>
        </w:rPr>
        <w:t xml:space="preserve"> la</w:t>
      </w:r>
      <w:r w:rsidR="004B6D26" w:rsidRPr="00975C02">
        <w:rPr>
          <w:rFonts w:eastAsia="Verdana" w:cs="Verdana"/>
          <w:sz w:val="20"/>
          <w:szCs w:val="20"/>
          <w:lang w:val="es-ES"/>
        </w:rPr>
        <w:t>s</w:t>
      </w:r>
      <w:r w:rsidRPr="00975C02">
        <w:rPr>
          <w:rFonts w:eastAsia="Verdana" w:cs="Verdana"/>
          <w:sz w:val="20"/>
          <w:szCs w:val="20"/>
          <w:lang w:val="es-ES"/>
        </w:rPr>
        <w:t xml:space="preserve"> </w:t>
      </w:r>
      <w:r w:rsidR="002E5915" w:rsidRPr="00975C02">
        <w:rPr>
          <w:rFonts w:eastAsia="Calibri" w:cs="Arial"/>
          <w:sz w:val="20"/>
          <w:szCs w:val="20"/>
          <w:lang w:val="es-ES"/>
        </w:rPr>
        <w:t>representantes</w:t>
      </w:r>
      <w:r w:rsidRPr="00975C02">
        <w:rPr>
          <w:rFonts w:eastAsia="Verdana" w:cs="Verdana"/>
          <w:sz w:val="20"/>
          <w:szCs w:val="20"/>
          <w:lang w:val="es-ES"/>
        </w:rPr>
        <w:t xml:space="preserve"> present</w:t>
      </w:r>
      <w:r w:rsidR="004B6D26" w:rsidRPr="00975C02">
        <w:rPr>
          <w:rFonts w:eastAsia="Verdana" w:cs="Verdana"/>
          <w:sz w:val="20"/>
          <w:szCs w:val="20"/>
          <w:lang w:val="es-ES"/>
        </w:rPr>
        <w:t>aron</w:t>
      </w:r>
      <w:r w:rsidRPr="00975C02">
        <w:rPr>
          <w:rFonts w:eastAsia="Verdana" w:cs="Verdana"/>
          <w:sz w:val="20"/>
          <w:szCs w:val="20"/>
          <w:lang w:val="es-ES"/>
        </w:rPr>
        <w:t xml:space="preserve"> ante la Corte su escrito de solicitudes, argumentos y pruebas (en adelante “escrito de solicitudes y argumentos”).</w:t>
      </w:r>
      <w:r w:rsidR="00934195" w:rsidRPr="00975C02">
        <w:rPr>
          <w:rFonts w:eastAsia="Verdana" w:cs="Verdana"/>
          <w:sz w:val="20"/>
          <w:szCs w:val="20"/>
          <w:lang w:val="es-ES"/>
        </w:rPr>
        <w:t xml:space="preserve"> </w:t>
      </w:r>
      <w:r w:rsidRPr="00975C02">
        <w:rPr>
          <w:rFonts w:eastAsia="Verdana" w:cs="Verdana"/>
          <w:sz w:val="20"/>
          <w:szCs w:val="20"/>
          <w:lang w:val="es-ES"/>
        </w:rPr>
        <w:t>La</w:t>
      </w:r>
      <w:r w:rsidR="008567B4" w:rsidRPr="00975C02">
        <w:rPr>
          <w:rFonts w:eastAsia="Verdana" w:cs="Verdana"/>
          <w:sz w:val="20"/>
          <w:szCs w:val="20"/>
          <w:lang w:val="es-ES"/>
        </w:rPr>
        <w:t>s</w:t>
      </w:r>
      <w:r w:rsidRPr="00975C02">
        <w:rPr>
          <w:rFonts w:eastAsia="Verdana" w:cs="Verdana"/>
          <w:sz w:val="20"/>
          <w:szCs w:val="20"/>
          <w:lang w:val="es-ES"/>
        </w:rPr>
        <w:t xml:space="preserve"> representante</w:t>
      </w:r>
      <w:r w:rsidR="008567B4" w:rsidRPr="00975C02">
        <w:rPr>
          <w:rFonts w:eastAsia="Verdana" w:cs="Verdana"/>
          <w:sz w:val="20"/>
          <w:szCs w:val="20"/>
          <w:lang w:val="es-ES"/>
        </w:rPr>
        <w:t>s</w:t>
      </w:r>
      <w:r w:rsidRPr="00975C02">
        <w:rPr>
          <w:rFonts w:eastAsia="Verdana" w:cs="Verdana"/>
          <w:sz w:val="20"/>
          <w:szCs w:val="20"/>
          <w:lang w:val="es-ES"/>
        </w:rPr>
        <w:t xml:space="preserve"> coincidi</w:t>
      </w:r>
      <w:r w:rsidR="008567B4" w:rsidRPr="00975C02">
        <w:rPr>
          <w:rFonts w:eastAsia="Verdana" w:cs="Verdana"/>
          <w:sz w:val="20"/>
          <w:szCs w:val="20"/>
          <w:lang w:val="es-ES"/>
        </w:rPr>
        <w:t>eron</w:t>
      </w:r>
      <w:r w:rsidRPr="00975C02">
        <w:rPr>
          <w:rFonts w:eastAsia="Verdana" w:cs="Verdana"/>
          <w:sz w:val="20"/>
          <w:szCs w:val="20"/>
          <w:lang w:val="es-ES"/>
        </w:rPr>
        <w:t xml:space="preserve"> sustancialmente con los alegatos de la Comisión</w:t>
      </w:r>
      <w:r w:rsidR="00AA0646" w:rsidRPr="00975C02">
        <w:rPr>
          <w:rFonts w:eastAsia="Verdana" w:cs="Verdana"/>
          <w:sz w:val="20"/>
          <w:szCs w:val="20"/>
          <w:lang w:val="es-ES"/>
        </w:rPr>
        <w:t xml:space="preserve">. </w:t>
      </w:r>
      <w:r w:rsidR="00AA0646" w:rsidRPr="00975C02">
        <w:rPr>
          <w:sz w:val="20"/>
          <w:szCs w:val="20"/>
          <w:lang w:val="es-ES"/>
        </w:rPr>
        <w:t xml:space="preserve">Además de los derechos alegados por la Comisión, presentaron </w:t>
      </w:r>
      <w:r w:rsidR="00C946D6">
        <w:rPr>
          <w:sz w:val="20"/>
          <w:szCs w:val="20"/>
          <w:lang w:val="es-ES"/>
        </w:rPr>
        <w:t>argumentos</w:t>
      </w:r>
      <w:r w:rsidR="00AA0646" w:rsidRPr="00975C02">
        <w:rPr>
          <w:sz w:val="20"/>
          <w:szCs w:val="20"/>
          <w:lang w:val="es-ES"/>
        </w:rPr>
        <w:t xml:space="preserve"> sobre la alegada violación de la libertad de conciencia y de religión (artículo 12</w:t>
      </w:r>
      <w:r w:rsidR="00D7413D" w:rsidRPr="00975C02">
        <w:rPr>
          <w:sz w:val="20"/>
          <w:szCs w:val="20"/>
          <w:lang w:val="es-ES"/>
        </w:rPr>
        <w:t>.1</w:t>
      </w:r>
      <w:r w:rsidR="00AA0646" w:rsidRPr="00975C02">
        <w:rPr>
          <w:sz w:val="20"/>
          <w:szCs w:val="20"/>
          <w:lang w:val="es-ES"/>
        </w:rPr>
        <w:t>), del derecho a la protección a la familia (artículo 17</w:t>
      </w:r>
      <w:r w:rsidR="00D7413D" w:rsidRPr="00975C02">
        <w:rPr>
          <w:sz w:val="20"/>
          <w:szCs w:val="20"/>
          <w:lang w:val="es-ES"/>
        </w:rPr>
        <w:t>.1</w:t>
      </w:r>
      <w:r w:rsidR="00AA0646" w:rsidRPr="00975C02">
        <w:rPr>
          <w:sz w:val="20"/>
          <w:szCs w:val="20"/>
          <w:lang w:val="es-ES"/>
        </w:rPr>
        <w:t>) y del derecho de circulación y de residencia (artículo 22.</w:t>
      </w:r>
      <w:r w:rsidR="00D7413D" w:rsidRPr="00975C02">
        <w:rPr>
          <w:sz w:val="20"/>
          <w:szCs w:val="20"/>
          <w:lang w:val="es-ES"/>
        </w:rPr>
        <w:t>1</w:t>
      </w:r>
      <w:r w:rsidR="00AA0646" w:rsidRPr="00975C02">
        <w:rPr>
          <w:sz w:val="20"/>
          <w:szCs w:val="20"/>
          <w:lang w:val="es-ES"/>
        </w:rPr>
        <w:t>). Adicionalmente, presentaron alegatos sobre otros artículos de la Convención de Belém do Pará</w:t>
      </w:r>
      <w:r w:rsidR="00D7413D" w:rsidRPr="00975C02">
        <w:rPr>
          <w:sz w:val="20"/>
          <w:szCs w:val="20"/>
          <w:lang w:val="es-ES"/>
        </w:rPr>
        <w:t>, en particular</w:t>
      </w:r>
      <w:r w:rsidR="00AA0646" w:rsidRPr="00975C02">
        <w:rPr>
          <w:sz w:val="20"/>
          <w:szCs w:val="20"/>
          <w:lang w:val="es-ES"/>
        </w:rPr>
        <w:t xml:space="preserve"> los artículos 1, 2, 4.b) y 4.g), así como sobre los artículos 2.1, 3.1 y 2, 4, 16, 24.1 y 2 de la Convención sobre los Derechos del Niño. </w:t>
      </w:r>
      <w:r w:rsidRPr="00975C02">
        <w:rPr>
          <w:rFonts w:eastAsia="Verdana" w:cs="Verdana"/>
          <w:sz w:val="20"/>
          <w:szCs w:val="20"/>
          <w:lang w:val="es-ES"/>
        </w:rPr>
        <w:t xml:space="preserve">Asimismo, </w:t>
      </w:r>
      <w:r w:rsidR="00AA0646" w:rsidRPr="00975C02">
        <w:rPr>
          <w:sz w:val="20"/>
          <w:szCs w:val="20"/>
          <w:lang w:val="es-ES"/>
        </w:rPr>
        <w:t>las defensoras interamerican</w:t>
      </w:r>
      <w:r w:rsidR="00664050" w:rsidRPr="00975C02">
        <w:rPr>
          <w:sz w:val="20"/>
          <w:szCs w:val="20"/>
          <w:lang w:val="es-ES"/>
        </w:rPr>
        <w:t>a</w:t>
      </w:r>
      <w:r w:rsidR="00AA0646" w:rsidRPr="00975C02">
        <w:rPr>
          <w:sz w:val="20"/>
          <w:szCs w:val="20"/>
          <w:lang w:val="es-ES"/>
        </w:rPr>
        <w:t xml:space="preserve">s hicieron solicitudes respecto a la utilización del </w:t>
      </w:r>
      <w:r w:rsidRPr="00975C02">
        <w:rPr>
          <w:rFonts w:eastAsia="Verdana" w:cs="Verdana"/>
          <w:sz w:val="20"/>
          <w:szCs w:val="20"/>
          <w:lang w:val="es-ES"/>
        </w:rPr>
        <w:t>Fondo de Asistencia Legal de Víctimas de la Corte Interamericana (en adelante el “Fondo de Asistencia de la Corte” o el “Fondo”).</w:t>
      </w:r>
      <w:r w:rsidR="00686D6A" w:rsidRPr="00975C02">
        <w:rPr>
          <w:rFonts w:eastAsia="Verdana" w:cs="Verdana"/>
          <w:sz w:val="20"/>
          <w:szCs w:val="20"/>
          <w:lang w:val="es-ES"/>
        </w:rPr>
        <w:t xml:space="preserve"> </w:t>
      </w:r>
      <w:r w:rsidRPr="00975C02">
        <w:rPr>
          <w:rFonts w:eastAsia="Verdana" w:cs="Verdana"/>
          <w:sz w:val="20"/>
          <w:szCs w:val="20"/>
          <w:lang w:val="es-ES"/>
        </w:rPr>
        <w:t>Finalmente, solicit</w:t>
      </w:r>
      <w:r w:rsidR="00AA0646" w:rsidRPr="00975C02">
        <w:rPr>
          <w:rFonts w:eastAsia="Verdana" w:cs="Verdana"/>
          <w:sz w:val="20"/>
          <w:szCs w:val="20"/>
          <w:lang w:val="es-ES"/>
        </w:rPr>
        <w:t>aron</w:t>
      </w:r>
      <w:r w:rsidRPr="00975C02">
        <w:rPr>
          <w:rFonts w:eastAsia="Verdana" w:cs="Verdana"/>
          <w:sz w:val="20"/>
          <w:szCs w:val="20"/>
          <w:lang w:val="es-ES"/>
        </w:rPr>
        <w:t xml:space="preserve"> a la Corte que ordenara al Estado la adopción de diversas medidas de reparación y el reintegro de determinadas costas y gastos</w:t>
      </w:r>
      <w:r w:rsidR="00E60C44" w:rsidRPr="00975C02">
        <w:rPr>
          <w:rStyle w:val="FootnoteReference"/>
          <w:rFonts w:eastAsia="Verdana" w:cs="Verdana"/>
          <w:sz w:val="20"/>
          <w:szCs w:val="20"/>
          <w:lang w:val="es-ES"/>
        </w:rPr>
        <w:footnoteReference w:id="8"/>
      </w:r>
      <w:r w:rsidR="00DF5313" w:rsidRPr="00975C02">
        <w:rPr>
          <w:rFonts w:eastAsia="Verdana" w:cs="Verdana"/>
          <w:sz w:val="20"/>
          <w:szCs w:val="20"/>
          <w:lang w:val="es-ES"/>
        </w:rPr>
        <w:t>.</w:t>
      </w:r>
    </w:p>
    <w:p w14:paraId="4B522001" w14:textId="77777777" w:rsidR="006C37C9" w:rsidRPr="00975C02" w:rsidRDefault="006C37C9" w:rsidP="006C37C9">
      <w:pPr>
        <w:spacing w:before="4" w:line="240" w:lineRule="auto"/>
        <w:rPr>
          <w:sz w:val="20"/>
          <w:szCs w:val="20"/>
          <w:lang w:val="es-ES"/>
        </w:rPr>
      </w:pPr>
    </w:p>
    <w:p w14:paraId="28A2B3E9" w14:textId="77ACBEF6" w:rsidR="006C37C9" w:rsidRPr="00975C02" w:rsidRDefault="006C37C9" w:rsidP="00C8070B">
      <w:pPr>
        <w:numPr>
          <w:ilvl w:val="0"/>
          <w:numId w:val="2"/>
        </w:numPr>
        <w:tabs>
          <w:tab w:val="left" w:pos="567"/>
          <w:tab w:val="num" w:pos="12305"/>
        </w:tabs>
        <w:spacing w:line="240" w:lineRule="auto"/>
        <w:ind w:left="0" w:firstLine="0"/>
        <w:rPr>
          <w:rFonts w:eastAsia="Verdana" w:cs="Verdana"/>
          <w:i/>
          <w:sz w:val="20"/>
          <w:szCs w:val="20"/>
          <w:lang w:val="es-ES"/>
        </w:rPr>
      </w:pPr>
      <w:r w:rsidRPr="00975C02">
        <w:rPr>
          <w:rFonts w:eastAsia="Verdana" w:cs="Verdana"/>
          <w:i/>
          <w:sz w:val="20"/>
          <w:szCs w:val="20"/>
          <w:lang w:val="es-ES"/>
        </w:rPr>
        <w:lastRenderedPageBreak/>
        <w:t xml:space="preserve">Escrito de contestación. – </w:t>
      </w:r>
      <w:r w:rsidRPr="00975C02">
        <w:rPr>
          <w:rFonts w:eastAsia="Verdana" w:cs="Verdana"/>
          <w:sz w:val="20"/>
          <w:szCs w:val="20"/>
          <w:lang w:val="es-ES"/>
        </w:rPr>
        <w:t xml:space="preserve">El 16 de </w:t>
      </w:r>
      <w:r w:rsidR="00686D6A" w:rsidRPr="00975C02">
        <w:rPr>
          <w:rFonts w:eastAsia="Verdana" w:cs="Verdana"/>
          <w:sz w:val="20"/>
          <w:szCs w:val="20"/>
          <w:lang w:val="es-ES"/>
        </w:rPr>
        <w:t>mayo de 2017</w:t>
      </w:r>
      <w:r w:rsidRPr="00975C02">
        <w:rPr>
          <w:rFonts w:eastAsia="Verdana" w:cs="Verdana"/>
          <w:sz w:val="20"/>
          <w:szCs w:val="20"/>
          <w:lang w:val="es-ES"/>
        </w:rPr>
        <w:t xml:space="preserve"> el Estado</w:t>
      </w:r>
      <w:r w:rsidR="00EB3F3D" w:rsidRPr="00975C02">
        <w:rPr>
          <w:rStyle w:val="FootnoteReference"/>
          <w:rFonts w:eastAsia="Verdana" w:cs="Verdana"/>
          <w:sz w:val="20"/>
          <w:szCs w:val="20"/>
          <w:lang w:val="es-ES"/>
        </w:rPr>
        <w:footnoteReference w:id="9"/>
      </w:r>
      <w:r w:rsidRPr="00975C02">
        <w:rPr>
          <w:rFonts w:eastAsia="Verdana" w:cs="Verdana"/>
          <w:sz w:val="20"/>
          <w:szCs w:val="20"/>
          <w:lang w:val="es-ES"/>
        </w:rPr>
        <w:t xml:space="preserve"> presentó ante la Corte su </w:t>
      </w:r>
      <w:r w:rsidRPr="00975C02">
        <w:rPr>
          <w:rFonts w:eastAsia="Calibri" w:cs="Arial"/>
          <w:sz w:val="20"/>
          <w:szCs w:val="20"/>
          <w:lang w:val="es-ES"/>
        </w:rPr>
        <w:t>escrito</w:t>
      </w:r>
      <w:r w:rsidRPr="00975C02">
        <w:rPr>
          <w:rFonts w:eastAsia="Verdana" w:cs="Verdana"/>
          <w:sz w:val="20"/>
          <w:szCs w:val="20"/>
          <w:lang w:val="es-ES"/>
        </w:rPr>
        <w:t xml:space="preserve"> de contestación al sometimiento e informe de fondo de la Comisión Interamericana y al escrito de solicitudes, argumentos y pruebas de la</w:t>
      </w:r>
      <w:r w:rsidR="00CF0B81" w:rsidRPr="00975C02">
        <w:rPr>
          <w:rFonts w:eastAsia="Verdana" w:cs="Verdana"/>
          <w:sz w:val="20"/>
          <w:szCs w:val="20"/>
          <w:lang w:val="es-ES"/>
        </w:rPr>
        <w:t>s</w:t>
      </w:r>
      <w:r w:rsidRPr="00975C02">
        <w:rPr>
          <w:rFonts w:eastAsia="Verdana" w:cs="Verdana"/>
          <w:sz w:val="20"/>
          <w:szCs w:val="20"/>
          <w:lang w:val="es-ES"/>
        </w:rPr>
        <w:t xml:space="preserve"> representante</w:t>
      </w:r>
      <w:r w:rsidR="00CF0B81" w:rsidRPr="00975C02">
        <w:rPr>
          <w:rFonts w:eastAsia="Verdana" w:cs="Verdana"/>
          <w:sz w:val="20"/>
          <w:szCs w:val="20"/>
          <w:lang w:val="es-ES"/>
        </w:rPr>
        <w:t>s</w:t>
      </w:r>
      <w:r w:rsidRPr="00975C02">
        <w:rPr>
          <w:rFonts w:eastAsia="Verdana" w:cs="Verdana"/>
          <w:sz w:val="20"/>
          <w:szCs w:val="20"/>
          <w:lang w:val="es-ES"/>
        </w:rPr>
        <w:t xml:space="preserve"> (en adelante “escrito de contestación”). En dicho escrito el Estado </w:t>
      </w:r>
      <w:r w:rsidR="00CF0B81" w:rsidRPr="00975C02">
        <w:rPr>
          <w:rFonts w:eastAsia="Verdana" w:cs="Verdana"/>
          <w:sz w:val="20"/>
          <w:szCs w:val="20"/>
          <w:lang w:val="es-ES"/>
        </w:rPr>
        <w:t xml:space="preserve">opuso </w:t>
      </w:r>
      <w:r w:rsidR="00415D0D" w:rsidRPr="00975C02">
        <w:rPr>
          <w:sz w:val="20"/>
          <w:szCs w:val="20"/>
          <w:lang w:val="es-ES"/>
        </w:rPr>
        <w:t>tres excepciones preliminares y alegó ausencia de responsabilidad estatal por la presunta violación de los derechos alegados por la Comisión y por las representantes.</w:t>
      </w:r>
    </w:p>
    <w:p w14:paraId="04DCBA8E" w14:textId="77777777" w:rsidR="006C37C9" w:rsidRPr="00975C02" w:rsidRDefault="006C37C9" w:rsidP="006C37C9">
      <w:pPr>
        <w:autoSpaceDE w:val="0"/>
        <w:autoSpaceDN w:val="0"/>
        <w:spacing w:line="240" w:lineRule="auto"/>
        <w:rPr>
          <w:rFonts w:eastAsia="Verdana" w:cs="Verdana"/>
          <w:sz w:val="20"/>
          <w:szCs w:val="20"/>
          <w:lang w:val="es-ES"/>
        </w:rPr>
      </w:pPr>
    </w:p>
    <w:p w14:paraId="22ED82F3" w14:textId="2368500D" w:rsidR="006C37C9" w:rsidRPr="00975C02" w:rsidRDefault="006C37C9" w:rsidP="00C8070B">
      <w:pPr>
        <w:numPr>
          <w:ilvl w:val="0"/>
          <w:numId w:val="2"/>
        </w:numPr>
        <w:tabs>
          <w:tab w:val="left" w:pos="567"/>
          <w:tab w:val="num" w:pos="12305"/>
        </w:tabs>
        <w:spacing w:line="240" w:lineRule="auto"/>
        <w:ind w:left="0" w:firstLine="0"/>
        <w:rPr>
          <w:rFonts w:eastAsia="Verdana" w:cs="Verdana"/>
          <w:sz w:val="20"/>
          <w:szCs w:val="20"/>
          <w:lang w:val="es-ES"/>
        </w:rPr>
      </w:pPr>
      <w:r w:rsidRPr="00975C02">
        <w:rPr>
          <w:rFonts w:eastAsia="Verdana" w:cs="Verdana"/>
          <w:i/>
          <w:sz w:val="20"/>
          <w:szCs w:val="20"/>
          <w:lang w:val="es-ES"/>
        </w:rPr>
        <w:t xml:space="preserve">Observaciones a las excepciones preliminares. – </w:t>
      </w:r>
      <w:r w:rsidRPr="00975C02">
        <w:rPr>
          <w:rFonts w:eastAsia="Verdana" w:cs="Verdana"/>
          <w:sz w:val="20"/>
          <w:szCs w:val="20"/>
          <w:lang w:val="es-ES"/>
        </w:rPr>
        <w:t xml:space="preserve">Los días </w:t>
      </w:r>
      <w:r w:rsidR="002C2972" w:rsidRPr="00975C02">
        <w:rPr>
          <w:rFonts w:eastAsia="Verdana" w:cs="Verdana"/>
          <w:sz w:val="20"/>
          <w:szCs w:val="20"/>
          <w:lang w:val="es-ES"/>
        </w:rPr>
        <w:t>5</w:t>
      </w:r>
      <w:r w:rsidRPr="00975C02">
        <w:rPr>
          <w:rFonts w:eastAsia="Verdana" w:cs="Verdana"/>
          <w:sz w:val="20"/>
          <w:szCs w:val="20"/>
          <w:lang w:val="es-ES"/>
        </w:rPr>
        <w:t xml:space="preserve"> y </w:t>
      </w:r>
      <w:r w:rsidR="002C2972" w:rsidRPr="00975C02">
        <w:rPr>
          <w:rFonts w:eastAsia="Verdana" w:cs="Verdana"/>
          <w:sz w:val="20"/>
          <w:szCs w:val="20"/>
          <w:lang w:val="es-ES"/>
        </w:rPr>
        <w:t>6</w:t>
      </w:r>
      <w:r w:rsidRPr="00975C02">
        <w:rPr>
          <w:rFonts w:eastAsia="Verdana" w:cs="Verdana"/>
          <w:sz w:val="20"/>
          <w:szCs w:val="20"/>
          <w:lang w:val="es-ES"/>
        </w:rPr>
        <w:t xml:space="preserve"> de </w:t>
      </w:r>
      <w:r w:rsidR="002C2972" w:rsidRPr="00975C02">
        <w:rPr>
          <w:rFonts w:eastAsia="Verdana" w:cs="Verdana"/>
          <w:sz w:val="20"/>
          <w:szCs w:val="20"/>
          <w:lang w:val="es-ES"/>
        </w:rPr>
        <w:t>julio</w:t>
      </w:r>
      <w:r w:rsidRPr="00975C02">
        <w:rPr>
          <w:rFonts w:eastAsia="Verdana" w:cs="Verdana"/>
          <w:sz w:val="20"/>
          <w:szCs w:val="20"/>
          <w:lang w:val="es-ES"/>
        </w:rPr>
        <w:t xml:space="preserve"> de 201</w:t>
      </w:r>
      <w:r w:rsidR="002C2972" w:rsidRPr="00975C02">
        <w:rPr>
          <w:rFonts w:eastAsia="Verdana" w:cs="Verdana"/>
          <w:sz w:val="20"/>
          <w:szCs w:val="20"/>
          <w:lang w:val="es-ES"/>
        </w:rPr>
        <w:t>7</w:t>
      </w:r>
      <w:r w:rsidRPr="00975C02">
        <w:rPr>
          <w:rFonts w:eastAsia="Verdana" w:cs="Verdana"/>
          <w:sz w:val="20"/>
          <w:szCs w:val="20"/>
          <w:lang w:val="es-ES"/>
        </w:rPr>
        <w:t xml:space="preserve"> la Comisión </w:t>
      </w:r>
      <w:r w:rsidR="002C2972" w:rsidRPr="00975C02">
        <w:rPr>
          <w:rFonts w:eastAsia="Verdana" w:cs="Verdana"/>
          <w:sz w:val="20"/>
          <w:szCs w:val="20"/>
          <w:lang w:val="es-ES"/>
        </w:rPr>
        <w:t xml:space="preserve">y las </w:t>
      </w:r>
      <w:r w:rsidR="001908F8" w:rsidRPr="00975C02">
        <w:rPr>
          <w:rFonts w:eastAsia="Verdana" w:cs="Verdana"/>
          <w:sz w:val="20"/>
          <w:szCs w:val="20"/>
          <w:lang w:val="es-ES"/>
        </w:rPr>
        <w:t>representantes</w:t>
      </w:r>
      <w:r w:rsidR="002C2972" w:rsidRPr="00975C02">
        <w:rPr>
          <w:rFonts w:eastAsia="Verdana" w:cs="Verdana"/>
          <w:sz w:val="20"/>
          <w:szCs w:val="20"/>
          <w:lang w:val="es-ES"/>
        </w:rPr>
        <w:t xml:space="preserve"> </w:t>
      </w:r>
      <w:r w:rsidRPr="00975C02">
        <w:rPr>
          <w:rFonts w:eastAsia="Verdana" w:cs="Verdana"/>
          <w:sz w:val="20"/>
          <w:szCs w:val="20"/>
          <w:lang w:val="es-ES"/>
        </w:rPr>
        <w:t xml:space="preserve">presentaron, respectivamente, sus </w:t>
      </w:r>
      <w:r w:rsidRPr="00975C02">
        <w:rPr>
          <w:rFonts w:eastAsiaTheme="minorHAnsi" w:cs="Verdana"/>
          <w:sz w:val="20"/>
          <w:szCs w:val="20"/>
          <w:lang w:val="es-ES" w:eastAsia="es-ES"/>
        </w:rPr>
        <w:t>observaciones</w:t>
      </w:r>
      <w:r w:rsidRPr="00975C02">
        <w:rPr>
          <w:rFonts w:eastAsia="Verdana" w:cs="Verdana"/>
          <w:sz w:val="20"/>
          <w:szCs w:val="20"/>
          <w:lang w:val="es-ES"/>
        </w:rPr>
        <w:t xml:space="preserve"> a las excepciones preliminares opuestas por el Estado.</w:t>
      </w:r>
      <w:r w:rsidR="000070CB" w:rsidRPr="00975C02">
        <w:rPr>
          <w:rFonts w:eastAsia="Verdana" w:cs="Verdana"/>
          <w:sz w:val="20"/>
          <w:szCs w:val="20"/>
          <w:lang w:val="es-ES"/>
        </w:rPr>
        <w:t xml:space="preserve"> Las representantes se refirieron también a otros aspectos del escrito de contestación del Estado, lo cual no había sido solicitado. Además, las representantes impugnaron determinadas pruebas ofrecidas por el Estado.</w:t>
      </w:r>
    </w:p>
    <w:p w14:paraId="0CC561F2" w14:textId="77777777" w:rsidR="006C37C9" w:rsidRPr="00975C02" w:rsidRDefault="006C37C9" w:rsidP="006C37C9">
      <w:pPr>
        <w:autoSpaceDE w:val="0"/>
        <w:autoSpaceDN w:val="0"/>
        <w:spacing w:line="240" w:lineRule="auto"/>
        <w:rPr>
          <w:rFonts w:eastAsia="Verdana" w:cs="Verdana"/>
          <w:sz w:val="20"/>
          <w:szCs w:val="20"/>
          <w:lang w:val="es-ES"/>
        </w:rPr>
      </w:pPr>
    </w:p>
    <w:p w14:paraId="0B4B4733" w14:textId="5AA71D5A" w:rsidR="006C37C9" w:rsidRPr="00975C02" w:rsidRDefault="006C37C9" w:rsidP="00C8070B">
      <w:pPr>
        <w:numPr>
          <w:ilvl w:val="0"/>
          <w:numId w:val="2"/>
        </w:numPr>
        <w:tabs>
          <w:tab w:val="left" w:pos="567"/>
          <w:tab w:val="num" w:pos="12305"/>
        </w:tabs>
        <w:spacing w:line="240" w:lineRule="auto"/>
        <w:ind w:left="0" w:firstLine="0"/>
        <w:rPr>
          <w:rFonts w:eastAsia="Verdana" w:cs="Verdana"/>
          <w:sz w:val="20"/>
          <w:szCs w:val="20"/>
          <w:lang w:val="es-ES"/>
        </w:rPr>
      </w:pPr>
      <w:r w:rsidRPr="00975C02">
        <w:rPr>
          <w:rFonts w:eastAsia="Verdana" w:cs="Verdana"/>
          <w:i/>
          <w:position w:val="-1"/>
          <w:sz w:val="20"/>
          <w:szCs w:val="20"/>
          <w:lang w:val="es-ES"/>
        </w:rPr>
        <w:t xml:space="preserve">Audiencia Pública - </w:t>
      </w:r>
      <w:r w:rsidRPr="00975C02">
        <w:rPr>
          <w:rFonts w:eastAsia="Verdana" w:cs="Verdana"/>
          <w:position w:val="-1"/>
          <w:sz w:val="20"/>
          <w:szCs w:val="20"/>
          <w:lang w:val="es-ES"/>
        </w:rPr>
        <w:t>Mediante Resolución de 2</w:t>
      </w:r>
      <w:r w:rsidR="002C2972" w:rsidRPr="00975C02">
        <w:rPr>
          <w:rFonts w:eastAsia="Verdana" w:cs="Verdana"/>
          <w:position w:val="-1"/>
          <w:sz w:val="20"/>
          <w:szCs w:val="20"/>
          <w:lang w:val="es-ES"/>
        </w:rPr>
        <w:t>1</w:t>
      </w:r>
      <w:r w:rsidRPr="00975C02">
        <w:rPr>
          <w:rFonts w:eastAsia="Verdana" w:cs="Verdana"/>
          <w:position w:val="-1"/>
          <w:sz w:val="20"/>
          <w:szCs w:val="20"/>
          <w:lang w:val="es-ES"/>
        </w:rPr>
        <w:t xml:space="preserve"> de </w:t>
      </w:r>
      <w:r w:rsidR="002C2972" w:rsidRPr="00975C02">
        <w:rPr>
          <w:rFonts w:eastAsia="Verdana" w:cs="Verdana"/>
          <w:position w:val="-1"/>
          <w:sz w:val="20"/>
          <w:szCs w:val="20"/>
          <w:lang w:val="es-ES"/>
        </w:rPr>
        <w:t>septiembre de 2017</w:t>
      </w:r>
      <w:r w:rsidRPr="00975C02">
        <w:rPr>
          <w:rStyle w:val="FootnoteReference"/>
          <w:rFonts w:eastAsia="Verdana" w:cs="Verdana"/>
          <w:position w:val="-1"/>
          <w:sz w:val="20"/>
          <w:szCs w:val="20"/>
          <w:lang w:val="es-ES"/>
        </w:rPr>
        <w:footnoteReference w:id="10"/>
      </w:r>
      <w:r w:rsidRPr="00975C02">
        <w:rPr>
          <w:rFonts w:eastAsia="Verdana" w:cs="Verdana"/>
          <w:position w:val="-1"/>
          <w:sz w:val="20"/>
          <w:szCs w:val="20"/>
          <w:lang w:val="es-ES"/>
        </w:rPr>
        <w:t xml:space="preserve"> el Presidente convocó a las partes y a la Comisión Interamericana a una audiencia pública para recibir sus alegatos y observaciones finales orales sobre las excepciones preliminares y eventuales fondo, reparaciones y costas, así como para recibir las declaraciones </w:t>
      </w:r>
      <w:r w:rsidRPr="00975C02">
        <w:rPr>
          <w:rFonts w:eastAsia="Verdana" w:cs="Verdana"/>
          <w:sz w:val="20"/>
          <w:szCs w:val="20"/>
          <w:lang w:val="es-ES"/>
        </w:rPr>
        <w:t xml:space="preserve">de </w:t>
      </w:r>
      <w:r w:rsidR="002C2972" w:rsidRPr="00975C02">
        <w:rPr>
          <w:rFonts w:eastAsia="Verdana" w:cs="Verdana"/>
          <w:sz w:val="20"/>
          <w:szCs w:val="20"/>
          <w:lang w:val="es-ES"/>
        </w:rPr>
        <w:t>dos</w:t>
      </w:r>
      <w:r w:rsidRPr="00975C02">
        <w:rPr>
          <w:rFonts w:eastAsia="Verdana" w:cs="Verdana"/>
          <w:sz w:val="20"/>
          <w:szCs w:val="20"/>
          <w:lang w:val="es-ES"/>
        </w:rPr>
        <w:t xml:space="preserve"> presunta</w:t>
      </w:r>
      <w:r w:rsidR="002C2972" w:rsidRPr="00975C02">
        <w:rPr>
          <w:rFonts w:eastAsia="Verdana" w:cs="Verdana"/>
          <w:sz w:val="20"/>
          <w:szCs w:val="20"/>
          <w:lang w:val="es-ES"/>
        </w:rPr>
        <w:t>s</w:t>
      </w:r>
      <w:r w:rsidRPr="00975C02">
        <w:rPr>
          <w:rFonts w:eastAsia="Verdana" w:cs="Verdana"/>
          <w:sz w:val="20"/>
          <w:szCs w:val="20"/>
          <w:lang w:val="es-ES"/>
        </w:rPr>
        <w:t xml:space="preserve"> víctima</w:t>
      </w:r>
      <w:r w:rsidR="002C2972" w:rsidRPr="00975C02">
        <w:rPr>
          <w:rFonts w:eastAsia="Verdana" w:cs="Verdana"/>
          <w:sz w:val="20"/>
          <w:szCs w:val="20"/>
          <w:lang w:val="es-ES"/>
        </w:rPr>
        <w:t>s</w:t>
      </w:r>
      <w:r w:rsidRPr="00975C02">
        <w:rPr>
          <w:rFonts w:eastAsia="Verdana" w:cs="Verdana"/>
          <w:sz w:val="20"/>
          <w:szCs w:val="20"/>
          <w:lang w:val="es-ES"/>
        </w:rPr>
        <w:t xml:space="preserve">, </w:t>
      </w:r>
      <w:r w:rsidR="00A32354" w:rsidRPr="00975C02">
        <w:rPr>
          <w:rFonts w:eastAsia="Verdana" w:cs="Verdana"/>
          <w:sz w:val="20"/>
          <w:szCs w:val="20"/>
          <w:lang w:val="es-ES"/>
        </w:rPr>
        <w:t xml:space="preserve">de </w:t>
      </w:r>
      <w:r w:rsidRPr="00975C02">
        <w:rPr>
          <w:rFonts w:eastAsia="Verdana" w:cs="Verdana"/>
          <w:position w:val="-1"/>
          <w:sz w:val="20"/>
          <w:szCs w:val="20"/>
          <w:lang w:val="es-ES"/>
        </w:rPr>
        <w:t xml:space="preserve">un </w:t>
      </w:r>
      <w:r w:rsidR="00BC1629" w:rsidRPr="00975C02">
        <w:rPr>
          <w:rFonts w:eastAsia="Verdana" w:cs="Verdana"/>
          <w:position w:val="-1"/>
          <w:sz w:val="20"/>
          <w:szCs w:val="20"/>
          <w:lang w:val="es-ES"/>
        </w:rPr>
        <w:t>perito</w:t>
      </w:r>
      <w:r w:rsidRPr="00975C02">
        <w:rPr>
          <w:rFonts w:eastAsia="Verdana" w:cs="Verdana"/>
          <w:position w:val="-1"/>
          <w:sz w:val="20"/>
          <w:szCs w:val="20"/>
          <w:lang w:val="es-ES"/>
        </w:rPr>
        <w:t xml:space="preserve"> propuesto por </w:t>
      </w:r>
      <w:r w:rsidR="002C2972" w:rsidRPr="00975C02">
        <w:rPr>
          <w:rFonts w:eastAsia="Verdana" w:cs="Verdana"/>
          <w:position w:val="-1"/>
          <w:sz w:val="20"/>
          <w:szCs w:val="20"/>
          <w:lang w:val="es-ES"/>
        </w:rPr>
        <w:t>las</w:t>
      </w:r>
      <w:r w:rsidRPr="00975C02">
        <w:rPr>
          <w:rFonts w:eastAsia="Verdana" w:cs="Verdana"/>
          <w:position w:val="-1"/>
          <w:sz w:val="20"/>
          <w:szCs w:val="20"/>
          <w:lang w:val="es-ES"/>
        </w:rPr>
        <w:t xml:space="preserve"> </w:t>
      </w:r>
      <w:r w:rsidR="002C2972" w:rsidRPr="00975C02">
        <w:rPr>
          <w:rFonts w:eastAsia="Verdana" w:cs="Verdana"/>
          <w:position w:val="-1"/>
          <w:sz w:val="20"/>
          <w:szCs w:val="20"/>
          <w:lang w:val="es-ES"/>
        </w:rPr>
        <w:t>representantes</w:t>
      </w:r>
      <w:r w:rsidRPr="00975C02">
        <w:rPr>
          <w:rFonts w:eastAsia="Verdana" w:cs="Verdana"/>
          <w:position w:val="-1"/>
          <w:sz w:val="20"/>
          <w:szCs w:val="20"/>
          <w:lang w:val="es-ES"/>
        </w:rPr>
        <w:t xml:space="preserve"> y de </w:t>
      </w:r>
      <w:r w:rsidR="002C2972" w:rsidRPr="00975C02">
        <w:rPr>
          <w:rFonts w:eastAsia="Verdana" w:cs="Verdana"/>
          <w:position w:val="-1"/>
          <w:sz w:val="20"/>
          <w:szCs w:val="20"/>
          <w:lang w:val="es-ES"/>
        </w:rPr>
        <w:t>un perito ofrecido</w:t>
      </w:r>
      <w:r w:rsidRPr="00975C02">
        <w:rPr>
          <w:rFonts w:eastAsia="Verdana" w:cs="Verdana"/>
          <w:position w:val="-1"/>
          <w:sz w:val="20"/>
          <w:szCs w:val="20"/>
          <w:lang w:val="es-ES"/>
        </w:rPr>
        <w:t xml:space="preserve"> por la </w:t>
      </w:r>
      <w:r w:rsidR="002C2972" w:rsidRPr="00975C02">
        <w:rPr>
          <w:rFonts w:eastAsia="Verdana" w:cs="Verdana"/>
          <w:position w:val="-1"/>
          <w:sz w:val="20"/>
          <w:szCs w:val="20"/>
          <w:lang w:val="es-ES"/>
        </w:rPr>
        <w:t>Comisión</w:t>
      </w:r>
      <w:r w:rsidRPr="00975C02">
        <w:rPr>
          <w:rFonts w:eastAsia="Verdana" w:cs="Verdana"/>
          <w:position w:val="-1"/>
          <w:sz w:val="20"/>
          <w:szCs w:val="20"/>
          <w:lang w:val="es-ES"/>
        </w:rPr>
        <w:t xml:space="preserve">. </w:t>
      </w:r>
      <w:r w:rsidRPr="00975C02">
        <w:rPr>
          <w:rFonts w:eastAsia="Verdana" w:cs="Verdana"/>
          <w:sz w:val="20"/>
          <w:szCs w:val="20"/>
          <w:lang w:val="es-ES"/>
        </w:rPr>
        <w:t xml:space="preserve">La audiencia pública fue celebrada el </w:t>
      </w:r>
      <w:r w:rsidR="002C2972" w:rsidRPr="00975C02">
        <w:rPr>
          <w:rFonts w:eastAsia="Verdana" w:cs="Verdana"/>
          <w:sz w:val="20"/>
          <w:szCs w:val="20"/>
          <w:lang w:val="es-ES"/>
        </w:rPr>
        <w:t>16 y 17</w:t>
      </w:r>
      <w:r w:rsidRPr="00975C02">
        <w:rPr>
          <w:rFonts w:eastAsia="Verdana" w:cs="Verdana"/>
          <w:sz w:val="20"/>
          <w:szCs w:val="20"/>
          <w:lang w:val="es-ES"/>
        </w:rPr>
        <w:t xml:space="preserve"> de </w:t>
      </w:r>
      <w:r w:rsidR="002C2972" w:rsidRPr="00975C02">
        <w:rPr>
          <w:rFonts w:eastAsia="Verdana" w:cs="Verdana"/>
          <w:sz w:val="20"/>
          <w:szCs w:val="20"/>
          <w:lang w:val="es-ES"/>
        </w:rPr>
        <w:t>octubre de 2017</w:t>
      </w:r>
      <w:r w:rsidRPr="00975C02">
        <w:rPr>
          <w:rFonts w:eastAsia="Verdana" w:cs="Verdana"/>
          <w:sz w:val="20"/>
          <w:szCs w:val="20"/>
          <w:lang w:val="es-ES"/>
        </w:rPr>
        <w:t xml:space="preserve">, durante el </w:t>
      </w:r>
      <w:r w:rsidR="002C2972" w:rsidRPr="00975C02">
        <w:rPr>
          <w:rFonts w:eastAsia="Verdana" w:cs="Verdana"/>
          <w:sz w:val="20"/>
          <w:szCs w:val="20"/>
          <w:lang w:val="es-ES"/>
        </w:rPr>
        <w:t>58° Período Extrao</w:t>
      </w:r>
      <w:r w:rsidRPr="00975C02">
        <w:rPr>
          <w:rFonts w:eastAsia="Verdana" w:cs="Verdana"/>
          <w:sz w:val="20"/>
          <w:szCs w:val="20"/>
          <w:lang w:val="es-ES"/>
        </w:rPr>
        <w:t xml:space="preserve">rdinario de Sesiones de la Corte, llevado a cabo en </w:t>
      </w:r>
      <w:r w:rsidR="00AB59D1" w:rsidRPr="00975C02">
        <w:rPr>
          <w:rFonts w:eastAsia="Verdana" w:cs="Verdana"/>
          <w:sz w:val="20"/>
          <w:szCs w:val="20"/>
          <w:lang w:val="es-ES"/>
        </w:rPr>
        <w:t>la ciudad de Panamá, República de Panamá</w:t>
      </w:r>
      <w:r w:rsidRPr="00975C02">
        <w:rPr>
          <w:rStyle w:val="FootnoteReference"/>
          <w:rFonts w:eastAsia="Verdana" w:cs="Verdana"/>
          <w:sz w:val="20"/>
          <w:szCs w:val="20"/>
          <w:lang w:val="es-ES"/>
        </w:rPr>
        <w:footnoteReference w:id="11"/>
      </w:r>
      <w:r w:rsidRPr="00975C02">
        <w:rPr>
          <w:rFonts w:eastAsia="Verdana" w:cs="Verdana"/>
          <w:sz w:val="20"/>
          <w:szCs w:val="20"/>
          <w:lang w:val="es-ES"/>
        </w:rPr>
        <w:t xml:space="preserve">. </w:t>
      </w:r>
      <w:r w:rsidR="0093300A" w:rsidRPr="00975C02">
        <w:rPr>
          <w:rFonts w:eastAsia="Verdana" w:cs="Verdana"/>
          <w:sz w:val="20"/>
          <w:szCs w:val="20"/>
          <w:lang w:val="es-ES"/>
        </w:rPr>
        <w:t>A</w:t>
      </w:r>
      <w:r w:rsidR="0093300A" w:rsidRPr="00975C02">
        <w:rPr>
          <w:sz w:val="20"/>
          <w:lang w:val="es-ES"/>
        </w:rPr>
        <w:t xml:space="preserve">ntes de iniciar la audiencia pública del caso, se recibió la declaración de V.R.P. en privado, con la sola intervención de las partes del caso, de la Comisión Interamericana y la presencia del personal de la Secretaría indispensable para realizar dicha diligencia. Una vez concluida dicha declaración y el interrogatorio de las partes, se prosiguió con el desarrollo de la audiencia de forma pública, </w:t>
      </w:r>
      <w:r w:rsidR="0093300A" w:rsidRPr="00975C02">
        <w:rPr>
          <w:rFonts w:eastAsia="Verdana" w:cs="Verdana"/>
          <w:sz w:val="20"/>
          <w:szCs w:val="20"/>
          <w:lang w:val="es-ES"/>
        </w:rPr>
        <w:t xml:space="preserve">en la cual </w:t>
      </w:r>
      <w:r w:rsidRPr="00975C02">
        <w:rPr>
          <w:rFonts w:eastAsia="Verdana" w:cs="Verdana"/>
          <w:sz w:val="20"/>
          <w:szCs w:val="20"/>
          <w:lang w:val="es-ES"/>
        </w:rPr>
        <w:t xml:space="preserve">se recibió la declaración de </w:t>
      </w:r>
      <w:r w:rsidR="00AB59D1" w:rsidRPr="00975C02">
        <w:rPr>
          <w:rFonts w:eastAsia="Verdana" w:cs="Verdana"/>
          <w:sz w:val="20"/>
          <w:szCs w:val="20"/>
          <w:lang w:val="es-ES"/>
        </w:rPr>
        <w:t>V.P.C.</w:t>
      </w:r>
      <w:r w:rsidR="00897146" w:rsidRPr="00975C02">
        <w:rPr>
          <w:rFonts w:eastAsia="Verdana" w:cs="Verdana"/>
          <w:sz w:val="20"/>
          <w:szCs w:val="20"/>
          <w:lang w:val="es-ES"/>
        </w:rPr>
        <w:t xml:space="preserve"> y</w:t>
      </w:r>
      <w:r w:rsidR="0093300A" w:rsidRPr="00975C02">
        <w:rPr>
          <w:rFonts w:eastAsia="Verdana" w:cs="Verdana"/>
          <w:sz w:val="20"/>
          <w:szCs w:val="20"/>
          <w:lang w:val="es-ES"/>
        </w:rPr>
        <w:t xml:space="preserve"> de</w:t>
      </w:r>
      <w:r w:rsidR="00897146" w:rsidRPr="00975C02">
        <w:rPr>
          <w:rFonts w:eastAsia="Verdana" w:cs="Verdana"/>
          <w:sz w:val="20"/>
          <w:szCs w:val="20"/>
          <w:lang w:val="es-ES"/>
        </w:rPr>
        <w:t xml:space="preserve"> </w:t>
      </w:r>
      <w:r w:rsidR="00823CEB" w:rsidRPr="00975C02">
        <w:rPr>
          <w:rFonts w:eastAsia="Verdana" w:cs="Verdana"/>
          <w:sz w:val="20"/>
          <w:szCs w:val="20"/>
          <w:lang w:val="es-ES"/>
        </w:rPr>
        <w:t>l</w:t>
      </w:r>
      <w:r w:rsidR="00897146" w:rsidRPr="00975C02">
        <w:rPr>
          <w:rFonts w:eastAsia="Verdana" w:cs="Verdana"/>
          <w:sz w:val="20"/>
          <w:szCs w:val="20"/>
          <w:lang w:val="es-ES"/>
        </w:rPr>
        <w:t>os</w:t>
      </w:r>
      <w:r w:rsidRPr="00975C02">
        <w:rPr>
          <w:rFonts w:eastAsia="Verdana" w:cs="Verdana"/>
          <w:sz w:val="20"/>
          <w:szCs w:val="20"/>
          <w:lang w:val="es-ES"/>
        </w:rPr>
        <w:t xml:space="preserve"> </w:t>
      </w:r>
      <w:r w:rsidR="00897146" w:rsidRPr="00975C02">
        <w:rPr>
          <w:rFonts w:eastAsia="Verdana" w:cs="Verdana"/>
          <w:sz w:val="20"/>
          <w:szCs w:val="20"/>
          <w:lang w:val="es-ES"/>
        </w:rPr>
        <w:t>peritos</w:t>
      </w:r>
      <w:r w:rsidRPr="00975C02">
        <w:rPr>
          <w:rFonts w:eastAsia="Verdana" w:cs="Verdana"/>
          <w:sz w:val="20"/>
          <w:szCs w:val="20"/>
          <w:lang w:val="es-ES"/>
        </w:rPr>
        <w:t xml:space="preserve"> </w:t>
      </w:r>
      <w:r w:rsidR="00AB59D1" w:rsidRPr="00975C02">
        <w:rPr>
          <w:rFonts w:eastAsia="Verdana" w:cs="Verdana"/>
          <w:sz w:val="20"/>
          <w:szCs w:val="20"/>
          <w:lang w:val="es-ES"/>
        </w:rPr>
        <w:t>Enrique Oscar Stola</w:t>
      </w:r>
      <w:r w:rsidRPr="00975C02">
        <w:rPr>
          <w:rFonts w:eastAsia="Verdana" w:cs="Verdana"/>
          <w:sz w:val="20"/>
          <w:szCs w:val="20"/>
          <w:lang w:val="es-ES"/>
        </w:rPr>
        <w:t xml:space="preserve"> y </w:t>
      </w:r>
      <w:r w:rsidR="00AB59D1" w:rsidRPr="00975C02">
        <w:rPr>
          <w:rFonts w:eastAsia="Verdana" w:cs="Verdana"/>
          <w:sz w:val="20"/>
          <w:szCs w:val="20"/>
          <w:lang w:val="es-ES"/>
        </w:rPr>
        <w:t>Miguel Cillero Bruñol</w:t>
      </w:r>
      <w:r w:rsidRPr="00975C02">
        <w:rPr>
          <w:rFonts w:eastAsia="Verdana" w:cs="Verdana"/>
          <w:sz w:val="20"/>
          <w:szCs w:val="20"/>
          <w:lang w:val="es-ES"/>
        </w:rPr>
        <w:t xml:space="preserve">. </w:t>
      </w:r>
      <w:r w:rsidR="0011543E" w:rsidRPr="00975C02">
        <w:rPr>
          <w:sz w:val="20"/>
          <w:szCs w:val="20"/>
          <w:lang w:val="es-ES" w:eastAsia="es-ES"/>
        </w:rPr>
        <w:t>Asimismo, la Corte requirió a las partes que presentaran determinada información y documentación</w:t>
      </w:r>
      <w:r w:rsidR="0011543E" w:rsidRPr="00975C02">
        <w:rPr>
          <w:rFonts w:eastAsia="Batang"/>
          <w:sz w:val="20"/>
          <w:lang w:val="es-ES"/>
        </w:rPr>
        <w:t>.</w:t>
      </w:r>
      <w:r w:rsidR="0011543E" w:rsidRPr="00975C02">
        <w:rPr>
          <w:sz w:val="20"/>
          <w:szCs w:val="20"/>
          <w:lang w:val="es-ES" w:eastAsia="es-ES"/>
        </w:rPr>
        <w:t xml:space="preserve"> </w:t>
      </w:r>
      <w:r w:rsidRPr="00975C02">
        <w:rPr>
          <w:rFonts w:eastAsia="Verdana" w:cs="Verdana"/>
          <w:position w:val="-1"/>
          <w:sz w:val="20"/>
          <w:szCs w:val="20"/>
          <w:lang w:val="es-ES"/>
        </w:rPr>
        <w:t xml:space="preserve">Las declaraciones solicitadas ante fedatario público fueron recibidas </w:t>
      </w:r>
      <w:r w:rsidR="00631F29" w:rsidRPr="00975C02">
        <w:rPr>
          <w:rFonts w:eastAsia="Verdana" w:cs="Verdana"/>
          <w:position w:val="-1"/>
          <w:sz w:val="20"/>
          <w:szCs w:val="20"/>
          <w:lang w:val="es-ES"/>
        </w:rPr>
        <w:t>el 10</w:t>
      </w:r>
      <w:r w:rsidRPr="00975C02">
        <w:rPr>
          <w:rFonts w:eastAsia="Verdana" w:cs="Verdana"/>
          <w:position w:val="-1"/>
          <w:sz w:val="20"/>
          <w:szCs w:val="20"/>
          <w:lang w:val="es-ES"/>
        </w:rPr>
        <w:t xml:space="preserve"> de </w:t>
      </w:r>
      <w:r w:rsidR="00631F29" w:rsidRPr="00975C02">
        <w:rPr>
          <w:rFonts w:eastAsia="Verdana" w:cs="Verdana"/>
          <w:position w:val="-1"/>
          <w:sz w:val="20"/>
          <w:szCs w:val="20"/>
          <w:lang w:val="es-ES"/>
        </w:rPr>
        <w:t>octubre de 2017</w:t>
      </w:r>
      <w:r w:rsidRPr="00975C02">
        <w:rPr>
          <w:rFonts w:eastAsia="Verdana" w:cs="Verdana"/>
          <w:position w:val="-1"/>
          <w:sz w:val="20"/>
          <w:szCs w:val="20"/>
          <w:lang w:val="es-ES"/>
        </w:rPr>
        <w:t>.</w:t>
      </w:r>
    </w:p>
    <w:p w14:paraId="61F7318A" w14:textId="77777777" w:rsidR="006C37C9" w:rsidRPr="00975C02" w:rsidRDefault="006C37C9" w:rsidP="006C37C9">
      <w:pPr>
        <w:autoSpaceDE w:val="0"/>
        <w:autoSpaceDN w:val="0"/>
        <w:spacing w:line="240" w:lineRule="auto"/>
        <w:rPr>
          <w:rFonts w:eastAsia="Verdana" w:cs="Verdana"/>
          <w:sz w:val="20"/>
          <w:szCs w:val="20"/>
          <w:lang w:val="es-ES"/>
        </w:rPr>
      </w:pPr>
    </w:p>
    <w:p w14:paraId="633455F2" w14:textId="63A47927" w:rsidR="003765A7" w:rsidRPr="00975C02" w:rsidRDefault="003765A7" w:rsidP="00C8070B">
      <w:pPr>
        <w:numPr>
          <w:ilvl w:val="0"/>
          <w:numId w:val="2"/>
        </w:numPr>
        <w:tabs>
          <w:tab w:val="left" w:pos="567"/>
          <w:tab w:val="num" w:pos="12305"/>
        </w:tabs>
        <w:spacing w:line="240" w:lineRule="auto"/>
        <w:ind w:left="0" w:firstLine="0"/>
        <w:rPr>
          <w:rFonts w:eastAsia="Verdana" w:cs="Verdana"/>
          <w:bCs/>
          <w:sz w:val="20"/>
          <w:szCs w:val="20"/>
          <w:lang w:val="es-ES"/>
        </w:rPr>
      </w:pPr>
      <w:r w:rsidRPr="00975C02">
        <w:rPr>
          <w:rFonts w:eastAsia="Verdana" w:cs="Verdana"/>
          <w:i/>
          <w:sz w:val="20"/>
          <w:szCs w:val="20"/>
          <w:lang w:val="es-ES"/>
        </w:rPr>
        <w:t>Amic</w:t>
      </w:r>
      <w:r w:rsidR="00867066" w:rsidRPr="00975C02">
        <w:rPr>
          <w:rFonts w:eastAsia="Verdana" w:cs="Verdana"/>
          <w:i/>
          <w:sz w:val="20"/>
          <w:szCs w:val="20"/>
          <w:lang w:val="es-ES"/>
        </w:rPr>
        <w:t>i</w:t>
      </w:r>
      <w:r w:rsidRPr="00975C02">
        <w:rPr>
          <w:rFonts w:eastAsia="Verdana" w:cs="Verdana"/>
          <w:i/>
          <w:sz w:val="20"/>
          <w:szCs w:val="20"/>
          <w:lang w:val="es-ES"/>
        </w:rPr>
        <w:t xml:space="preserve"> curiae. </w:t>
      </w:r>
      <w:r w:rsidRPr="00975C02">
        <w:rPr>
          <w:rFonts w:eastAsia="Verdana" w:cs="Verdana"/>
          <w:sz w:val="20"/>
          <w:szCs w:val="20"/>
          <w:lang w:val="es-ES"/>
        </w:rPr>
        <w:t xml:space="preserve">– </w:t>
      </w:r>
      <w:r w:rsidR="0093300A" w:rsidRPr="00975C02">
        <w:rPr>
          <w:rFonts w:eastAsia="Verdana" w:cs="Verdana"/>
          <w:sz w:val="20"/>
          <w:szCs w:val="20"/>
          <w:lang w:val="es-ES"/>
        </w:rPr>
        <w:t>Se</w:t>
      </w:r>
      <w:r w:rsidRPr="00975C02">
        <w:rPr>
          <w:rFonts w:eastAsia="Verdana" w:cs="Verdana"/>
          <w:sz w:val="20"/>
          <w:szCs w:val="20"/>
          <w:lang w:val="es-ES"/>
        </w:rPr>
        <w:t xml:space="preserve"> recib</w:t>
      </w:r>
      <w:r w:rsidR="0093300A" w:rsidRPr="00975C02">
        <w:rPr>
          <w:rFonts w:eastAsia="Verdana" w:cs="Verdana"/>
          <w:sz w:val="20"/>
          <w:szCs w:val="20"/>
          <w:lang w:val="es-ES"/>
        </w:rPr>
        <w:t>ieron</w:t>
      </w:r>
      <w:r w:rsidRPr="00975C02">
        <w:rPr>
          <w:rFonts w:eastAsia="Verdana" w:cs="Verdana"/>
          <w:sz w:val="20"/>
          <w:szCs w:val="20"/>
          <w:lang w:val="es-ES"/>
        </w:rPr>
        <w:t xml:space="preserve"> escritos en calidad de </w:t>
      </w:r>
      <w:r w:rsidRPr="00975C02">
        <w:rPr>
          <w:rFonts w:eastAsia="Verdana" w:cs="Verdana"/>
          <w:i/>
          <w:sz w:val="20"/>
          <w:szCs w:val="20"/>
          <w:lang w:val="es-ES"/>
        </w:rPr>
        <w:t>amicus curiae</w:t>
      </w:r>
      <w:r w:rsidRPr="00975C02">
        <w:rPr>
          <w:rFonts w:eastAsia="Verdana" w:cs="Verdana"/>
          <w:sz w:val="20"/>
          <w:szCs w:val="20"/>
          <w:lang w:val="es-ES"/>
        </w:rPr>
        <w:t xml:space="preserve"> por parte de (1) </w:t>
      </w:r>
      <w:r w:rsidR="007D6AD8" w:rsidRPr="00975C02">
        <w:rPr>
          <w:rFonts w:cs="TimesNewRomanPSMT"/>
          <w:sz w:val="20"/>
          <w:szCs w:val="20"/>
          <w:lang w:val="es-ES"/>
        </w:rPr>
        <w:t>Muhammad Muzahidul Islam</w:t>
      </w:r>
      <w:r w:rsidRPr="00975C02">
        <w:rPr>
          <w:rFonts w:cs="TimesNewRomanPSMT"/>
          <w:sz w:val="20"/>
          <w:szCs w:val="20"/>
          <w:lang w:val="es-ES"/>
        </w:rPr>
        <w:t xml:space="preserve"> </w:t>
      </w:r>
      <w:r w:rsidR="005A3F57" w:rsidRPr="00975C02">
        <w:rPr>
          <w:rFonts w:cs="TimesNewRomanPSMT"/>
          <w:sz w:val="20"/>
          <w:szCs w:val="20"/>
          <w:lang w:val="es-ES"/>
        </w:rPr>
        <w:t>los días 16 y 20 de octubre de 2017</w:t>
      </w:r>
      <w:r w:rsidR="00B65DC0" w:rsidRPr="00975C02">
        <w:rPr>
          <w:rStyle w:val="FootnoteReference"/>
          <w:rFonts w:cs="TimesNewRomanPSMT"/>
          <w:sz w:val="20"/>
          <w:szCs w:val="20"/>
          <w:lang w:val="es-ES"/>
        </w:rPr>
        <w:footnoteReference w:id="12"/>
      </w:r>
      <w:r w:rsidR="007D6AD8" w:rsidRPr="00975C02">
        <w:rPr>
          <w:rFonts w:eastAsia="Verdana" w:cs="Verdana"/>
          <w:sz w:val="20"/>
          <w:szCs w:val="20"/>
          <w:lang w:val="es-ES"/>
        </w:rPr>
        <w:t>, y</w:t>
      </w:r>
      <w:r w:rsidRPr="00975C02">
        <w:rPr>
          <w:rFonts w:eastAsia="Verdana" w:cs="Verdana"/>
          <w:sz w:val="20"/>
          <w:szCs w:val="20"/>
          <w:lang w:val="es-ES"/>
        </w:rPr>
        <w:t xml:space="preserve"> (2)</w:t>
      </w:r>
      <w:r w:rsidRPr="00975C02">
        <w:rPr>
          <w:rFonts w:eastAsia="Verdana" w:cs="Verdana"/>
          <w:bCs/>
          <w:sz w:val="20"/>
          <w:szCs w:val="20"/>
          <w:lang w:val="es-ES"/>
        </w:rPr>
        <w:t xml:space="preserve"> </w:t>
      </w:r>
      <w:r w:rsidR="007D6AD8" w:rsidRPr="00975C02">
        <w:rPr>
          <w:rFonts w:cs="Calibri"/>
          <w:sz w:val="20"/>
          <w:szCs w:val="20"/>
          <w:lang w:val="es-ES"/>
        </w:rPr>
        <w:t>la Fundación ProBono Colombia y Gómez</w:t>
      </w:r>
      <w:r w:rsidR="002F731A" w:rsidRPr="00975C02">
        <w:rPr>
          <w:rFonts w:cs="Calibri"/>
          <w:sz w:val="20"/>
          <w:szCs w:val="20"/>
          <w:lang w:val="es-ES"/>
        </w:rPr>
        <w:t>-</w:t>
      </w:r>
      <w:r w:rsidR="00DF5313" w:rsidRPr="00975C02">
        <w:rPr>
          <w:rFonts w:cs="Calibri"/>
          <w:sz w:val="20"/>
          <w:szCs w:val="20"/>
          <w:lang w:val="es-ES"/>
        </w:rPr>
        <w:t>Pinzón</w:t>
      </w:r>
      <w:r w:rsidR="007D6AD8" w:rsidRPr="00975C02">
        <w:rPr>
          <w:rFonts w:cs="Calibri"/>
          <w:sz w:val="20"/>
          <w:szCs w:val="20"/>
          <w:lang w:val="es-ES"/>
        </w:rPr>
        <w:t xml:space="preserve"> Abogados</w:t>
      </w:r>
      <w:r w:rsidR="00B65DC0" w:rsidRPr="00975C02">
        <w:rPr>
          <w:rStyle w:val="FootnoteReference"/>
          <w:rFonts w:cs="Calibri"/>
          <w:sz w:val="20"/>
          <w:szCs w:val="20"/>
          <w:lang w:val="es-ES"/>
        </w:rPr>
        <w:footnoteReference w:id="13"/>
      </w:r>
      <w:r w:rsidRPr="00975C02">
        <w:rPr>
          <w:rFonts w:eastAsia="Verdana" w:cs="Verdana"/>
          <w:sz w:val="20"/>
          <w:szCs w:val="20"/>
          <w:lang w:val="es-ES"/>
        </w:rPr>
        <w:t xml:space="preserve"> </w:t>
      </w:r>
      <w:r w:rsidR="005A3F57" w:rsidRPr="00975C02">
        <w:rPr>
          <w:rFonts w:eastAsia="Verdana" w:cs="Verdana"/>
          <w:sz w:val="20"/>
          <w:szCs w:val="20"/>
          <w:lang w:val="es-ES"/>
        </w:rPr>
        <w:t xml:space="preserve">el </w:t>
      </w:r>
      <w:r w:rsidR="007D6AD8" w:rsidRPr="00975C02">
        <w:rPr>
          <w:rFonts w:eastAsia="Verdana" w:cs="Verdana"/>
          <w:sz w:val="20"/>
          <w:szCs w:val="20"/>
          <w:lang w:val="es-ES"/>
        </w:rPr>
        <w:t>23</w:t>
      </w:r>
      <w:r w:rsidRPr="00975C02">
        <w:rPr>
          <w:rFonts w:eastAsia="Verdana" w:cs="Verdana"/>
          <w:sz w:val="20"/>
          <w:szCs w:val="20"/>
          <w:lang w:val="es-ES"/>
        </w:rPr>
        <w:t xml:space="preserve"> de </w:t>
      </w:r>
      <w:r w:rsidR="007D6AD8" w:rsidRPr="00975C02">
        <w:rPr>
          <w:rFonts w:eastAsia="Verdana" w:cs="Verdana"/>
          <w:sz w:val="20"/>
          <w:szCs w:val="20"/>
          <w:lang w:val="es-ES"/>
        </w:rPr>
        <w:t>octubre</w:t>
      </w:r>
      <w:r w:rsidRPr="00975C02">
        <w:rPr>
          <w:rFonts w:eastAsia="Verdana" w:cs="Verdana"/>
          <w:sz w:val="20"/>
          <w:szCs w:val="20"/>
          <w:lang w:val="es-ES"/>
        </w:rPr>
        <w:t xml:space="preserve"> de 201</w:t>
      </w:r>
      <w:r w:rsidR="00FE3E45" w:rsidRPr="00975C02">
        <w:rPr>
          <w:rFonts w:eastAsia="Verdana" w:cs="Verdana"/>
          <w:sz w:val="20"/>
          <w:szCs w:val="20"/>
          <w:lang w:val="es-ES"/>
        </w:rPr>
        <w:t>7</w:t>
      </w:r>
      <w:r w:rsidR="009D3678" w:rsidRPr="00975C02">
        <w:rPr>
          <w:rStyle w:val="FootnoteReference"/>
          <w:rFonts w:eastAsia="Verdana" w:cs="Verdana"/>
          <w:sz w:val="20"/>
          <w:szCs w:val="20"/>
          <w:lang w:val="es-ES"/>
        </w:rPr>
        <w:footnoteReference w:id="14"/>
      </w:r>
      <w:r w:rsidRPr="00975C02">
        <w:rPr>
          <w:rFonts w:eastAsia="Verdana" w:cs="Verdana"/>
          <w:sz w:val="20"/>
          <w:szCs w:val="20"/>
          <w:lang w:val="es-ES"/>
        </w:rPr>
        <w:t>.</w:t>
      </w:r>
      <w:r w:rsidR="009D69C1" w:rsidRPr="00975C02">
        <w:rPr>
          <w:rFonts w:eastAsia="Verdana" w:cs="Verdana"/>
          <w:b/>
          <w:sz w:val="16"/>
          <w:szCs w:val="16"/>
          <w:lang w:val="es-ES"/>
        </w:rPr>
        <w:t xml:space="preserve"> </w:t>
      </w:r>
    </w:p>
    <w:p w14:paraId="69D20472" w14:textId="77777777" w:rsidR="003765A7" w:rsidRPr="00975C02" w:rsidRDefault="003765A7" w:rsidP="006C37C9">
      <w:pPr>
        <w:autoSpaceDE w:val="0"/>
        <w:autoSpaceDN w:val="0"/>
        <w:spacing w:line="240" w:lineRule="auto"/>
        <w:rPr>
          <w:rFonts w:eastAsia="Verdana" w:cs="Verdana"/>
          <w:sz w:val="20"/>
          <w:szCs w:val="20"/>
          <w:lang w:val="es-ES"/>
        </w:rPr>
      </w:pPr>
    </w:p>
    <w:p w14:paraId="390179F5" w14:textId="37C8A8A8" w:rsidR="006C37C9" w:rsidRPr="00975C02" w:rsidRDefault="006C37C9" w:rsidP="00C8070B">
      <w:pPr>
        <w:numPr>
          <w:ilvl w:val="0"/>
          <w:numId w:val="2"/>
        </w:numPr>
        <w:tabs>
          <w:tab w:val="left" w:pos="567"/>
          <w:tab w:val="num" w:pos="12305"/>
        </w:tabs>
        <w:spacing w:line="240" w:lineRule="auto"/>
        <w:ind w:left="0" w:firstLine="0"/>
        <w:rPr>
          <w:rFonts w:cs="Verdana"/>
          <w:snapToGrid w:val="0"/>
          <w:sz w:val="20"/>
          <w:szCs w:val="20"/>
          <w:lang w:val="es-ES" w:eastAsia="es-ES"/>
        </w:rPr>
      </w:pPr>
      <w:bookmarkStart w:id="26" w:name="_Ref354147731"/>
      <w:r w:rsidRPr="00975C02">
        <w:rPr>
          <w:rFonts w:cs="Verdana"/>
          <w:i/>
          <w:sz w:val="20"/>
          <w:szCs w:val="20"/>
          <w:lang w:val="es-ES"/>
        </w:rPr>
        <w:t xml:space="preserve">Alegatos y observaciones finales escritos. </w:t>
      </w:r>
      <w:bookmarkEnd w:id="26"/>
      <w:r w:rsidRPr="00975C02">
        <w:rPr>
          <w:rFonts w:cs="Verdana"/>
          <w:i/>
          <w:sz w:val="20"/>
          <w:szCs w:val="20"/>
          <w:lang w:val="es-ES"/>
        </w:rPr>
        <w:t xml:space="preserve">- </w:t>
      </w:r>
      <w:r w:rsidR="00581CAD" w:rsidRPr="00975C02">
        <w:rPr>
          <w:rFonts w:cs="Verdana"/>
          <w:sz w:val="20"/>
          <w:szCs w:val="20"/>
          <w:lang w:val="es-ES"/>
        </w:rPr>
        <w:t xml:space="preserve">El </w:t>
      </w:r>
      <w:r w:rsidR="009D69C1" w:rsidRPr="00975C02">
        <w:rPr>
          <w:rFonts w:cs="Verdana"/>
          <w:sz w:val="20"/>
          <w:szCs w:val="20"/>
          <w:lang w:val="es-ES"/>
        </w:rPr>
        <w:t>20</w:t>
      </w:r>
      <w:r w:rsidR="00581CAD" w:rsidRPr="00975C02">
        <w:rPr>
          <w:rFonts w:cs="Verdana"/>
          <w:sz w:val="20"/>
          <w:szCs w:val="20"/>
          <w:lang w:val="es-ES"/>
        </w:rPr>
        <w:t xml:space="preserve"> de </w:t>
      </w:r>
      <w:r w:rsidR="009D69C1" w:rsidRPr="00975C02">
        <w:rPr>
          <w:rFonts w:cs="Verdana"/>
          <w:sz w:val="20"/>
          <w:szCs w:val="20"/>
          <w:lang w:val="es-ES"/>
        </w:rPr>
        <w:t xml:space="preserve">noviembre </w:t>
      </w:r>
      <w:r w:rsidR="00581CAD" w:rsidRPr="00975C02">
        <w:rPr>
          <w:rFonts w:cs="Verdana"/>
          <w:sz w:val="20"/>
          <w:szCs w:val="20"/>
          <w:lang w:val="es-ES"/>
        </w:rPr>
        <w:t>de 2017 l</w:t>
      </w:r>
      <w:r w:rsidR="002E3E91" w:rsidRPr="00975C02">
        <w:rPr>
          <w:rFonts w:cs="Verdana"/>
          <w:sz w:val="20"/>
          <w:szCs w:val="20"/>
          <w:lang w:val="es-ES"/>
        </w:rPr>
        <w:t>a</w:t>
      </w:r>
      <w:r w:rsidR="00581CAD" w:rsidRPr="00975C02">
        <w:rPr>
          <w:rFonts w:cs="Verdana"/>
          <w:sz w:val="20"/>
          <w:szCs w:val="20"/>
          <w:lang w:val="es-ES"/>
        </w:rPr>
        <w:t>s representantes</w:t>
      </w:r>
      <w:r w:rsidR="009D69C1" w:rsidRPr="00975C02">
        <w:rPr>
          <w:rFonts w:cs="Verdana"/>
          <w:sz w:val="20"/>
          <w:szCs w:val="20"/>
          <w:lang w:val="es-ES"/>
        </w:rPr>
        <w:t xml:space="preserve"> y el Estado</w:t>
      </w:r>
      <w:r w:rsidR="00581CAD" w:rsidRPr="00975C02">
        <w:rPr>
          <w:rFonts w:cs="Verdana"/>
          <w:sz w:val="20"/>
          <w:szCs w:val="20"/>
          <w:lang w:val="es-ES"/>
        </w:rPr>
        <w:t xml:space="preserve"> remitieron sus</w:t>
      </w:r>
      <w:r w:rsidR="009D69C1" w:rsidRPr="00975C02">
        <w:rPr>
          <w:rFonts w:cs="Verdana"/>
          <w:sz w:val="20"/>
          <w:szCs w:val="20"/>
          <w:lang w:val="es-ES"/>
        </w:rPr>
        <w:t xml:space="preserve"> respectivos</w:t>
      </w:r>
      <w:r w:rsidR="00581CAD" w:rsidRPr="00975C02">
        <w:rPr>
          <w:rFonts w:cs="Verdana"/>
          <w:sz w:val="20"/>
          <w:szCs w:val="20"/>
          <w:lang w:val="es-ES"/>
        </w:rPr>
        <w:t xml:space="preserve"> alegatos finales escritos, y la Comisión presentó sus observaciones finales escritas.</w:t>
      </w:r>
    </w:p>
    <w:p w14:paraId="08B07F1A" w14:textId="77777777" w:rsidR="006C37C9" w:rsidRPr="00975C02" w:rsidRDefault="006C37C9" w:rsidP="006C37C9">
      <w:pPr>
        <w:autoSpaceDE w:val="0"/>
        <w:autoSpaceDN w:val="0"/>
        <w:spacing w:line="240" w:lineRule="auto"/>
        <w:rPr>
          <w:rFonts w:eastAsia="Batang"/>
          <w:sz w:val="20"/>
          <w:lang w:val="es-ES"/>
        </w:rPr>
      </w:pPr>
    </w:p>
    <w:p w14:paraId="7608CCC7" w14:textId="27FB068E" w:rsidR="00C92904" w:rsidRPr="00975C02" w:rsidRDefault="00C92904" w:rsidP="00581CAD">
      <w:pPr>
        <w:numPr>
          <w:ilvl w:val="0"/>
          <w:numId w:val="2"/>
        </w:numPr>
        <w:tabs>
          <w:tab w:val="left" w:pos="567"/>
          <w:tab w:val="num" w:pos="12305"/>
        </w:tabs>
        <w:spacing w:line="240" w:lineRule="auto"/>
        <w:ind w:left="0" w:firstLine="0"/>
        <w:rPr>
          <w:rFonts w:eastAsia="Batang"/>
          <w:sz w:val="20"/>
          <w:lang w:val="es-ES"/>
        </w:rPr>
      </w:pPr>
      <w:r w:rsidRPr="00975C02">
        <w:rPr>
          <w:rFonts w:eastAsia="Batang"/>
          <w:i/>
          <w:sz w:val="20"/>
          <w:lang w:val="es-ES"/>
        </w:rPr>
        <w:t xml:space="preserve">Prueba para mejor resolver. – </w:t>
      </w:r>
      <w:r w:rsidR="00581CAD" w:rsidRPr="00975C02">
        <w:rPr>
          <w:rFonts w:cs="Verdana"/>
          <w:sz w:val="20"/>
          <w:szCs w:val="20"/>
          <w:lang w:val="es-ES"/>
        </w:rPr>
        <w:t xml:space="preserve">El </w:t>
      </w:r>
      <w:r w:rsidR="009D69C1" w:rsidRPr="00975C02">
        <w:rPr>
          <w:rFonts w:cs="Verdana"/>
          <w:sz w:val="20"/>
          <w:szCs w:val="20"/>
          <w:lang w:val="es-ES"/>
        </w:rPr>
        <w:t>27</w:t>
      </w:r>
      <w:r w:rsidR="00581CAD" w:rsidRPr="00975C02">
        <w:rPr>
          <w:rFonts w:cs="Verdana"/>
          <w:sz w:val="20"/>
          <w:szCs w:val="20"/>
          <w:lang w:val="es-ES"/>
        </w:rPr>
        <w:t xml:space="preserve"> de </w:t>
      </w:r>
      <w:r w:rsidR="00581CAD" w:rsidRPr="00975C02">
        <w:rPr>
          <w:rFonts w:cs="TimesNewRomanPSMT"/>
          <w:sz w:val="20"/>
          <w:szCs w:val="20"/>
          <w:lang w:val="es-ES"/>
        </w:rPr>
        <w:t>noviembre</w:t>
      </w:r>
      <w:r w:rsidR="00581CAD" w:rsidRPr="00975C02">
        <w:rPr>
          <w:rFonts w:cs="Verdana"/>
          <w:sz w:val="20"/>
          <w:szCs w:val="20"/>
          <w:lang w:val="es-ES"/>
        </w:rPr>
        <w:t xml:space="preserve"> de 2017 el Presidente de la Corte solicitó al Estado prueba para mejor resolver. Nicaragua presentó dicha documentación el </w:t>
      </w:r>
      <w:r w:rsidR="009D69C1" w:rsidRPr="00975C02">
        <w:rPr>
          <w:rFonts w:cs="Verdana"/>
          <w:sz w:val="20"/>
          <w:szCs w:val="20"/>
          <w:lang w:val="es-ES"/>
        </w:rPr>
        <w:t>5</w:t>
      </w:r>
      <w:r w:rsidR="00581CAD" w:rsidRPr="00975C02">
        <w:rPr>
          <w:rFonts w:cs="Verdana"/>
          <w:sz w:val="20"/>
          <w:szCs w:val="20"/>
          <w:lang w:val="es-ES"/>
        </w:rPr>
        <w:t xml:space="preserve"> de diciembre de 2017.</w:t>
      </w:r>
      <w:r w:rsidR="00935CD3" w:rsidRPr="00975C02">
        <w:rPr>
          <w:rFonts w:cs="Verdana"/>
          <w:sz w:val="20"/>
          <w:szCs w:val="20"/>
          <w:lang w:val="es-ES"/>
        </w:rPr>
        <w:t xml:space="preserve"> El </w:t>
      </w:r>
      <w:r w:rsidR="00935CD3" w:rsidRPr="00975C02">
        <w:rPr>
          <w:rFonts w:eastAsia="Times"/>
          <w:sz w:val="20"/>
          <w:szCs w:val="20"/>
          <w:lang w:val="es-ES"/>
        </w:rPr>
        <w:t xml:space="preserve">15 de diciembre de 2017 el Estado remitió algunos folios faltantes y realizó aclaraciones </w:t>
      </w:r>
      <w:r w:rsidR="00935CD3" w:rsidRPr="00975C02">
        <w:rPr>
          <w:sz w:val="20"/>
          <w:szCs w:val="20"/>
          <w:lang w:val="es-ES"/>
        </w:rPr>
        <w:t>respecto de otros anexos enviados en virtud de la prueba para mejor resolver solicitada.</w:t>
      </w:r>
    </w:p>
    <w:p w14:paraId="4AA4E14F" w14:textId="77777777" w:rsidR="00C92904" w:rsidRPr="00975C02" w:rsidRDefault="00C92904" w:rsidP="006C37C9">
      <w:pPr>
        <w:autoSpaceDE w:val="0"/>
        <w:autoSpaceDN w:val="0"/>
        <w:spacing w:line="240" w:lineRule="auto"/>
        <w:rPr>
          <w:rFonts w:eastAsia="Batang"/>
          <w:sz w:val="20"/>
          <w:lang w:val="es-ES"/>
        </w:rPr>
      </w:pPr>
    </w:p>
    <w:p w14:paraId="326466A5" w14:textId="77777777" w:rsidR="006C37C9" w:rsidRPr="00975C02" w:rsidRDefault="006C37C9" w:rsidP="004546DF">
      <w:pPr>
        <w:numPr>
          <w:ilvl w:val="0"/>
          <w:numId w:val="2"/>
        </w:numPr>
        <w:tabs>
          <w:tab w:val="left" w:pos="567"/>
          <w:tab w:val="num" w:pos="12305"/>
        </w:tabs>
        <w:spacing w:line="240" w:lineRule="auto"/>
        <w:ind w:left="0" w:firstLine="0"/>
        <w:rPr>
          <w:rFonts w:cs="Verdana"/>
          <w:snapToGrid w:val="0"/>
          <w:sz w:val="20"/>
          <w:szCs w:val="20"/>
          <w:lang w:val="es-ES" w:eastAsia="es-ES"/>
        </w:rPr>
      </w:pPr>
      <w:bookmarkStart w:id="27" w:name="_Ref313990861"/>
      <w:r w:rsidRPr="00975C02">
        <w:rPr>
          <w:rFonts w:eastAsia="Batang"/>
          <w:i/>
          <w:sz w:val="20"/>
          <w:lang w:val="es-ES"/>
        </w:rPr>
        <w:t>Observaciones</w:t>
      </w:r>
      <w:r w:rsidRPr="00975C02">
        <w:rPr>
          <w:rFonts w:cs="Verdana"/>
          <w:i/>
          <w:snapToGrid w:val="0"/>
          <w:sz w:val="20"/>
          <w:szCs w:val="20"/>
          <w:lang w:val="es-ES" w:eastAsia="es-ES"/>
        </w:rPr>
        <w:t xml:space="preserve"> de las </w:t>
      </w:r>
      <w:r w:rsidR="00935CD3" w:rsidRPr="00975C02">
        <w:rPr>
          <w:rFonts w:cs="Verdana"/>
          <w:i/>
          <w:snapToGrid w:val="0"/>
          <w:sz w:val="20"/>
          <w:szCs w:val="20"/>
          <w:lang w:val="es-ES" w:eastAsia="es-ES"/>
        </w:rPr>
        <w:t>representantes</w:t>
      </w:r>
      <w:r w:rsidRPr="00975C02">
        <w:rPr>
          <w:rFonts w:cs="Verdana"/>
          <w:i/>
          <w:snapToGrid w:val="0"/>
          <w:sz w:val="20"/>
          <w:szCs w:val="20"/>
          <w:lang w:val="es-ES" w:eastAsia="es-ES"/>
        </w:rPr>
        <w:t xml:space="preserve"> y la Comisión. – </w:t>
      </w:r>
      <w:bookmarkEnd w:id="27"/>
      <w:r w:rsidR="00935CD3" w:rsidRPr="00975C02">
        <w:rPr>
          <w:rFonts w:cs="Verdana"/>
          <w:snapToGrid w:val="0"/>
          <w:sz w:val="20"/>
          <w:szCs w:val="20"/>
          <w:lang w:val="es-ES" w:eastAsia="es-ES"/>
        </w:rPr>
        <w:t xml:space="preserve">El Presidente otorgó un plazo a las representantes y a la Comisión para que presentaran las observaciones que estimaran pertinentes a la prueba para mejor resolver remitida por el Estado. </w:t>
      </w:r>
      <w:bookmarkStart w:id="28" w:name="_Ref303582878"/>
      <w:r w:rsidR="00935CD3" w:rsidRPr="00975C02">
        <w:rPr>
          <w:rFonts w:cs="Verdana"/>
          <w:snapToGrid w:val="0"/>
          <w:sz w:val="20"/>
          <w:szCs w:val="20"/>
          <w:lang w:val="es-ES" w:eastAsia="es-ES"/>
        </w:rPr>
        <w:t xml:space="preserve">El </w:t>
      </w:r>
      <w:bookmarkEnd w:id="28"/>
      <w:r w:rsidR="004546DF" w:rsidRPr="00975C02">
        <w:rPr>
          <w:rFonts w:eastAsia="Times"/>
          <w:sz w:val="20"/>
          <w:szCs w:val="20"/>
          <w:lang w:val="es-ES"/>
        </w:rPr>
        <w:t>21 de diciembre de 2017 las representantes remitieron sus observaciones sobre la documentación para mejor resolver presentada por el Estado</w:t>
      </w:r>
      <w:r w:rsidR="004546DF" w:rsidRPr="00975C02">
        <w:rPr>
          <w:sz w:val="20"/>
          <w:szCs w:val="20"/>
          <w:lang w:val="es-ES"/>
        </w:rPr>
        <w:t xml:space="preserve"> y</w:t>
      </w:r>
      <w:r w:rsidR="004546DF" w:rsidRPr="00975C02">
        <w:rPr>
          <w:rFonts w:eastAsia="Times"/>
          <w:sz w:val="20"/>
          <w:szCs w:val="20"/>
          <w:lang w:val="es-ES"/>
        </w:rPr>
        <w:t xml:space="preserve"> la Comisión señaló que no tenía observaciones que formular</w:t>
      </w:r>
      <w:r w:rsidR="00AD0DB3" w:rsidRPr="00975C02">
        <w:rPr>
          <w:rStyle w:val="FootnoteReference"/>
          <w:rFonts w:eastAsia="Times"/>
          <w:sz w:val="20"/>
          <w:szCs w:val="20"/>
          <w:lang w:val="es-ES"/>
        </w:rPr>
        <w:footnoteReference w:id="15"/>
      </w:r>
      <w:r w:rsidR="004546DF" w:rsidRPr="00975C02">
        <w:rPr>
          <w:rFonts w:eastAsia="Times"/>
          <w:sz w:val="20"/>
          <w:szCs w:val="20"/>
          <w:lang w:val="es-ES"/>
        </w:rPr>
        <w:t>.</w:t>
      </w:r>
    </w:p>
    <w:p w14:paraId="50C2A4B4" w14:textId="77777777" w:rsidR="006C37C9" w:rsidRPr="00975C02" w:rsidRDefault="006C37C9" w:rsidP="006C37C9">
      <w:pPr>
        <w:tabs>
          <w:tab w:val="left" w:pos="567"/>
          <w:tab w:val="left" w:pos="1134"/>
          <w:tab w:val="num" w:pos="6042"/>
        </w:tabs>
        <w:autoSpaceDE w:val="0"/>
        <w:autoSpaceDN w:val="0"/>
        <w:spacing w:line="240" w:lineRule="auto"/>
        <w:rPr>
          <w:rFonts w:eastAsia="Calibri" w:cs="Verdana"/>
          <w:snapToGrid w:val="0"/>
          <w:sz w:val="20"/>
          <w:szCs w:val="20"/>
          <w:lang w:val="es-ES" w:eastAsia="es-ES"/>
        </w:rPr>
      </w:pPr>
    </w:p>
    <w:p w14:paraId="56356249" w14:textId="36C6F31A" w:rsidR="006C37C9" w:rsidRPr="00975C02" w:rsidRDefault="006C37C9" w:rsidP="006C37C9">
      <w:pPr>
        <w:numPr>
          <w:ilvl w:val="0"/>
          <w:numId w:val="2"/>
        </w:numPr>
        <w:tabs>
          <w:tab w:val="left" w:pos="567"/>
          <w:tab w:val="num" w:pos="6042"/>
          <w:tab w:val="num" w:pos="12305"/>
        </w:tabs>
        <w:autoSpaceDE w:val="0"/>
        <w:autoSpaceDN w:val="0"/>
        <w:spacing w:line="240" w:lineRule="auto"/>
        <w:ind w:left="0" w:firstLine="0"/>
        <w:rPr>
          <w:rFonts w:eastAsia="Calibri" w:cs="Verdana"/>
          <w:snapToGrid w:val="0"/>
          <w:sz w:val="20"/>
          <w:szCs w:val="20"/>
          <w:lang w:val="es-ES" w:eastAsia="es-ES"/>
        </w:rPr>
      </w:pPr>
      <w:r w:rsidRPr="00975C02">
        <w:rPr>
          <w:rFonts w:cs="Verdana"/>
          <w:i/>
          <w:snapToGrid w:val="0"/>
          <w:sz w:val="20"/>
          <w:szCs w:val="20"/>
          <w:lang w:val="es-ES" w:eastAsia="es-ES"/>
        </w:rPr>
        <w:t>Erogaciones en aplicación del Fondo de Asistencia.</w:t>
      </w:r>
      <w:r w:rsidRPr="00975C02">
        <w:rPr>
          <w:rFonts w:cs="Verdana"/>
          <w:snapToGrid w:val="0"/>
          <w:sz w:val="20"/>
          <w:szCs w:val="20"/>
          <w:lang w:val="es-ES" w:eastAsia="es-ES"/>
        </w:rPr>
        <w:t xml:space="preserve"> </w:t>
      </w:r>
      <w:r w:rsidRPr="00975C02">
        <w:rPr>
          <w:rFonts w:cs="Verdana"/>
          <w:iCs/>
          <w:snapToGrid w:val="0"/>
          <w:sz w:val="20"/>
          <w:szCs w:val="20"/>
          <w:lang w:val="es-ES" w:eastAsia="es-ES"/>
        </w:rPr>
        <w:t>–</w:t>
      </w:r>
      <w:r w:rsidRPr="00975C02">
        <w:rPr>
          <w:rFonts w:cs="Verdana"/>
          <w:snapToGrid w:val="0"/>
          <w:sz w:val="20"/>
          <w:szCs w:val="20"/>
          <w:lang w:val="es-ES" w:eastAsia="es-ES"/>
        </w:rPr>
        <w:t xml:space="preserve"> </w:t>
      </w:r>
      <w:r w:rsidR="003B046D" w:rsidRPr="00975C02">
        <w:rPr>
          <w:rFonts w:cs="Verdana"/>
          <w:snapToGrid w:val="0"/>
          <w:sz w:val="20"/>
          <w:szCs w:val="20"/>
          <w:lang w:val="es-ES" w:eastAsia="es-ES"/>
        </w:rPr>
        <w:t xml:space="preserve">El </w:t>
      </w:r>
      <w:r w:rsidR="00B5399E" w:rsidRPr="00975C02">
        <w:rPr>
          <w:rFonts w:cs="Verdana"/>
          <w:snapToGrid w:val="0"/>
          <w:sz w:val="20"/>
          <w:szCs w:val="20"/>
          <w:lang w:val="es-ES" w:eastAsia="es-ES"/>
        </w:rPr>
        <w:t>15</w:t>
      </w:r>
      <w:r w:rsidR="003B046D" w:rsidRPr="00975C02">
        <w:rPr>
          <w:rFonts w:cs="Verdana"/>
          <w:snapToGrid w:val="0"/>
          <w:sz w:val="20"/>
          <w:szCs w:val="20"/>
          <w:lang w:val="es-ES" w:eastAsia="es-ES"/>
        </w:rPr>
        <w:t xml:space="preserve"> de diciembre de 2017 la Secretaría, siguiendo instrucciones del Presidente de la Corte, remitió información al Estado sobre las erogaciones </w:t>
      </w:r>
      <w:r w:rsidR="00703FA8" w:rsidRPr="00975C02">
        <w:rPr>
          <w:rFonts w:cs="Verdana"/>
          <w:snapToGrid w:val="0"/>
          <w:sz w:val="20"/>
          <w:szCs w:val="20"/>
          <w:lang w:val="es-ES" w:eastAsia="es-ES"/>
        </w:rPr>
        <w:t>efectuadas en aplicación del Fondo de Asistencia Legal de Víctimas en el presente caso</w:t>
      </w:r>
      <w:r w:rsidR="00703FA8" w:rsidRPr="00975C02" w:rsidDel="00703FA8">
        <w:rPr>
          <w:rFonts w:cs="Verdana"/>
          <w:snapToGrid w:val="0"/>
          <w:sz w:val="20"/>
          <w:szCs w:val="20"/>
          <w:lang w:val="es-ES" w:eastAsia="es-ES"/>
        </w:rPr>
        <w:t xml:space="preserve"> </w:t>
      </w:r>
      <w:r w:rsidR="003B046D" w:rsidRPr="00975C02">
        <w:rPr>
          <w:rFonts w:cs="Verdana"/>
          <w:snapToGrid w:val="0"/>
          <w:sz w:val="20"/>
          <w:szCs w:val="20"/>
          <w:lang w:val="es-ES" w:eastAsia="es-ES"/>
        </w:rPr>
        <w:t xml:space="preserve">y, según lo dispuesto en el artículo 5 del Reglamento de la Corte sobre el Funcionamiento del referido Fondo, le otorgó un plazo para presentar las observaciones que estimara pertinentes. El Estado </w:t>
      </w:r>
      <w:r w:rsidR="00B5399E" w:rsidRPr="00975C02">
        <w:rPr>
          <w:rFonts w:cs="Verdana"/>
          <w:snapToGrid w:val="0"/>
          <w:sz w:val="20"/>
          <w:szCs w:val="20"/>
          <w:lang w:val="es-ES" w:eastAsia="es-ES"/>
        </w:rPr>
        <w:t>presentó sus observaciones el 21 de diciembre de 2017.</w:t>
      </w:r>
    </w:p>
    <w:p w14:paraId="59085CA4" w14:textId="77777777" w:rsidR="00B5399E" w:rsidRPr="00975C02" w:rsidRDefault="00B5399E" w:rsidP="00B5399E">
      <w:pPr>
        <w:tabs>
          <w:tab w:val="left" w:pos="567"/>
          <w:tab w:val="num" w:pos="6042"/>
        </w:tabs>
        <w:autoSpaceDE w:val="0"/>
        <w:autoSpaceDN w:val="0"/>
        <w:spacing w:line="240" w:lineRule="auto"/>
        <w:rPr>
          <w:rFonts w:eastAsia="Calibri" w:cs="Verdana"/>
          <w:snapToGrid w:val="0"/>
          <w:sz w:val="20"/>
          <w:szCs w:val="20"/>
          <w:lang w:val="es-ES" w:eastAsia="es-ES"/>
        </w:rPr>
      </w:pPr>
    </w:p>
    <w:p w14:paraId="30D6DC6A" w14:textId="69B90BC3" w:rsidR="006C37C9" w:rsidRPr="00975C02" w:rsidRDefault="006C37C9" w:rsidP="00C8070B">
      <w:pPr>
        <w:numPr>
          <w:ilvl w:val="0"/>
          <w:numId w:val="2"/>
        </w:numPr>
        <w:tabs>
          <w:tab w:val="left" w:pos="567"/>
          <w:tab w:val="num" w:pos="12305"/>
        </w:tabs>
        <w:spacing w:line="240" w:lineRule="auto"/>
        <w:ind w:left="0" w:firstLine="0"/>
        <w:rPr>
          <w:rFonts w:cs="Verdana"/>
          <w:snapToGrid w:val="0"/>
          <w:sz w:val="20"/>
          <w:szCs w:val="20"/>
          <w:lang w:val="es-ES" w:eastAsia="es-ES"/>
        </w:rPr>
      </w:pPr>
      <w:r w:rsidRPr="00975C02">
        <w:rPr>
          <w:rFonts w:cs="Verdana"/>
          <w:i/>
          <w:snapToGrid w:val="0"/>
          <w:sz w:val="20"/>
          <w:szCs w:val="20"/>
          <w:lang w:val="es-ES" w:eastAsia="es-ES"/>
        </w:rPr>
        <w:t>Deliberación</w:t>
      </w:r>
      <w:r w:rsidRPr="00975C02">
        <w:rPr>
          <w:rFonts w:cs="Verdana"/>
          <w:i/>
          <w:iCs/>
          <w:snapToGrid w:val="0"/>
          <w:sz w:val="20"/>
          <w:szCs w:val="20"/>
          <w:lang w:val="es-ES" w:eastAsia="es-ES"/>
        </w:rPr>
        <w:t xml:space="preserve"> del presente caso. - </w:t>
      </w:r>
      <w:r w:rsidR="00393D8D" w:rsidRPr="00975C02">
        <w:rPr>
          <w:rFonts w:cs="Verdana"/>
          <w:snapToGrid w:val="0"/>
          <w:sz w:val="20"/>
          <w:szCs w:val="20"/>
          <w:lang w:val="es-ES" w:eastAsia="es-ES"/>
        </w:rPr>
        <w:t xml:space="preserve">La Corte inició la deliberación de la presente Sentencia el </w:t>
      </w:r>
      <w:r w:rsidR="00F53A20" w:rsidRPr="00975C02">
        <w:rPr>
          <w:rFonts w:cs="Verdana"/>
          <w:snapToGrid w:val="0"/>
          <w:sz w:val="20"/>
          <w:szCs w:val="20"/>
          <w:lang w:val="es-ES" w:eastAsia="es-ES"/>
        </w:rPr>
        <w:t>8</w:t>
      </w:r>
      <w:r w:rsidR="00393D8D" w:rsidRPr="00975C02">
        <w:rPr>
          <w:rFonts w:cs="Verdana"/>
          <w:snapToGrid w:val="0"/>
          <w:sz w:val="20"/>
          <w:szCs w:val="20"/>
          <w:lang w:val="es-ES" w:eastAsia="es-ES"/>
        </w:rPr>
        <w:t xml:space="preserve"> de </w:t>
      </w:r>
      <w:r w:rsidR="00B5399E" w:rsidRPr="00975C02">
        <w:rPr>
          <w:rFonts w:cs="Verdana"/>
          <w:snapToGrid w:val="0"/>
          <w:sz w:val="20"/>
          <w:szCs w:val="20"/>
          <w:lang w:val="es-ES" w:eastAsia="es-ES"/>
        </w:rPr>
        <w:t>marzo</w:t>
      </w:r>
      <w:r w:rsidR="00393D8D" w:rsidRPr="00975C02">
        <w:rPr>
          <w:rFonts w:cs="Verdana"/>
          <w:snapToGrid w:val="0"/>
          <w:sz w:val="20"/>
          <w:szCs w:val="20"/>
          <w:lang w:val="es-ES" w:eastAsia="es-ES"/>
        </w:rPr>
        <w:t xml:space="preserve"> de 2018.</w:t>
      </w:r>
    </w:p>
    <w:p w14:paraId="3DD2AA5F" w14:textId="77777777" w:rsidR="006C37C9" w:rsidRPr="00975C02" w:rsidRDefault="006C37C9" w:rsidP="00393D8D">
      <w:pPr>
        <w:spacing w:line="240" w:lineRule="auto"/>
        <w:rPr>
          <w:rFonts w:eastAsia="Verdana" w:cs="Verdana"/>
          <w:sz w:val="20"/>
          <w:szCs w:val="20"/>
          <w:lang w:val="es-ES"/>
        </w:rPr>
      </w:pPr>
    </w:p>
    <w:p w14:paraId="55DECC83" w14:textId="77777777" w:rsidR="006C37C9" w:rsidRPr="00975C02" w:rsidRDefault="006C37C9" w:rsidP="00A93967">
      <w:pPr>
        <w:keepNext/>
        <w:keepLines/>
        <w:tabs>
          <w:tab w:val="left" w:pos="851"/>
        </w:tabs>
        <w:spacing w:line="240" w:lineRule="auto"/>
        <w:jc w:val="center"/>
        <w:outlineLvl w:val="0"/>
        <w:rPr>
          <w:rFonts w:cs="Verdana"/>
          <w:b/>
          <w:bCs/>
          <w:caps/>
          <w:snapToGrid w:val="0"/>
          <w:sz w:val="20"/>
          <w:szCs w:val="20"/>
          <w:lang w:val="es-ES"/>
        </w:rPr>
      </w:pPr>
      <w:bookmarkStart w:id="29" w:name="_Toc470180034"/>
      <w:bookmarkStart w:id="30" w:name="_Toc514172591"/>
      <w:r w:rsidRPr="00975C02">
        <w:rPr>
          <w:rFonts w:cs="Verdana"/>
          <w:b/>
          <w:bCs/>
          <w:caps/>
          <w:snapToGrid w:val="0"/>
          <w:sz w:val="20"/>
          <w:szCs w:val="20"/>
          <w:lang w:val="es-ES"/>
        </w:rPr>
        <w:t>III</w:t>
      </w:r>
      <w:r w:rsidRPr="00975C02">
        <w:rPr>
          <w:rFonts w:cs="Verdana"/>
          <w:b/>
          <w:bCs/>
          <w:caps/>
          <w:snapToGrid w:val="0"/>
          <w:sz w:val="20"/>
          <w:szCs w:val="20"/>
          <w:lang w:val="es-ES"/>
        </w:rPr>
        <w:br/>
        <w:t>COMPETENCIA</w:t>
      </w:r>
      <w:bookmarkEnd w:id="29"/>
      <w:bookmarkEnd w:id="30"/>
    </w:p>
    <w:p w14:paraId="5F589ACD" w14:textId="77777777" w:rsidR="006C37C9" w:rsidRPr="00975C02" w:rsidRDefault="006C37C9" w:rsidP="006C37C9">
      <w:pPr>
        <w:spacing w:before="5" w:line="240" w:lineRule="auto"/>
        <w:rPr>
          <w:sz w:val="20"/>
          <w:szCs w:val="20"/>
          <w:lang w:val="es-ES"/>
        </w:rPr>
      </w:pPr>
    </w:p>
    <w:p w14:paraId="653782D0" w14:textId="03BAA31E" w:rsidR="006C37C9" w:rsidRPr="00975C02" w:rsidRDefault="006C37C9" w:rsidP="00C8070B">
      <w:pPr>
        <w:numPr>
          <w:ilvl w:val="0"/>
          <w:numId w:val="2"/>
        </w:numPr>
        <w:tabs>
          <w:tab w:val="left" w:pos="567"/>
          <w:tab w:val="num" w:pos="12305"/>
        </w:tabs>
        <w:spacing w:line="240" w:lineRule="auto"/>
        <w:ind w:left="0" w:firstLine="0"/>
        <w:rPr>
          <w:lang w:val="es-ES"/>
        </w:rPr>
      </w:pPr>
      <w:r w:rsidRPr="00975C02">
        <w:rPr>
          <w:sz w:val="20"/>
          <w:lang w:val="es-ES"/>
        </w:rPr>
        <w:t xml:space="preserve">La </w:t>
      </w:r>
      <w:r w:rsidRPr="00975C02">
        <w:rPr>
          <w:rFonts w:cs="Verdana"/>
          <w:snapToGrid w:val="0"/>
          <w:sz w:val="20"/>
          <w:szCs w:val="20"/>
          <w:lang w:val="es-ES" w:eastAsia="es-ES"/>
        </w:rPr>
        <w:t>Corte</w:t>
      </w:r>
      <w:r w:rsidRPr="00975C02">
        <w:rPr>
          <w:sz w:val="20"/>
          <w:lang w:val="es-ES"/>
        </w:rPr>
        <w:t xml:space="preserve"> Interamericana es competente para conocer del presente caso, en los términos del </w:t>
      </w:r>
      <w:r w:rsidRPr="00975C02">
        <w:rPr>
          <w:rFonts w:cs="Verdana"/>
          <w:snapToGrid w:val="0"/>
          <w:sz w:val="20"/>
          <w:szCs w:val="20"/>
          <w:lang w:val="es-ES" w:eastAsia="es-ES"/>
        </w:rPr>
        <w:t>artículo</w:t>
      </w:r>
      <w:r w:rsidRPr="00975C02">
        <w:rPr>
          <w:sz w:val="20"/>
          <w:lang w:val="es-ES"/>
        </w:rPr>
        <w:t xml:space="preserve"> 62.3 de la Convención Americana, </w:t>
      </w:r>
      <w:r w:rsidRPr="00975C02">
        <w:rPr>
          <w:rFonts w:cs="Verdana"/>
          <w:sz w:val="20"/>
          <w:szCs w:val="20"/>
          <w:lang w:val="es-ES"/>
        </w:rPr>
        <w:t xml:space="preserve">en razón de que </w:t>
      </w:r>
      <w:r w:rsidR="00DF4CDE" w:rsidRPr="00975C02">
        <w:rPr>
          <w:sz w:val="20"/>
          <w:lang w:val="es-ES"/>
        </w:rPr>
        <w:t>Nicaragua</w:t>
      </w:r>
      <w:r w:rsidRPr="00975C02">
        <w:rPr>
          <w:sz w:val="20"/>
          <w:lang w:val="es-ES"/>
        </w:rPr>
        <w:t xml:space="preserve"> </w:t>
      </w:r>
      <w:r w:rsidRPr="00975C02">
        <w:rPr>
          <w:rFonts w:cs="Verdana"/>
          <w:sz w:val="20"/>
          <w:szCs w:val="20"/>
          <w:lang w:val="es-ES"/>
        </w:rPr>
        <w:t xml:space="preserve">es Estado Parte de dicho instrumento desde el </w:t>
      </w:r>
      <w:r w:rsidR="00DF4CDE" w:rsidRPr="00975C02">
        <w:rPr>
          <w:sz w:val="20"/>
          <w:lang w:val="es-ES"/>
        </w:rPr>
        <w:t>25 de septiembre</w:t>
      </w:r>
      <w:r w:rsidRPr="00975C02">
        <w:rPr>
          <w:sz w:val="20"/>
          <w:lang w:val="es-ES"/>
        </w:rPr>
        <w:t xml:space="preserve"> de 1979</w:t>
      </w:r>
      <w:r w:rsidRPr="00975C02">
        <w:rPr>
          <w:rFonts w:cs="Verdana"/>
          <w:sz w:val="20"/>
          <w:szCs w:val="20"/>
          <w:lang w:val="es-ES"/>
        </w:rPr>
        <w:t xml:space="preserve">, y reconoció la competencia contenciosa de la Corte el </w:t>
      </w:r>
      <w:r w:rsidR="00DF4CDE" w:rsidRPr="00975C02">
        <w:rPr>
          <w:sz w:val="20"/>
          <w:lang w:val="es-ES"/>
        </w:rPr>
        <w:t>12 de febrero de 1991</w:t>
      </w:r>
      <w:r w:rsidRPr="00975C02">
        <w:rPr>
          <w:sz w:val="20"/>
          <w:lang w:val="es-ES"/>
        </w:rPr>
        <w:t>.</w:t>
      </w:r>
      <w:r w:rsidR="00AF089D" w:rsidRPr="00975C02">
        <w:rPr>
          <w:sz w:val="20"/>
          <w:lang w:val="es-ES"/>
        </w:rPr>
        <w:t xml:space="preserve"> </w:t>
      </w:r>
      <w:r w:rsidR="00AF089D" w:rsidRPr="00975C02">
        <w:rPr>
          <w:sz w:val="20"/>
          <w:szCs w:val="20"/>
          <w:lang w:val="es-ES"/>
        </w:rPr>
        <w:t xml:space="preserve">Además, Nicaragua </w:t>
      </w:r>
      <w:r w:rsidR="00792EAE" w:rsidRPr="00975C02">
        <w:rPr>
          <w:sz w:val="20"/>
          <w:szCs w:val="20"/>
          <w:lang w:val="es-ES"/>
        </w:rPr>
        <w:t>depositó el instrumento de ratificación</w:t>
      </w:r>
      <w:r w:rsidR="00AF089D" w:rsidRPr="00975C02">
        <w:rPr>
          <w:sz w:val="20"/>
          <w:szCs w:val="20"/>
          <w:lang w:val="es-ES"/>
        </w:rPr>
        <w:t xml:space="preserve"> de la </w:t>
      </w:r>
      <w:r w:rsidR="00AF089D" w:rsidRPr="00975C02">
        <w:rPr>
          <w:sz w:val="20"/>
          <w:szCs w:val="20"/>
          <w:lang w:val="es-ES"/>
        </w:rPr>
        <w:lastRenderedPageBreak/>
        <w:t xml:space="preserve">Convención de Belém do Pará el </w:t>
      </w:r>
      <w:r w:rsidR="00792EAE" w:rsidRPr="00975C02">
        <w:rPr>
          <w:sz w:val="20"/>
          <w:szCs w:val="20"/>
          <w:lang w:val="es-ES"/>
        </w:rPr>
        <w:t>12</w:t>
      </w:r>
      <w:r w:rsidR="00AF089D" w:rsidRPr="00975C02">
        <w:rPr>
          <w:sz w:val="20"/>
          <w:szCs w:val="20"/>
          <w:lang w:val="es-ES"/>
        </w:rPr>
        <w:t xml:space="preserve"> de </w:t>
      </w:r>
      <w:r w:rsidR="00792EAE" w:rsidRPr="00975C02">
        <w:rPr>
          <w:sz w:val="20"/>
          <w:szCs w:val="20"/>
          <w:lang w:val="es-ES"/>
        </w:rPr>
        <w:t>diciembre</w:t>
      </w:r>
      <w:r w:rsidR="00AF089D" w:rsidRPr="00975C02">
        <w:rPr>
          <w:sz w:val="20"/>
          <w:szCs w:val="20"/>
          <w:lang w:val="es-ES"/>
        </w:rPr>
        <w:t xml:space="preserve"> de 1995.</w:t>
      </w:r>
    </w:p>
    <w:p w14:paraId="1DA24553" w14:textId="77777777" w:rsidR="007A1A14" w:rsidRPr="00975C02" w:rsidRDefault="007A1A14" w:rsidP="007A1A14">
      <w:pPr>
        <w:tabs>
          <w:tab w:val="left" w:pos="720"/>
          <w:tab w:val="num" w:pos="1569"/>
        </w:tabs>
        <w:spacing w:line="240" w:lineRule="auto"/>
        <w:ind w:right="-90"/>
        <w:rPr>
          <w:sz w:val="20"/>
          <w:szCs w:val="20"/>
          <w:lang w:val="es-ES"/>
        </w:rPr>
      </w:pPr>
    </w:p>
    <w:p w14:paraId="754A39DF" w14:textId="77777777" w:rsidR="00DD00E7" w:rsidRPr="00975C02" w:rsidRDefault="00DD00E7" w:rsidP="00DD00E7">
      <w:pPr>
        <w:keepNext/>
        <w:keepLines/>
        <w:tabs>
          <w:tab w:val="left" w:pos="851"/>
        </w:tabs>
        <w:spacing w:line="240" w:lineRule="auto"/>
        <w:jc w:val="center"/>
        <w:outlineLvl w:val="0"/>
        <w:rPr>
          <w:rFonts w:cs="Verdana"/>
          <w:b/>
          <w:bCs/>
          <w:caps/>
          <w:snapToGrid w:val="0"/>
          <w:sz w:val="20"/>
          <w:szCs w:val="20"/>
          <w:lang w:val="es-ES"/>
        </w:rPr>
      </w:pPr>
      <w:bookmarkStart w:id="31" w:name="_Toc375062713"/>
      <w:bookmarkStart w:id="32" w:name="_Toc375140863"/>
      <w:bookmarkStart w:id="33" w:name="_Toc375504822"/>
      <w:bookmarkStart w:id="34" w:name="_Toc375560896"/>
      <w:bookmarkStart w:id="35" w:name="_Toc428369979"/>
      <w:bookmarkStart w:id="36" w:name="_Toc459158095"/>
      <w:bookmarkStart w:id="37" w:name="_Toc401931881"/>
      <w:bookmarkStart w:id="38" w:name="_Toc460857358"/>
      <w:bookmarkStart w:id="39" w:name="_Toc514172592"/>
      <w:r w:rsidRPr="00975C02">
        <w:rPr>
          <w:rFonts w:cs="Verdana"/>
          <w:b/>
          <w:bCs/>
          <w:caps/>
          <w:snapToGrid w:val="0"/>
          <w:sz w:val="20"/>
          <w:szCs w:val="20"/>
          <w:lang w:val="es-ES"/>
        </w:rPr>
        <w:t>IV</w:t>
      </w:r>
      <w:r w:rsidRPr="00975C02">
        <w:rPr>
          <w:rFonts w:cs="Verdana"/>
          <w:b/>
          <w:bCs/>
          <w:caps/>
          <w:snapToGrid w:val="0"/>
          <w:sz w:val="20"/>
          <w:szCs w:val="20"/>
          <w:lang w:val="es-ES"/>
        </w:rPr>
        <w:br/>
        <w:t>EXCEPCIONES PRELIMINAR</w:t>
      </w:r>
      <w:bookmarkEnd w:id="31"/>
      <w:bookmarkEnd w:id="32"/>
      <w:bookmarkEnd w:id="33"/>
      <w:bookmarkEnd w:id="34"/>
      <w:r w:rsidRPr="00975C02">
        <w:rPr>
          <w:rFonts w:cs="Verdana"/>
          <w:b/>
          <w:bCs/>
          <w:caps/>
          <w:snapToGrid w:val="0"/>
          <w:sz w:val="20"/>
          <w:szCs w:val="20"/>
          <w:lang w:val="es-ES"/>
        </w:rPr>
        <w:t>ES</w:t>
      </w:r>
      <w:bookmarkEnd w:id="35"/>
      <w:bookmarkEnd w:id="36"/>
      <w:bookmarkEnd w:id="37"/>
      <w:bookmarkEnd w:id="38"/>
      <w:bookmarkEnd w:id="39"/>
    </w:p>
    <w:p w14:paraId="3B9B0D1C" w14:textId="77777777" w:rsidR="00DD00E7" w:rsidRPr="00975C02" w:rsidRDefault="00DD00E7" w:rsidP="00DD00E7">
      <w:pPr>
        <w:widowControl/>
        <w:tabs>
          <w:tab w:val="left" w:pos="540"/>
        </w:tabs>
        <w:autoSpaceDE w:val="0"/>
        <w:autoSpaceDN w:val="0"/>
        <w:spacing w:line="240" w:lineRule="auto"/>
        <w:textAlignment w:val="auto"/>
        <w:rPr>
          <w:rFonts w:eastAsia="Batang" w:cs="Arial"/>
          <w:iCs/>
          <w:sz w:val="20"/>
          <w:szCs w:val="20"/>
          <w:lang w:val="es-ES" w:eastAsia="en-US"/>
        </w:rPr>
      </w:pPr>
    </w:p>
    <w:p w14:paraId="4652B0A1" w14:textId="6755AF15" w:rsidR="00DD00E7" w:rsidRPr="00975C02" w:rsidRDefault="00DD00E7" w:rsidP="00C8070B">
      <w:pPr>
        <w:numPr>
          <w:ilvl w:val="0"/>
          <w:numId w:val="2"/>
        </w:numPr>
        <w:tabs>
          <w:tab w:val="left" w:pos="567"/>
          <w:tab w:val="num" w:pos="12305"/>
        </w:tabs>
        <w:spacing w:line="240" w:lineRule="auto"/>
        <w:ind w:left="0" w:firstLine="0"/>
        <w:rPr>
          <w:rFonts w:eastAsia="Batang" w:cs="Arial"/>
          <w:iCs/>
          <w:sz w:val="20"/>
          <w:szCs w:val="20"/>
          <w:lang w:val="es-ES" w:eastAsia="en-US"/>
        </w:rPr>
      </w:pPr>
      <w:bookmarkStart w:id="40" w:name="_Ref487106063"/>
      <w:r w:rsidRPr="00975C02">
        <w:rPr>
          <w:rFonts w:eastAsia="Batang" w:cs="Arial"/>
          <w:iCs/>
          <w:sz w:val="20"/>
          <w:szCs w:val="20"/>
          <w:lang w:val="es-ES" w:eastAsia="en-US"/>
        </w:rPr>
        <w:t>El Estado presentó</w:t>
      </w:r>
      <w:r w:rsidR="00306B01" w:rsidRPr="00975C02">
        <w:rPr>
          <w:rFonts w:eastAsia="Batang" w:cs="Arial"/>
          <w:iCs/>
          <w:sz w:val="20"/>
          <w:szCs w:val="20"/>
          <w:lang w:val="es-ES" w:eastAsia="en-US"/>
        </w:rPr>
        <w:t xml:space="preserve"> las siguientes</w:t>
      </w:r>
      <w:r w:rsidRPr="00975C02">
        <w:rPr>
          <w:rFonts w:eastAsia="Batang" w:cs="Arial"/>
          <w:iCs/>
          <w:sz w:val="20"/>
          <w:szCs w:val="20"/>
          <w:lang w:val="es-ES" w:eastAsia="en-US"/>
        </w:rPr>
        <w:t xml:space="preserve"> excepciones preliminares</w:t>
      </w:r>
      <w:r w:rsidR="00306B01" w:rsidRPr="00975C02">
        <w:rPr>
          <w:rFonts w:eastAsia="Batang" w:cs="Arial"/>
          <w:iCs/>
          <w:sz w:val="20"/>
          <w:szCs w:val="20"/>
          <w:lang w:val="es-ES" w:eastAsia="en-US"/>
        </w:rPr>
        <w:t xml:space="preserve"> en su escrito de contestación</w:t>
      </w:r>
      <w:r w:rsidRPr="00975C02">
        <w:rPr>
          <w:rFonts w:eastAsia="Batang" w:cs="Arial"/>
          <w:iCs/>
          <w:sz w:val="20"/>
          <w:szCs w:val="20"/>
          <w:lang w:val="es-ES" w:eastAsia="en-US"/>
        </w:rPr>
        <w:t xml:space="preserve">: </w:t>
      </w:r>
      <w:r w:rsidR="00C8094A" w:rsidRPr="00975C02">
        <w:rPr>
          <w:rFonts w:eastAsia="Batang" w:cs="Arial"/>
          <w:iCs/>
          <w:sz w:val="20"/>
          <w:szCs w:val="20"/>
          <w:lang w:val="es-ES" w:eastAsia="en-US"/>
        </w:rPr>
        <w:t>la alegada falta de</w:t>
      </w:r>
      <w:r w:rsidR="0026739F" w:rsidRPr="00975C02">
        <w:rPr>
          <w:rFonts w:eastAsia="Batang" w:cs="Arial"/>
          <w:iCs/>
          <w:sz w:val="20"/>
          <w:szCs w:val="20"/>
          <w:lang w:val="es-ES" w:eastAsia="en-US"/>
        </w:rPr>
        <w:t xml:space="preserve"> agotamiento de los recursos internos; la </w:t>
      </w:r>
      <w:r w:rsidR="00C8094A" w:rsidRPr="00975C02">
        <w:rPr>
          <w:rFonts w:eastAsia="Batang" w:cs="Arial"/>
          <w:iCs/>
          <w:sz w:val="20"/>
          <w:szCs w:val="20"/>
          <w:lang w:val="es-ES" w:eastAsia="en-US"/>
        </w:rPr>
        <w:t xml:space="preserve">alegada falta de competencia </w:t>
      </w:r>
      <w:r w:rsidR="00C8094A" w:rsidRPr="00975C02">
        <w:rPr>
          <w:rFonts w:eastAsia="Batang" w:cs="Arial"/>
          <w:i/>
          <w:iCs/>
          <w:sz w:val="20"/>
          <w:szCs w:val="20"/>
          <w:lang w:val="es-ES" w:eastAsia="en-US"/>
        </w:rPr>
        <w:t>ratione temporis</w:t>
      </w:r>
      <w:r w:rsidR="0026739F" w:rsidRPr="00975C02">
        <w:rPr>
          <w:rFonts w:eastAsia="Batang" w:cs="Arial"/>
          <w:iCs/>
          <w:sz w:val="20"/>
          <w:szCs w:val="20"/>
          <w:lang w:val="es-ES" w:eastAsia="en-US"/>
        </w:rPr>
        <w:t xml:space="preserve"> de la Comisión y de la Corte Interamericana, y la</w:t>
      </w:r>
      <w:r w:rsidR="00C8094A" w:rsidRPr="00975C02">
        <w:rPr>
          <w:rFonts w:eastAsia="Batang" w:cs="Arial"/>
          <w:iCs/>
          <w:sz w:val="20"/>
          <w:szCs w:val="20"/>
          <w:lang w:val="es-ES" w:eastAsia="en-US"/>
        </w:rPr>
        <w:t xml:space="preserve"> alegada falta de</w:t>
      </w:r>
      <w:r w:rsidR="0026739F" w:rsidRPr="00975C02">
        <w:rPr>
          <w:rFonts w:eastAsia="Batang" w:cs="Arial"/>
          <w:iCs/>
          <w:sz w:val="20"/>
          <w:szCs w:val="20"/>
          <w:lang w:val="es-ES" w:eastAsia="en-US"/>
        </w:rPr>
        <w:t xml:space="preserve"> competencia </w:t>
      </w:r>
      <w:r w:rsidR="0026739F" w:rsidRPr="00975C02">
        <w:rPr>
          <w:rFonts w:eastAsia="Batang" w:cs="Arial"/>
          <w:i/>
          <w:iCs/>
          <w:sz w:val="20"/>
          <w:szCs w:val="20"/>
          <w:lang w:val="es-ES" w:eastAsia="en-US"/>
        </w:rPr>
        <w:t>ratione materiae</w:t>
      </w:r>
      <w:r w:rsidR="0026739F" w:rsidRPr="00975C02">
        <w:rPr>
          <w:rFonts w:eastAsia="Batang" w:cs="Arial"/>
          <w:iCs/>
          <w:sz w:val="20"/>
          <w:szCs w:val="20"/>
          <w:lang w:val="es-ES" w:eastAsia="en-US"/>
        </w:rPr>
        <w:t xml:space="preserve"> de la Corte en relación con la </w:t>
      </w:r>
      <w:r w:rsidR="00C8094A" w:rsidRPr="00975C02">
        <w:rPr>
          <w:rFonts w:eastAsia="Batang" w:cs="Arial"/>
          <w:iCs/>
          <w:sz w:val="20"/>
          <w:szCs w:val="20"/>
          <w:lang w:val="es-ES" w:eastAsia="en-US"/>
        </w:rPr>
        <w:t xml:space="preserve">presunta </w:t>
      </w:r>
      <w:r w:rsidR="0026739F" w:rsidRPr="00975C02">
        <w:rPr>
          <w:rFonts w:eastAsia="Batang" w:cs="Arial"/>
          <w:iCs/>
          <w:sz w:val="20"/>
          <w:szCs w:val="20"/>
          <w:lang w:val="es-ES" w:eastAsia="en-US"/>
        </w:rPr>
        <w:t>violación de artículos de la Convención sobr</w:t>
      </w:r>
      <w:r w:rsidR="00777F26" w:rsidRPr="00975C02">
        <w:rPr>
          <w:rFonts w:eastAsia="Batang" w:cs="Arial"/>
          <w:iCs/>
          <w:sz w:val="20"/>
          <w:szCs w:val="20"/>
          <w:lang w:val="es-ES" w:eastAsia="en-US"/>
        </w:rPr>
        <w:t>e los Derechos del Niño</w:t>
      </w:r>
      <w:r w:rsidRPr="00975C02">
        <w:rPr>
          <w:rFonts w:eastAsia="Batang" w:cs="Arial"/>
          <w:iCs/>
          <w:sz w:val="20"/>
          <w:szCs w:val="20"/>
          <w:lang w:val="es-ES" w:eastAsia="en-US"/>
        </w:rPr>
        <w:t>.</w:t>
      </w:r>
      <w:bookmarkEnd w:id="40"/>
      <w:r w:rsidR="004D1430" w:rsidRPr="00975C02">
        <w:rPr>
          <w:rFonts w:eastAsia="Batang" w:cs="Arial"/>
          <w:iCs/>
          <w:sz w:val="20"/>
          <w:szCs w:val="20"/>
          <w:lang w:val="es-ES" w:eastAsia="en-US"/>
        </w:rPr>
        <w:t xml:space="preserve"> La Corte resolverá las excepciones en ese mismo orden.</w:t>
      </w:r>
    </w:p>
    <w:p w14:paraId="6D4EF8F0" w14:textId="77777777" w:rsidR="00DD00E7" w:rsidRPr="00975C02" w:rsidRDefault="00DD00E7" w:rsidP="00DD00E7">
      <w:pPr>
        <w:widowControl/>
        <w:tabs>
          <w:tab w:val="left" w:pos="567"/>
        </w:tabs>
        <w:autoSpaceDE w:val="0"/>
        <w:autoSpaceDN w:val="0"/>
        <w:adjustRightInd/>
        <w:spacing w:line="240" w:lineRule="auto"/>
        <w:textAlignment w:val="auto"/>
        <w:rPr>
          <w:rFonts w:eastAsia="Batang" w:cs="Arial"/>
          <w:b/>
          <w:iCs/>
          <w:sz w:val="20"/>
          <w:szCs w:val="20"/>
          <w:lang w:val="es-ES" w:eastAsia="en-US"/>
        </w:rPr>
      </w:pPr>
    </w:p>
    <w:p w14:paraId="09B0F0F9" w14:textId="77777777" w:rsidR="00DD00E7" w:rsidRPr="00975C02" w:rsidRDefault="0026739F" w:rsidP="00DD00E7">
      <w:pPr>
        <w:keepNext/>
        <w:keepLines/>
        <w:tabs>
          <w:tab w:val="left" w:pos="1134"/>
        </w:tabs>
        <w:spacing w:line="240" w:lineRule="auto"/>
        <w:ind w:left="567" w:firstLine="1"/>
        <w:outlineLvl w:val="1"/>
        <w:rPr>
          <w:rFonts w:eastAsia="MS Mincho"/>
          <w:b/>
          <w:bCs/>
          <w:i/>
          <w:sz w:val="20"/>
          <w:szCs w:val="20"/>
          <w:lang w:val="es-ES"/>
        </w:rPr>
      </w:pPr>
      <w:bookmarkStart w:id="41" w:name="_Toc401931886"/>
      <w:bookmarkStart w:id="42" w:name="_Toc428369983"/>
      <w:bookmarkStart w:id="43" w:name="_Toc459158099"/>
      <w:bookmarkStart w:id="44" w:name="_Toc460857359"/>
      <w:bookmarkStart w:id="45" w:name="_Toc514172593"/>
      <w:r w:rsidRPr="00975C02">
        <w:rPr>
          <w:rFonts w:eastAsia="MS Mincho"/>
          <w:b/>
          <w:bCs/>
          <w:i/>
          <w:sz w:val="20"/>
          <w:szCs w:val="20"/>
          <w:lang w:val="es-ES"/>
        </w:rPr>
        <w:t>A</w:t>
      </w:r>
      <w:r w:rsidR="00DD00E7" w:rsidRPr="00975C02">
        <w:rPr>
          <w:rFonts w:eastAsia="MS Mincho"/>
          <w:b/>
          <w:bCs/>
          <w:i/>
          <w:sz w:val="20"/>
          <w:szCs w:val="20"/>
          <w:lang w:val="es-ES"/>
        </w:rPr>
        <w:t>.</w:t>
      </w:r>
      <w:r w:rsidR="00DD00E7" w:rsidRPr="00975C02">
        <w:rPr>
          <w:rFonts w:eastAsia="MS Mincho"/>
          <w:b/>
          <w:bCs/>
          <w:i/>
          <w:sz w:val="20"/>
          <w:szCs w:val="20"/>
          <w:lang w:val="es-ES"/>
        </w:rPr>
        <w:tab/>
        <w:t>Excepción sobre la alegada</w:t>
      </w:r>
      <w:bookmarkEnd w:id="41"/>
      <w:bookmarkEnd w:id="42"/>
      <w:bookmarkEnd w:id="43"/>
      <w:bookmarkEnd w:id="44"/>
      <w:r w:rsidR="00DD00E7" w:rsidRPr="00975C02">
        <w:rPr>
          <w:rFonts w:eastAsia="MS Mincho"/>
          <w:b/>
          <w:bCs/>
          <w:i/>
          <w:sz w:val="20"/>
          <w:szCs w:val="20"/>
          <w:lang w:val="es-ES"/>
        </w:rPr>
        <w:t xml:space="preserve"> falta de agotamiento de los recursos internos</w:t>
      </w:r>
      <w:bookmarkEnd w:id="45"/>
    </w:p>
    <w:p w14:paraId="64193594" w14:textId="77777777" w:rsidR="00DD00E7" w:rsidRPr="00975C02" w:rsidRDefault="00DD00E7" w:rsidP="00DD00E7">
      <w:pPr>
        <w:tabs>
          <w:tab w:val="left" w:pos="720"/>
        </w:tabs>
        <w:spacing w:line="240" w:lineRule="auto"/>
        <w:rPr>
          <w:bCs/>
          <w:sz w:val="20"/>
          <w:szCs w:val="20"/>
          <w:lang w:val="es-ES"/>
        </w:rPr>
      </w:pPr>
    </w:p>
    <w:p w14:paraId="362966A7" w14:textId="77777777" w:rsidR="00DD00E7" w:rsidRPr="00975C02" w:rsidRDefault="0026739F" w:rsidP="00C607DD">
      <w:pPr>
        <w:pStyle w:val="Heading2"/>
        <w:tabs>
          <w:tab w:val="left" w:pos="1843"/>
        </w:tabs>
        <w:spacing w:before="0" w:line="240" w:lineRule="auto"/>
        <w:ind w:left="1134"/>
        <w:rPr>
          <w:rFonts w:ascii="Verdana" w:hAnsi="Verdana"/>
          <w:b w:val="0"/>
          <w:i/>
          <w:color w:val="auto"/>
          <w:sz w:val="20"/>
          <w:szCs w:val="20"/>
          <w:lang w:val="es-ES"/>
        </w:rPr>
      </w:pPr>
      <w:bookmarkStart w:id="46" w:name="_Toc459158100"/>
      <w:bookmarkStart w:id="47" w:name="_Toc460857360"/>
      <w:bookmarkStart w:id="48" w:name="_Toc514172594"/>
      <w:r w:rsidRPr="00975C02">
        <w:rPr>
          <w:rFonts w:ascii="Verdana" w:hAnsi="Verdana"/>
          <w:b w:val="0"/>
          <w:i/>
          <w:color w:val="auto"/>
          <w:sz w:val="20"/>
          <w:szCs w:val="20"/>
          <w:lang w:val="es-ES"/>
        </w:rPr>
        <w:t>A</w:t>
      </w:r>
      <w:r w:rsidR="00DD00E7" w:rsidRPr="00975C02">
        <w:rPr>
          <w:rFonts w:ascii="Verdana" w:hAnsi="Verdana"/>
          <w:b w:val="0"/>
          <w:i/>
          <w:color w:val="auto"/>
          <w:sz w:val="20"/>
          <w:szCs w:val="20"/>
          <w:lang w:val="es-ES"/>
        </w:rPr>
        <w:t xml:space="preserve">.1 </w:t>
      </w:r>
      <w:r w:rsidR="00C607DD" w:rsidRPr="00975C02">
        <w:rPr>
          <w:rFonts w:ascii="Verdana" w:hAnsi="Verdana"/>
          <w:b w:val="0"/>
          <w:i/>
          <w:color w:val="auto"/>
          <w:sz w:val="20"/>
          <w:szCs w:val="20"/>
          <w:lang w:val="es-ES"/>
        </w:rPr>
        <w:tab/>
      </w:r>
      <w:r w:rsidR="00DD00E7" w:rsidRPr="00975C02">
        <w:rPr>
          <w:rFonts w:ascii="Verdana" w:hAnsi="Verdana"/>
          <w:b w:val="0"/>
          <w:i/>
          <w:color w:val="auto"/>
          <w:sz w:val="20"/>
          <w:szCs w:val="20"/>
          <w:lang w:val="es-ES"/>
        </w:rPr>
        <w:t>Alegatos del Estado y observaciones de la Comisión y las representante</w:t>
      </w:r>
      <w:bookmarkEnd w:id="46"/>
      <w:bookmarkEnd w:id="47"/>
      <w:r w:rsidR="00DD00E7" w:rsidRPr="00975C02">
        <w:rPr>
          <w:rFonts w:ascii="Verdana" w:hAnsi="Verdana"/>
          <w:b w:val="0"/>
          <w:i/>
          <w:color w:val="auto"/>
          <w:sz w:val="20"/>
          <w:szCs w:val="20"/>
          <w:lang w:val="es-ES"/>
        </w:rPr>
        <w:t>s</w:t>
      </w:r>
      <w:bookmarkEnd w:id="48"/>
    </w:p>
    <w:p w14:paraId="6D53E01E" w14:textId="77777777" w:rsidR="00DD00E7" w:rsidRPr="00975C02" w:rsidRDefault="00DD00E7" w:rsidP="00DD00E7">
      <w:pPr>
        <w:tabs>
          <w:tab w:val="left" w:pos="720"/>
        </w:tabs>
        <w:spacing w:line="240" w:lineRule="auto"/>
        <w:rPr>
          <w:bCs/>
          <w:sz w:val="20"/>
          <w:szCs w:val="20"/>
          <w:lang w:val="es-ES"/>
        </w:rPr>
      </w:pPr>
    </w:p>
    <w:p w14:paraId="45C9DBBB" w14:textId="394CC1AF" w:rsidR="00DD00E7" w:rsidRPr="00975C02" w:rsidRDefault="00DD00E7" w:rsidP="00C8070B">
      <w:pPr>
        <w:pStyle w:val="ListParagraph"/>
        <w:numPr>
          <w:ilvl w:val="0"/>
          <w:numId w:val="2"/>
        </w:numPr>
        <w:tabs>
          <w:tab w:val="left" w:pos="567"/>
        </w:tabs>
        <w:spacing w:line="240" w:lineRule="auto"/>
        <w:ind w:left="0" w:firstLine="0"/>
        <w:contextualSpacing/>
        <w:rPr>
          <w:sz w:val="16"/>
          <w:szCs w:val="16"/>
          <w:lang w:val="es-ES"/>
        </w:rPr>
      </w:pPr>
      <w:r w:rsidRPr="00975C02">
        <w:rPr>
          <w:rFonts w:cs="Verdana,Italic"/>
          <w:iCs/>
          <w:sz w:val="20"/>
          <w:szCs w:val="20"/>
          <w:lang w:val="es-ES" w:eastAsia="en-US"/>
        </w:rPr>
        <w:t xml:space="preserve">El </w:t>
      </w:r>
      <w:r w:rsidRPr="00975C02">
        <w:rPr>
          <w:rFonts w:eastAsia="Calibri" w:cs="Arial"/>
          <w:b/>
          <w:i/>
          <w:sz w:val="20"/>
          <w:szCs w:val="20"/>
          <w:lang w:val="es-ES" w:eastAsia="en-US"/>
        </w:rPr>
        <w:t>Estado</w:t>
      </w:r>
      <w:r w:rsidRPr="00975C02">
        <w:rPr>
          <w:rFonts w:eastAsia="Calibri" w:cs="Arial"/>
          <w:sz w:val="20"/>
          <w:szCs w:val="20"/>
          <w:lang w:val="es-ES" w:eastAsia="en-US"/>
        </w:rPr>
        <w:t xml:space="preserve"> </w:t>
      </w:r>
      <w:r w:rsidRPr="00975C02">
        <w:rPr>
          <w:rFonts w:eastAsia="MS Mincho" w:cs="Arial"/>
          <w:sz w:val="20"/>
          <w:szCs w:val="20"/>
          <w:lang w:val="es-ES" w:eastAsia="en-US"/>
        </w:rPr>
        <w:t xml:space="preserve">alegó la falta de agotamiento de los recursos de la jurisdicción interna con base en el artículo 46.1.a) de la Convención. </w:t>
      </w:r>
      <w:r w:rsidR="00755BA7" w:rsidRPr="00975C02">
        <w:rPr>
          <w:rFonts w:eastAsia="MS Mincho" w:cs="Arial"/>
          <w:sz w:val="20"/>
          <w:szCs w:val="20"/>
          <w:lang w:val="es-ES" w:eastAsia="en-US"/>
        </w:rPr>
        <w:t>Sostuvo que</w:t>
      </w:r>
      <w:r w:rsidRPr="00975C02">
        <w:rPr>
          <w:rFonts w:eastAsia="MS Mincho" w:cs="Arial"/>
          <w:sz w:val="20"/>
          <w:szCs w:val="20"/>
          <w:lang w:val="es-ES" w:eastAsia="en-US"/>
        </w:rPr>
        <w:t xml:space="preserve"> </w:t>
      </w:r>
      <w:r w:rsidR="00755BA7" w:rsidRPr="00975C02">
        <w:rPr>
          <w:rFonts w:eastAsia="MS Mincho" w:cs="Arial"/>
          <w:sz w:val="20"/>
          <w:szCs w:val="20"/>
          <w:lang w:val="es-ES" w:eastAsia="en-US"/>
        </w:rPr>
        <w:t xml:space="preserve">la Comisión </w:t>
      </w:r>
      <w:r w:rsidRPr="00975C02">
        <w:rPr>
          <w:sz w:val="20"/>
          <w:szCs w:val="20"/>
          <w:lang w:val="es-ES"/>
        </w:rPr>
        <w:t xml:space="preserve">debió verificar si se habían agotado los recursos de la jurisdicción interna, </w:t>
      </w:r>
      <w:r w:rsidR="00755BA7" w:rsidRPr="00975C02">
        <w:rPr>
          <w:sz w:val="20"/>
          <w:szCs w:val="20"/>
          <w:lang w:val="es-ES"/>
        </w:rPr>
        <w:t xml:space="preserve">ya </w:t>
      </w:r>
      <w:r w:rsidRPr="00975C02">
        <w:rPr>
          <w:sz w:val="20"/>
          <w:szCs w:val="20"/>
          <w:lang w:val="es-ES"/>
        </w:rPr>
        <w:t>que el proceso penal no se había agotado.</w:t>
      </w:r>
      <w:r w:rsidR="00C75DF0" w:rsidRPr="00975C02">
        <w:rPr>
          <w:sz w:val="20"/>
          <w:szCs w:val="20"/>
          <w:lang w:val="es-ES"/>
        </w:rPr>
        <w:t xml:space="preserve"> </w:t>
      </w:r>
      <w:r w:rsidRPr="00975C02">
        <w:rPr>
          <w:sz w:val="20"/>
          <w:szCs w:val="20"/>
          <w:lang w:val="es-ES"/>
        </w:rPr>
        <w:t>Por tal motivo, el Estado argumentó que la Comisión, al darle el trámite inicial a la petición, estableció un proceso paralelo al proceso jurisdiccional interno,</w:t>
      </w:r>
      <w:r w:rsidR="00C75DF0" w:rsidRPr="00975C02">
        <w:rPr>
          <w:sz w:val="20"/>
          <w:szCs w:val="20"/>
          <w:lang w:val="es-ES"/>
        </w:rPr>
        <w:t xml:space="preserve"> toda vez que éste no había concluido ni existí</w:t>
      </w:r>
      <w:r w:rsidR="00EA5BC3" w:rsidRPr="00975C02">
        <w:rPr>
          <w:sz w:val="20"/>
          <w:szCs w:val="20"/>
          <w:lang w:val="es-ES"/>
        </w:rPr>
        <w:t>a</w:t>
      </w:r>
      <w:r w:rsidR="00C75DF0" w:rsidRPr="00975C02">
        <w:rPr>
          <w:sz w:val="20"/>
          <w:szCs w:val="20"/>
          <w:lang w:val="es-ES"/>
        </w:rPr>
        <w:t xml:space="preserve"> retardo injustificado de acuerdo a la práctica procesal de la época. </w:t>
      </w:r>
      <w:r w:rsidR="00D022A9" w:rsidRPr="00975C02">
        <w:rPr>
          <w:sz w:val="20"/>
          <w:szCs w:val="20"/>
          <w:lang w:val="es-ES"/>
        </w:rPr>
        <w:t>El Estado indicó que</w:t>
      </w:r>
      <w:r w:rsidR="003E5E9C" w:rsidRPr="00975C02">
        <w:rPr>
          <w:sz w:val="20"/>
          <w:szCs w:val="20"/>
          <w:lang w:val="es-ES"/>
        </w:rPr>
        <w:t>,</w:t>
      </w:r>
      <w:r w:rsidR="00D022A9" w:rsidRPr="00975C02">
        <w:rPr>
          <w:sz w:val="20"/>
          <w:szCs w:val="20"/>
          <w:lang w:val="es-ES"/>
        </w:rPr>
        <w:t xml:space="preserve"> en el Informe de </w:t>
      </w:r>
      <w:r w:rsidR="00557F97" w:rsidRPr="00975C02">
        <w:rPr>
          <w:sz w:val="20"/>
          <w:szCs w:val="20"/>
          <w:lang w:val="es-ES"/>
        </w:rPr>
        <w:t>A</w:t>
      </w:r>
      <w:r w:rsidR="00D022A9" w:rsidRPr="00975C02">
        <w:rPr>
          <w:sz w:val="20"/>
          <w:szCs w:val="20"/>
          <w:lang w:val="es-ES"/>
        </w:rPr>
        <w:t>dmisibilidad</w:t>
      </w:r>
      <w:r w:rsidR="003E5E9C" w:rsidRPr="00975C02">
        <w:rPr>
          <w:sz w:val="20"/>
          <w:szCs w:val="20"/>
          <w:lang w:val="es-ES"/>
        </w:rPr>
        <w:t>,</w:t>
      </w:r>
      <w:r w:rsidR="00D022A9" w:rsidRPr="00975C02">
        <w:rPr>
          <w:sz w:val="20"/>
          <w:szCs w:val="20"/>
          <w:lang w:val="es-ES"/>
        </w:rPr>
        <w:t xml:space="preserve"> </w:t>
      </w:r>
      <w:r w:rsidR="00557F97" w:rsidRPr="00975C02">
        <w:rPr>
          <w:sz w:val="20"/>
          <w:szCs w:val="20"/>
          <w:lang w:val="es-ES"/>
        </w:rPr>
        <w:t xml:space="preserve">la Comisión </w:t>
      </w:r>
      <w:r w:rsidR="00D022A9" w:rsidRPr="00975C02">
        <w:rPr>
          <w:sz w:val="20"/>
          <w:szCs w:val="20"/>
          <w:lang w:val="es-ES"/>
        </w:rPr>
        <w:t xml:space="preserve">“argumentó la admisión de la petición […] alegando que existía un retardo injustificado </w:t>
      </w:r>
      <w:r w:rsidR="00557F97" w:rsidRPr="00975C02">
        <w:rPr>
          <w:sz w:val="20"/>
          <w:szCs w:val="20"/>
          <w:lang w:val="es-ES"/>
        </w:rPr>
        <w:t xml:space="preserve">[…] </w:t>
      </w:r>
      <w:r w:rsidR="00D022A9" w:rsidRPr="00975C02">
        <w:rPr>
          <w:sz w:val="20"/>
          <w:szCs w:val="20"/>
          <w:lang w:val="es-ES"/>
        </w:rPr>
        <w:t xml:space="preserve">en amplia transgresión a su Reglamento y a la Convención”. </w:t>
      </w:r>
      <w:r w:rsidR="003E5E9C" w:rsidRPr="00975C02">
        <w:rPr>
          <w:sz w:val="20"/>
          <w:szCs w:val="20"/>
          <w:lang w:val="es-ES"/>
        </w:rPr>
        <w:t>Al respecto</w:t>
      </w:r>
      <w:r w:rsidR="00D022A9" w:rsidRPr="00975C02">
        <w:rPr>
          <w:sz w:val="20"/>
          <w:szCs w:val="20"/>
          <w:lang w:val="es-ES"/>
        </w:rPr>
        <w:t xml:space="preserve">, el Estado negó que haya existido retardo injustificado en el presente caso ya que el proceso inició el 20 de noviembre de 2001 y </w:t>
      </w:r>
      <w:r w:rsidR="003E5E9C" w:rsidRPr="00975C02">
        <w:rPr>
          <w:sz w:val="20"/>
          <w:szCs w:val="20"/>
          <w:lang w:val="es-ES"/>
        </w:rPr>
        <w:t>la</w:t>
      </w:r>
      <w:r w:rsidR="00D022A9" w:rsidRPr="00975C02">
        <w:rPr>
          <w:sz w:val="20"/>
          <w:szCs w:val="20"/>
          <w:lang w:val="es-ES"/>
        </w:rPr>
        <w:t xml:space="preserve"> primera instancia concluyó el 13 de abril de 2002, “un plazo razonable en el contexto de la realidad procesal de la época”. </w:t>
      </w:r>
      <w:r w:rsidR="00C75DF0" w:rsidRPr="00975C02">
        <w:rPr>
          <w:sz w:val="20"/>
          <w:szCs w:val="20"/>
          <w:lang w:val="es-ES"/>
        </w:rPr>
        <w:t xml:space="preserve">Asimismo, señaló que </w:t>
      </w:r>
      <w:r w:rsidR="001C1AF9" w:rsidRPr="00975C02">
        <w:rPr>
          <w:sz w:val="20"/>
          <w:szCs w:val="20"/>
          <w:lang w:val="es-ES"/>
        </w:rPr>
        <w:t>los recursos</w:t>
      </w:r>
      <w:r w:rsidR="00C75DF0" w:rsidRPr="00975C02">
        <w:rPr>
          <w:sz w:val="20"/>
          <w:szCs w:val="20"/>
          <w:lang w:val="es-ES"/>
        </w:rPr>
        <w:t xml:space="preserve"> interno</w:t>
      </w:r>
      <w:r w:rsidR="001C1AF9" w:rsidRPr="00975C02">
        <w:rPr>
          <w:sz w:val="20"/>
          <w:szCs w:val="20"/>
          <w:lang w:val="es-ES"/>
        </w:rPr>
        <w:t>s</w:t>
      </w:r>
      <w:r w:rsidR="00C75DF0" w:rsidRPr="00975C02">
        <w:rPr>
          <w:sz w:val="20"/>
          <w:szCs w:val="20"/>
          <w:lang w:val="es-ES"/>
        </w:rPr>
        <w:t xml:space="preserve"> se</w:t>
      </w:r>
      <w:r w:rsidR="001C1AF9" w:rsidRPr="00975C02">
        <w:rPr>
          <w:sz w:val="20"/>
          <w:szCs w:val="20"/>
          <w:lang w:val="es-ES"/>
        </w:rPr>
        <w:t xml:space="preserve"> agotaron</w:t>
      </w:r>
      <w:r w:rsidRPr="00975C02">
        <w:rPr>
          <w:sz w:val="20"/>
          <w:szCs w:val="20"/>
          <w:lang w:val="es-ES"/>
        </w:rPr>
        <w:t xml:space="preserve"> con la Sentencia n° 45 de la Sala Penal del Tribunal de Apelaciones Circunscripción Norte, emitida el 24 de octubre de 2007. En razón de lo expuesto, el Estado solicitó a la Corte que “se pronunci</w:t>
      </w:r>
      <w:r w:rsidR="003E5E9C" w:rsidRPr="00975C02">
        <w:rPr>
          <w:sz w:val="20"/>
          <w:szCs w:val="20"/>
          <w:lang w:val="es-ES"/>
        </w:rPr>
        <w:t>[ara]</w:t>
      </w:r>
      <w:r w:rsidRPr="00975C02">
        <w:rPr>
          <w:sz w:val="20"/>
          <w:szCs w:val="20"/>
          <w:lang w:val="es-ES"/>
        </w:rPr>
        <w:t xml:space="preserve"> sobre la obligación de la Comisión de valorar en cada caso, la eficacia de los recursos internos incluidos y componentes de un ordenamiento jurídico estructurado, sistémico e integral con finalidades y ámbitos de protección específicos pero complementarios”.</w:t>
      </w:r>
    </w:p>
    <w:p w14:paraId="6BFF6016" w14:textId="77777777" w:rsidR="00DD00E7" w:rsidRPr="00975C02" w:rsidRDefault="00DD00E7" w:rsidP="00DD00E7">
      <w:pPr>
        <w:spacing w:line="240" w:lineRule="auto"/>
        <w:rPr>
          <w:b/>
          <w:sz w:val="20"/>
          <w:szCs w:val="20"/>
          <w:lang w:val="es-ES"/>
        </w:rPr>
      </w:pPr>
    </w:p>
    <w:p w14:paraId="3F160CF3" w14:textId="55493500" w:rsidR="004F5167" w:rsidRPr="00975C02" w:rsidRDefault="00DD00E7" w:rsidP="00F0635A">
      <w:pPr>
        <w:pStyle w:val="ListParagraph"/>
        <w:numPr>
          <w:ilvl w:val="0"/>
          <w:numId w:val="2"/>
        </w:numPr>
        <w:tabs>
          <w:tab w:val="left" w:pos="567"/>
        </w:tabs>
        <w:spacing w:line="240" w:lineRule="auto"/>
        <w:ind w:left="0" w:firstLine="0"/>
        <w:contextualSpacing/>
        <w:rPr>
          <w:b/>
          <w:sz w:val="20"/>
          <w:szCs w:val="20"/>
          <w:lang w:val="es-ES"/>
        </w:rPr>
      </w:pPr>
      <w:r w:rsidRPr="00975C02">
        <w:rPr>
          <w:rFonts w:eastAsia="Calibri" w:cs="Arial"/>
          <w:sz w:val="20"/>
          <w:szCs w:val="20"/>
          <w:lang w:val="es-ES" w:eastAsia="en-US"/>
        </w:rPr>
        <w:t xml:space="preserve">La </w:t>
      </w:r>
      <w:r w:rsidRPr="00975C02">
        <w:rPr>
          <w:rFonts w:eastAsia="Calibri" w:cs="Arial"/>
          <w:b/>
          <w:i/>
          <w:sz w:val="20"/>
          <w:szCs w:val="20"/>
          <w:lang w:val="es-ES" w:eastAsia="en-US"/>
        </w:rPr>
        <w:t>Comisión</w:t>
      </w:r>
      <w:r w:rsidRPr="00975C02">
        <w:rPr>
          <w:rFonts w:eastAsia="Calibri" w:cs="Arial"/>
          <w:sz w:val="20"/>
          <w:szCs w:val="20"/>
          <w:lang w:val="es-ES" w:eastAsia="en-US"/>
        </w:rPr>
        <w:t xml:space="preserve"> </w:t>
      </w:r>
      <w:r w:rsidRPr="00975C02">
        <w:rPr>
          <w:sz w:val="20"/>
          <w:szCs w:val="20"/>
          <w:lang w:val="es-ES"/>
        </w:rPr>
        <w:t xml:space="preserve">confirmó que el Estado argumentó la falta de agotamiento de los recursos internos en el momento procesal oportuno. </w:t>
      </w:r>
      <w:r w:rsidR="00F0635A" w:rsidRPr="00975C02">
        <w:rPr>
          <w:sz w:val="20"/>
          <w:szCs w:val="20"/>
          <w:lang w:val="es-ES"/>
        </w:rPr>
        <w:t>R</w:t>
      </w:r>
      <w:r w:rsidRPr="00975C02">
        <w:rPr>
          <w:sz w:val="20"/>
          <w:szCs w:val="20"/>
          <w:lang w:val="es-ES"/>
        </w:rPr>
        <w:t xml:space="preserve">eiteró que “en casos en los cuales la situación de los recursos internos se modifica a lo largo de[l] trámite de admisibilidad, el análisis del cumplimiento del requisito de agotamiento de los recursos internos se efectúa con base en la situación vigente al momento del informe de admisibilidad y no con base en la situación vigente al momento de la interposición de la petición o de su apertura a trámite”. </w:t>
      </w:r>
      <w:r w:rsidR="00F0635A" w:rsidRPr="00975C02">
        <w:rPr>
          <w:sz w:val="20"/>
          <w:szCs w:val="20"/>
          <w:lang w:val="es-ES"/>
        </w:rPr>
        <w:t>L</w:t>
      </w:r>
      <w:r w:rsidRPr="00975C02">
        <w:rPr>
          <w:sz w:val="20"/>
          <w:szCs w:val="20"/>
          <w:lang w:val="es-ES"/>
        </w:rPr>
        <w:t>a Comisión aclaró que</w:t>
      </w:r>
      <w:r w:rsidR="00F0635A" w:rsidRPr="00975C02">
        <w:rPr>
          <w:sz w:val="20"/>
          <w:szCs w:val="20"/>
          <w:lang w:val="es-ES"/>
        </w:rPr>
        <w:t>,</w:t>
      </w:r>
      <w:r w:rsidRPr="00975C02">
        <w:rPr>
          <w:sz w:val="20"/>
          <w:szCs w:val="20"/>
          <w:lang w:val="es-ES"/>
        </w:rPr>
        <w:t xml:space="preserve"> “si bien en la etapa de fondo tomó conocimiento de que el proceso penal había culminado el 24 de octubre de 2007,[…] no contaba con esta información al momento de emitir su informe de admisibilidad”. </w:t>
      </w:r>
      <w:r w:rsidR="004E6A8F" w:rsidRPr="00975C02">
        <w:rPr>
          <w:sz w:val="20"/>
          <w:szCs w:val="20"/>
          <w:lang w:val="es-ES"/>
        </w:rPr>
        <w:t>I</w:t>
      </w:r>
      <w:r w:rsidRPr="00975C02">
        <w:rPr>
          <w:sz w:val="20"/>
          <w:szCs w:val="20"/>
          <w:lang w:val="es-ES"/>
        </w:rPr>
        <w:t xml:space="preserve">ndicó que el último escrito del Estado en la etapa de admisibilidad es anterior a esa fecha. </w:t>
      </w:r>
      <w:r w:rsidR="004E6A8F" w:rsidRPr="00975C02">
        <w:rPr>
          <w:sz w:val="20"/>
          <w:szCs w:val="20"/>
          <w:lang w:val="es-ES"/>
        </w:rPr>
        <w:t xml:space="preserve">En sus observaciones finales, la Comisión precisó que, en su primera contestación, el Estado habría señalado que la peticionaria había agotado los recursos internos, pero </w:t>
      </w:r>
      <w:r w:rsidR="001754FC">
        <w:rPr>
          <w:sz w:val="20"/>
          <w:szCs w:val="20"/>
          <w:lang w:val="es-ES"/>
        </w:rPr>
        <w:t xml:space="preserve">posteriormente </w:t>
      </w:r>
      <w:r w:rsidR="004E6A8F" w:rsidRPr="00975C02">
        <w:rPr>
          <w:sz w:val="20"/>
          <w:szCs w:val="20"/>
          <w:lang w:val="es-ES"/>
        </w:rPr>
        <w:t xml:space="preserve">informó que no se habían agotado dado que se encontraba pendiente el proceso sobre la nulidad y que el retardo se debía a múltiples diligencias promovidas por ambas partes. </w:t>
      </w:r>
      <w:r w:rsidRPr="00975C02">
        <w:rPr>
          <w:sz w:val="20"/>
          <w:szCs w:val="20"/>
          <w:lang w:val="es-ES"/>
        </w:rPr>
        <w:t>Es por ello que</w:t>
      </w:r>
      <w:r w:rsidR="00F0635A" w:rsidRPr="00975C02">
        <w:rPr>
          <w:sz w:val="20"/>
          <w:szCs w:val="20"/>
          <w:lang w:val="es-ES"/>
        </w:rPr>
        <w:t>,</w:t>
      </w:r>
      <w:r w:rsidRPr="00975C02">
        <w:rPr>
          <w:sz w:val="20"/>
          <w:szCs w:val="20"/>
          <w:lang w:val="es-ES"/>
        </w:rPr>
        <w:t xml:space="preserve"> a la luz de la información disponible, la Comisión entendió que el proceso continuaba en curso y dio aplicación a la excepción de retardo injustificado prevista en el artículo 46.2 c) de la Convención Americana. </w:t>
      </w:r>
      <w:r w:rsidR="004E6A8F" w:rsidRPr="00975C02">
        <w:rPr>
          <w:sz w:val="20"/>
          <w:szCs w:val="20"/>
          <w:lang w:val="es-ES"/>
        </w:rPr>
        <w:t>Manifestó que, “</w:t>
      </w:r>
      <w:r w:rsidRPr="00975C02">
        <w:rPr>
          <w:sz w:val="20"/>
          <w:szCs w:val="20"/>
          <w:lang w:val="es-ES"/>
        </w:rPr>
        <w:t>de haber conocido oportunamente que el proceso penal había finalizado, en todo caso la petición hubiese resultado admisible, en tanto los recursos internos se encontraban efectivamente agotados”. En virtud de lo indicado, la Comisión solicitó a la Corte que desechara esta excepción preliminar interpuesta por Nicaragua.</w:t>
      </w:r>
      <w:r w:rsidR="00F0635A" w:rsidRPr="00975C02">
        <w:rPr>
          <w:sz w:val="20"/>
          <w:szCs w:val="20"/>
          <w:lang w:val="es-ES"/>
        </w:rPr>
        <w:t xml:space="preserve"> </w:t>
      </w:r>
    </w:p>
    <w:p w14:paraId="4BFBA1EA" w14:textId="77777777" w:rsidR="004F5167" w:rsidRPr="00975C02" w:rsidRDefault="004F5167" w:rsidP="00DD00E7">
      <w:pPr>
        <w:tabs>
          <w:tab w:val="left" w:pos="567"/>
          <w:tab w:val="num" w:pos="12305"/>
        </w:tabs>
        <w:spacing w:line="240" w:lineRule="auto"/>
        <w:rPr>
          <w:rFonts w:eastAsia="Calibri" w:cs="Arial"/>
          <w:b/>
          <w:sz w:val="20"/>
          <w:szCs w:val="20"/>
          <w:lang w:val="es-ES" w:eastAsia="en-US"/>
        </w:rPr>
      </w:pPr>
    </w:p>
    <w:p w14:paraId="0F7F6D78" w14:textId="71E246F0" w:rsidR="00DD00E7" w:rsidRPr="00975C02" w:rsidRDefault="00DD00E7" w:rsidP="00C8070B">
      <w:pPr>
        <w:pStyle w:val="ListParagraph"/>
        <w:numPr>
          <w:ilvl w:val="0"/>
          <w:numId w:val="2"/>
        </w:numPr>
        <w:tabs>
          <w:tab w:val="left" w:pos="567"/>
        </w:tabs>
        <w:spacing w:line="240" w:lineRule="auto"/>
        <w:ind w:left="0" w:firstLine="0"/>
        <w:contextualSpacing/>
        <w:rPr>
          <w:sz w:val="20"/>
          <w:szCs w:val="20"/>
          <w:lang w:val="es-ES"/>
        </w:rPr>
      </w:pPr>
      <w:r w:rsidRPr="00975C02">
        <w:rPr>
          <w:rFonts w:eastAsia="Calibri" w:cs="Arial"/>
          <w:sz w:val="20"/>
          <w:szCs w:val="20"/>
          <w:lang w:val="es-ES" w:eastAsia="en-US"/>
        </w:rPr>
        <w:lastRenderedPageBreak/>
        <w:t xml:space="preserve">Las </w:t>
      </w:r>
      <w:r w:rsidRPr="00975C02">
        <w:rPr>
          <w:rFonts w:eastAsia="Calibri" w:cs="Arial"/>
          <w:b/>
          <w:i/>
          <w:sz w:val="20"/>
          <w:szCs w:val="20"/>
          <w:lang w:val="es-ES" w:eastAsia="en-US"/>
        </w:rPr>
        <w:t xml:space="preserve">representantes </w:t>
      </w:r>
      <w:r w:rsidRPr="00975C02">
        <w:rPr>
          <w:sz w:val="20"/>
          <w:szCs w:val="20"/>
          <w:lang w:val="es-ES"/>
        </w:rPr>
        <w:t>sostuvieron que</w:t>
      </w:r>
      <w:r w:rsidR="00744F46" w:rsidRPr="00975C02">
        <w:rPr>
          <w:sz w:val="20"/>
          <w:szCs w:val="20"/>
          <w:lang w:val="es-ES"/>
        </w:rPr>
        <w:t>,</w:t>
      </w:r>
      <w:r w:rsidRPr="00975C02">
        <w:rPr>
          <w:sz w:val="20"/>
          <w:szCs w:val="20"/>
          <w:lang w:val="es-ES"/>
        </w:rPr>
        <w:t xml:space="preserve"> </w:t>
      </w:r>
      <w:r w:rsidR="00744F46" w:rsidRPr="00975C02">
        <w:rPr>
          <w:sz w:val="20"/>
          <w:szCs w:val="20"/>
          <w:lang w:val="es-ES"/>
        </w:rPr>
        <w:t>a</w:t>
      </w:r>
      <w:r w:rsidRPr="00975C02">
        <w:rPr>
          <w:sz w:val="20"/>
          <w:szCs w:val="20"/>
          <w:lang w:val="es-ES"/>
        </w:rPr>
        <w:t>l momento de los hechos</w:t>
      </w:r>
      <w:r w:rsidR="00744F46" w:rsidRPr="00975C02">
        <w:rPr>
          <w:sz w:val="20"/>
          <w:szCs w:val="20"/>
          <w:lang w:val="es-ES"/>
        </w:rPr>
        <w:t>,</w:t>
      </w:r>
      <w:r w:rsidRPr="00975C02">
        <w:rPr>
          <w:sz w:val="20"/>
          <w:szCs w:val="20"/>
          <w:lang w:val="es-ES"/>
        </w:rPr>
        <w:t xml:space="preserve"> no existía un debido proceso legal que permitiera la protección efectiva de los derechos que fueron vulnerados. </w:t>
      </w:r>
      <w:r w:rsidR="009944A6" w:rsidRPr="00975C02">
        <w:rPr>
          <w:sz w:val="20"/>
          <w:szCs w:val="20"/>
          <w:lang w:val="es-ES"/>
        </w:rPr>
        <w:t>Señalaron</w:t>
      </w:r>
      <w:r w:rsidRPr="00975C02">
        <w:rPr>
          <w:sz w:val="20"/>
          <w:szCs w:val="20"/>
          <w:lang w:val="es-ES"/>
        </w:rPr>
        <w:t xml:space="preserve"> que la única vía </w:t>
      </w:r>
      <w:r w:rsidR="006B542F" w:rsidRPr="00975C02">
        <w:rPr>
          <w:sz w:val="20"/>
          <w:szCs w:val="20"/>
          <w:lang w:val="es-ES"/>
        </w:rPr>
        <w:t xml:space="preserve">recursiva </w:t>
      </w:r>
      <w:r w:rsidRPr="00975C02">
        <w:rPr>
          <w:sz w:val="20"/>
          <w:szCs w:val="20"/>
          <w:lang w:val="es-ES"/>
        </w:rPr>
        <w:t>posible para la parte acusadora</w:t>
      </w:r>
      <w:r w:rsidR="009E0A16" w:rsidRPr="00975C02">
        <w:rPr>
          <w:sz w:val="20"/>
          <w:szCs w:val="20"/>
          <w:lang w:val="es-ES"/>
        </w:rPr>
        <w:t xml:space="preserve"> </w:t>
      </w:r>
      <w:r w:rsidRPr="00975C02">
        <w:rPr>
          <w:sz w:val="20"/>
          <w:szCs w:val="20"/>
          <w:lang w:val="es-ES"/>
        </w:rPr>
        <w:t>era intentar un incidente de nulidad, el cual se trata</w:t>
      </w:r>
      <w:r w:rsidR="006B542F" w:rsidRPr="00975C02">
        <w:rPr>
          <w:sz w:val="20"/>
          <w:szCs w:val="20"/>
          <w:lang w:val="es-ES"/>
        </w:rPr>
        <w:t>ba</w:t>
      </w:r>
      <w:r w:rsidRPr="00975C02">
        <w:rPr>
          <w:sz w:val="20"/>
          <w:szCs w:val="20"/>
          <w:lang w:val="es-ES"/>
        </w:rPr>
        <w:t xml:space="preserve"> de una vía extraordinaria dispuesta para casos específicos. Por lo tanto, </w:t>
      </w:r>
      <w:r w:rsidR="00744F46" w:rsidRPr="00975C02">
        <w:rPr>
          <w:sz w:val="20"/>
          <w:szCs w:val="20"/>
          <w:lang w:val="es-ES"/>
        </w:rPr>
        <w:t xml:space="preserve">según </w:t>
      </w:r>
      <w:r w:rsidRPr="00975C02">
        <w:rPr>
          <w:sz w:val="20"/>
          <w:szCs w:val="20"/>
          <w:lang w:val="es-ES"/>
        </w:rPr>
        <w:t>las representantes</w:t>
      </w:r>
      <w:r w:rsidR="00744F46" w:rsidRPr="00975C02">
        <w:rPr>
          <w:sz w:val="20"/>
          <w:szCs w:val="20"/>
          <w:lang w:val="es-ES"/>
        </w:rPr>
        <w:t>,</w:t>
      </w:r>
      <w:r w:rsidRPr="00975C02">
        <w:rPr>
          <w:sz w:val="20"/>
          <w:szCs w:val="20"/>
          <w:lang w:val="es-ES"/>
        </w:rPr>
        <w:t xml:space="preserve"> </w:t>
      </w:r>
      <w:r w:rsidR="009944A6" w:rsidRPr="00975C02">
        <w:rPr>
          <w:sz w:val="20"/>
          <w:szCs w:val="20"/>
          <w:lang w:val="es-ES"/>
        </w:rPr>
        <w:t>operó</w:t>
      </w:r>
      <w:r w:rsidRPr="00975C02">
        <w:rPr>
          <w:sz w:val="20"/>
          <w:szCs w:val="20"/>
          <w:lang w:val="es-ES"/>
        </w:rPr>
        <w:t xml:space="preserve"> la excepción </w:t>
      </w:r>
      <w:r w:rsidR="00744F46" w:rsidRPr="00975C02">
        <w:rPr>
          <w:sz w:val="20"/>
          <w:szCs w:val="20"/>
          <w:lang w:val="es-ES"/>
        </w:rPr>
        <w:t>prevista en</w:t>
      </w:r>
      <w:r w:rsidRPr="00975C02">
        <w:rPr>
          <w:sz w:val="20"/>
          <w:szCs w:val="20"/>
          <w:lang w:val="es-ES"/>
        </w:rPr>
        <w:t xml:space="preserve"> el artículo 46</w:t>
      </w:r>
      <w:r w:rsidR="009944A6" w:rsidRPr="00975C02">
        <w:rPr>
          <w:sz w:val="20"/>
          <w:szCs w:val="20"/>
          <w:lang w:val="es-ES"/>
        </w:rPr>
        <w:t>.2.a)</w:t>
      </w:r>
      <w:r w:rsidRPr="00975C02">
        <w:rPr>
          <w:sz w:val="20"/>
          <w:szCs w:val="20"/>
          <w:lang w:val="es-ES"/>
        </w:rPr>
        <w:t xml:space="preserve"> de la Convención, al no existir en la legislación interna del Estado</w:t>
      </w:r>
      <w:r w:rsidR="00744F46" w:rsidRPr="00975C02">
        <w:rPr>
          <w:sz w:val="20"/>
          <w:szCs w:val="20"/>
          <w:lang w:val="es-ES"/>
        </w:rPr>
        <w:t>, cuando el caso fuera conocido por jurados,</w:t>
      </w:r>
      <w:r w:rsidRPr="00975C02">
        <w:rPr>
          <w:sz w:val="20"/>
          <w:szCs w:val="20"/>
          <w:lang w:val="es-ES"/>
        </w:rPr>
        <w:t xml:space="preserve"> un debido proceso legal para la protección del derecho o derechos que se alega</w:t>
      </w:r>
      <w:r w:rsidR="00744F46" w:rsidRPr="00975C02">
        <w:rPr>
          <w:sz w:val="20"/>
          <w:szCs w:val="20"/>
          <w:lang w:val="es-ES"/>
        </w:rPr>
        <w:t>n</w:t>
      </w:r>
      <w:r w:rsidRPr="00975C02">
        <w:rPr>
          <w:sz w:val="20"/>
          <w:szCs w:val="20"/>
          <w:lang w:val="es-ES"/>
        </w:rPr>
        <w:t xml:space="preserve"> </w:t>
      </w:r>
      <w:r w:rsidR="00744F46" w:rsidRPr="00975C02">
        <w:rPr>
          <w:sz w:val="20"/>
          <w:szCs w:val="20"/>
          <w:lang w:val="es-ES"/>
        </w:rPr>
        <w:t>vulnerados</w:t>
      </w:r>
      <w:r w:rsidRPr="00975C02">
        <w:rPr>
          <w:sz w:val="20"/>
          <w:szCs w:val="20"/>
          <w:lang w:val="es-ES"/>
        </w:rPr>
        <w:t xml:space="preserve">. </w:t>
      </w:r>
      <w:r w:rsidR="00973F03" w:rsidRPr="00975C02">
        <w:rPr>
          <w:sz w:val="20"/>
          <w:szCs w:val="20"/>
          <w:lang w:val="es-ES"/>
        </w:rPr>
        <w:t>En sus alegatos finales, agregaron que el Estado interp</w:t>
      </w:r>
      <w:r w:rsidR="00744F46" w:rsidRPr="00975C02">
        <w:rPr>
          <w:sz w:val="20"/>
          <w:szCs w:val="20"/>
          <w:lang w:val="es-ES"/>
        </w:rPr>
        <w:t>uso</w:t>
      </w:r>
      <w:r w:rsidR="00973F03" w:rsidRPr="00975C02">
        <w:rPr>
          <w:sz w:val="20"/>
          <w:szCs w:val="20"/>
          <w:lang w:val="es-ES"/>
        </w:rPr>
        <w:t xml:space="preserve"> </w:t>
      </w:r>
      <w:r w:rsidR="009A6AA7" w:rsidRPr="00975C02">
        <w:rPr>
          <w:sz w:val="20"/>
          <w:szCs w:val="20"/>
          <w:lang w:val="es-ES"/>
        </w:rPr>
        <w:t>esta</w:t>
      </w:r>
      <w:r w:rsidR="00973F03" w:rsidRPr="00975C02">
        <w:rPr>
          <w:sz w:val="20"/>
          <w:szCs w:val="20"/>
          <w:lang w:val="es-ES"/>
        </w:rPr>
        <w:t xml:space="preserve"> excepción de manera genérica, sin especificar cuáles eran los recursos que no se habían agotado y mucho menos si los mismos eran idóneos y efectivos.</w:t>
      </w:r>
    </w:p>
    <w:p w14:paraId="269757CE" w14:textId="77777777" w:rsidR="00DD00E7" w:rsidRPr="00975C02" w:rsidRDefault="00DD00E7" w:rsidP="00DD00E7">
      <w:pPr>
        <w:pStyle w:val="ListParagraph"/>
        <w:tabs>
          <w:tab w:val="left" w:pos="567"/>
        </w:tabs>
        <w:spacing w:line="240" w:lineRule="auto"/>
        <w:ind w:left="0"/>
        <w:rPr>
          <w:sz w:val="20"/>
          <w:szCs w:val="20"/>
          <w:lang w:val="es-ES"/>
        </w:rPr>
      </w:pPr>
    </w:p>
    <w:p w14:paraId="1710510E" w14:textId="77777777" w:rsidR="00DD00E7" w:rsidRPr="00975C02" w:rsidRDefault="0026739F" w:rsidP="00C607DD">
      <w:pPr>
        <w:pStyle w:val="Heading2"/>
        <w:tabs>
          <w:tab w:val="left" w:pos="1843"/>
        </w:tabs>
        <w:spacing w:before="0" w:line="240" w:lineRule="auto"/>
        <w:ind w:left="1134"/>
        <w:rPr>
          <w:rFonts w:ascii="Verdana" w:hAnsi="Verdana"/>
          <w:b w:val="0"/>
          <w:i/>
          <w:color w:val="auto"/>
          <w:sz w:val="20"/>
          <w:szCs w:val="20"/>
          <w:lang w:val="es-ES"/>
        </w:rPr>
      </w:pPr>
      <w:bookmarkStart w:id="49" w:name="_Toc401931885"/>
      <w:bookmarkStart w:id="50" w:name="_Toc428369982"/>
      <w:bookmarkStart w:id="51" w:name="_Toc459158101"/>
      <w:bookmarkStart w:id="52" w:name="_Toc460857361"/>
      <w:bookmarkStart w:id="53" w:name="_Toc514172595"/>
      <w:r w:rsidRPr="00975C02">
        <w:rPr>
          <w:rFonts w:ascii="Verdana" w:hAnsi="Verdana"/>
          <w:b w:val="0"/>
          <w:i/>
          <w:color w:val="auto"/>
          <w:sz w:val="20"/>
          <w:szCs w:val="20"/>
          <w:lang w:val="es-ES"/>
        </w:rPr>
        <w:t>A</w:t>
      </w:r>
      <w:r w:rsidR="00DD00E7" w:rsidRPr="00975C02">
        <w:rPr>
          <w:rFonts w:ascii="Verdana" w:hAnsi="Verdana"/>
          <w:b w:val="0"/>
          <w:i/>
          <w:color w:val="auto"/>
          <w:sz w:val="20"/>
          <w:szCs w:val="20"/>
          <w:lang w:val="es-ES"/>
        </w:rPr>
        <w:t>.2</w:t>
      </w:r>
      <w:r w:rsidR="00C607DD" w:rsidRPr="00975C02">
        <w:rPr>
          <w:rFonts w:ascii="Verdana" w:hAnsi="Verdana"/>
          <w:b w:val="0"/>
          <w:i/>
          <w:color w:val="auto"/>
          <w:sz w:val="20"/>
          <w:szCs w:val="20"/>
          <w:lang w:val="es-ES"/>
        </w:rPr>
        <w:tab/>
      </w:r>
      <w:r w:rsidR="00DD00E7" w:rsidRPr="00975C02">
        <w:rPr>
          <w:rFonts w:ascii="Verdana" w:hAnsi="Verdana"/>
          <w:b w:val="0"/>
          <w:i/>
          <w:color w:val="auto"/>
          <w:sz w:val="20"/>
          <w:szCs w:val="20"/>
          <w:lang w:val="es-ES"/>
        </w:rPr>
        <w:t>Consideraciones de la Corte</w:t>
      </w:r>
      <w:bookmarkEnd w:id="49"/>
      <w:bookmarkEnd w:id="50"/>
      <w:bookmarkEnd w:id="51"/>
      <w:bookmarkEnd w:id="52"/>
      <w:bookmarkEnd w:id="53"/>
    </w:p>
    <w:p w14:paraId="68024A0B" w14:textId="77777777" w:rsidR="00DD00E7" w:rsidRPr="00975C02" w:rsidRDefault="00DD00E7" w:rsidP="00DD00E7">
      <w:pPr>
        <w:tabs>
          <w:tab w:val="left" w:pos="1134"/>
        </w:tabs>
        <w:spacing w:line="240" w:lineRule="auto"/>
        <w:ind w:left="1134"/>
        <w:rPr>
          <w:rFonts w:eastAsia="Calibri" w:cs="Arial"/>
          <w:sz w:val="20"/>
          <w:szCs w:val="20"/>
          <w:lang w:val="es-ES" w:eastAsia="en-US"/>
        </w:rPr>
      </w:pPr>
    </w:p>
    <w:p w14:paraId="3ADF7E89" w14:textId="12227CB7" w:rsidR="00DD00E7" w:rsidRPr="00975C02" w:rsidRDefault="00DD00E7" w:rsidP="00C8070B">
      <w:pPr>
        <w:numPr>
          <w:ilvl w:val="0"/>
          <w:numId w:val="2"/>
        </w:numPr>
        <w:tabs>
          <w:tab w:val="left" w:pos="567"/>
        </w:tabs>
        <w:spacing w:line="240" w:lineRule="auto"/>
        <w:ind w:left="0" w:firstLine="0"/>
        <w:textAlignment w:val="auto"/>
        <w:rPr>
          <w:rFonts w:cs="Arial"/>
          <w:sz w:val="20"/>
          <w:szCs w:val="20"/>
          <w:lang w:val="es-ES"/>
        </w:rPr>
      </w:pPr>
      <w:r w:rsidRPr="00975C02">
        <w:rPr>
          <w:rFonts w:eastAsia="Batang" w:cs="Times"/>
          <w:sz w:val="20"/>
          <w:szCs w:val="20"/>
          <w:lang w:val="es-ES" w:eastAsia="es-ES"/>
        </w:rPr>
        <w:t xml:space="preserve">El artículo 46.1.a) de la </w:t>
      </w:r>
      <w:r w:rsidR="00975C02" w:rsidRPr="00975C02">
        <w:rPr>
          <w:rFonts w:eastAsia="Batang" w:cs="Times"/>
          <w:sz w:val="20"/>
          <w:szCs w:val="20"/>
          <w:lang w:val="es-ES" w:eastAsia="es-ES"/>
        </w:rPr>
        <w:t>Convención</w:t>
      </w:r>
      <w:r w:rsidRPr="00975C02">
        <w:rPr>
          <w:rFonts w:eastAsia="Batang" w:cs="Times"/>
          <w:sz w:val="20"/>
          <w:szCs w:val="20"/>
          <w:lang w:val="es-ES" w:eastAsia="es-ES"/>
        </w:rPr>
        <w:t xml:space="preserve"> dispone que para determinar la admisibilidad de una </w:t>
      </w:r>
      <w:r w:rsidR="00975C02" w:rsidRPr="00975C02">
        <w:rPr>
          <w:rFonts w:eastAsia="Batang" w:cs="Times"/>
          <w:sz w:val="20"/>
          <w:szCs w:val="20"/>
          <w:lang w:val="es-ES" w:eastAsia="es-ES"/>
        </w:rPr>
        <w:t>petición</w:t>
      </w:r>
      <w:r w:rsidRPr="00975C02">
        <w:rPr>
          <w:rFonts w:eastAsia="Batang" w:cs="Times"/>
          <w:sz w:val="20"/>
          <w:szCs w:val="20"/>
          <w:lang w:val="es-ES" w:eastAsia="es-ES"/>
        </w:rPr>
        <w:t xml:space="preserve"> o </w:t>
      </w:r>
      <w:r w:rsidR="00975C02" w:rsidRPr="00975C02">
        <w:rPr>
          <w:rFonts w:eastAsia="Batang" w:cs="Times"/>
          <w:sz w:val="20"/>
          <w:szCs w:val="20"/>
          <w:lang w:val="es-ES" w:eastAsia="es-ES"/>
        </w:rPr>
        <w:t>comunicación</w:t>
      </w:r>
      <w:r w:rsidRPr="00975C02">
        <w:rPr>
          <w:rFonts w:eastAsia="Batang" w:cs="Times"/>
          <w:sz w:val="20"/>
          <w:szCs w:val="20"/>
          <w:lang w:val="es-ES" w:eastAsia="es-ES"/>
        </w:rPr>
        <w:t xml:space="preserve"> presentada ante la </w:t>
      </w:r>
      <w:r w:rsidR="00975C02" w:rsidRPr="00975C02">
        <w:rPr>
          <w:rFonts w:eastAsia="Batang" w:cs="Times"/>
          <w:sz w:val="20"/>
          <w:szCs w:val="20"/>
          <w:lang w:val="es-ES" w:eastAsia="es-ES"/>
        </w:rPr>
        <w:t>Comisión</w:t>
      </w:r>
      <w:r w:rsidRPr="00975C02">
        <w:rPr>
          <w:rFonts w:eastAsia="Batang" w:cs="Times"/>
          <w:sz w:val="20"/>
          <w:szCs w:val="20"/>
          <w:lang w:val="es-ES" w:eastAsia="es-ES"/>
        </w:rPr>
        <w:t xml:space="preserve">, de conformidad con los </w:t>
      </w:r>
      <w:r w:rsidR="00975C02" w:rsidRPr="00975C02">
        <w:rPr>
          <w:rFonts w:eastAsia="Batang" w:cs="Times"/>
          <w:sz w:val="20"/>
          <w:szCs w:val="20"/>
          <w:lang w:val="es-ES" w:eastAsia="es-ES"/>
        </w:rPr>
        <w:t>artículos</w:t>
      </w:r>
      <w:r w:rsidRPr="00975C02">
        <w:rPr>
          <w:rFonts w:eastAsia="Batang" w:cs="Times"/>
          <w:sz w:val="20"/>
          <w:szCs w:val="20"/>
          <w:lang w:val="es-ES" w:eastAsia="es-ES"/>
        </w:rPr>
        <w:t xml:space="preserve"> 44 o 45 de la </w:t>
      </w:r>
      <w:r w:rsidR="00975C02" w:rsidRPr="00975C02">
        <w:rPr>
          <w:rFonts w:eastAsia="Batang" w:cs="Times"/>
          <w:sz w:val="20"/>
          <w:szCs w:val="20"/>
          <w:lang w:val="es-ES" w:eastAsia="es-ES"/>
        </w:rPr>
        <w:t>Convención</w:t>
      </w:r>
      <w:r w:rsidRPr="00975C02">
        <w:rPr>
          <w:rFonts w:eastAsia="Batang" w:cs="Times"/>
          <w:sz w:val="20"/>
          <w:szCs w:val="20"/>
          <w:lang w:val="es-ES" w:eastAsia="es-ES"/>
        </w:rPr>
        <w:t xml:space="preserve">, es necesario que se hayan interpuesto y agotado los recursos de la </w:t>
      </w:r>
      <w:r w:rsidR="00975C02" w:rsidRPr="00975C02">
        <w:rPr>
          <w:rFonts w:eastAsia="Batang" w:cs="Times"/>
          <w:sz w:val="20"/>
          <w:szCs w:val="20"/>
          <w:lang w:val="es-ES" w:eastAsia="es-ES"/>
        </w:rPr>
        <w:t>jurisdicción</w:t>
      </w:r>
      <w:r w:rsidRPr="00975C02">
        <w:rPr>
          <w:rFonts w:eastAsia="Batang" w:cs="Times"/>
          <w:sz w:val="20"/>
          <w:szCs w:val="20"/>
          <w:lang w:val="es-ES" w:eastAsia="es-ES"/>
        </w:rPr>
        <w:t xml:space="preserve"> interna, conforme a los principios del Derecho Internacional generalmente reconocidos. </w:t>
      </w:r>
      <w:r w:rsidRPr="00975C02">
        <w:rPr>
          <w:sz w:val="20"/>
          <w:szCs w:val="20"/>
          <w:lang w:val="es-ES"/>
        </w:rPr>
        <w:t xml:space="preserve">La Corte recuerda que la regla del previo agotamiento de los recursos internos está concebida en interés del Estado, pues busca dispensarlo de responder ante un órgano internacional por actos que se le imputen, </w:t>
      </w:r>
      <w:r w:rsidRPr="00975C02">
        <w:rPr>
          <w:iCs/>
          <w:sz w:val="20"/>
          <w:szCs w:val="20"/>
          <w:lang w:val="es-ES"/>
        </w:rPr>
        <w:t xml:space="preserve">antes de haber tenido la ocasión de remediarlos con sus propios medios. </w:t>
      </w:r>
      <w:r w:rsidRPr="00975C02">
        <w:rPr>
          <w:sz w:val="20"/>
          <w:szCs w:val="20"/>
          <w:lang w:val="es-ES"/>
        </w:rPr>
        <w:t>Lo anterior significa que no sólo deben existir formalmente esos recursos, sino que también deben ser adecuados y efectivos, como resulta de las excepciones contempladas en el artículo 46.2 de la Convención</w:t>
      </w:r>
      <w:r w:rsidRPr="00975C02">
        <w:rPr>
          <w:sz w:val="20"/>
          <w:szCs w:val="20"/>
          <w:vertAlign w:val="superscript"/>
          <w:lang w:val="es-ES"/>
        </w:rPr>
        <w:footnoteReference w:id="16"/>
      </w:r>
      <w:r w:rsidRPr="00975C02">
        <w:rPr>
          <w:sz w:val="20"/>
          <w:szCs w:val="20"/>
          <w:lang w:val="es-ES"/>
        </w:rPr>
        <w:t>.</w:t>
      </w:r>
    </w:p>
    <w:p w14:paraId="2B060EE2" w14:textId="77777777" w:rsidR="00DD00E7" w:rsidRPr="00975C02" w:rsidRDefault="00DD00E7" w:rsidP="00DD00E7">
      <w:pPr>
        <w:tabs>
          <w:tab w:val="left" w:pos="567"/>
        </w:tabs>
        <w:spacing w:line="240" w:lineRule="auto"/>
        <w:textAlignment w:val="auto"/>
        <w:rPr>
          <w:rFonts w:cs="Arial"/>
          <w:sz w:val="20"/>
          <w:szCs w:val="20"/>
          <w:lang w:val="es-ES"/>
        </w:rPr>
      </w:pPr>
    </w:p>
    <w:p w14:paraId="2275C806" w14:textId="714E5170" w:rsidR="00DD00E7" w:rsidRPr="00975C02" w:rsidRDefault="00DD00E7" w:rsidP="00C8070B">
      <w:pPr>
        <w:numPr>
          <w:ilvl w:val="0"/>
          <w:numId w:val="2"/>
        </w:numPr>
        <w:tabs>
          <w:tab w:val="left" w:pos="567"/>
        </w:tabs>
        <w:spacing w:line="240" w:lineRule="auto"/>
        <w:ind w:left="0" w:firstLine="0"/>
        <w:textAlignment w:val="auto"/>
        <w:rPr>
          <w:rFonts w:cs="Arial"/>
          <w:sz w:val="20"/>
          <w:szCs w:val="20"/>
          <w:lang w:val="es-ES"/>
        </w:rPr>
      </w:pPr>
      <w:r w:rsidRPr="00975C02">
        <w:rPr>
          <w:sz w:val="20"/>
          <w:szCs w:val="20"/>
          <w:lang w:val="es-ES"/>
        </w:rPr>
        <w:t>Asimismo, la Corte ha sostenido en su jurisprudencia constante que una objeción al ejercicio de su jurisdicción basada en la supuesta falta de agotamiento de los recursos internos debe ser presentada en el momento procesal oportuno, esto es, durante el procedimiento de admisibilidad ante la Comisión</w:t>
      </w:r>
      <w:r w:rsidR="00D77066" w:rsidRPr="00975C02">
        <w:rPr>
          <w:sz w:val="20"/>
          <w:szCs w:val="20"/>
          <w:lang w:val="es-ES"/>
        </w:rPr>
        <w:t>. Luego de ese momento</w:t>
      </w:r>
      <w:r w:rsidRPr="00975C02">
        <w:rPr>
          <w:sz w:val="20"/>
          <w:szCs w:val="20"/>
          <w:lang w:val="es-ES"/>
        </w:rPr>
        <w:t>, se entiende que opera el principio de preclusión procesal</w:t>
      </w:r>
      <w:r w:rsidRPr="00975C02">
        <w:rPr>
          <w:sz w:val="20"/>
          <w:szCs w:val="20"/>
          <w:vertAlign w:val="superscript"/>
          <w:lang w:val="es-ES"/>
        </w:rPr>
        <w:footnoteReference w:id="17"/>
      </w:r>
      <w:r w:rsidR="00F70008" w:rsidRPr="00975C02">
        <w:rPr>
          <w:sz w:val="20"/>
          <w:szCs w:val="20"/>
          <w:lang w:val="es-ES"/>
        </w:rPr>
        <w:t>.</w:t>
      </w:r>
    </w:p>
    <w:p w14:paraId="1B875271" w14:textId="77777777" w:rsidR="00DD00E7" w:rsidRPr="00975C02" w:rsidRDefault="00DD00E7" w:rsidP="00DD00E7">
      <w:pPr>
        <w:tabs>
          <w:tab w:val="left" w:pos="567"/>
        </w:tabs>
        <w:spacing w:line="240" w:lineRule="auto"/>
        <w:textAlignment w:val="auto"/>
        <w:rPr>
          <w:rFonts w:cs="Arial"/>
          <w:sz w:val="20"/>
          <w:szCs w:val="20"/>
          <w:lang w:val="es-ES"/>
        </w:rPr>
      </w:pPr>
    </w:p>
    <w:p w14:paraId="31727EBC" w14:textId="7347DA38" w:rsidR="00DD00E7" w:rsidRPr="00975C02" w:rsidRDefault="00DD00E7" w:rsidP="00C8070B">
      <w:pPr>
        <w:numPr>
          <w:ilvl w:val="0"/>
          <w:numId w:val="2"/>
        </w:numPr>
        <w:tabs>
          <w:tab w:val="left" w:pos="567"/>
        </w:tabs>
        <w:spacing w:line="240" w:lineRule="auto"/>
        <w:ind w:left="0" w:firstLine="0"/>
        <w:textAlignment w:val="auto"/>
        <w:rPr>
          <w:rFonts w:cs="Arial"/>
          <w:sz w:val="20"/>
          <w:szCs w:val="20"/>
          <w:lang w:val="es-ES"/>
        </w:rPr>
      </w:pPr>
      <w:r w:rsidRPr="00975C02">
        <w:rPr>
          <w:rFonts w:eastAsia="Batang" w:cs="Times"/>
          <w:sz w:val="20"/>
          <w:szCs w:val="20"/>
          <w:lang w:val="es-ES" w:eastAsia="es-ES"/>
        </w:rPr>
        <w:t xml:space="preserve">Por lo tanto, durante la etapa de admisibilidad del caso ante la Comisión, el Estado debe precisar claramente los recursos que, según su criterio, aún no han sido agotados ante la necesidad de salvaguardar el principio de igualdad procesal entre las partes que debe regir todo el procedimiento ante el </w:t>
      </w:r>
      <w:r w:rsidR="00D91088" w:rsidRPr="00975C02">
        <w:rPr>
          <w:rFonts w:eastAsia="Batang" w:cs="Times"/>
          <w:sz w:val="20"/>
          <w:szCs w:val="20"/>
          <w:lang w:val="es-ES" w:eastAsia="es-ES"/>
        </w:rPr>
        <w:t>s</w:t>
      </w:r>
      <w:r w:rsidRPr="00975C02">
        <w:rPr>
          <w:rFonts w:eastAsia="Batang" w:cs="Times"/>
          <w:sz w:val="20"/>
          <w:szCs w:val="20"/>
          <w:lang w:val="es-ES" w:eastAsia="es-ES"/>
        </w:rPr>
        <w:t xml:space="preserve">istema </w:t>
      </w:r>
      <w:r w:rsidR="00D91088" w:rsidRPr="00975C02">
        <w:rPr>
          <w:rFonts w:eastAsia="Batang" w:cs="Times"/>
          <w:sz w:val="20"/>
          <w:szCs w:val="20"/>
          <w:lang w:val="es-ES" w:eastAsia="es-ES"/>
        </w:rPr>
        <w:t>i</w:t>
      </w:r>
      <w:r w:rsidRPr="00975C02">
        <w:rPr>
          <w:rFonts w:eastAsia="Batang" w:cs="Times"/>
          <w:sz w:val="20"/>
          <w:szCs w:val="20"/>
          <w:lang w:val="es-ES" w:eastAsia="es-ES"/>
        </w:rPr>
        <w:t>nteramericano</w:t>
      </w:r>
      <w:r w:rsidRPr="00975C02">
        <w:rPr>
          <w:rFonts w:eastAsia="Batang"/>
          <w:sz w:val="20"/>
          <w:szCs w:val="20"/>
          <w:vertAlign w:val="superscript"/>
          <w:lang w:val="es-ES" w:eastAsia="es-ES"/>
        </w:rPr>
        <w:footnoteReference w:id="18"/>
      </w:r>
      <w:r w:rsidRPr="00975C02">
        <w:rPr>
          <w:rFonts w:eastAsia="Batang" w:cs="Times"/>
          <w:sz w:val="20"/>
          <w:szCs w:val="20"/>
          <w:lang w:val="es-ES" w:eastAsia="es-ES"/>
        </w:rPr>
        <w:t xml:space="preserve">. Como la Corte ha establecido de manera reiterada, no es tarea de este Tribunal, ni de la </w:t>
      </w:r>
      <w:r w:rsidR="00975C02" w:rsidRPr="00975C02">
        <w:rPr>
          <w:rFonts w:eastAsia="Batang" w:cs="Times"/>
          <w:sz w:val="20"/>
          <w:szCs w:val="20"/>
          <w:lang w:val="es-ES" w:eastAsia="es-ES"/>
        </w:rPr>
        <w:t>Comisión</w:t>
      </w:r>
      <w:r w:rsidRPr="00975C02">
        <w:rPr>
          <w:rFonts w:eastAsia="Batang" w:cs="Times"/>
          <w:sz w:val="20"/>
          <w:szCs w:val="20"/>
          <w:lang w:val="es-ES" w:eastAsia="es-ES"/>
        </w:rPr>
        <w:t xml:space="preserve">, identificar </w:t>
      </w:r>
      <w:r w:rsidRPr="00975C02">
        <w:rPr>
          <w:rFonts w:eastAsia="Batang" w:cs="Times"/>
          <w:i/>
          <w:sz w:val="20"/>
          <w:szCs w:val="20"/>
          <w:lang w:val="es-ES" w:eastAsia="es-ES"/>
        </w:rPr>
        <w:t>ex officio</w:t>
      </w:r>
      <w:r w:rsidRPr="00975C02">
        <w:rPr>
          <w:rFonts w:eastAsia="Batang" w:cs="Times"/>
          <w:sz w:val="20"/>
          <w:szCs w:val="20"/>
          <w:lang w:val="es-ES" w:eastAsia="es-ES"/>
        </w:rPr>
        <w:t xml:space="preserve"> </w:t>
      </w:r>
      <w:r w:rsidR="00975C02" w:rsidRPr="00975C02">
        <w:rPr>
          <w:rFonts w:eastAsia="Batang" w:cs="Times"/>
          <w:sz w:val="20"/>
          <w:szCs w:val="20"/>
          <w:lang w:val="es-ES" w:eastAsia="es-ES"/>
        </w:rPr>
        <w:t>cuáles</w:t>
      </w:r>
      <w:r w:rsidRPr="00975C02">
        <w:rPr>
          <w:rFonts w:eastAsia="Batang" w:cs="Times"/>
          <w:sz w:val="20"/>
          <w:szCs w:val="20"/>
          <w:lang w:val="es-ES" w:eastAsia="es-ES"/>
        </w:rPr>
        <w:t xml:space="preserve"> son los recursos internos pendientes de agotamiento, en </w:t>
      </w:r>
      <w:r w:rsidR="00975C02" w:rsidRPr="00975C02">
        <w:rPr>
          <w:rFonts w:eastAsia="Batang" w:cs="Times"/>
          <w:sz w:val="20"/>
          <w:szCs w:val="20"/>
          <w:lang w:val="es-ES" w:eastAsia="es-ES"/>
        </w:rPr>
        <w:t>razón</w:t>
      </w:r>
      <w:r w:rsidRPr="00975C02">
        <w:rPr>
          <w:rFonts w:eastAsia="Batang" w:cs="Times"/>
          <w:sz w:val="20"/>
          <w:szCs w:val="20"/>
          <w:lang w:val="es-ES" w:eastAsia="es-ES"/>
        </w:rPr>
        <w:t xml:space="preserve"> de que no compete a los </w:t>
      </w:r>
      <w:r w:rsidR="00975C02" w:rsidRPr="00975C02">
        <w:rPr>
          <w:rFonts w:eastAsia="Batang" w:cs="Times"/>
          <w:sz w:val="20"/>
          <w:szCs w:val="20"/>
          <w:lang w:val="es-ES" w:eastAsia="es-ES"/>
        </w:rPr>
        <w:t>órganos</w:t>
      </w:r>
      <w:r w:rsidRPr="00975C02">
        <w:rPr>
          <w:rFonts w:eastAsia="Batang" w:cs="Times"/>
          <w:sz w:val="20"/>
          <w:szCs w:val="20"/>
          <w:lang w:val="es-ES" w:eastAsia="es-ES"/>
        </w:rPr>
        <w:t xml:space="preserve"> internacionales subsanar la falta de </w:t>
      </w:r>
      <w:r w:rsidR="00975C02" w:rsidRPr="00975C02">
        <w:rPr>
          <w:rFonts w:eastAsia="Batang" w:cs="Times"/>
          <w:sz w:val="20"/>
          <w:szCs w:val="20"/>
          <w:lang w:val="es-ES" w:eastAsia="es-ES"/>
        </w:rPr>
        <w:t>precisión</w:t>
      </w:r>
      <w:r w:rsidRPr="00975C02">
        <w:rPr>
          <w:rFonts w:eastAsia="Batang" w:cs="Times"/>
          <w:sz w:val="20"/>
          <w:szCs w:val="20"/>
          <w:lang w:val="es-ES" w:eastAsia="es-ES"/>
        </w:rPr>
        <w:t xml:space="preserve"> de los alegatos del Estado</w:t>
      </w:r>
      <w:r w:rsidRPr="00975C02">
        <w:rPr>
          <w:rFonts w:eastAsia="Batang"/>
          <w:sz w:val="20"/>
          <w:szCs w:val="20"/>
          <w:vertAlign w:val="superscript"/>
          <w:lang w:val="es-ES" w:eastAsia="es-ES"/>
        </w:rPr>
        <w:footnoteReference w:id="19"/>
      </w:r>
      <w:r w:rsidRPr="00975C02">
        <w:rPr>
          <w:rFonts w:eastAsia="Batang" w:cs="Times"/>
          <w:sz w:val="20"/>
          <w:szCs w:val="20"/>
          <w:lang w:val="es-ES" w:eastAsia="es-ES"/>
        </w:rPr>
        <w:t>.</w:t>
      </w:r>
    </w:p>
    <w:p w14:paraId="1074C94B" w14:textId="77777777" w:rsidR="00DD00E7" w:rsidRPr="00975C02" w:rsidRDefault="00DD00E7" w:rsidP="00DD00E7">
      <w:pPr>
        <w:pStyle w:val="ListParagraph"/>
        <w:spacing w:line="240" w:lineRule="auto"/>
        <w:ind w:left="0"/>
        <w:textAlignment w:val="auto"/>
        <w:rPr>
          <w:sz w:val="20"/>
          <w:szCs w:val="20"/>
          <w:lang w:val="es-ES"/>
        </w:rPr>
      </w:pPr>
    </w:p>
    <w:p w14:paraId="6B5AF14C" w14:textId="7F59A430" w:rsidR="00BD0E79" w:rsidRPr="00975C02" w:rsidRDefault="00DD00E7" w:rsidP="00AA2BAE">
      <w:pPr>
        <w:numPr>
          <w:ilvl w:val="0"/>
          <w:numId w:val="2"/>
        </w:numPr>
        <w:tabs>
          <w:tab w:val="left" w:pos="567"/>
        </w:tabs>
        <w:spacing w:line="240" w:lineRule="auto"/>
        <w:ind w:left="0" w:firstLine="0"/>
        <w:textAlignment w:val="auto"/>
        <w:rPr>
          <w:rFonts w:cs="Arial"/>
          <w:sz w:val="20"/>
          <w:szCs w:val="20"/>
          <w:lang w:val="es-ES"/>
        </w:rPr>
      </w:pPr>
      <w:r w:rsidRPr="00975C02">
        <w:rPr>
          <w:rFonts w:cs="Verdana"/>
          <w:sz w:val="20"/>
          <w:szCs w:val="20"/>
          <w:lang w:val="es-ES" w:eastAsia="es-MX"/>
        </w:rPr>
        <w:t xml:space="preserve">En efecto, la Corte recuerda que lo primero que procede determinar, en relación con una excepción preliminar de esta naturaleza, es si la objeción fue opuesta en el momento procesal oportuno. Al respecto, la Comisión </w:t>
      </w:r>
      <w:r w:rsidR="00AA2BAE" w:rsidRPr="00975C02">
        <w:rPr>
          <w:rFonts w:cs="Verdana"/>
          <w:sz w:val="20"/>
          <w:szCs w:val="20"/>
          <w:lang w:val="es-ES" w:eastAsia="es-MX"/>
        </w:rPr>
        <w:t>señaló que el Estado cuestionó</w:t>
      </w:r>
      <w:r w:rsidRPr="00975C02">
        <w:rPr>
          <w:rFonts w:cs="Verdana"/>
          <w:sz w:val="20"/>
          <w:szCs w:val="20"/>
          <w:lang w:val="es-ES" w:eastAsia="es-MX"/>
        </w:rPr>
        <w:t xml:space="preserve"> de manera oportuna </w:t>
      </w:r>
      <w:r w:rsidR="00AA2BAE" w:rsidRPr="00975C02">
        <w:rPr>
          <w:rFonts w:cs="Verdana"/>
          <w:sz w:val="20"/>
          <w:szCs w:val="20"/>
          <w:lang w:val="es-ES" w:eastAsia="es-MX"/>
        </w:rPr>
        <w:t xml:space="preserve">la falta de </w:t>
      </w:r>
      <w:r w:rsidR="00AA2BAE" w:rsidRPr="00975C02">
        <w:rPr>
          <w:rFonts w:cs="Verdana"/>
          <w:sz w:val="20"/>
          <w:szCs w:val="20"/>
          <w:lang w:val="es-ES" w:eastAsia="es-MX"/>
        </w:rPr>
        <w:lastRenderedPageBreak/>
        <w:t>agotamiento</w:t>
      </w:r>
      <w:r w:rsidR="00ED5B92" w:rsidRPr="00975C02">
        <w:rPr>
          <w:rFonts w:cs="Verdana"/>
          <w:sz w:val="20"/>
          <w:szCs w:val="20"/>
          <w:lang w:val="es-ES" w:eastAsia="es-MX"/>
        </w:rPr>
        <w:t xml:space="preserve"> de los recursos internos</w:t>
      </w:r>
      <w:r w:rsidRPr="00975C02">
        <w:rPr>
          <w:rFonts w:cs="Verdana"/>
          <w:sz w:val="20"/>
          <w:szCs w:val="20"/>
          <w:lang w:val="es-ES" w:eastAsia="es-MX"/>
        </w:rPr>
        <w:t xml:space="preserve"> (</w:t>
      </w:r>
      <w:r w:rsidRPr="00975C02">
        <w:rPr>
          <w:rFonts w:cs="Verdana"/>
          <w:i/>
          <w:sz w:val="20"/>
          <w:szCs w:val="20"/>
          <w:lang w:val="es-ES" w:eastAsia="es-MX"/>
        </w:rPr>
        <w:t>supra</w:t>
      </w:r>
      <w:r w:rsidRPr="00975C02">
        <w:rPr>
          <w:rFonts w:cs="Verdana"/>
          <w:sz w:val="20"/>
          <w:szCs w:val="20"/>
          <w:lang w:val="es-ES" w:eastAsia="es-MX"/>
        </w:rPr>
        <w:t xml:space="preserve"> párr.</w:t>
      </w:r>
      <w:r w:rsidR="00FA0912" w:rsidRPr="00975C02">
        <w:rPr>
          <w:rFonts w:cs="Verdana"/>
          <w:sz w:val="20"/>
          <w:szCs w:val="20"/>
          <w:lang w:val="es-ES" w:eastAsia="es-MX"/>
        </w:rPr>
        <w:t xml:space="preserve"> 19</w:t>
      </w:r>
      <w:r w:rsidRPr="00975C02">
        <w:rPr>
          <w:rFonts w:cs="Verdana"/>
          <w:sz w:val="20"/>
          <w:szCs w:val="20"/>
          <w:lang w:val="es-ES" w:eastAsia="es-MX"/>
        </w:rPr>
        <w:t xml:space="preserve">), y las representantes no </w:t>
      </w:r>
      <w:r w:rsidR="00FB01D0" w:rsidRPr="00975C02">
        <w:rPr>
          <w:rFonts w:cs="Verdana"/>
          <w:sz w:val="20"/>
          <w:szCs w:val="20"/>
          <w:lang w:val="es-ES" w:eastAsia="es-MX"/>
        </w:rPr>
        <w:t>han controvertido este aspecto.</w:t>
      </w:r>
      <w:r w:rsidR="00AA2BAE" w:rsidRPr="00975C02">
        <w:rPr>
          <w:rFonts w:cs="Arial"/>
          <w:sz w:val="20"/>
          <w:szCs w:val="20"/>
          <w:lang w:val="es-ES"/>
        </w:rPr>
        <w:t xml:space="preserve"> </w:t>
      </w:r>
      <w:r w:rsidR="00AA2BAE" w:rsidRPr="00975C02">
        <w:rPr>
          <w:rFonts w:cs="Verdana"/>
          <w:sz w:val="20"/>
          <w:szCs w:val="20"/>
          <w:lang w:val="es-ES" w:eastAsia="es-MX"/>
        </w:rPr>
        <w:t xml:space="preserve">La Corte advierte que </w:t>
      </w:r>
      <w:r w:rsidR="00BD0E79" w:rsidRPr="00975C02">
        <w:rPr>
          <w:rFonts w:cs="Verdana"/>
          <w:sz w:val="20"/>
          <w:szCs w:val="20"/>
          <w:lang w:val="es-ES" w:eastAsia="es-MX"/>
        </w:rPr>
        <w:t xml:space="preserve">el Estado efectivamente alegó la falta de agotamiento de los recursos de la jurisdicción interna </w:t>
      </w:r>
      <w:r w:rsidR="002926B6" w:rsidRPr="00975C02">
        <w:rPr>
          <w:rFonts w:cs="Verdana"/>
          <w:sz w:val="20"/>
          <w:szCs w:val="20"/>
          <w:lang w:val="es-ES" w:eastAsia="es-MX"/>
        </w:rPr>
        <w:t xml:space="preserve">durante la etapa de admisibilidad, específicamente </w:t>
      </w:r>
      <w:r w:rsidR="00BD0E79" w:rsidRPr="00975C02">
        <w:rPr>
          <w:rFonts w:cs="Verdana"/>
          <w:sz w:val="20"/>
          <w:szCs w:val="20"/>
          <w:lang w:val="es-ES" w:eastAsia="es-MX"/>
        </w:rPr>
        <w:t xml:space="preserve">en el </w:t>
      </w:r>
      <w:r w:rsidR="00BD0E79" w:rsidRPr="00975C02">
        <w:rPr>
          <w:rFonts w:cs="Verdana"/>
          <w:i/>
          <w:sz w:val="20"/>
          <w:szCs w:val="20"/>
          <w:lang w:val="es-ES" w:eastAsia="es-MX"/>
        </w:rPr>
        <w:t>addendum</w:t>
      </w:r>
      <w:r w:rsidR="00BD0E79" w:rsidRPr="00975C02">
        <w:rPr>
          <w:rFonts w:cs="Verdana"/>
          <w:sz w:val="20"/>
          <w:szCs w:val="20"/>
          <w:lang w:val="es-ES" w:eastAsia="es-MX"/>
        </w:rPr>
        <w:t xml:space="preserve"> </w:t>
      </w:r>
      <w:r w:rsidR="002926B6" w:rsidRPr="00975C02">
        <w:rPr>
          <w:rFonts w:cs="Verdana"/>
          <w:sz w:val="20"/>
          <w:szCs w:val="20"/>
          <w:lang w:val="es-ES" w:eastAsia="es-MX"/>
        </w:rPr>
        <w:t>a su respuesta inicial</w:t>
      </w:r>
      <w:r w:rsidR="00D2129E" w:rsidRPr="00975C02">
        <w:rPr>
          <w:rStyle w:val="FootnoteReference"/>
          <w:rFonts w:cs="Verdana,Italic"/>
          <w:iCs/>
          <w:sz w:val="20"/>
          <w:szCs w:val="20"/>
          <w:lang w:val="es-ES" w:eastAsia="en-US"/>
        </w:rPr>
        <w:footnoteReference w:id="20"/>
      </w:r>
      <w:r w:rsidR="002926B6" w:rsidRPr="00975C02">
        <w:rPr>
          <w:rFonts w:cs="Verdana"/>
          <w:sz w:val="20"/>
          <w:szCs w:val="20"/>
          <w:lang w:val="es-ES" w:eastAsia="es-MX"/>
        </w:rPr>
        <w:t xml:space="preserve"> </w:t>
      </w:r>
      <w:r w:rsidR="00ED5B92" w:rsidRPr="00975C02">
        <w:rPr>
          <w:rFonts w:cs="Verdana"/>
          <w:sz w:val="20"/>
          <w:szCs w:val="20"/>
          <w:lang w:val="es-ES" w:eastAsia="es-MX"/>
        </w:rPr>
        <w:t xml:space="preserve">recibido </w:t>
      </w:r>
      <w:r w:rsidR="002926B6" w:rsidRPr="00975C02">
        <w:rPr>
          <w:rFonts w:cs="Verdana"/>
          <w:sz w:val="20"/>
          <w:szCs w:val="20"/>
          <w:lang w:val="es-ES" w:eastAsia="es-MX"/>
        </w:rPr>
        <w:t>el 16 de febrero de 2005</w:t>
      </w:r>
      <w:r w:rsidR="002926B6" w:rsidRPr="00975C02">
        <w:rPr>
          <w:rStyle w:val="FootnoteReference"/>
          <w:rFonts w:cs="Verdana,Italic"/>
          <w:iCs/>
          <w:sz w:val="20"/>
          <w:szCs w:val="20"/>
          <w:lang w:val="es-ES" w:eastAsia="en-US"/>
        </w:rPr>
        <w:footnoteReference w:id="21"/>
      </w:r>
      <w:r w:rsidR="00ED5B92" w:rsidRPr="00975C02">
        <w:rPr>
          <w:rFonts w:cs="Verdana"/>
          <w:sz w:val="20"/>
          <w:szCs w:val="20"/>
          <w:lang w:val="es-ES" w:eastAsia="es-MX"/>
        </w:rPr>
        <w:t>,</w:t>
      </w:r>
      <w:r w:rsidR="002926B6" w:rsidRPr="00975C02">
        <w:rPr>
          <w:rFonts w:cs="Verdana"/>
          <w:sz w:val="20"/>
          <w:szCs w:val="20"/>
          <w:lang w:val="es-ES" w:eastAsia="es-MX"/>
        </w:rPr>
        <w:t xml:space="preserve"> </w:t>
      </w:r>
      <w:r w:rsidR="00A650C8" w:rsidRPr="00975C02">
        <w:rPr>
          <w:rFonts w:cs="Verdana,Italic"/>
          <w:iCs/>
          <w:sz w:val="20"/>
          <w:szCs w:val="20"/>
          <w:lang w:val="es-ES" w:eastAsia="en-US"/>
        </w:rPr>
        <w:t xml:space="preserve">y </w:t>
      </w:r>
      <w:r w:rsidR="002926B6" w:rsidRPr="00975C02">
        <w:rPr>
          <w:rFonts w:cs="Verdana,Italic"/>
          <w:iCs/>
          <w:sz w:val="20"/>
          <w:szCs w:val="20"/>
          <w:lang w:val="es-ES" w:eastAsia="en-US"/>
        </w:rPr>
        <w:t>afirm</w:t>
      </w:r>
      <w:r w:rsidR="00A650C8" w:rsidRPr="00975C02">
        <w:rPr>
          <w:rFonts w:cs="Verdana,Italic"/>
          <w:iCs/>
          <w:sz w:val="20"/>
          <w:szCs w:val="20"/>
          <w:lang w:val="es-ES" w:eastAsia="en-US"/>
        </w:rPr>
        <w:t>ó</w:t>
      </w:r>
      <w:r w:rsidR="002926B6" w:rsidRPr="00975C02">
        <w:rPr>
          <w:rFonts w:cs="Verdana,Italic"/>
          <w:iCs/>
          <w:sz w:val="20"/>
          <w:szCs w:val="20"/>
          <w:lang w:val="es-ES" w:eastAsia="en-US"/>
        </w:rPr>
        <w:t xml:space="preserve"> que en dicho momento los mismos aún no habían sido agotados en su totalidad ya que se encontraba </w:t>
      </w:r>
      <w:r w:rsidR="00ED5B92" w:rsidRPr="00975C02">
        <w:rPr>
          <w:rFonts w:cs="Verdana,Italic"/>
          <w:iCs/>
          <w:sz w:val="20"/>
          <w:szCs w:val="20"/>
          <w:lang w:val="es-ES" w:eastAsia="en-US"/>
        </w:rPr>
        <w:t>pendiente</w:t>
      </w:r>
      <w:r w:rsidR="002926B6" w:rsidRPr="00975C02">
        <w:rPr>
          <w:rFonts w:cs="Verdana,Italic"/>
          <w:iCs/>
          <w:sz w:val="20"/>
          <w:szCs w:val="20"/>
          <w:lang w:val="es-ES" w:eastAsia="en-US"/>
        </w:rPr>
        <w:t xml:space="preserve"> de resolución la solicitud de nulidad del veredicto del Tribunal de Jurados que absolvió al acusado</w:t>
      </w:r>
      <w:r w:rsidR="002926B6" w:rsidRPr="00975C02">
        <w:rPr>
          <w:rStyle w:val="FootnoteReference"/>
          <w:rFonts w:cs="Verdana,Italic"/>
          <w:iCs/>
          <w:sz w:val="20"/>
          <w:szCs w:val="20"/>
          <w:lang w:val="es-ES" w:eastAsia="en-US"/>
        </w:rPr>
        <w:footnoteReference w:id="22"/>
      </w:r>
      <w:r w:rsidR="00A650C8" w:rsidRPr="00975C02">
        <w:rPr>
          <w:rFonts w:cs="Verdana,Italic"/>
          <w:iCs/>
          <w:sz w:val="20"/>
          <w:szCs w:val="20"/>
          <w:lang w:val="es-ES" w:eastAsia="en-US"/>
        </w:rPr>
        <w:t>. Por lo tanto</w:t>
      </w:r>
      <w:r w:rsidR="002926B6" w:rsidRPr="00975C02">
        <w:rPr>
          <w:rFonts w:cs="Verdana,Italic"/>
          <w:iCs/>
          <w:sz w:val="20"/>
          <w:szCs w:val="20"/>
          <w:lang w:val="es-ES" w:eastAsia="en-US"/>
        </w:rPr>
        <w:t xml:space="preserve">, </w:t>
      </w:r>
      <w:r w:rsidR="00BD0E79" w:rsidRPr="00975C02">
        <w:rPr>
          <w:rFonts w:cs="Verdana"/>
          <w:sz w:val="20"/>
          <w:szCs w:val="20"/>
          <w:lang w:val="es-ES" w:eastAsia="es-MX"/>
        </w:rPr>
        <w:t xml:space="preserve">la excepción fue presentada en la debida oportunidad procesal, tal como se desprende del </w:t>
      </w:r>
      <w:r w:rsidR="00ED5B92" w:rsidRPr="00975C02">
        <w:rPr>
          <w:rFonts w:cs="Verdana"/>
          <w:sz w:val="20"/>
          <w:szCs w:val="20"/>
          <w:lang w:val="es-ES" w:eastAsia="es-MX"/>
        </w:rPr>
        <w:t>I</w:t>
      </w:r>
      <w:r w:rsidR="00BD0E79" w:rsidRPr="00975C02">
        <w:rPr>
          <w:rFonts w:cs="Verdana"/>
          <w:sz w:val="20"/>
          <w:szCs w:val="20"/>
          <w:lang w:val="es-ES" w:eastAsia="es-MX"/>
        </w:rPr>
        <w:t xml:space="preserve">nforme de </w:t>
      </w:r>
      <w:r w:rsidR="00ED5B92" w:rsidRPr="00975C02">
        <w:rPr>
          <w:rFonts w:cs="Verdana"/>
          <w:sz w:val="20"/>
          <w:szCs w:val="20"/>
          <w:lang w:val="es-ES" w:eastAsia="es-MX"/>
        </w:rPr>
        <w:t>A</w:t>
      </w:r>
      <w:r w:rsidR="00BD0E79" w:rsidRPr="00975C02">
        <w:rPr>
          <w:rFonts w:cs="Verdana"/>
          <w:sz w:val="20"/>
          <w:szCs w:val="20"/>
          <w:lang w:val="es-ES" w:eastAsia="es-MX"/>
        </w:rPr>
        <w:t>dmisibilidad</w:t>
      </w:r>
      <w:r w:rsidR="00BD0E79" w:rsidRPr="00975C02">
        <w:rPr>
          <w:rStyle w:val="FootnoteReference"/>
          <w:rFonts w:cs="Verdana"/>
          <w:sz w:val="20"/>
          <w:szCs w:val="20"/>
          <w:lang w:val="es-ES" w:eastAsia="es-MX"/>
        </w:rPr>
        <w:footnoteReference w:id="23"/>
      </w:r>
      <w:r w:rsidR="00BD0E79" w:rsidRPr="00975C02">
        <w:rPr>
          <w:rFonts w:cs="Verdana"/>
          <w:sz w:val="20"/>
          <w:szCs w:val="20"/>
          <w:lang w:val="es-ES" w:eastAsia="es-MX"/>
        </w:rPr>
        <w:t>.</w:t>
      </w:r>
    </w:p>
    <w:p w14:paraId="1AE7F383" w14:textId="77777777" w:rsidR="00BD0E79" w:rsidRPr="00975C02" w:rsidRDefault="00BD0E79" w:rsidP="00BD0E79">
      <w:pPr>
        <w:tabs>
          <w:tab w:val="left" w:pos="567"/>
        </w:tabs>
        <w:spacing w:line="240" w:lineRule="auto"/>
        <w:textAlignment w:val="auto"/>
        <w:rPr>
          <w:rFonts w:cs="Arial"/>
          <w:sz w:val="20"/>
          <w:szCs w:val="20"/>
          <w:lang w:val="es-ES"/>
        </w:rPr>
      </w:pPr>
    </w:p>
    <w:p w14:paraId="4F75A8A7" w14:textId="77777777" w:rsidR="00DD00E7" w:rsidRPr="00975C02" w:rsidRDefault="00006393" w:rsidP="00C8070B">
      <w:pPr>
        <w:numPr>
          <w:ilvl w:val="0"/>
          <w:numId w:val="2"/>
        </w:numPr>
        <w:tabs>
          <w:tab w:val="left" w:pos="567"/>
        </w:tabs>
        <w:spacing w:line="240" w:lineRule="auto"/>
        <w:ind w:left="0" w:firstLine="0"/>
        <w:textAlignment w:val="auto"/>
        <w:rPr>
          <w:rFonts w:cs="Arial"/>
          <w:sz w:val="20"/>
          <w:szCs w:val="20"/>
          <w:lang w:val="es-ES"/>
        </w:rPr>
      </w:pPr>
      <w:r w:rsidRPr="00975C02">
        <w:rPr>
          <w:sz w:val="20"/>
          <w:szCs w:val="20"/>
          <w:lang w:val="es-ES"/>
        </w:rPr>
        <w:t>Ahora bien, l</w:t>
      </w:r>
      <w:r w:rsidR="00DD00E7" w:rsidRPr="00975C02">
        <w:rPr>
          <w:sz w:val="20"/>
          <w:szCs w:val="20"/>
          <w:lang w:val="es-ES"/>
        </w:rPr>
        <w:t>a Corte destaca</w:t>
      </w:r>
      <w:r w:rsidRPr="00975C02">
        <w:rPr>
          <w:sz w:val="20"/>
          <w:szCs w:val="20"/>
          <w:lang w:val="es-ES"/>
        </w:rPr>
        <w:t xml:space="preserve"> que</w:t>
      </w:r>
      <w:r w:rsidR="00DD00E7" w:rsidRPr="00975C02">
        <w:rPr>
          <w:sz w:val="20"/>
          <w:szCs w:val="20"/>
          <w:lang w:val="es-ES"/>
        </w:rPr>
        <w:t>, de conformidad con lo establecido en su jurisprudencia, la Comisión debía analizar el agotamiento de los recursos internos para el momento en que se decidió la admisibilidad de la petición y no para el momento de la presentación de la misma</w:t>
      </w:r>
      <w:r w:rsidR="00DD00E7" w:rsidRPr="00975C02">
        <w:rPr>
          <w:rStyle w:val="FootnoteReference"/>
          <w:sz w:val="20"/>
          <w:szCs w:val="20"/>
          <w:lang w:val="es-ES"/>
        </w:rPr>
        <w:footnoteReference w:id="24"/>
      </w:r>
      <w:r w:rsidR="00DD00E7" w:rsidRPr="00975C02">
        <w:rPr>
          <w:sz w:val="20"/>
          <w:szCs w:val="20"/>
          <w:lang w:val="es-ES"/>
        </w:rPr>
        <w:t xml:space="preserve">. Además, era preciso que contara con la información actualizada, necesaria y suficiente para llevar a cabo ese examen de admisibilidad, la cual debió ser remitida por </w:t>
      </w:r>
      <w:r w:rsidR="00931C0D" w:rsidRPr="00975C02">
        <w:rPr>
          <w:sz w:val="20"/>
          <w:szCs w:val="20"/>
          <w:lang w:val="es-ES"/>
        </w:rPr>
        <w:t>las partes en el procedimiento.</w:t>
      </w:r>
    </w:p>
    <w:p w14:paraId="6FD3F41E" w14:textId="77777777" w:rsidR="00DD00E7" w:rsidRPr="00975C02" w:rsidRDefault="00DD00E7" w:rsidP="00DD00E7">
      <w:pPr>
        <w:pStyle w:val="ListParagraph"/>
        <w:spacing w:line="240" w:lineRule="auto"/>
        <w:ind w:left="0"/>
        <w:textAlignment w:val="auto"/>
        <w:rPr>
          <w:sz w:val="20"/>
          <w:szCs w:val="20"/>
          <w:lang w:val="es-ES"/>
        </w:rPr>
      </w:pPr>
    </w:p>
    <w:p w14:paraId="314920DB" w14:textId="3F33F3B9" w:rsidR="002B12BC" w:rsidRPr="00975C02" w:rsidRDefault="002B12BC"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Sobre el particular, la Corte nota que</w:t>
      </w:r>
      <w:r w:rsidR="00182DC6" w:rsidRPr="00975C02">
        <w:rPr>
          <w:sz w:val="20"/>
          <w:szCs w:val="20"/>
          <w:lang w:val="es-ES"/>
        </w:rPr>
        <w:t>,</w:t>
      </w:r>
      <w:r w:rsidRPr="00975C02">
        <w:rPr>
          <w:sz w:val="20"/>
          <w:szCs w:val="20"/>
          <w:lang w:val="es-ES"/>
        </w:rPr>
        <w:t xml:space="preserve"> al 11 de febrero de 2009, fecha en que la Comisión se pronunció sobre la admisibilidad, los datos obrantes en el expediente</w:t>
      </w:r>
      <w:r w:rsidR="00E30579" w:rsidRPr="00975C02">
        <w:rPr>
          <w:sz w:val="20"/>
          <w:szCs w:val="20"/>
          <w:lang w:val="es-ES"/>
        </w:rPr>
        <w:t xml:space="preserve"> de trámite</w:t>
      </w:r>
      <w:r w:rsidRPr="00975C02">
        <w:rPr>
          <w:sz w:val="20"/>
          <w:szCs w:val="20"/>
          <w:lang w:val="es-ES"/>
        </w:rPr>
        <w:t xml:space="preserve"> ante </w:t>
      </w:r>
      <w:r w:rsidR="00E01F12">
        <w:rPr>
          <w:sz w:val="20"/>
          <w:szCs w:val="20"/>
          <w:lang w:val="es-ES"/>
        </w:rPr>
        <w:t xml:space="preserve">ese órgano </w:t>
      </w:r>
      <w:r w:rsidRPr="00975C02">
        <w:rPr>
          <w:sz w:val="20"/>
          <w:szCs w:val="20"/>
          <w:lang w:val="es-ES"/>
        </w:rPr>
        <w:t xml:space="preserve">daban cuenta de que los recursos de apelación interpuestos </w:t>
      </w:r>
      <w:r w:rsidR="00882ED4" w:rsidRPr="00975C02">
        <w:rPr>
          <w:sz w:val="20"/>
          <w:szCs w:val="20"/>
          <w:lang w:val="es-ES"/>
        </w:rPr>
        <w:t xml:space="preserve">el 25 de agosto de 2005 </w:t>
      </w:r>
      <w:r w:rsidRPr="00975C02">
        <w:rPr>
          <w:sz w:val="20"/>
          <w:szCs w:val="20"/>
          <w:lang w:val="es-ES"/>
        </w:rPr>
        <w:t xml:space="preserve">por el </w:t>
      </w:r>
      <w:r w:rsidR="002D499C" w:rsidRPr="00975C02">
        <w:rPr>
          <w:sz w:val="20"/>
          <w:szCs w:val="20"/>
          <w:lang w:val="es-ES"/>
        </w:rPr>
        <w:t>fiscal auxiliar</w:t>
      </w:r>
      <w:r w:rsidRPr="00975C02">
        <w:rPr>
          <w:sz w:val="20"/>
          <w:szCs w:val="20"/>
          <w:lang w:val="es-ES"/>
        </w:rPr>
        <w:t xml:space="preserve"> del Ministerio Público y por la representación legal de la señora V.P.C (</w:t>
      </w:r>
      <w:r w:rsidRPr="00975C02">
        <w:rPr>
          <w:i/>
          <w:sz w:val="20"/>
          <w:szCs w:val="20"/>
          <w:lang w:val="es-ES"/>
        </w:rPr>
        <w:t>infra</w:t>
      </w:r>
      <w:r w:rsidR="00FA0912" w:rsidRPr="00975C02">
        <w:rPr>
          <w:sz w:val="20"/>
          <w:szCs w:val="20"/>
          <w:lang w:val="es-ES"/>
        </w:rPr>
        <w:t xml:space="preserve"> párr. 120</w:t>
      </w:r>
      <w:r w:rsidRPr="00975C02">
        <w:rPr>
          <w:sz w:val="20"/>
          <w:szCs w:val="20"/>
          <w:lang w:val="es-ES"/>
        </w:rPr>
        <w:t xml:space="preserve">) se encontraban pendientes de resolución y, en efecto, habían transcurrido más de seis años desde el acaecimiento de los hechos sin que el Estado hubiera emitido un pronunciamiento definitivo. No consta en el expediente de trámite ante la Comisión que </w:t>
      </w:r>
      <w:r w:rsidR="00B451A5" w:rsidRPr="00975C02">
        <w:rPr>
          <w:sz w:val="20"/>
          <w:szCs w:val="20"/>
          <w:lang w:val="es-ES"/>
        </w:rPr>
        <w:t xml:space="preserve">ésta </w:t>
      </w:r>
      <w:r w:rsidRPr="00975C02">
        <w:rPr>
          <w:sz w:val="20"/>
          <w:szCs w:val="20"/>
          <w:lang w:val="es-ES"/>
        </w:rPr>
        <w:t>hubiere tenido noticia del dictado de la Sentencia No. 45 de la Sala Penal del Tribunal de Apelaciones de la Circunscripción Norte, fechada el 24 de octubre de 2007.</w:t>
      </w:r>
    </w:p>
    <w:p w14:paraId="5D7E3212" w14:textId="77777777" w:rsidR="002B12BC" w:rsidRPr="00975C02" w:rsidRDefault="002B12BC" w:rsidP="003C63B4">
      <w:pPr>
        <w:tabs>
          <w:tab w:val="left" w:pos="567"/>
        </w:tabs>
        <w:spacing w:line="240" w:lineRule="auto"/>
        <w:rPr>
          <w:sz w:val="20"/>
          <w:szCs w:val="20"/>
          <w:lang w:val="es-ES"/>
        </w:rPr>
      </w:pPr>
    </w:p>
    <w:p w14:paraId="4D53C570" w14:textId="60AEE303" w:rsidR="00DD00E7" w:rsidRPr="00975C02" w:rsidRDefault="00DD00E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De conformidad con lo anterior, y en sintonía con lo establecido previamente por esta Corte, los avances del procedimiento en la jurisdicción interna únicamente podrían haber sido tomados en cuenta por la Comisión en la medida en que las partes le hubiesen brindado esa información en el marco del proceso</w:t>
      </w:r>
      <w:r w:rsidRPr="00975C02">
        <w:rPr>
          <w:rStyle w:val="FootnoteReference"/>
          <w:sz w:val="20"/>
          <w:szCs w:val="20"/>
          <w:lang w:val="es-ES"/>
        </w:rPr>
        <w:footnoteReference w:id="25"/>
      </w:r>
      <w:r w:rsidR="00E30579" w:rsidRPr="00975C02">
        <w:rPr>
          <w:sz w:val="20"/>
          <w:szCs w:val="20"/>
          <w:lang w:val="es-ES"/>
        </w:rPr>
        <w:t>.</w:t>
      </w:r>
      <w:r w:rsidR="00F42900" w:rsidRPr="00975C02">
        <w:rPr>
          <w:rFonts w:cs="Arial"/>
          <w:sz w:val="20"/>
          <w:szCs w:val="20"/>
          <w:lang w:val="es-ES"/>
        </w:rPr>
        <w:t xml:space="preserve"> En consecuencia, el estudio de la admisibilidad realizado por la Comisión </w:t>
      </w:r>
      <w:r w:rsidR="00F42900" w:rsidRPr="00975C02">
        <w:rPr>
          <w:sz w:val="20"/>
          <w:szCs w:val="20"/>
          <w:lang w:val="es-ES"/>
        </w:rPr>
        <w:t xml:space="preserve">en el año 2009 </w:t>
      </w:r>
      <w:r w:rsidR="00F42900" w:rsidRPr="00975C02">
        <w:rPr>
          <w:rFonts w:cs="Arial"/>
          <w:sz w:val="20"/>
          <w:szCs w:val="20"/>
          <w:lang w:val="es-ES"/>
        </w:rPr>
        <w:t xml:space="preserve">se ajustó a la información que tenía disponible en aquel momento, no siéndole exigible otro análisis que no pudo ser contemplado en razón de </w:t>
      </w:r>
      <w:r w:rsidR="00252E26" w:rsidRPr="00975C02">
        <w:rPr>
          <w:rFonts w:cs="Arial"/>
          <w:sz w:val="20"/>
          <w:szCs w:val="20"/>
          <w:lang w:val="es-ES"/>
        </w:rPr>
        <w:t xml:space="preserve">que </w:t>
      </w:r>
      <w:r w:rsidR="00F42900" w:rsidRPr="00975C02">
        <w:rPr>
          <w:rFonts w:cs="Arial"/>
          <w:sz w:val="20"/>
          <w:szCs w:val="20"/>
          <w:lang w:val="es-ES"/>
        </w:rPr>
        <w:t>carec</w:t>
      </w:r>
      <w:r w:rsidR="00252E26" w:rsidRPr="00975C02">
        <w:rPr>
          <w:rFonts w:cs="Arial"/>
          <w:sz w:val="20"/>
          <w:szCs w:val="20"/>
          <w:lang w:val="es-ES"/>
        </w:rPr>
        <w:t>ía</w:t>
      </w:r>
      <w:r w:rsidR="00F42900" w:rsidRPr="00975C02">
        <w:rPr>
          <w:rFonts w:cs="Arial"/>
          <w:sz w:val="20"/>
          <w:szCs w:val="20"/>
          <w:lang w:val="es-ES"/>
        </w:rPr>
        <w:t xml:space="preserve"> de información actualizada.</w:t>
      </w:r>
    </w:p>
    <w:p w14:paraId="21CA3EEB" w14:textId="77777777" w:rsidR="00E30579" w:rsidRPr="00975C02" w:rsidRDefault="00E30579" w:rsidP="00E30579">
      <w:pPr>
        <w:tabs>
          <w:tab w:val="left" w:pos="567"/>
        </w:tabs>
        <w:spacing w:line="240" w:lineRule="auto"/>
        <w:rPr>
          <w:sz w:val="20"/>
          <w:szCs w:val="20"/>
          <w:lang w:val="es-ES"/>
        </w:rPr>
      </w:pPr>
    </w:p>
    <w:p w14:paraId="66DC800E" w14:textId="1F6B5930" w:rsidR="00DD00E7" w:rsidRPr="00975C02" w:rsidRDefault="00F42900" w:rsidP="00C8070B">
      <w:pPr>
        <w:numPr>
          <w:ilvl w:val="0"/>
          <w:numId w:val="2"/>
        </w:numPr>
        <w:tabs>
          <w:tab w:val="left" w:pos="567"/>
          <w:tab w:val="num" w:pos="12305"/>
        </w:tabs>
        <w:spacing w:line="240" w:lineRule="auto"/>
        <w:ind w:left="0" w:firstLine="0"/>
        <w:rPr>
          <w:sz w:val="20"/>
          <w:szCs w:val="20"/>
          <w:lang w:val="es-ES"/>
        </w:rPr>
      </w:pPr>
      <w:r w:rsidRPr="00975C02">
        <w:rPr>
          <w:rFonts w:cs="Arial"/>
          <w:sz w:val="20"/>
          <w:szCs w:val="20"/>
          <w:lang w:val="es-ES"/>
        </w:rPr>
        <w:t xml:space="preserve">Por otra parte, la Corte nota que, </w:t>
      </w:r>
      <w:r w:rsidR="00CF0719" w:rsidRPr="00975C02">
        <w:rPr>
          <w:rFonts w:cs="Arial"/>
          <w:sz w:val="20"/>
          <w:szCs w:val="20"/>
          <w:lang w:val="es-ES"/>
        </w:rPr>
        <w:t xml:space="preserve">incluso en el supuesto </w:t>
      </w:r>
      <w:r w:rsidRPr="00975C02">
        <w:rPr>
          <w:rFonts w:cs="Arial"/>
          <w:sz w:val="20"/>
          <w:szCs w:val="20"/>
          <w:lang w:val="es-ES"/>
        </w:rPr>
        <w:t xml:space="preserve">de haber contado con información actualizada </w:t>
      </w:r>
      <w:r w:rsidR="00CF0719" w:rsidRPr="00975C02">
        <w:rPr>
          <w:rFonts w:cs="Arial"/>
          <w:sz w:val="20"/>
          <w:szCs w:val="20"/>
          <w:lang w:val="es-ES"/>
        </w:rPr>
        <w:t xml:space="preserve">al año 2009 </w:t>
      </w:r>
      <w:r w:rsidRPr="00975C02">
        <w:rPr>
          <w:rFonts w:cs="Arial"/>
          <w:sz w:val="20"/>
          <w:szCs w:val="20"/>
          <w:lang w:val="es-ES"/>
        </w:rPr>
        <w:t xml:space="preserve">sobre el proceso interno, los recursos </w:t>
      </w:r>
      <w:r w:rsidR="00465B28" w:rsidRPr="00975C02">
        <w:rPr>
          <w:rFonts w:cs="Arial"/>
          <w:sz w:val="20"/>
          <w:szCs w:val="20"/>
          <w:lang w:val="es-ES"/>
        </w:rPr>
        <w:t>se encontraban</w:t>
      </w:r>
      <w:r w:rsidRPr="00975C02">
        <w:rPr>
          <w:rFonts w:cs="Arial"/>
          <w:sz w:val="20"/>
          <w:szCs w:val="20"/>
          <w:lang w:val="es-ES"/>
        </w:rPr>
        <w:t xml:space="preserve"> agotados, por cuanto el propio Estado aseveró</w:t>
      </w:r>
      <w:r w:rsidR="00DD00E7" w:rsidRPr="00975C02">
        <w:rPr>
          <w:rFonts w:cs="Arial"/>
          <w:sz w:val="20"/>
          <w:szCs w:val="20"/>
          <w:lang w:val="es-ES"/>
        </w:rPr>
        <w:t xml:space="preserve"> que </w:t>
      </w:r>
      <w:r w:rsidR="00A17B77" w:rsidRPr="00975C02">
        <w:rPr>
          <w:sz w:val="20"/>
          <w:szCs w:val="20"/>
          <w:lang w:val="es-ES"/>
        </w:rPr>
        <w:t>aquél</w:t>
      </w:r>
      <w:r w:rsidR="00F32EFF" w:rsidRPr="00975C02">
        <w:rPr>
          <w:sz w:val="20"/>
          <w:szCs w:val="20"/>
          <w:lang w:val="es-ES"/>
        </w:rPr>
        <w:t xml:space="preserve"> concluyó</w:t>
      </w:r>
      <w:r w:rsidR="00DD00E7" w:rsidRPr="00975C02">
        <w:rPr>
          <w:sz w:val="20"/>
          <w:szCs w:val="20"/>
          <w:lang w:val="es-ES"/>
        </w:rPr>
        <w:t xml:space="preserve"> con la </w:t>
      </w:r>
      <w:r w:rsidR="00DC7912" w:rsidRPr="00975C02">
        <w:rPr>
          <w:sz w:val="20"/>
          <w:szCs w:val="20"/>
          <w:lang w:val="es-ES"/>
        </w:rPr>
        <w:t xml:space="preserve">emisión de la </w:t>
      </w:r>
      <w:r w:rsidR="00DD00E7" w:rsidRPr="00975C02">
        <w:rPr>
          <w:sz w:val="20"/>
          <w:szCs w:val="20"/>
          <w:lang w:val="es-ES"/>
        </w:rPr>
        <w:t xml:space="preserve">Sentencia </w:t>
      </w:r>
      <w:r w:rsidR="00DC7912" w:rsidRPr="00975C02">
        <w:rPr>
          <w:sz w:val="20"/>
          <w:szCs w:val="20"/>
          <w:lang w:val="es-ES"/>
        </w:rPr>
        <w:t>No.</w:t>
      </w:r>
      <w:r w:rsidR="00DD00E7" w:rsidRPr="00975C02">
        <w:rPr>
          <w:sz w:val="20"/>
          <w:szCs w:val="20"/>
          <w:lang w:val="es-ES"/>
        </w:rPr>
        <w:t xml:space="preserve"> 45 de la Sala Penal del Tribunal de Apelaciones Circunscripción Norte dictada </w:t>
      </w:r>
      <w:r w:rsidR="00F32EFF" w:rsidRPr="00975C02">
        <w:rPr>
          <w:sz w:val="20"/>
          <w:szCs w:val="20"/>
          <w:lang w:val="es-ES"/>
        </w:rPr>
        <w:t xml:space="preserve">el </w:t>
      </w:r>
      <w:r w:rsidR="00DD00E7" w:rsidRPr="00975C02">
        <w:rPr>
          <w:sz w:val="20"/>
          <w:szCs w:val="20"/>
          <w:lang w:val="es-ES"/>
        </w:rPr>
        <w:t>24 de octubre de 2007</w:t>
      </w:r>
      <w:r w:rsidRPr="00975C02">
        <w:rPr>
          <w:sz w:val="20"/>
          <w:szCs w:val="20"/>
          <w:lang w:val="es-ES"/>
        </w:rPr>
        <w:t>. Por consiguiente,</w:t>
      </w:r>
      <w:r w:rsidR="00DD00E7" w:rsidRPr="00975C02">
        <w:rPr>
          <w:sz w:val="20"/>
          <w:szCs w:val="20"/>
          <w:lang w:val="es-ES"/>
        </w:rPr>
        <w:t xml:space="preserve"> la Corte desestima la excepción pr</w:t>
      </w:r>
      <w:r w:rsidR="00175618" w:rsidRPr="00975C02">
        <w:rPr>
          <w:sz w:val="20"/>
          <w:szCs w:val="20"/>
          <w:lang w:val="es-ES"/>
        </w:rPr>
        <w:t>eliminar opuesta por el Estado.</w:t>
      </w:r>
    </w:p>
    <w:p w14:paraId="34298C40" w14:textId="77777777" w:rsidR="00DD00E7" w:rsidRPr="00975C02" w:rsidRDefault="00DD00E7" w:rsidP="00DD00E7">
      <w:pPr>
        <w:widowControl/>
        <w:tabs>
          <w:tab w:val="left" w:pos="567"/>
        </w:tabs>
        <w:autoSpaceDE w:val="0"/>
        <w:autoSpaceDN w:val="0"/>
        <w:adjustRightInd/>
        <w:spacing w:line="240" w:lineRule="auto"/>
        <w:textAlignment w:val="auto"/>
        <w:rPr>
          <w:rFonts w:eastAsia="Batang" w:cs="Arial"/>
          <w:b/>
          <w:iCs/>
          <w:sz w:val="20"/>
          <w:szCs w:val="20"/>
          <w:lang w:val="es-ES" w:eastAsia="en-US"/>
        </w:rPr>
      </w:pPr>
    </w:p>
    <w:p w14:paraId="38F6540F" w14:textId="53BECAC3" w:rsidR="00A66DBB" w:rsidRPr="00975C02" w:rsidRDefault="00327465" w:rsidP="00327465">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Finalmente, la Corte advierte que</w:t>
      </w:r>
      <w:r w:rsidR="00A66DBB" w:rsidRPr="00975C02">
        <w:rPr>
          <w:sz w:val="20"/>
          <w:szCs w:val="20"/>
          <w:lang w:val="es-ES"/>
        </w:rPr>
        <w:t xml:space="preserve"> no </w:t>
      </w:r>
      <w:r w:rsidRPr="00975C02">
        <w:rPr>
          <w:sz w:val="20"/>
          <w:szCs w:val="20"/>
          <w:lang w:val="es-ES"/>
        </w:rPr>
        <w:t>proceder</w:t>
      </w:r>
      <w:r w:rsidR="00037335">
        <w:rPr>
          <w:sz w:val="20"/>
          <w:szCs w:val="20"/>
          <w:lang w:val="es-ES"/>
        </w:rPr>
        <w:t>á</w:t>
      </w:r>
      <w:r w:rsidR="00A66DBB" w:rsidRPr="00975C02">
        <w:rPr>
          <w:sz w:val="20"/>
          <w:szCs w:val="20"/>
          <w:lang w:val="es-ES"/>
        </w:rPr>
        <w:t xml:space="preserve"> </w:t>
      </w:r>
      <w:r w:rsidRPr="00975C02">
        <w:rPr>
          <w:sz w:val="20"/>
          <w:szCs w:val="20"/>
          <w:lang w:val="es-ES"/>
        </w:rPr>
        <w:t>a</w:t>
      </w:r>
      <w:r w:rsidR="00A66DBB" w:rsidRPr="00975C02">
        <w:rPr>
          <w:sz w:val="20"/>
          <w:szCs w:val="20"/>
          <w:lang w:val="es-ES"/>
        </w:rPr>
        <w:t xml:space="preserve">l análisis </w:t>
      </w:r>
      <w:r w:rsidR="00F32EFF" w:rsidRPr="00975C02">
        <w:rPr>
          <w:sz w:val="20"/>
          <w:szCs w:val="20"/>
          <w:lang w:val="es-ES"/>
        </w:rPr>
        <w:t>de los alegatos de</w:t>
      </w:r>
      <w:r w:rsidR="00A66DBB" w:rsidRPr="00975C02">
        <w:rPr>
          <w:sz w:val="20"/>
          <w:szCs w:val="20"/>
          <w:lang w:val="es-ES"/>
        </w:rPr>
        <w:t xml:space="preserve"> las representantes </w:t>
      </w:r>
      <w:r w:rsidRPr="00975C02">
        <w:rPr>
          <w:sz w:val="20"/>
          <w:szCs w:val="20"/>
          <w:lang w:val="es-ES"/>
        </w:rPr>
        <w:t xml:space="preserve">en cuanto a que habría operado la excepción al agotamiento de los recursos </w:t>
      </w:r>
      <w:r w:rsidRPr="00975C02">
        <w:rPr>
          <w:sz w:val="20"/>
          <w:szCs w:val="20"/>
          <w:lang w:val="es-ES"/>
        </w:rPr>
        <w:lastRenderedPageBreak/>
        <w:t xml:space="preserve">internos </w:t>
      </w:r>
      <w:r w:rsidR="003D3507" w:rsidRPr="00975C02">
        <w:rPr>
          <w:sz w:val="20"/>
          <w:szCs w:val="20"/>
          <w:lang w:val="es-ES"/>
        </w:rPr>
        <w:t>al</w:t>
      </w:r>
      <w:r w:rsidRPr="00975C02">
        <w:rPr>
          <w:sz w:val="20"/>
          <w:szCs w:val="20"/>
          <w:lang w:val="es-ES"/>
        </w:rPr>
        <w:t xml:space="preserve"> no exist</w:t>
      </w:r>
      <w:r w:rsidR="003D3507" w:rsidRPr="00975C02">
        <w:rPr>
          <w:sz w:val="20"/>
          <w:szCs w:val="20"/>
          <w:lang w:val="es-ES"/>
        </w:rPr>
        <w:t xml:space="preserve">ir supuestamente </w:t>
      </w:r>
      <w:r w:rsidRPr="00975C02">
        <w:rPr>
          <w:sz w:val="20"/>
          <w:szCs w:val="20"/>
          <w:lang w:val="es-ES"/>
        </w:rPr>
        <w:t>un debido proceso legal</w:t>
      </w:r>
      <w:r w:rsidR="003D3507" w:rsidRPr="00975C02">
        <w:rPr>
          <w:sz w:val="20"/>
          <w:szCs w:val="20"/>
          <w:lang w:val="es-ES"/>
        </w:rPr>
        <w:t>,</w:t>
      </w:r>
      <w:r w:rsidRPr="00975C02">
        <w:rPr>
          <w:sz w:val="20"/>
          <w:szCs w:val="20"/>
          <w:lang w:val="es-ES"/>
        </w:rPr>
        <w:t xml:space="preserve"> </w:t>
      </w:r>
      <w:r w:rsidR="002F0BA5" w:rsidRPr="00975C02">
        <w:rPr>
          <w:sz w:val="20"/>
          <w:szCs w:val="20"/>
          <w:lang w:val="es-ES"/>
        </w:rPr>
        <w:t>ya que</w:t>
      </w:r>
      <w:r w:rsidR="00A66DBB" w:rsidRPr="00975C02">
        <w:rPr>
          <w:sz w:val="20"/>
          <w:szCs w:val="20"/>
          <w:lang w:val="es-ES"/>
        </w:rPr>
        <w:t xml:space="preserve"> </w:t>
      </w:r>
      <w:r w:rsidRPr="00975C02">
        <w:rPr>
          <w:sz w:val="20"/>
          <w:szCs w:val="20"/>
          <w:lang w:val="es-ES"/>
        </w:rPr>
        <w:t>no corresponde a la Corte realizar</w:t>
      </w:r>
      <w:r w:rsidR="00A66DBB" w:rsidRPr="00975C02">
        <w:rPr>
          <w:sz w:val="20"/>
          <w:szCs w:val="20"/>
          <w:lang w:val="es-ES"/>
        </w:rPr>
        <w:t xml:space="preserve"> un nuevo </w:t>
      </w:r>
      <w:r w:rsidR="0016485A" w:rsidRPr="00975C02">
        <w:rPr>
          <w:sz w:val="20"/>
          <w:szCs w:val="20"/>
          <w:lang w:val="es-ES"/>
        </w:rPr>
        <w:t>estudio</w:t>
      </w:r>
      <w:r w:rsidR="00A66DBB" w:rsidRPr="00975C02">
        <w:rPr>
          <w:sz w:val="20"/>
          <w:szCs w:val="20"/>
          <w:lang w:val="es-ES"/>
        </w:rPr>
        <w:t xml:space="preserve"> de admisibilidad</w:t>
      </w:r>
      <w:r w:rsidR="003D3507" w:rsidRPr="00975C02">
        <w:rPr>
          <w:sz w:val="20"/>
          <w:szCs w:val="20"/>
          <w:lang w:val="es-ES"/>
        </w:rPr>
        <w:t>.</w:t>
      </w:r>
    </w:p>
    <w:p w14:paraId="2C5ED32A" w14:textId="77777777" w:rsidR="00D06861" w:rsidRPr="00975C02" w:rsidRDefault="00D06861" w:rsidP="00DD00E7">
      <w:pPr>
        <w:widowControl/>
        <w:tabs>
          <w:tab w:val="left" w:pos="567"/>
        </w:tabs>
        <w:autoSpaceDE w:val="0"/>
        <w:autoSpaceDN w:val="0"/>
        <w:adjustRightInd/>
        <w:spacing w:line="240" w:lineRule="auto"/>
        <w:textAlignment w:val="auto"/>
        <w:rPr>
          <w:rFonts w:eastAsia="Batang" w:cs="Arial"/>
          <w:b/>
          <w:iCs/>
          <w:sz w:val="20"/>
          <w:szCs w:val="20"/>
          <w:lang w:val="es-ES" w:eastAsia="en-US"/>
        </w:rPr>
      </w:pPr>
    </w:p>
    <w:p w14:paraId="4CD7B458" w14:textId="0908FE8A" w:rsidR="0026739F" w:rsidRPr="00975C02" w:rsidRDefault="0026739F" w:rsidP="0026739F">
      <w:pPr>
        <w:keepNext/>
        <w:keepLines/>
        <w:tabs>
          <w:tab w:val="left" w:pos="1134"/>
        </w:tabs>
        <w:spacing w:line="240" w:lineRule="auto"/>
        <w:ind w:left="567" w:firstLine="1"/>
        <w:outlineLvl w:val="1"/>
        <w:rPr>
          <w:rFonts w:eastAsia="MS Mincho"/>
          <w:b/>
          <w:bCs/>
          <w:i/>
          <w:sz w:val="20"/>
          <w:szCs w:val="20"/>
          <w:lang w:val="es-ES"/>
        </w:rPr>
      </w:pPr>
      <w:bookmarkStart w:id="54" w:name="_Toc514172596"/>
      <w:r w:rsidRPr="00975C02">
        <w:rPr>
          <w:rFonts w:eastAsia="MS Mincho"/>
          <w:b/>
          <w:bCs/>
          <w:i/>
          <w:sz w:val="20"/>
          <w:szCs w:val="20"/>
          <w:lang w:val="es-ES"/>
        </w:rPr>
        <w:t>B.</w:t>
      </w:r>
      <w:r w:rsidRPr="00975C02">
        <w:rPr>
          <w:rFonts w:eastAsia="MS Mincho"/>
          <w:b/>
          <w:bCs/>
          <w:i/>
          <w:sz w:val="20"/>
          <w:szCs w:val="20"/>
          <w:lang w:val="es-ES"/>
        </w:rPr>
        <w:tab/>
        <w:t xml:space="preserve">Excepción sobre la alegada </w:t>
      </w:r>
      <w:r w:rsidR="009334DB" w:rsidRPr="00975C02">
        <w:rPr>
          <w:rFonts w:eastAsia="MS Mincho"/>
          <w:b/>
          <w:bCs/>
          <w:i/>
          <w:sz w:val="20"/>
          <w:szCs w:val="20"/>
          <w:lang w:val="es-ES"/>
        </w:rPr>
        <w:t xml:space="preserve">falta de </w:t>
      </w:r>
      <w:r w:rsidRPr="00975C02">
        <w:rPr>
          <w:rFonts w:eastAsia="MS Mincho"/>
          <w:b/>
          <w:bCs/>
          <w:i/>
          <w:sz w:val="20"/>
          <w:szCs w:val="20"/>
          <w:lang w:val="es-ES"/>
        </w:rPr>
        <w:t>competencia ratione temporis de la Comisión y de la Corte</w:t>
      </w:r>
      <w:r w:rsidR="009334DB" w:rsidRPr="00975C02">
        <w:rPr>
          <w:rFonts w:eastAsia="MS Mincho"/>
          <w:b/>
          <w:bCs/>
          <w:i/>
          <w:sz w:val="20"/>
          <w:szCs w:val="20"/>
          <w:lang w:val="es-ES"/>
        </w:rPr>
        <w:t xml:space="preserve"> Interamericana</w:t>
      </w:r>
      <w:bookmarkEnd w:id="54"/>
    </w:p>
    <w:p w14:paraId="0A2E75C1" w14:textId="77777777" w:rsidR="0026739F" w:rsidRPr="00975C02" w:rsidRDefault="0026739F" w:rsidP="0026739F">
      <w:pPr>
        <w:tabs>
          <w:tab w:val="left" w:pos="720"/>
        </w:tabs>
        <w:spacing w:line="240" w:lineRule="auto"/>
        <w:rPr>
          <w:bCs/>
          <w:sz w:val="20"/>
          <w:szCs w:val="20"/>
          <w:lang w:val="es-ES"/>
        </w:rPr>
      </w:pPr>
    </w:p>
    <w:p w14:paraId="3368222A" w14:textId="77777777" w:rsidR="0026739F" w:rsidRPr="00975C02" w:rsidRDefault="0026739F" w:rsidP="0026739F">
      <w:pPr>
        <w:pStyle w:val="Heading2"/>
        <w:tabs>
          <w:tab w:val="left" w:pos="1843"/>
        </w:tabs>
        <w:spacing w:before="0" w:line="240" w:lineRule="auto"/>
        <w:ind w:left="1134"/>
        <w:rPr>
          <w:rFonts w:ascii="Verdana" w:hAnsi="Verdana"/>
          <w:b w:val="0"/>
          <w:i/>
          <w:color w:val="auto"/>
          <w:sz w:val="20"/>
          <w:szCs w:val="20"/>
          <w:lang w:val="es-ES"/>
        </w:rPr>
      </w:pPr>
      <w:bookmarkStart w:id="55" w:name="_Toc514172597"/>
      <w:r w:rsidRPr="00975C02">
        <w:rPr>
          <w:rFonts w:ascii="Verdana" w:hAnsi="Verdana"/>
          <w:b w:val="0"/>
          <w:i/>
          <w:color w:val="auto"/>
          <w:sz w:val="20"/>
          <w:szCs w:val="20"/>
          <w:lang w:val="es-ES"/>
        </w:rPr>
        <w:t xml:space="preserve">B.1 </w:t>
      </w:r>
      <w:r w:rsidRPr="00975C02">
        <w:rPr>
          <w:rFonts w:ascii="Verdana" w:hAnsi="Verdana"/>
          <w:b w:val="0"/>
          <w:i/>
          <w:color w:val="auto"/>
          <w:sz w:val="20"/>
          <w:szCs w:val="20"/>
          <w:lang w:val="es-ES"/>
        </w:rPr>
        <w:tab/>
        <w:t>Alegatos del Estado y observaciones de la Comisión y las representantes</w:t>
      </w:r>
      <w:bookmarkEnd w:id="55"/>
    </w:p>
    <w:p w14:paraId="3CF36FD0" w14:textId="77777777" w:rsidR="0026739F" w:rsidRPr="00975C02" w:rsidRDefault="0026739F" w:rsidP="0026739F">
      <w:pPr>
        <w:tabs>
          <w:tab w:val="left" w:pos="720"/>
        </w:tabs>
        <w:spacing w:line="240" w:lineRule="auto"/>
        <w:rPr>
          <w:bCs/>
          <w:sz w:val="20"/>
          <w:szCs w:val="20"/>
          <w:lang w:val="es-ES"/>
        </w:rPr>
      </w:pPr>
    </w:p>
    <w:p w14:paraId="62154E22" w14:textId="2134F35C" w:rsidR="0026739F" w:rsidRPr="00975C02" w:rsidRDefault="0026739F" w:rsidP="00C8070B">
      <w:pPr>
        <w:numPr>
          <w:ilvl w:val="0"/>
          <w:numId w:val="2"/>
        </w:numPr>
        <w:tabs>
          <w:tab w:val="left" w:pos="567"/>
          <w:tab w:val="num" w:pos="12305"/>
        </w:tabs>
        <w:spacing w:line="240" w:lineRule="auto"/>
        <w:ind w:left="0" w:firstLine="0"/>
        <w:rPr>
          <w:rFonts w:eastAsia="Calibri" w:cs="Arial"/>
          <w:sz w:val="20"/>
          <w:szCs w:val="20"/>
          <w:lang w:val="es-ES" w:eastAsia="en-US"/>
        </w:rPr>
      </w:pPr>
      <w:r w:rsidRPr="00975C02">
        <w:rPr>
          <w:rFonts w:cs="Verdana,Italic"/>
          <w:iCs/>
          <w:sz w:val="20"/>
          <w:lang w:val="es-ES" w:eastAsia="en-US"/>
        </w:rPr>
        <w:t xml:space="preserve">El </w:t>
      </w:r>
      <w:r w:rsidRPr="00975C02">
        <w:rPr>
          <w:rFonts w:eastAsia="Calibri" w:cs="Arial"/>
          <w:b/>
          <w:i/>
          <w:sz w:val="20"/>
          <w:szCs w:val="20"/>
          <w:lang w:val="es-ES" w:eastAsia="en-US"/>
        </w:rPr>
        <w:t>Estado</w:t>
      </w:r>
      <w:r w:rsidRPr="00975C02">
        <w:rPr>
          <w:rFonts w:eastAsia="Calibri" w:cs="Arial"/>
          <w:sz w:val="20"/>
          <w:szCs w:val="20"/>
          <w:lang w:val="es-ES" w:eastAsia="en-US"/>
        </w:rPr>
        <w:t xml:space="preserve"> aleg</w:t>
      </w:r>
      <w:r w:rsidR="00F972C7" w:rsidRPr="00975C02">
        <w:rPr>
          <w:rFonts w:eastAsia="Calibri" w:cs="Arial"/>
          <w:sz w:val="20"/>
          <w:szCs w:val="20"/>
          <w:lang w:val="es-ES" w:eastAsia="en-US"/>
        </w:rPr>
        <w:t>ó</w:t>
      </w:r>
      <w:r w:rsidRPr="00975C02">
        <w:rPr>
          <w:rFonts w:eastAsia="Calibri" w:cs="Arial"/>
          <w:sz w:val="20"/>
          <w:szCs w:val="20"/>
          <w:lang w:val="es-ES" w:eastAsia="en-US"/>
        </w:rPr>
        <w:t xml:space="preserve"> la incompetencia de la Comisión</w:t>
      </w:r>
      <w:r w:rsidR="00433E6F" w:rsidRPr="00975C02">
        <w:rPr>
          <w:rFonts w:eastAsia="Calibri" w:cs="Arial"/>
          <w:sz w:val="20"/>
          <w:szCs w:val="20"/>
          <w:lang w:val="es-ES" w:eastAsia="en-US"/>
        </w:rPr>
        <w:t>,</w:t>
      </w:r>
      <w:r w:rsidRPr="00975C02">
        <w:rPr>
          <w:rFonts w:eastAsia="Calibri" w:cs="Arial"/>
          <w:sz w:val="20"/>
          <w:szCs w:val="20"/>
          <w:lang w:val="es-ES" w:eastAsia="en-US"/>
        </w:rPr>
        <w:t xml:space="preserve"> con base en el artículo 45 de la Convención, en razón de que los hechos del caso habrían ocurrido de manera previa a su reconocimiento de la competencia de la Comisión. El Estado afirmó que el 6 de febrero de 2006 adicionó un tercer párrafo a la declaración N° 49 de 15 de enero de 1991, en el que declara el reconocimiento de la competencia de la Comisión solamente </w:t>
      </w:r>
      <w:r w:rsidR="00F670FD" w:rsidRPr="00975C02">
        <w:rPr>
          <w:rFonts w:eastAsia="Calibri" w:cs="Arial"/>
          <w:sz w:val="20"/>
          <w:szCs w:val="20"/>
          <w:lang w:val="es-ES" w:eastAsia="en-US"/>
        </w:rPr>
        <w:t>para</w:t>
      </w:r>
      <w:r w:rsidRPr="00975C02">
        <w:rPr>
          <w:rFonts w:eastAsia="Calibri" w:cs="Arial"/>
          <w:sz w:val="20"/>
          <w:szCs w:val="20"/>
          <w:lang w:val="es-ES" w:eastAsia="en-US"/>
        </w:rPr>
        <w:t xml:space="preserve"> hechos posteriores o hechos cuyos principios de ejecución sean posteriores a la fecha de depósito de su declaración. </w:t>
      </w:r>
      <w:r w:rsidR="003738D9" w:rsidRPr="00975C02">
        <w:rPr>
          <w:rFonts w:eastAsia="Calibri" w:cs="Arial"/>
          <w:sz w:val="20"/>
          <w:szCs w:val="20"/>
          <w:lang w:val="es-ES" w:eastAsia="en-US"/>
        </w:rPr>
        <w:t>S</w:t>
      </w:r>
      <w:r w:rsidRPr="00975C02">
        <w:rPr>
          <w:rFonts w:eastAsia="Calibri" w:cs="Arial"/>
          <w:sz w:val="20"/>
          <w:szCs w:val="20"/>
          <w:lang w:val="es-ES" w:eastAsia="en-US"/>
        </w:rPr>
        <w:t>ostuvo que la Comisión habría vulnerado “normas imperativas de competencia</w:t>
      </w:r>
      <w:r w:rsidR="007733FC" w:rsidRPr="00975C02">
        <w:rPr>
          <w:rFonts w:eastAsia="Calibri" w:cs="Arial"/>
          <w:sz w:val="20"/>
          <w:szCs w:val="20"/>
          <w:lang w:val="es-ES" w:eastAsia="en-US"/>
        </w:rPr>
        <w:t xml:space="preserve"> […]</w:t>
      </w:r>
      <w:r w:rsidRPr="00975C02">
        <w:rPr>
          <w:rFonts w:eastAsia="Calibri" w:cs="Arial"/>
          <w:sz w:val="20"/>
          <w:szCs w:val="20"/>
          <w:lang w:val="es-ES" w:eastAsia="en-US"/>
        </w:rPr>
        <w:t xml:space="preserve">, contraviniendo la Convención […], de lo que se deriva una nulidad absoluta que determina la incompetencia de la Comisión para conocer de estos hechos, lo que no admite convalidación alguna </w:t>
      </w:r>
      <w:r w:rsidR="001E3889" w:rsidRPr="00975C02">
        <w:rPr>
          <w:rFonts w:eastAsia="Calibri" w:cs="Arial"/>
          <w:sz w:val="20"/>
          <w:szCs w:val="20"/>
          <w:lang w:val="es-ES" w:eastAsia="en-US"/>
        </w:rPr>
        <w:t xml:space="preserve">y </w:t>
      </w:r>
      <w:r w:rsidRPr="00975C02">
        <w:rPr>
          <w:rFonts w:eastAsia="Calibri" w:cs="Arial"/>
          <w:sz w:val="20"/>
          <w:szCs w:val="20"/>
          <w:lang w:val="es-ES" w:eastAsia="en-US"/>
        </w:rPr>
        <w:t>cuyo efecto es la inadmisibilidad de la demanda”. Consecuentemente, entendió que “la Corte […] no debió admitir la demanda presentada por la Comisión a efectos de asegurar la estabilidad y confiabilidad de la tutela internacional</w:t>
      </w:r>
      <w:r w:rsidR="001E3889" w:rsidRPr="00975C02">
        <w:rPr>
          <w:rFonts w:eastAsia="Calibri" w:cs="Arial"/>
          <w:sz w:val="20"/>
          <w:szCs w:val="20"/>
          <w:lang w:val="es-ES" w:eastAsia="en-US"/>
        </w:rPr>
        <w:t xml:space="preserve"> […]</w:t>
      </w:r>
      <w:r w:rsidRPr="00975C02">
        <w:rPr>
          <w:rFonts w:eastAsia="Calibri" w:cs="Arial"/>
          <w:sz w:val="20"/>
          <w:szCs w:val="20"/>
          <w:lang w:val="es-ES" w:eastAsia="en-US"/>
        </w:rPr>
        <w:t>, ya que en el presente caso ha</w:t>
      </w:r>
      <w:r w:rsidR="001E3889" w:rsidRPr="00975C02">
        <w:rPr>
          <w:rFonts w:eastAsia="Calibri" w:cs="Arial"/>
          <w:sz w:val="20"/>
          <w:szCs w:val="20"/>
          <w:lang w:val="es-ES" w:eastAsia="en-US"/>
        </w:rPr>
        <w:t>[bría]</w:t>
      </w:r>
      <w:r w:rsidRPr="00975C02">
        <w:rPr>
          <w:rFonts w:eastAsia="Calibri" w:cs="Arial"/>
          <w:sz w:val="20"/>
          <w:szCs w:val="20"/>
          <w:lang w:val="es-ES" w:eastAsia="en-US"/>
        </w:rPr>
        <w:t xml:space="preserve"> violaciones manifiestas a las reglas procedimentales establecidas en la Convención”.</w:t>
      </w:r>
      <w:r w:rsidRPr="00975C02">
        <w:rPr>
          <w:rFonts w:eastAsia="Calibri" w:cs="Arial"/>
          <w:b/>
          <w:sz w:val="16"/>
          <w:szCs w:val="16"/>
          <w:lang w:val="es-ES" w:eastAsia="en-US"/>
        </w:rPr>
        <w:t xml:space="preserve"> </w:t>
      </w:r>
      <w:r w:rsidRPr="00975C02">
        <w:rPr>
          <w:rFonts w:eastAsia="Calibri" w:cs="Arial"/>
          <w:sz w:val="20"/>
          <w:szCs w:val="20"/>
          <w:lang w:val="es-ES" w:eastAsia="en-US"/>
        </w:rPr>
        <w:t xml:space="preserve">De acuerdo a lo expuesto, el Estado solicitó a la Corte que declarara “fundada la excepción planteada, improcedente la demanda en cuestión y </w:t>
      </w:r>
      <w:r w:rsidR="00F972C7" w:rsidRPr="00975C02">
        <w:rPr>
          <w:rFonts w:eastAsia="Calibri" w:cs="Arial"/>
          <w:sz w:val="20"/>
          <w:szCs w:val="20"/>
          <w:lang w:val="es-ES" w:eastAsia="en-US"/>
        </w:rPr>
        <w:t>disp[usiera]</w:t>
      </w:r>
      <w:r w:rsidRPr="00975C02">
        <w:rPr>
          <w:rFonts w:eastAsia="Calibri" w:cs="Arial"/>
          <w:sz w:val="20"/>
          <w:szCs w:val="20"/>
          <w:lang w:val="es-ES" w:eastAsia="en-US"/>
        </w:rPr>
        <w:t xml:space="preserve"> el archivo definitivo del presente caso”.</w:t>
      </w:r>
    </w:p>
    <w:p w14:paraId="66636ACE" w14:textId="77777777" w:rsidR="0026739F" w:rsidRPr="00975C02" w:rsidRDefault="0026739F" w:rsidP="0026739F">
      <w:pPr>
        <w:tabs>
          <w:tab w:val="left" w:pos="567"/>
        </w:tabs>
        <w:spacing w:line="240" w:lineRule="auto"/>
        <w:rPr>
          <w:rFonts w:eastAsia="Calibri" w:cs="Arial"/>
          <w:b/>
          <w:sz w:val="20"/>
          <w:szCs w:val="20"/>
          <w:lang w:val="es-ES" w:eastAsia="en-US"/>
        </w:rPr>
      </w:pPr>
    </w:p>
    <w:p w14:paraId="0F0555BA" w14:textId="0917920D" w:rsidR="0026739F" w:rsidRPr="00975C02" w:rsidRDefault="0026739F" w:rsidP="00C8070B">
      <w:pPr>
        <w:numPr>
          <w:ilvl w:val="0"/>
          <w:numId w:val="2"/>
        </w:numPr>
        <w:tabs>
          <w:tab w:val="left" w:pos="567"/>
          <w:tab w:val="num" w:pos="12305"/>
        </w:tabs>
        <w:spacing w:line="240" w:lineRule="auto"/>
        <w:ind w:left="0" w:firstLine="0"/>
        <w:rPr>
          <w:rFonts w:eastAsia="Calibri" w:cs="Arial"/>
          <w:b/>
          <w:sz w:val="16"/>
          <w:szCs w:val="16"/>
          <w:lang w:val="es-ES" w:eastAsia="en-US"/>
        </w:rPr>
      </w:pPr>
      <w:r w:rsidRPr="00975C02">
        <w:rPr>
          <w:rFonts w:eastAsia="Calibri" w:cs="Arial"/>
          <w:sz w:val="20"/>
          <w:szCs w:val="20"/>
          <w:lang w:val="es-ES" w:eastAsia="en-US"/>
        </w:rPr>
        <w:t xml:space="preserve">La </w:t>
      </w:r>
      <w:r w:rsidRPr="00975C02">
        <w:rPr>
          <w:rFonts w:eastAsia="Calibri" w:cs="Arial"/>
          <w:b/>
          <w:i/>
          <w:sz w:val="20"/>
          <w:szCs w:val="20"/>
          <w:lang w:val="es-ES" w:eastAsia="en-US"/>
        </w:rPr>
        <w:t>Comisión</w:t>
      </w:r>
      <w:r w:rsidRPr="00975C02">
        <w:rPr>
          <w:rFonts w:eastAsia="Calibri" w:cs="Arial"/>
          <w:sz w:val="20"/>
          <w:szCs w:val="20"/>
          <w:lang w:val="es-ES" w:eastAsia="en-US"/>
        </w:rPr>
        <w:t xml:space="preserve"> </w:t>
      </w:r>
      <w:r w:rsidR="000B532D" w:rsidRPr="00975C02">
        <w:rPr>
          <w:rFonts w:eastAsia="Calibri" w:cs="Arial"/>
          <w:sz w:val="20"/>
          <w:szCs w:val="20"/>
          <w:lang w:val="es-ES" w:eastAsia="en-US"/>
        </w:rPr>
        <w:t xml:space="preserve">señaló </w:t>
      </w:r>
      <w:r w:rsidRPr="00975C02">
        <w:rPr>
          <w:rFonts w:eastAsia="Calibri" w:cs="Arial"/>
          <w:sz w:val="20"/>
          <w:szCs w:val="20"/>
          <w:lang w:val="es-ES" w:eastAsia="en-US"/>
        </w:rPr>
        <w:t>que</w:t>
      </w:r>
      <w:r w:rsidR="000B532D" w:rsidRPr="00975C02">
        <w:rPr>
          <w:rFonts w:eastAsia="Calibri" w:cs="Arial"/>
          <w:sz w:val="20"/>
          <w:szCs w:val="20"/>
          <w:lang w:val="es-ES" w:eastAsia="en-US"/>
        </w:rPr>
        <w:t xml:space="preserve"> la defensa del Estado se basa en la pretensión de aplicar una reserva formulada por Nicaragua en el año 2006, en relación con</w:t>
      </w:r>
      <w:r w:rsidRPr="00975C02">
        <w:rPr>
          <w:rFonts w:eastAsia="Calibri" w:cs="Arial"/>
          <w:sz w:val="20"/>
          <w:szCs w:val="20"/>
          <w:lang w:val="es-ES" w:eastAsia="en-US"/>
        </w:rPr>
        <w:t xml:space="preserve"> el artículo 45 de la Convención Americana </w:t>
      </w:r>
      <w:r w:rsidR="000B532D" w:rsidRPr="00975C02">
        <w:rPr>
          <w:rFonts w:eastAsia="Calibri" w:cs="Arial"/>
          <w:sz w:val="20"/>
          <w:szCs w:val="20"/>
          <w:lang w:val="es-ES" w:eastAsia="en-US"/>
        </w:rPr>
        <w:t xml:space="preserve">que </w:t>
      </w:r>
      <w:r w:rsidRPr="00975C02">
        <w:rPr>
          <w:rFonts w:eastAsia="Calibri" w:cs="Arial"/>
          <w:sz w:val="20"/>
          <w:szCs w:val="20"/>
          <w:lang w:val="es-ES" w:eastAsia="en-US"/>
        </w:rPr>
        <w:t xml:space="preserve">regula lo relativo a las comunicaciones entre Estados </w:t>
      </w:r>
      <w:r w:rsidR="000B532D" w:rsidRPr="00975C02">
        <w:rPr>
          <w:rFonts w:eastAsia="Calibri" w:cs="Arial"/>
          <w:sz w:val="20"/>
          <w:szCs w:val="20"/>
          <w:lang w:val="es-ES" w:eastAsia="en-US"/>
        </w:rPr>
        <w:t>o peticiones interestatales</w:t>
      </w:r>
      <w:r w:rsidRPr="00975C02">
        <w:rPr>
          <w:rFonts w:eastAsia="Calibri" w:cs="Arial"/>
          <w:sz w:val="20"/>
          <w:szCs w:val="20"/>
          <w:lang w:val="es-ES" w:eastAsia="en-US"/>
        </w:rPr>
        <w:t xml:space="preserve">, </w:t>
      </w:r>
      <w:r w:rsidR="000B532D" w:rsidRPr="00975C02">
        <w:rPr>
          <w:rFonts w:eastAsia="Calibri" w:cs="Arial"/>
          <w:sz w:val="20"/>
          <w:szCs w:val="20"/>
          <w:lang w:val="es-ES" w:eastAsia="en-US"/>
        </w:rPr>
        <w:t>“</w:t>
      </w:r>
      <w:r w:rsidRPr="00975C02">
        <w:rPr>
          <w:rFonts w:eastAsia="Calibri" w:cs="Arial"/>
          <w:sz w:val="20"/>
          <w:szCs w:val="20"/>
          <w:lang w:val="es-ES" w:eastAsia="en-US"/>
        </w:rPr>
        <w:t>lo que no guarda relación alguna con el presente caso”. Por lo tanto, solicitó a la Corte que desechara esta excepción preliminar.</w:t>
      </w:r>
    </w:p>
    <w:p w14:paraId="5AB681D5" w14:textId="77777777" w:rsidR="0026739F" w:rsidRPr="00975C02" w:rsidRDefault="0026739F" w:rsidP="0026739F">
      <w:pPr>
        <w:tabs>
          <w:tab w:val="left" w:pos="567"/>
        </w:tabs>
        <w:spacing w:line="240" w:lineRule="auto"/>
        <w:rPr>
          <w:rFonts w:eastAsia="Calibri" w:cs="Arial"/>
          <w:sz w:val="20"/>
          <w:szCs w:val="20"/>
          <w:lang w:val="es-ES" w:eastAsia="en-US"/>
        </w:rPr>
      </w:pPr>
    </w:p>
    <w:p w14:paraId="269FAA3D" w14:textId="227B413E" w:rsidR="0026739F" w:rsidRPr="00975C02" w:rsidRDefault="0026739F" w:rsidP="00C8070B">
      <w:pPr>
        <w:numPr>
          <w:ilvl w:val="0"/>
          <w:numId w:val="2"/>
        </w:numPr>
        <w:tabs>
          <w:tab w:val="left" w:pos="567"/>
          <w:tab w:val="num" w:pos="12305"/>
        </w:tabs>
        <w:spacing w:line="240" w:lineRule="auto"/>
        <w:ind w:left="0" w:firstLine="0"/>
        <w:rPr>
          <w:rFonts w:eastAsia="Calibri" w:cs="Arial"/>
          <w:sz w:val="20"/>
          <w:szCs w:val="20"/>
          <w:lang w:val="es-ES" w:eastAsia="en-US"/>
        </w:rPr>
      </w:pPr>
      <w:r w:rsidRPr="00975C02">
        <w:rPr>
          <w:rFonts w:eastAsia="Calibri" w:cs="Arial"/>
          <w:sz w:val="20"/>
          <w:szCs w:val="20"/>
          <w:lang w:val="es-ES" w:eastAsia="en-US"/>
        </w:rPr>
        <w:t xml:space="preserve">Las </w:t>
      </w:r>
      <w:r w:rsidRPr="00975C02">
        <w:rPr>
          <w:rFonts w:eastAsia="Calibri" w:cs="Arial"/>
          <w:b/>
          <w:i/>
          <w:sz w:val="20"/>
          <w:szCs w:val="20"/>
          <w:lang w:val="es-ES" w:eastAsia="en-US"/>
        </w:rPr>
        <w:t>representantes</w:t>
      </w:r>
      <w:r w:rsidRPr="00975C02">
        <w:rPr>
          <w:rFonts w:eastAsia="Calibri" w:cs="Arial"/>
          <w:sz w:val="20"/>
          <w:szCs w:val="20"/>
          <w:lang w:val="es-ES" w:eastAsia="en-US"/>
        </w:rPr>
        <w:t xml:space="preserve"> sostuvieron que la Corte es competente para conocer del presente caso porque Nicaragua es Estado Parte de la Convención desde el 25 de septiembre de 1979, y aceptó la competencia contenciosa de la Corte el 12 de febrero de 1991. Asimismo, afirmaron que el único </w:t>
      </w:r>
      <w:r w:rsidR="00563E36" w:rsidRPr="00975C02">
        <w:rPr>
          <w:rFonts w:eastAsia="Calibri" w:cs="Arial"/>
          <w:sz w:val="20"/>
          <w:szCs w:val="20"/>
          <w:lang w:val="es-ES" w:eastAsia="en-US"/>
        </w:rPr>
        <w:t xml:space="preserve">supuesto para el </w:t>
      </w:r>
      <w:r w:rsidRPr="00975C02">
        <w:rPr>
          <w:rFonts w:eastAsia="Calibri" w:cs="Arial"/>
          <w:sz w:val="20"/>
          <w:szCs w:val="20"/>
          <w:lang w:val="es-ES" w:eastAsia="en-US"/>
        </w:rPr>
        <w:t xml:space="preserve">que se </w:t>
      </w:r>
      <w:r w:rsidR="00563E36" w:rsidRPr="00975C02">
        <w:rPr>
          <w:rFonts w:eastAsia="Calibri" w:cs="Arial"/>
          <w:sz w:val="20"/>
          <w:szCs w:val="20"/>
          <w:lang w:val="es-ES" w:eastAsia="en-US"/>
        </w:rPr>
        <w:t xml:space="preserve">requiere </w:t>
      </w:r>
      <w:r w:rsidRPr="00975C02">
        <w:rPr>
          <w:rFonts w:eastAsia="Calibri" w:cs="Arial"/>
          <w:sz w:val="20"/>
          <w:szCs w:val="20"/>
          <w:lang w:val="es-ES" w:eastAsia="en-US"/>
        </w:rPr>
        <w:t xml:space="preserve">el reconocimiento expreso de la competencia de la Comisión es el </w:t>
      </w:r>
      <w:r w:rsidR="00563E36" w:rsidRPr="00975C02">
        <w:rPr>
          <w:rFonts w:eastAsia="Calibri" w:cs="Arial"/>
          <w:sz w:val="20"/>
          <w:szCs w:val="20"/>
          <w:lang w:val="es-ES" w:eastAsia="en-US"/>
        </w:rPr>
        <w:t xml:space="preserve">previsto en el </w:t>
      </w:r>
      <w:r w:rsidRPr="00975C02">
        <w:rPr>
          <w:rFonts w:eastAsia="Calibri" w:cs="Arial"/>
          <w:sz w:val="20"/>
          <w:szCs w:val="20"/>
          <w:lang w:val="es-ES" w:eastAsia="en-US"/>
        </w:rPr>
        <w:t>artículo 45 de la Convención</w:t>
      </w:r>
      <w:r w:rsidR="007143D4" w:rsidRPr="00975C02">
        <w:rPr>
          <w:rFonts w:eastAsia="Calibri" w:cs="Arial"/>
          <w:sz w:val="20"/>
          <w:szCs w:val="20"/>
          <w:lang w:val="es-ES" w:eastAsia="en-US"/>
        </w:rPr>
        <w:t>,</w:t>
      </w:r>
      <w:r w:rsidRPr="00975C02">
        <w:rPr>
          <w:rFonts w:eastAsia="Calibri" w:cs="Arial"/>
          <w:sz w:val="20"/>
          <w:szCs w:val="20"/>
          <w:lang w:val="es-ES" w:eastAsia="en-US"/>
        </w:rPr>
        <w:t xml:space="preserve"> pero el mismo hace referencia exclusiva a recibir y examinar comunicaciones entre Estados, no entre particulares y Estado. De ese modo, las representantes concluyeron que no es aplicable al presente caso el párrafo que adicionó el Estado en febrero de 2006</w:t>
      </w:r>
      <w:r w:rsidR="00563E36" w:rsidRPr="00975C02">
        <w:rPr>
          <w:rFonts w:eastAsia="Calibri" w:cs="Arial"/>
          <w:sz w:val="20"/>
          <w:szCs w:val="20"/>
          <w:lang w:val="es-ES" w:eastAsia="en-US"/>
        </w:rPr>
        <w:t>,</w:t>
      </w:r>
      <w:r w:rsidRPr="00975C02">
        <w:rPr>
          <w:rFonts w:eastAsia="Calibri" w:cs="Arial"/>
          <w:sz w:val="20"/>
          <w:szCs w:val="20"/>
          <w:lang w:val="es-ES" w:eastAsia="en-US"/>
        </w:rPr>
        <w:t xml:space="preserve"> toda vez que no se trata de una petición interestatal. Por consiguiente, solicitaron a la Corte que desestimara la excepción de incompetencia planteada por Nicaragua.</w:t>
      </w:r>
    </w:p>
    <w:p w14:paraId="5652A22D" w14:textId="77777777" w:rsidR="0026739F" w:rsidRPr="00975C02" w:rsidRDefault="0026739F" w:rsidP="0026739F">
      <w:pPr>
        <w:tabs>
          <w:tab w:val="left" w:pos="567"/>
        </w:tabs>
        <w:spacing w:line="240" w:lineRule="auto"/>
        <w:rPr>
          <w:rFonts w:eastAsia="Calibri" w:cs="Arial"/>
          <w:sz w:val="20"/>
          <w:szCs w:val="20"/>
          <w:lang w:val="es-ES" w:eastAsia="en-US"/>
        </w:rPr>
      </w:pPr>
    </w:p>
    <w:p w14:paraId="3B248525" w14:textId="77777777" w:rsidR="0026739F" w:rsidRPr="00975C02" w:rsidRDefault="0026739F" w:rsidP="0026739F">
      <w:pPr>
        <w:pStyle w:val="Heading2"/>
        <w:tabs>
          <w:tab w:val="left" w:pos="1843"/>
        </w:tabs>
        <w:spacing w:before="0" w:line="240" w:lineRule="auto"/>
        <w:ind w:left="1134"/>
        <w:rPr>
          <w:rFonts w:ascii="Verdana" w:hAnsi="Verdana"/>
          <w:b w:val="0"/>
          <w:i/>
          <w:color w:val="auto"/>
          <w:sz w:val="20"/>
          <w:szCs w:val="20"/>
          <w:lang w:val="es-ES"/>
        </w:rPr>
      </w:pPr>
      <w:bookmarkStart w:id="56" w:name="_Toc514172598"/>
      <w:r w:rsidRPr="00975C02">
        <w:rPr>
          <w:rFonts w:ascii="Verdana" w:hAnsi="Verdana"/>
          <w:b w:val="0"/>
          <w:i/>
          <w:color w:val="auto"/>
          <w:sz w:val="20"/>
          <w:szCs w:val="20"/>
          <w:lang w:val="es-ES"/>
        </w:rPr>
        <w:t xml:space="preserve">B.2 </w:t>
      </w:r>
      <w:r w:rsidRPr="00975C02">
        <w:rPr>
          <w:rFonts w:ascii="Verdana" w:hAnsi="Verdana"/>
          <w:b w:val="0"/>
          <w:i/>
          <w:color w:val="auto"/>
          <w:sz w:val="20"/>
          <w:szCs w:val="20"/>
          <w:lang w:val="es-ES"/>
        </w:rPr>
        <w:tab/>
        <w:t>Consideraciones de la Corte</w:t>
      </w:r>
      <w:bookmarkEnd w:id="56"/>
    </w:p>
    <w:p w14:paraId="0314AC65" w14:textId="77777777" w:rsidR="0026739F" w:rsidRPr="00975C02" w:rsidRDefault="0026739F" w:rsidP="0026739F">
      <w:pPr>
        <w:tabs>
          <w:tab w:val="left" w:pos="567"/>
        </w:tabs>
        <w:spacing w:line="240" w:lineRule="auto"/>
        <w:rPr>
          <w:rFonts w:eastAsia="Calibri" w:cs="Arial"/>
          <w:sz w:val="20"/>
          <w:szCs w:val="20"/>
          <w:lang w:val="es-ES" w:eastAsia="en-US"/>
        </w:rPr>
      </w:pPr>
    </w:p>
    <w:p w14:paraId="4B264AE6" w14:textId="6D82A051" w:rsidR="0026739F" w:rsidRPr="00975C02" w:rsidRDefault="0026739F" w:rsidP="00C8070B">
      <w:pPr>
        <w:pStyle w:val="ListParagraph"/>
        <w:numPr>
          <w:ilvl w:val="0"/>
          <w:numId w:val="2"/>
        </w:numPr>
        <w:tabs>
          <w:tab w:val="left" w:pos="567"/>
        </w:tabs>
        <w:spacing w:line="240" w:lineRule="auto"/>
        <w:ind w:left="0" w:firstLine="0"/>
        <w:contextualSpacing/>
        <w:rPr>
          <w:sz w:val="20"/>
          <w:szCs w:val="20"/>
          <w:lang w:val="es-ES"/>
        </w:rPr>
      </w:pPr>
      <w:r w:rsidRPr="00975C02">
        <w:rPr>
          <w:rFonts w:eastAsia="Calibri" w:cs="Arial"/>
          <w:sz w:val="20"/>
          <w:szCs w:val="20"/>
          <w:lang w:val="es-ES" w:eastAsia="en-US"/>
        </w:rPr>
        <w:t>Considerando los argumentos estatales que sustentan la excepción preliminar</w:t>
      </w:r>
      <w:r w:rsidR="007143D4" w:rsidRPr="00975C02">
        <w:rPr>
          <w:rFonts w:eastAsia="Calibri" w:cs="Arial"/>
          <w:sz w:val="20"/>
          <w:szCs w:val="20"/>
          <w:lang w:val="es-ES" w:eastAsia="en-US"/>
        </w:rPr>
        <w:t xml:space="preserve"> bajo análisis</w:t>
      </w:r>
      <w:r w:rsidRPr="00975C02">
        <w:rPr>
          <w:rFonts w:eastAsia="Calibri" w:cs="Arial"/>
          <w:sz w:val="20"/>
          <w:szCs w:val="20"/>
          <w:lang w:val="es-ES" w:eastAsia="en-US"/>
        </w:rPr>
        <w:t xml:space="preserve">, la Corte </w:t>
      </w:r>
      <w:r w:rsidR="009E055A" w:rsidRPr="00975C02">
        <w:rPr>
          <w:rFonts w:eastAsia="Calibri" w:cs="Arial"/>
          <w:sz w:val="20"/>
          <w:szCs w:val="20"/>
          <w:lang w:val="es-ES" w:eastAsia="en-US"/>
        </w:rPr>
        <w:t>recuerda que</w:t>
      </w:r>
      <w:r w:rsidRPr="00975C02">
        <w:rPr>
          <w:sz w:val="20"/>
          <w:szCs w:val="20"/>
          <w:lang w:val="es-ES"/>
        </w:rPr>
        <w:t xml:space="preserve"> la función contenciosa puede suscitarse con motivo de dos procedimientos diferenciados de quejas o comunicaciones ante la Comisión</w:t>
      </w:r>
      <w:r w:rsidRPr="00975C02">
        <w:rPr>
          <w:rFonts w:eastAsia="Calibri" w:cs="Arial"/>
          <w:sz w:val="20"/>
          <w:szCs w:val="20"/>
          <w:lang w:val="es-ES" w:eastAsia="en-US"/>
        </w:rPr>
        <w:t xml:space="preserve">, cada uno de los cuales se rige por sus regulaciones específicas. </w:t>
      </w:r>
      <w:r w:rsidRPr="00975C02">
        <w:rPr>
          <w:sz w:val="20"/>
          <w:szCs w:val="20"/>
          <w:lang w:val="es-ES"/>
        </w:rPr>
        <w:t xml:space="preserve">Uno de ellos es </w:t>
      </w:r>
      <w:r w:rsidRPr="00975C02">
        <w:rPr>
          <w:rFonts w:eastAsia="Calibri" w:cs="Arial"/>
          <w:sz w:val="20"/>
          <w:szCs w:val="20"/>
          <w:lang w:val="es-ES" w:eastAsia="en-US"/>
        </w:rPr>
        <w:t>en el marco del sistema de peticiones individuales,</w:t>
      </w:r>
      <w:r w:rsidRPr="00975C02">
        <w:rPr>
          <w:sz w:val="20"/>
          <w:szCs w:val="20"/>
          <w:lang w:val="es-ES"/>
        </w:rPr>
        <w:t xml:space="preserve"> establecido por el artículo 44 de la Convención, conforme al cual los Estados se constituyen en la parte demandada respecto a casos contenciosos originados en peticiones individuales. En el otro</w:t>
      </w:r>
      <w:r w:rsidR="007143D4" w:rsidRPr="00975C02">
        <w:rPr>
          <w:sz w:val="20"/>
          <w:szCs w:val="20"/>
          <w:lang w:val="es-ES"/>
        </w:rPr>
        <w:t xml:space="preserve"> procedimiento</w:t>
      </w:r>
      <w:r w:rsidRPr="00975C02">
        <w:rPr>
          <w:sz w:val="20"/>
          <w:szCs w:val="20"/>
          <w:lang w:val="es-ES"/>
        </w:rPr>
        <w:t xml:space="preserve">, dispuesto en el artículo 45 de dicho tratado, los Estados se presentan como partes procesales opuestas, es decir, como demandado y demandante en casos contenciosos originados por comunicaciones interestatales. </w:t>
      </w:r>
      <w:r w:rsidRPr="00975C02">
        <w:rPr>
          <w:rStyle w:val="apple-style-span"/>
          <w:sz w:val="20"/>
          <w:szCs w:val="20"/>
          <w:lang w:val="es-ES"/>
        </w:rPr>
        <w:t xml:space="preserve">Una vez concluido </w:t>
      </w:r>
      <w:r w:rsidR="0025595E" w:rsidRPr="00975C02">
        <w:rPr>
          <w:rStyle w:val="apple-style-span"/>
          <w:sz w:val="20"/>
          <w:szCs w:val="20"/>
          <w:lang w:val="es-ES"/>
        </w:rPr>
        <w:t>dicho</w:t>
      </w:r>
      <w:r w:rsidRPr="00975C02">
        <w:rPr>
          <w:rStyle w:val="apple-style-span"/>
          <w:sz w:val="20"/>
          <w:szCs w:val="20"/>
          <w:lang w:val="es-ES"/>
        </w:rPr>
        <w:t xml:space="preserve"> trámite, las mismas pueden derivarse en el sometimiento de un caso ante la Corte, </w:t>
      </w:r>
      <w:r w:rsidRPr="00975C02">
        <w:rPr>
          <w:sz w:val="20"/>
          <w:szCs w:val="20"/>
          <w:lang w:val="es-ES"/>
        </w:rPr>
        <w:t xml:space="preserve">siempre que se reúnan los demás requisitos para que </w:t>
      </w:r>
      <w:r w:rsidRPr="00975C02">
        <w:rPr>
          <w:sz w:val="20"/>
          <w:szCs w:val="20"/>
          <w:lang w:val="es-ES"/>
        </w:rPr>
        <w:lastRenderedPageBreak/>
        <w:t>ella pueda ejercer su competencia contenciosa</w:t>
      </w:r>
      <w:r w:rsidRPr="00975C02">
        <w:rPr>
          <w:rStyle w:val="FootnoteReference"/>
          <w:sz w:val="20"/>
          <w:szCs w:val="20"/>
          <w:lang w:val="es-ES"/>
        </w:rPr>
        <w:footnoteReference w:id="26"/>
      </w:r>
      <w:r w:rsidRPr="00975C02">
        <w:rPr>
          <w:sz w:val="20"/>
          <w:szCs w:val="20"/>
          <w:lang w:val="es-ES"/>
        </w:rPr>
        <w:t>.</w:t>
      </w:r>
    </w:p>
    <w:p w14:paraId="171439D8" w14:textId="77777777" w:rsidR="0026739F" w:rsidRPr="00975C02" w:rsidRDefault="0026739F" w:rsidP="0026739F">
      <w:pPr>
        <w:pStyle w:val="ListParagraph"/>
        <w:tabs>
          <w:tab w:val="left" w:pos="567"/>
        </w:tabs>
        <w:spacing w:line="240" w:lineRule="auto"/>
        <w:ind w:left="0"/>
        <w:rPr>
          <w:sz w:val="20"/>
          <w:szCs w:val="20"/>
          <w:lang w:val="es-ES"/>
        </w:rPr>
      </w:pPr>
    </w:p>
    <w:p w14:paraId="7DFBC73E" w14:textId="2DFF60DE" w:rsidR="0026739F" w:rsidRPr="00975C02" w:rsidRDefault="0026739F" w:rsidP="00C8070B">
      <w:pPr>
        <w:pStyle w:val="ListParagraph"/>
        <w:numPr>
          <w:ilvl w:val="0"/>
          <w:numId w:val="2"/>
        </w:numPr>
        <w:tabs>
          <w:tab w:val="left" w:pos="567"/>
        </w:tabs>
        <w:spacing w:line="240" w:lineRule="auto"/>
        <w:ind w:left="0" w:firstLine="0"/>
        <w:contextualSpacing/>
        <w:rPr>
          <w:sz w:val="20"/>
          <w:szCs w:val="20"/>
          <w:lang w:val="es-ES"/>
        </w:rPr>
      </w:pPr>
      <w:r w:rsidRPr="00975C02">
        <w:rPr>
          <w:rFonts w:eastAsia="Calibri"/>
          <w:sz w:val="20"/>
          <w:szCs w:val="20"/>
          <w:lang w:val="es-ES"/>
        </w:rPr>
        <w:t xml:space="preserve">Con relación a las peticiones individuales, según lo </w:t>
      </w:r>
      <w:r w:rsidRPr="00975C02">
        <w:rPr>
          <w:sz w:val="20"/>
          <w:szCs w:val="20"/>
          <w:lang w:val="es-ES"/>
        </w:rPr>
        <w:t xml:space="preserve">indicado </w:t>
      </w:r>
      <w:r w:rsidRPr="00975C02">
        <w:rPr>
          <w:rFonts w:eastAsia="Calibri"/>
          <w:sz w:val="20"/>
          <w:szCs w:val="20"/>
          <w:lang w:val="es-ES"/>
        </w:rPr>
        <w:t>por el artículo 44 de la Convención, el artículo 19 de</w:t>
      </w:r>
      <w:r w:rsidR="00BC22DD" w:rsidRPr="00975C02">
        <w:rPr>
          <w:rFonts w:eastAsia="Calibri"/>
          <w:sz w:val="20"/>
          <w:szCs w:val="20"/>
          <w:lang w:val="es-ES"/>
        </w:rPr>
        <w:t>l</w:t>
      </w:r>
      <w:r w:rsidR="00E966BA" w:rsidRPr="00975C02">
        <w:rPr>
          <w:rFonts w:eastAsia="Calibri"/>
          <w:sz w:val="20"/>
          <w:szCs w:val="20"/>
          <w:lang w:val="es-ES"/>
        </w:rPr>
        <w:t xml:space="preserve"> </w:t>
      </w:r>
      <w:r w:rsidRPr="00975C02">
        <w:rPr>
          <w:rFonts w:eastAsia="Calibri"/>
          <w:sz w:val="20"/>
          <w:szCs w:val="20"/>
          <w:lang w:val="es-ES"/>
        </w:rPr>
        <w:t>Estatuto</w:t>
      </w:r>
      <w:r w:rsidR="00BC22DD" w:rsidRPr="00975C02">
        <w:rPr>
          <w:rFonts w:eastAsia="Calibri"/>
          <w:sz w:val="20"/>
          <w:szCs w:val="20"/>
          <w:lang w:val="es-ES"/>
        </w:rPr>
        <w:t xml:space="preserve"> de la Comisión</w:t>
      </w:r>
      <w:r w:rsidRPr="00975C02">
        <w:rPr>
          <w:rFonts w:eastAsia="Calibri"/>
          <w:sz w:val="20"/>
          <w:szCs w:val="20"/>
          <w:lang w:val="es-ES"/>
        </w:rPr>
        <w:t xml:space="preserve"> y el artículo 23 de su Reglamento, la competencia </w:t>
      </w:r>
      <w:r w:rsidR="00E966BA" w:rsidRPr="00975C02">
        <w:rPr>
          <w:rFonts w:eastAsia="Calibri"/>
          <w:sz w:val="20"/>
          <w:szCs w:val="20"/>
          <w:lang w:val="es-ES"/>
        </w:rPr>
        <w:t xml:space="preserve">de la Comisión </w:t>
      </w:r>
      <w:r w:rsidRPr="00975C02">
        <w:rPr>
          <w:rFonts w:eastAsia="Calibri"/>
          <w:sz w:val="20"/>
          <w:szCs w:val="20"/>
          <w:lang w:val="es-ES"/>
        </w:rPr>
        <w:t xml:space="preserve">queda habilitada de manera automática para conocer </w:t>
      </w:r>
      <w:r w:rsidR="00FA5549" w:rsidRPr="00975C02">
        <w:rPr>
          <w:rFonts w:eastAsia="Calibri"/>
          <w:sz w:val="20"/>
          <w:szCs w:val="20"/>
          <w:lang w:val="es-ES"/>
        </w:rPr>
        <w:t xml:space="preserve">de </w:t>
      </w:r>
      <w:r w:rsidRPr="00975C02">
        <w:rPr>
          <w:rFonts w:eastAsia="Calibri"/>
          <w:sz w:val="20"/>
          <w:szCs w:val="20"/>
          <w:lang w:val="es-ES"/>
        </w:rPr>
        <w:t>alegadas violaciones a la Convención Americana, siempre que el Estado demandado haya ratificado dicho instrumento. En cambio, respecto de las comunicaciones entre Estados, es menester que el Estado demandado, además de haber ratificado la Convención, haya declarado expresamente su voluntad de someterse a la competencia de la Comisión, con arreglo a</w:t>
      </w:r>
      <w:r w:rsidR="00C06077" w:rsidRPr="00975C02">
        <w:rPr>
          <w:rFonts w:eastAsia="Calibri"/>
          <w:sz w:val="20"/>
          <w:szCs w:val="20"/>
          <w:lang w:val="es-ES"/>
        </w:rPr>
        <w:t xml:space="preserve"> </w:t>
      </w:r>
      <w:r w:rsidRPr="00975C02">
        <w:rPr>
          <w:rFonts w:eastAsia="Calibri"/>
          <w:sz w:val="20"/>
          <w:szCs w:val="20"/>
          <w:lang w:val="es-ES"/>
        </w:rPr>
        <w:t>l</w:t>
      </w:r>
      <w:r w:rsidR="00C06077" w:rsidRPr="00975C02">
        <w:rPr>
          <w:rFonts w:eastAsia="Calibri"/>
          <w:sz w:val="20"/>
          <w:szCs w:val="20"/>
          <w:lang w:val="es-ES"/>
        </w:rPr>
        <w:t xml:space="preserve">o establecido en </w:t>
      </w:r>
      <w:r w:rsidRPr="00975C02">
        <w:rPr>
          <w:rFonts w:eastAsia="Calibri"/>
          <w:sz w:val="20"/>
          <w:szCs w:val="20"/>
          <w:lang w:val="es-ES"/>
        </w:rPr>
        <w:t>el artículo 45</w:t>
      </w:r>
      <w:r w:rsidRPr="00975C02">
        <w:rPr>
          <w:rFonts w:eastAsia="Calibri"/>
          <w:sz w:val="20"/>
          <w:szCs w:val="20"/>
          <w:vertAlign w:val="superscript"/>
          <w:lang w:val="es-ES"/>
        </w:rPr>
        <w:footnoteReference w:id="27"/>
      </w:r>
      <w:r w:rsidRPr="00975C02">
        <w:rPr>
          <w:rFonts w:eastAsia="Calibri"/>
          <w:sz w:val="20"/>
          <w:szCs w:val="20"/>
          <w:lang w:val="es-ES"/>
        </w:rPr>
        <w:t>.</w:t>
      </w:r>
    </w:p>
    <w:p w14:paraId="3F178312" w14:textId="77777777" w:rsidR="0026739F" w:rsidRPr="00975C02" w:rsidRDefault="0026739F" w:rsidP="0026739F">
      <w:pPr>
        <w:pStyle w:val="ListParagraph"/>
        <w:tabs>
          <w:tab w:val="left" w:pos="567"/>
        </w:tabs>
        <w:spacing w:line="240" w:lineRule="auto"/>
        <w:ind w:left="0"/>
        <w:rPr>
          <w:sz w:val="20"/>
          <w:szCs w:val="20"/>
          <w:lang w:val="es-ES"/>
        </w:rPr>
      </w:pPr>
    </w:p>
    <w:p w14:paraId="040C1299" w14:textId="674923F6" w:rsidR="00227ECE" w:rsidRPr="00975C02" w:rsidRDefault="0026739F" w:rsidP="00227ECE">
      <w:pPr>
        <w:pStyle w:val="ListParagraph"/>
        <w:numPr>
          <w:ilvl w:val="0"/>
          <w:numId w:val="2"/>
        </w:numPr>
        <w:tabs>
          <w:tab w:val="left" w:pos="567"/>
        </w:tabs>
        <w:spacing w:line="240" w:lineRule="auto"/>
        <w:ind w:left="0" w:firstLine="0"/>
        <w:contextualSpacing/>
        <w:rPr>
          <w:sz w:val="20"/>
          <w:szCs w:val="20"/>
          <w:lang w:val="es-ES"/>
        </w:rPr>
      </w:pPr>
      <w:r w:rsidRPr="00975C02">
        <w:rPr>
          <w:rFonts w:eastAsia="Calibri"/>
          <w:sz w:val="20"/>
          <w:szCs w:val="20"/>
          <w:lang w:val="es-ES"/>
        </w:rPr>
        <w:t>Ahora bien</w:t>
      </w:r>
      <w:r w:rsidR="00227ECE" w:rsidRPr="00975C02">
        <w:rPr>
          <w:rFonts w:eastAsia="Calibri"/>
          <w:sz w:val="20"/>
          <w:szCs w:val="20"/>
          <w:lang w:val="es-ES"/>
        </w:rPr>
        <w:t>,</w:t>
      </w:r>
      <w:r w:rsidRPr="00975C02">
        <w:rPr>
          <w:rFonts w:eastAsia="Calibri"/>
          <w:sz w:val="20"/>
          <w:szCs w:val="20"/>
          <w:lang w:val="es-ES"/>
        </w:rPr>
        <w:t xml:space="preserve"> l</w:t>
      </w:r>
      <w:r w:rsidR="00227ECE" w:rsidRPr="00975C02">
        <w:rPr>
          <w:rFonts w:eastAsia="Calibri"/>
          <w:sz w:val="20"/>
          <w:szCs w:val="20"/>
          <w:lang w:val="es-ES"/>
        </w:rPr>
        <w:t xml:space="preserve">a Corte nota que </w:t>
      </w:r>
      <w:r w:rsidRPr="00975C02">
        <w:rPr>
          <w:rFonts w:eastAsia="Calibri"/>
          <w:sz w:val="20"/>
          <w:szCs w:val="20"/>
          <w:lang w:val="es-ES"/>
        </w:rPr>
        <w:t>la</w:t>
      </w:r>
      <w:r w:rsidRPr="00975C02">
        <w:rPr>
          <w:rFonts w:eastAsia="Calibri" w:cs="Arial"/>
          <w:sz w:val="20"/>
          <w:szCs w:val="20"/>
          <w:lang w:val="es-ES" w:eastAsia="en-US"/>
        </w:rPr>
        <w:t xml:space="preserve"> </w:t>
      </w:r>
      <w:r w:rsidRPr="00975C02">
        <w:rPr>
          <w:rFonts w:eastAsia="Calibri"/>
          <w:sz w:val="20"/>
          <w:szCs w:val="20"/>
          <w:lang w:val="es-ES"/>
        </w:rPr>
        <w:t>declaración</w:t>
      </w:r>
      <w:r w:rsidRPr="00975C02">
        <w:rPr>
          <w:rFonts w:eastAsia="Calibri" w:cs="Arial"/>
          <w:sz w:val="20"/>
          <w:szCs w:val="20"/>
          <w:lang w:val="es-ES" w:eastAsia="en-US"/>
        </w:rPr>
        <w:t xml:space="preserve"> </w:t>
      </w:r>
      <w:r w:rsidR="00FF0691" w:rsidRPr="00975C02">
        <w:rPr>
          <w:rFonts w:eastAsia="Calibri" w:cs="Arial"/>
          <w:sz w:val="20"/>
          <w:szCs w:val="20"/>
          <w:lang w:val="es-ES" w:eastAsia="en-US"/>
        </w:rPr>
        <w:t>de reconocimiento de competencia</w:t>
      </w:r>
      <w:r w:rsidR="003B6A9D" w:rsidRPr="00975C02">
        <w:rPr>
          <w:rFonts w:eastAsia="Calibri" w:cs="Arial"/>
          <w:sz w:val="20"/>
          <w:szCs w:val="20"/>
          <w:lang w:val="es-ES" w:eastAsia="en-US"/>
        </w:rPr>
        <w:t xml:space="preserve"> </w:t>
      </w:r>
      <w:r w:rsidR="000563B3" w:rsidRPr="00975C02">
        <w:rPr>
          <w:rFonts w:eastAsia="Calibri" w:cs="Arial"/>
          <w:sz w:val="20"/>
          <w:szCs w:val="20"/>
          <w:lang w:val="es-ES" w:eastAsia="en-US"/>
        </w:rPr>
        <w:t xml:space="preserve">señalada </w:t>
      </w:r>
      <w:r w:rsidR="00227ECE" w:rsidRPr="00975C02">
        <w:rPr>
          <w:rFonts w:eastAsia="Calibri" w:cs="Arial"/>
          <w:sz w:val="20"/>
          <w:szCs w:val="20"/>
          <w:lang w:val="es-ES" w:eastAsia="en-US"/>
        </w:rPr>
        <w:t>por el Estado</w:t>
      </w:r>
      <w:r w:rsidRPr="00975C02">
        <w:rPr>
          <w:rFonts w:eastAsia="Calibri" w:cs="Arial"/>
          <w:sz w:val="20"/>
          <w:szCs w:val="20"/>
          <w:lang w:val="es-ES" w:eastAsia="en-US"/>
        </w:rPr>
        <w:t xml:space="preserve"> </w:t>
      </w:r>
      <w:r w:rsidR="00227ECE" w:rsidRPr="00975C02">
        <w:rPr>
          <w:rFonts w:eastAsia="Calibri"/>
          <w:sz w:val="20"/>
          <w:szCs w:val="20"/>
          <w:lang w:val="es-ES"/>
        </w:rPr>
        <w:t>de Nicaragua</w:t>
      </w:r>
      <w:r w:rsidR="00024EFF" w:rsidRPr="00975C02">
        <w:rPr>
          <w:rFonts w:eastAsia="Calibri"/>
          <w:sz w:val="20"/>
          <w:szCs w:val="20"/>
          <w:lang w:val="es-ES"/>
        </w:rPr>
        <w:t xml:space="preserve"> del año 2006</w:t>
      </w:r>
      <w:r w:rsidR="00227ECE" w:rsidRPr="00975C02">
        <w:rPr>
          <w:rFonts w:eastAsia="Calibri" w:cs="Arial"/>
          <w:sz w:val="20"/>
          <w:szCs w:val="20"/>
          <w:lang w:val="es-ES" w:eastAsia="en-US"/>
        </w:rPr>
        <w:t xml:space="preserve"> se </w:t>
      </w:r>
      <w:r w:rsidR="00FA5549" w:rsidRPr="00975C02">
        <w:rPr>
          <w:rFonts w:eastAsia="Calibri" w:cs="Arial"/>
          <w:sz w:val="20"/>
          <w:szCs w:val="20"/>
          <w:lang w:val="es-ES" w:eastAsia="en-US"/>
        </w:rPr>
        <w:t>refiere a</w:t>
      </w:r>
      <w:r w:rsidR="00227ECE" w:rsidRPr="00975C02">
        <w:rPr>
          <w:rFonts w:eastAsia="Calibri" w:cs="Arial"/>
          <w:sz w:val="20"/>
          <w:szCs w:val="20"/>
          <w:lang w:val="es-ES" w:eastAsia="en-US"/>
        </w:rPr>
        <w:t xml:space="preserve">l </w:t>
      </w:r>
      <w:r w:rsidRPr="00975C02">
        <w:rPr>
          <w:rFonts w:eastAsia="Calibri" w:cs="Arial"/>
          <w:sz w:val="20"/>
          <w:szCs w:val="20"/>
          <w:lang w:val="es-ES" w:eastAsia="en-US"/>
        </w:rPr>
        <w:t>artículo 45 que, como ya se expresó, rige la competencia de la Comisión para conocer de demandas interestatales.</w:t>
      </w:r>
      <w:r w:rsidR="00227ECE" w:rsidRPr="00975C02">
        <w:rPr>
          <w:rFonts w:eastAsia="Calibri" w:cs="Arial"/>
          <w:sz w:val="20"/>
          <w:szCs w:val="20"/>
          <w:lang w:val="es-ES" w:eastAsia="en-US"/>
        </w:rPr>
        <w:t xml:space="preserve"> </w:t>
      </w:r>
      <w:r w:rsidRPr="00975C02">
        <w:rPr>
          <w:rFonts w:eastAsia="Calibri"/>
          <w:sz w:val="20"/>
          <w:szCs w:val="20"/>
          <w:lang w:val="es-ES"/>
        </w:rPr>
        <w:t xml:space="preserve">Por consiguiente, considerando que el presente caso no se inscribe en la hipótesis de una comunicación interestatal, sino que se trata de una petición individual, </w:t>
      </w:r>
      <w:r w:rsidRPr="00975C02">
        <w:rPr>
          <w:sz w:val="20"/>
          <w:szCs w:val="20"/>
          <w:lang w:val="es-ES"/>
        </w:rPr>
        <w:t>no es aplicable</w:t>
      </w:r>
      <w:r w:rsidR="00963AF3" w:rsidRPr="00975C02">
        <w:rPr>
          <w:sz w:val="20"/>
          <w:szCs w:val="20"/>
          <w:lang w:val="es-ES"/>
        </w:rPr>
        <w:t xml:space="preserve"> </w:t>
      </w:r>
      <w:r w:rsidR="00FA5549" w:rsidRPr="00975C02">
        <w:rPr>
          <w:sz w:val="20"/>
          <w:szCs w:val="20"/>
          <w:lang w:val="es-ES"/>
        </w:rPr>
        <w:t>lo dispuesto en</w:t>
      </w:r>
      <w:r w:rsidRPr="00975C02">
        <w:rPr>
          <w:sz w:val="20"/>
          <w:szCs w:val="20"/>
          <w:lang w:val="es-ES"/>
        </w:rPr>
        <w:t xml:space="preserve"> el artículo 45.</w:t>
      </w:r>
    </w:p>
    <w:p w14:paraId="5E322EE1" w14:textId="77777777" w:rsidR="0026739F" w:rsidRPr="00975C02" w:rsidRDefault="0026739F" w:rsidP="0026739F">
      <w:pPr>
        <w:pStyle w:val="ListParagraph"/>
        <w:tabs>
          <w:tab w:val="left" w:pos="567"/>
        </w:tabs>
        <w:spacing w:line="240" w:lineRule="auto"/>
        <w:ind w:left="0"/>
        <w:rPr>
          <w:sz w:val="20"/>
          <w:szCs w:val="20"/>
          <w:lang w:val="es-ES"/>
        </w:rPr>
      </w:pPr>
    </w:p>
    <w:p w14:paraId="463D4986" w14:textId="77777777" w:rsidR="0026739F" w:rsidRPr="00975C02" w:rsidRDefault="0026739F" w:rsidP="00C8070B">
      <w:pPr>
        <w:numPr>
          <w:ilvl w:val="0"/>
          <w:numId w:val="2"/>
        </w:numPr>
        <w:tabs>
          <w:tab w:val="left" w:pos="567"/>
        </w:tabs>
        <w:spacing w:line="240" w:lineRule="auto"/>
        <w:ind w:left="1109" w:hanging="1109"/>
        <w:rPr>
          <w:bCs/>
          <w:sz w:val="20"/>
          <w:szCs w:val="20"/>
          <w:lang w:val="es-ES"/>
        </w:rPr>
      </w:pPr>
      <w:r w:rsidRPr="00975C02">
        <w:rPr>
          <w:rFonts w:eastAsia="Calibri" w:cs="Arial"/>
          <w:sz w:val="20"/>
          <w:szCs w:val="20"/>
          <w:lang w:val="es-ES" w:eastAsia="en-US"/>
        </w:rPr>
        <w:t>En virtud de lo expuesto, corresponde desestimar la excepción opuesta.</w:t>
      </w:r>
    </w:p>
    <w:p w14:paraId="383A8713" w14:textId="77777777" w:rsidR="0026739F" w:rsidRPr="00975C02" w:rsidRDefault="0026739F" w:rsidP="00420246">
      <w:pPr>
        <w:pStyle w:val="ListParagraph"/>
        <w:tabs>
          <w:tab w:val="left" w:pos="567"/>
        </w:tabs>
        <w:spacing w:line="240" w:lineRule="auto"/>
        <w:ind w:left="0"/>
        <w:rPr>
          <w:sz w:val="20"/>
          <w:szCs w:val="20"/>
          <w:lang w:val="es-ES"/>
        </w:rPr>
      </w:pPr>
    </w:p>
    <w:p w14:paraId="385CC53C" w14:textId="2BA6D156" w:rsidR="00DD00E7" w:rsidRPr="00975C02" w:rsidRDefault="00DD00E7" w:rsidP="00DD00E7">
      <w:pPr>
        <w:keepNext/>
        <w:keepLines/>
        <w:tabs>
          <w:tab w:val="left" w:pos="1134"/>
        </w:tabs>
        <w:spacing w:line="240" w:lineRule="auto"/>
        <w:ind w:left="567" w:firstLine="1"/>
        <w:outlineLvl w:val="1"/>
        <w:rPr>
          <w:rFonts w:eastAsia="MS Mincho"/>
          <w:b/>
          <w:bCs/>
          <w:i/>
          <w:sz w:val="20"/>
          <w:szCs w:val="20"/>
          <w:lang w:val="es-ES"/>
        </w:rPr>
      </w:pPr>
      <w:bookmarkStart w:id="57" w:name="_Toc514172599"/>
      <w:r w:rsidRPr="00975C02">
        <w:rPr>
          <w:rFonts w:eastAsia="MS Mincho"/>
          <w:b/>
          <w:bCs/>
          <w:i/>
          <w:sz w:val="20"/>
          <w:szCs w:val="20"/>
          <w:lang w:val="es-ES"/>
        </w:rPr>
        <w:t>C.</w:t>
      </w:r>
      <w:r w:rsidRPr="00975C02">
        <w:rPr>
          <w:rFonts w:eastAsia="MS Mincho"/>
          <w:b/>
          <w:bCs/>
          <w:i/>
          <w:sz w:val="20"/>
          <w:szCs w:val="20"/>
          <w:lang w:val="es-ES"/>
        </w:rPr>
        <w:tab/>
        <w:t xml:space="preserve">Excepción sobre la alegada </w:t>
      </w:r>
      <w:r w:rsidR="009334DB" w:rsidRPr="00975C02">
        <w:rPr>
          <w:rFonts w:eastAsia="MS Mincho"/>
          <w:b/>
          <w:bCs/>
          <w:i/>
          <w:sz w:val="20"/>
          <w:szCs w:val="20"/>
          <w:lang w:val="es-ES"/>
        </w:rPr>
        <w:t xml:space="preserve">falta de </w:t>
      </w:r>
      <w:r w:rsidRPr="00975C02">
        <w:rPr>
          <w:rFonts w:eastAsia="MS Mincho"/>
          <w:b/>
          <w:bCs/>
          <w:i/>
          <w:sz w:val="20"/>
          <w:szCs w:val="20"/>
          <w:lang w:val="es-ES"/>
        </w:rPr>
        <w:t xml:space="preserve">competencia ratione materiae de la Corte </w:t>
      </w:r>
      <w:r w:rsidR="00FA5549" w:rsidRPr="00975C02">
        <w:rPr>
          <w:rFonts w:eastAsia="MS Mincho"/>
          <w:b/>
          <w:bCs/>
          <w:i/>
          <w:sz w:val="20"/>
          <w:szCs w:val="20"/>
          <w:lang w:val="es-ES"/>
        </w:rPr>
        <w:t xml:space="preserve">en </w:t>
      </w:r>
      <w:r w:rsidRPr="00975C02">
        <w:rPr>
          <w:rFonts w:eastAsia="MS Mincho"/>
          <w:b/>
          <w:bCs/>
          <w:i/>
          <w:sz w:val="20"/>
          <w:szCs w:val="20"/>
          <w:lang w:val="es-ES"/>
        </w:rPr>
        <w:t xml:space="preserve">relación </w:t>
      </w:r>
      <w:r w:rsidR="00FA5549" w:rsidRPr="00975C02">
        <w:rPr>
          <w:rFonts w:eastAsia="MS Mincho"/>
          <w:b/>
          <w:bCs/>
          <w:i/>
          <w:sz w:val="20"/>
          <w:szCs w:val="20"/>
          <w:lang w:val="es-ES"/>
        </w:rPr>
        <w:t>con</w:t>
      </w:r>
      <w:r w:rsidRPr="00975C02">
        <w:rPr>
          <w:rFonts w:eastAsia="MS Mincho"/>
          <w:b/>
          <w:bCs/>
          <w:i/>
          <w:sz w:val="20"/>
          <w:szCs w:val="20"/>
          <w:lang w:val="es-ES"/>
        </w:rPr>
        <w:t xml:space="preserve"> la presunta violación de artículos de la Convención sobre los Derechos del Niño</w:t>
      </w:r>
      <w:bookmarkEnd w:id="57"/>
    </w:p>
    <w:p w14:paraId="5A0766C3" w14:textId="77777777" w:rsidR="00DD00E7" w:rsidRPr="00975C02" w:rsidRDefault="00DD00E7" w:rsidP="00DD00E7">
      <w:pPr>
        <w:tabs>
          <w:tab w:val="left" w:pos="720"/>
        </w:tabs>
        <w:spacing w:line="240" w:lineRule="auto"/>
        <w:rPr>
          <w:bCs/>
          <w:sz w:val="20"/>
          <w:szCs w:val="20"/>
          <w:lang w:val="es-ES"/>
        </w:rPr>
      </w:pPr>
    </w:p>
    <w:p w14:paraId="68FE2A1E" w14:textId="77777777" w:rsidR="00DD00E7" w:rsidRPr="00975C02" w:rsidRDefault="00DD00E7" w:rsidP="00C607DD">
      <w:pPr>
        <w:pStyle w:val="Heading2"/>
        <w:tabs>
          <w:tab w:val="left" w:pos="1843"/>
        </w:tabs>
        <w:spacing w:before="0" w:line="240" w:lineRule="auto"/>
        <w:ind w:left="1134"/>
        <w:rPr>
          <w:rFonts w:ascii="Verdana" w:hAnsi="Verdana"/>
          <w:b w:val="0"/>
          <w:i/>
          <w:color w:val="auto"/>
          <w:sz w:val="20"/>
          <w:szCs w:val="20"/>
          <w:lang w:val="es-ES"/>
        </w:rPr>
      </w:pPr>
      <w:bookmarkStart w:id="58" w:name="_Toc514172600"/>
      <w:r w:rsidRPr="00975C02">
        <w:rPr>
          <w:rFonts w:ascii="Verdana" w:hAnsi="Verdana"/>
          <w:b w:val="0"/>
          <w:i/>
          <w:color w:val="auto"/>
          <w:sz w:val="20"/>
          <w:szCs w:val="20"/>
          <w:lang w:val="es-ES"/>
        </w:rPr>
        <w:t xml:space="preserve">C.1 </w:t>
      </w:r>
      <w:r w:rsidR="007A37EF" w:rsidRPr="00975C02">
        <w:rPr>
          <w:rFonts w:ascii="Verdana" w:hAnsi="Verdana"/>
          <w:b w:val="0"/>
          <w:i/>
          <w:color w:val="auto"/>
          <w:sz w:val="20"/>
          <w:szCs w:val="20"/>
          <w:lang w:val="es-ES"/>
        </w:rPr>
        <w:tab/>
      </w:r>
      <w:r w:rsidRPr="00975C02">
        <w:rPr>
          <w:rFonts w:ascii="Verdana" w:hAnsi="Verdana"/>
          <w:b w:val="0"/>
          <w:i/>
          <w:color w:val="auto"/>
          <w:sz w:val="20"/>
          <w:szCs w:val="20"/>
          <w:lang w:val="es-ES"/>
        </w:rPr>
        <w:t>Alegatos del Estado y observaciones de la Comisión y las representantes</w:t>
      </w:r>
      <w:bookmarkEnd w:id="58"/>
    </w:p>
    <w:p w14:paraId="79A2B496" w14:textId="77777777" w:rsidR="00DD00E7" w:rsidRPr="00975C02" w:rsidRDefault="00DD00E7" w:rsidP="00DD00E7">
      <w:pPr>
        <w:tabs>
          <w:tab w:val="left" w:pos="720"/>
        </w:tabs>
        <w:spacing w:line="240" w:lineRule="auto"/>
        <w:rPr>
          <w:bCs/>
          <w:sz w:val="20"/>
          <w:szCs w:val="20"/>
          <w:lang w:val="es-ES"/>
        </w:rPr>
      </w:pPr>
    </w:p>
    <w:p w14:paraId="71F6C9B6" w14:textId="66FB557D" w:rsidR="00DD00E7" w:rsidRPr="00975C02" w:rsidRDefault="00DD00E7" w:rsidP="00C8070B">
      <w:pPr>
        <w:numPr>
          <w:ilvl w:val="0"/>
          <w:numId w:val="2"/>
        </w:numPr>
        <w:tabs>
          <w:tab w:val="left" w:pos="567"/>
          <w:tab w:val="num" w:pos="12305"/>
        </w:tabs>
        <w:spacing w:line="240" w:lineRule="auto"/>
        <w:ind w:left="0" w:firstLine="0"/>
        <w:rPr>
          <w:lang w:val="es-ES"/>
        </w:rPr>
      </w:pPr>
      <w:r w:rsidRPr="00975C02">
        <w:rPr>
          <w:rFonts w:cs="Arial"/>
          <w:sz w:val="20"/>
          <w:szCs w:val="20"/>
          <w:lang w:val="es-ES"/>
        </w:rPr>
        <w:t>El</w:t>
      </w:r>
      <w:r w:rsidRPr="00975C02">
        <w:rPr>
          <w:rFonts w:cs="Verdana,Italic"/>
          <w:iCs/>
          <w:sz w:val="20"/>
          <w:lang w:val="es-ES" w:eastAsia="en-US"/>
        </w:rPr>
        <w:t xml:space="preserve"> </w:t>
      </w:r>
      <w:r w:rsidRPr="00975C02">
        <w:rPr>
          <w:rFonts w:eastAsia="Calibri" w:cs="Arial"/>
          <w:b/>
          <w:i/>
          <w:sz w:val="20"/>
          <w:szCs w:val="20"/>
          <w:lang w:val="es-ES" w:eastAsia="en-US"/>
        </w:rPr>
        <w:t>Estado</w:t>
      </w:r>
      <w:r w:rsidRPr="00975C02">
        <w:rPr>
          <w:rFonts w:eastAsia="Calibri" w:cs="Arial"/>
          <w:sz w:val="20"/>
          <w:szCs w:val="20"/>
          <w:lang w:val="es-ES" w:eastAsia="en-US"/>
        </w:rPr>
        <w:t xml:space="preserve"> interpuso una excepción preliminar </w:t>
      </w:r>
      <w:r w:rsidR="00607A41" w:rsidRPr="00975C02">
        <w:rPr>
          <w:rFonts w:eastAsia="Calibri" w:cs="Arial"/>
          <w:sz w:val="20"/>
          <w:szCs w:val="20"/>
          <w:lang w:val="es-ES" w:eastAsia="en-US"/>
        </w:rPr>
        <w:t xml:space="preserve">alegando </w:t>
      </w:r>
      <w:r w:rsidRPr="00975C02">
        <w:rPr>
          <w:rFonts w:eastAsia="Calibri" w:cs="Arial"/>
          <w:sz w:val="20"/>
          <w:szCs w:val="20"/>
          <w:lang w:val="es-ES" w:eastAsia="en-US"/>
        </w:rPr>
        <w:t xml:space="preserve">la incompetencia </w:t>
      </w:r>
      <w:r w:rsidRPr="00975C02">
        <w:rPr>
          <w:rFonts w:eastAsia="Calibri" w:cs="Arial"/>
          <w:i/>
          <w:sz w:val="20"/>
          <w:szCs w:val="20"/>
          <w:lang w:val="es-ES" w:eastAsia="en-US"/>
        </w:rPr>
        <w:t>ratione materiae</w:t>
      </w:r>
      <w:r w:rsidRPr="00975C02">
        <w:rPr>
          <w:rFonts w:eastAsia="Calibri" w:cs="Arial"/>
          <w:sz w:val="20"/>
          <w:szCs w:val="20"/>
          <w:lang w:val="es-ES" w:eastAsia="en-US"/>
        </w:rPr>
        <w:t xml:space="preserve"> de la Corte en razón de la pretensión de las representantes de someter al conocimiento y valoración de este Tribunal los artículos 2.1, 3.1 y 2, 4, 16, 24.1 y 2 de la Convención sobre los </w:t>
      </w:r>
      <w:r w:rsidR="002D2EDF" w:rsidRPr="00975C02">
        <w:rPr>
          <w:rFonts w:eastAsia="Calibri" w:cs="Arial"/>
          <w:sz w:val="20"/>
          <w:szCs w:val="20"/>
          <w:lang w:val="es-ES" w:eastAsia="en-US"/>
        </w:rPr>
        <w:t>D</w:t>
      </w:r>
      <w:r w:rsidRPr="00975C02">
        <w:rPr>
          <w:rFonts w:eastAsia="Calibri" w:cs="Arial"/>
          <w:sz w:val="20"/>
          <w:szCs w:val="20"/>
          <w:lang w:val="es-ES" w:eastAsia="en-US"/>
        </w:rPr>
        <w:t xml:space="preserve">erechos del </w:t>
      </w:r>
      <w:r w:rsidR="002D2EDF" w:rsidRPr="00975C02">
        <w:rPr>
          <w:rFonts w:eastAsia="Calibri" w:cs="Arial"/>
          <w:sz w:val="20"/>
          <w:szCs w:val="20"/>
          <w:lang w:val="es-ES" w:eastAsia="en-US"/>
        </w:rPr>
        <w:t>N</w:t>
      </w:r>
      <w:r w:rsidRPr="00975C02">
        <w:rPr>
          <w:rFonts w:eastAsia="Calibri" w:cs="Arial"/>
          <w:sz w:val="20"/>
          <w:szCs w:val="20"/>
          <w:lang w:val="es-ES" w:eastAsia="en-US"/>
        </w:rPr>
        <w:t xml:space="preserve">iño, </w:t>
      </w:r>
      <w:r w:rsidR="003723E3" w:rsidRPr="00975C02">
        <w:rPr>
          <w:rFonts w:eastAsia="Calibri" w:cs="Arial"/>
          <w:sz w:val="20"/>
          <w:szCs w:val="20"/>
          <w:lang w:val="es-ES" w:eastAsia="en-US"/>
        </w:rPr>
        <w:t>con</w:t>
      </w:r>
      <w:r w:rsidRPr="00975C02">
        <w:rPr>
          <w:rFonts w:eastAsia="Calibri" w:cs="Arial"/>
          <w:sz w:val="20"/>
          <w:szCs w:val="20"/>
          <w:lang w:val="es-ES" w:eastAsia="en-US"/>
        </w:rPr>
        <w:t xml:space="preserve"> relación a la presunta víctima V.R.P. Al respecto, sostuvo que</w:t>
      </w:r>
      <w:r w:rsidR="003723E3" w:rsidRPr="00975C02">
        <w:rPr>
          <w:rFonts w:eastAsia="Calibri" w:cs="Arial"/>
          <w:sz w:val="20"/>
          <w:szCs w:val="20"/>
          <w:lang w:val="es-ES" w:eastAsia="en-US"/>
        </w:rPr>
        <w:t>,</w:t>
      </w:r>
      <w:r w:rsidRPr="00975C02">
        <w:rPr>
          <w:rFonts w:eastAsia="Calibri" w:cs="Arial"/>
          <w:sz w:val="20"/>
          <w:szCs w:val="20"/>
          <w:lang w:val="es-ES" w:eastAsia="en-US"/>
        </w:rPr>
        <w:t xml:space="preserve"> de acuerdo con el artículo 62 de la Convención, las controversias sometidas al conocimiento de la Corte s</w:t>
      </w:r>
      <w:r w:rsidR="00B561AB" w:rsidRPr="00975C02">
        <w:rPr>
          <w:rFonts w:eastAsia="Calibri" w:cs="Arial"/>
          <w:sz w:val="20"/>
          <w:szCs w:val="20"/>
          <w:lang w:val="es-ES" w:eastAsia="en-US"/>
        </w:rPr>
        <w:t>ó</w:t>
      </w:r>
      <w:r w:rsidRPr="00975C02">
        <w:rPr>
          <w:rFonts w:eastAsia="Calibri" w:cs="Arial"/>
          <w:sz w:val="20"/>
          <w:szCs w:val="20"/>
          <w:lang w:val="es-ES" w:eastAsia="en-US"/>
        </w:rPr>
        <w:t>lo pueden referirse a la interpretación y aplicación de las disposiciones de la Convención Americana</w:t>
      </w:r>
      <w:r w:rsidR="00B561AB" w:rsidRPr="00975C02">
        <w:rPr>
          <w:rFonts w:eastAsia="Calibri" w:cs="Arial"/>
          <w:sz w:val="20"/>
          <w:szCs w:val="20"/>
          <w:lang w:val="es-ES" w:eastAsia="en-US"/>
        </w:rPr>
        <w:t xml:space="preserve"> y sus</w:t>
      </w:r>
      <w:r w:rsidRPr="00975C02">
        <w:rPr>
          <w:rFonts w:eastAsia="Calibri" w:cs="Arial"/>
          <w:sz w:val="20"/>
          <w:szCs w:val="20"/>
          <w:lang w:val="es-ES" w:eastAsia="en-US"/>
        </w:rPr>
        <w:t xml:space="preserve"> dos Protocolos</w:t>
      </w:r>
      <w:r w:rsidR="00B561AB" w:rsidRPr="00975C02">
        <w:rPr>
          <w:rFonts w:eastAsia="Calibri" w:cs="Arial"/>
          <w:sz w:val="20"/>
          <w:szCs w:val="20"/>
          <w:lang w:val="es-ES" w:eastAsia="en-US"/>
        </w:rPr>
        <w:t xml:space="preserve"> complementarios</w:t>
      </w:r>
      <w:r w:rsidRPr="00975C02">
        <w:rPr>
          <w:rFonts w:eastAsia="Calibri" w:cs="Arial"/>
          <w:sz w:val="20"/>
          <w:szCs w:val="20"/>
          <w:lang w:val="es-ES" w:eastAsia="en-US"/>
        </w:rPr>
        <w:t xml:space="preserve">. Asimismo, el Estado indicó que el artículo 1 del Estatuto de la Corte define claramente que tiene como objetivo la aplicación e interpretación de la Convención Americana, </w:t>
      </w:r>
      <w:r w:rsidR="00B561AB" w:rsidRPr="00975C02">
        <w:rPr>
          <w:rFonts w:eastAsia="Calibri" w:cs="Arial"/>
          <w:sz w:val="20"/>
          <w:szCs w:val="20"/>
          <w:lang w:val="es-ES" w:eastAsia="en-US"/>
        </w:rPr>
        <w:t xml:space="preserve">por lo que </w:t>
      </w:r>
      <w:r w:rsidRPr="00975C02">
        <w:rPr>
          <w:rFonts w:eastAsia="Calibri" w:cs="Arial"/>
          <w:sz w:val="20"/>
          <w:szCs w:val="20"/>
          <w:lang w:val="es-ES" w:eastAsia="en-US"/>
        </w:rPr>
        <w:t xml:space="preserve">otros tratados internacionales </w:t>
      </w:r>
      <w:r w:rsidR="00B561AB" w:rsidRPr="00975C02">
        <w:rPr>
          <w:rFonts w:eastAsia="Calibri" w:cs="Arial"/>
          <w:sz w:val="20"/>
          <w:szCs w:val="20"/>
          <w:lang w:val="es-ES" w:eastAsia="en-US"/>
        </w:rPr>
        <w:t>ajenos</w:t>
      </w:r>
      <w:r w:rsidRPr="00975C02">
        <w:rPr>
          <w:rFonts w:eastAsia="Calibri" w:cs="Arial"/>
          <w:sz w:val="20"/>
          <w:szCs w:val="20"/>
          <w:lang w:val="es-ES" w:eastAsia="en-US"/>
        </w:rPr>
        <w:t xml:space="preserve"> al sistema interamericano estarían fuera de la competencia de la Corte.</w:t>
      </w:r>
      <w:r w:rsidR="00E630D7" w:rsidRPr="00975C02">
        <w:rPr>
          <w:rFonts w:eastAsia="Calibri" w:cs="Arial"/>
          <w:sz w:val="20"/>
          <w:szCs w:val="20"/>
          <w:lang w:val="es-ES" w:eastAsia="en-US"/>
        </w:rPr>
        <w:t xml:space="preserve"> </w:t>
      </w:r>
      <w:r w:rsidRPr="00975C02">
        <w:rPr>
          <w:rFonts w:eastAsia="Calibri" w:cs="Arial"/>
          <w:sz w:val="20"/>
          <w:szCs w:val="20"/>
          <w:lang w:val="es-ES" w:eastAsia="en-US"/>
        </w:rPr>
        <w:t>En consecuencia, según el Estado, la Corte no ten</w:t>
      </w:r>
      <w:r w:rsidR="003723E3" w:rsidRPr="00975C02">
        <w:rPr>
          <w:rFonts w:eastAsia="Calibri" w:cs="Arial"/>
          <w:sz w:val="20"/>
          <w:szCs w:val="20"/>
          <w:lang w:val="es-ES" w:eastAsia="en-US"/>
        </w:rPr>
        <w:t>dría</w:t>
      </w:r>
      <w:r w:rsidRPr="00975C02">
        <w:rPr>
          <w:rFonts w:eastAsia="Calibri" w:cs="Arial"/>
          <w:sz w:val="20"/>
          <w:szCs w:val="20"/>
          <w:lang w:val="es-ES" w:eastAsia="en-US"/>
        </w:rPr>
        <w:t xml:space="preserve"> competencia para decidir sobre el cumplimiento de obligaciones que surjan de instrumentos que no derivan del sistema interamericano, como la Convención sobre los </w:t>
      </w:r>
      <w:r w:rsidR="003723E3" w:rsidRPr="00975C02">
        <w:rPr>
          <w:rFonts w:eastAsia="Calibri" w:cs="Arial"/>
          <w:sz w:val="20"/>
          <w:szCs w:val="20"/>
          <w:lang w:val="es-ES" w:eastAsia="en-US"/>
        </w:rPr>
        <w:t>D</w:t>
      </w:r>
      <w:r w:rsidRPr="00975C02">
        <w:rPr>
          <w:rFonts w:eastAsia="Calibri" w:cs="Arial"/>
          <w:sz w:val="20"/>
          <w:szCs w:val="20"/>
          <w:lang w:val="es-ES" w:eastAsia="en-US"/>
        </w:rPr>
        <w:t xml:space="preserve">erechos del </w:t>
      </w:r>
      <w:r w:rsidR="003723E3" w:rsidRPr="00975C02">
        <w:rPr>
          <w:rFonts w:eastAsia="Calibri" w:cs="Arial"/>
          <w:sz w:val="20"/>
          <w:szCs w:val="20"/>
          <w:lang w:val="es-ES" w:eastAsia="en-US"/>
        </w:rPr>
        <w:t>N</w:t>
      </w:r>
      <w:r w:rsidRPr="00975C02">
        <w:rPr>
          <w:rFonts w:eastAsia="Calibri" w:cs="Arial"/>
          <w:sz w:val="20"/>
          <w:szCs w:val="20"/>
          <w:lang w:val="es-ES" w:eastAsia="en-US"/>
        </w:rPr>
        <w:t>iño</w:t>
      </w:r>
      <w:r w:rsidR="00B561AB" w:rsidRPr="00975C02">
        <w:rPr>
          <w:rFonts w:eastAsia="Calibri" w:cs="Arial"/>
          <w:sz w:val="20"/>
          <w:szCs w:val="20"/>
          <w:lang w:val="es-ES" w:eastAsia="en-US"/>
        </w:rPr>
        <w:t>, la cual</w:t>
      </w:r>
      <w:r w:rsidRPr="00975C02">
        <w:rPr>
          <w:rFonts w:eastAsia="Calibri" w:cs="Arial"/>
          <w:sz w:val="20"/>
          <w:szCs w:val="20"/>
          <w:lang w:val="es-ES" w:eastAsia="en-US"/>
        </w:rPr>
        <w:t xml:space="preserve"> dispone de</w:t>
      </w:r>
      <w:r w:rsidR="00B561AB" w:rsidRPr="00975C02">
        <w:rPr>
          <w:rFonts w:eastAsia="Calibri" w:cs="Arial"/>
          <w:sz w:val="20"/>
          <w:szCs w:val="20"/>
          <w:lang w:val="es-ES" w:eastAsia="en-US"/>
        </w:rPr>
        <w:t>l Comité de los Derechos del Niño</w:t>
      </w:r>
      <w:r w:rsidRPr="00975C02">
        <w:rPr>
          <w:rFonts w:eastAsia="Calibri" w:cs="Arial"/>
          <w:sz w:val="20"/>
          <w:szCs w:val="20"/>
          <w:lang w:val="es-ES" w:eastAsia="en-US"/>
        </w:rPr>
        <w:t xml:space="preserve"> </w:t>
      </w:r>
      <w:r w:rsidR="00B561AB" w:rsidRPr="00975C02">
        <w:rPr>
          <w:rFonts w:eastAsia="Calibri" w:cs="Arial"/>
          <w:sz w:val="20"/>
          <w:szCs w:val="20"/>
          <w:lang w:val="es-ES" w:eastAsia="en-US"/>
        </w:rPr>
        <w:t>como</w:t>
      </w:r>
      <w:r w:rsidRPr="00975C02">
        <w:rPr>
          <w:rFonts w:eastAsia="Calibri" w:cs="Arial"/>
          <w:sz w:val="20"/>
          <w:szCs w:val="20"/>
          <w:lang w:val="es-ES" w:eastAsia="en-US"/>
        </w:rPr>
        <w:t xml:space="preserve"> órgano especializado propio. Por lo expuesto, el Estado solicitó a la Corte que</w:t>
      </w:r>
      <w:r w:rsidR="00FA0912" w:rsidRPr="00975C02">
        <w:rPr>
          <w:rFonts w:eastAsia="Calibri" w:cs="Arial"/>
          <w:sz w:val="20"/>
          <w:szCs w:val="20"/>
          <w:lang w:val="es-ES" w:eastAsia="en-US"/>
        </w:rPr>
        <w:t xml:space="preserve"> </w:t>
      </w:r>
      <w:r w:rsidRPr="00975C02">
        <w:rPr>
          <w:rFonts w:eastAsia="Calibri" w:cs="Arial"/>
          <w:sz w:val="20"/>
          <w:szCs w:val="20"/>
          <w:lang w:val="es-ES" w:eastAsia="en-US"/>
        </w:rPr>
        <w:t xml:space="preserve">excluya en su valoración la aplicación de los artículos 2.1, 3.1 y 2, 4, 16, 24.1 </w:t>
      </w:r>
      <w:r w:rsidR="003723E3" w:rsidRPr="00975C02">
        <w:rPr>
          <w:rFonts w:eastAsia="Calibri" w:cs="Arial"/>
          <w:sz w:val="20"/>
          <w:szCs w:val="20"/>
          <w:lang w:val="es-ES" w:eastAsia="en-US"/>
        </w:rPr>
        <w:t>y 2 de la Convención sobre los D</w:t>
      </w:r>
      <w:r w:rsidRPr="00975C02">
        <w:rPr>
          <w:rFonts w:eastAsia="Calibri" w:cs="Arial"/>
          <w:sz w:val="20"/>
          <w:szCs w:val="20"/>
          <w:lang w:val="es-ES" w:eastAsia="en-US"/>
        </w:rPr>
        <w:t xml:space="preserve">erechos del </w:t>
      </w:r>
      <w:r w:rsidR="003723E3" w:rsidRPr="00975C02">
        <w:rPr>
          <w:rFonts w:eastAsia="Calibri" w:cs="Arial"/>
          <w:sz w:val="20"/>
          <w:szCs w:val="20"/>
          <w:lang w:val="es-ES" w:eastAsia="en-US"/>
        </w:rPr>
        <w:t>N</w:t>
      </w:r>
      <w:r w:rsidRPr="00975C02">
        <w:rPr>
          <w:rFonts w:eastAsia="Calibri" w:cs="Arial"/>
          <w:sz w:val="20"/>
          <w:szCs w:val="20"/>
          <w:lang w:val="es-ES" w:eastAsia="en-US"/>
        </w:rPr>
        <w:t>iño.</w:t>
      </w:r>
    </w:p>
    <w:p w14:paraId="23A548A0" w14:textId="77777777" w:rsidR="00DD00E7" w:rsidRPr="00975C02" w:rsidRDefault="00DD00E7" w:rsidP="00DD00E7">
      <w:pPr>
        <w:spacing w:line="240" w:lineRule="auto"/>
        <w:contextualSpacing/>
        <w:rPr>
          <w:sz w:val="20"/>
          <w:szCs w:val="20"/>
          <w:lang w:val="es-ES"/>
        </w:rPr>
      </w:pPr>
    </w:p>
    <w:p w14:paraId="16DFDF32" w14:textId="0224F565" w:rsidR="00DD00E7" w:rsidRPr="00975C02" w:rsidRDefault="00DD00E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La </w:t>
      </w:r>
      <w:r w:rsidRPr="00975C02">
        <w:rPr>
          <w:b/>
          <w:i/>
          <w:sz w:val="20"/>
          <w:szCs w:val="20"/>
          <w:lang w:val="es-ES"/>
        </w:rPr>
        <w:t>Comisión</w:t>
      </w:r>
      <w:r w:rsidRPr="00975C02">
        <w:rPr>
          <w:sz w:val="20"/>
          <w:szCs w:val="20"/>
          <w:lang w:val="es-ES"/>
        </w:rPr>
        <w:t xml:space="preserve"> observó que la presente excepción se relaciona con los argumentos planteados por las representantes en su escrito de solicitudes, argumentos y pruebas</w:t>
      </w:r>
      <w:r w:rsidR="00446DDA" w:rsidRPr="00975C02">
        <w:rPr>
          <w:sz w:val="20"/>
          <w:szCs w:val="20"/>
          <w:lang w:val="es-ES"/>
        </w:rPr>
        <w:t xml:space="preserve">, </w:t>
      </w:r>
      <w:r w:rsidR="00494E8E" w:rsidRPr="00975C02">
        <w:rPr>
          <w:sz w:val="20"/>
          <w:szCs w:val="20"/>
          <w:lang w:val="es-ES"/>
        </w:rPr>
        <w:t>quienes</w:t>
      </w:r>
      <w:r w:rsidR="00446DDA" w:rsidRPr="00975C02">
        <w:rPr>
          <w:sz w:val="20"/>
          <w:szCs w:val="20"/>
          <w:lang w:val="es-ES"/>
        </w:rPr>
        <w:t xml:space="preserve"> están facultadas para presentar alegatos de derecho adicionales ante el Tribunal</w:t>
      </w:r>
      <w:r w:rsidRPr="00975C02">
        <w:rPr>
          <w:sz w:val="20"/>
          <w:szCs w:val="20"/>
          <w:lang w:val="es-ES"/>
        </w:rPr>
        <w:t>.</w:t>
      </w:r>
      <w:r w:rsidR="00446DDA" w:rsidRPr="00975C02">
        <w:rPr>
          <w:sz w:val="20"/>
          <w:szCs w:val="20"/>
          <w:lang w:val="es-ES"/>
        </w:rPr>
        <w:t xml:space="preserve"> </w:t>
      </w:r>
      <w:r w:rsidRPr="00975C02">
        <w:rPr>
          <w:sz w:val="20"/>
          <w:szCs w:val="20"/>
          <w:lang w:val="es-ES"/>
        </w:rPr>
        <w:t xml:space="preserve">Sin perjuicio de ello, la Comisión destacó que en su </w:t>
      </w:r>
      <w:r w:rsidR="00D566C9" w:rsidRPr="00975C02">
        <w:rPr>
          <w:rFonts w:eastAsia="Verdana" w:cs="Verdana"/>
          <w:sz w:val="20"/>
          <w:szCs w:val="20"/>
          <w:lang w:val="es-ES"/>
        </w:rPr>
        <w:t>Informe No. 4/16</w:t>
      </w:r>
      <w:r w:rsidRPr="00975C02">
        <w:rPr>
          <w:sz w:val="20"/>
          <w:szCs w:val="20"/>
          <w:lang w:val="es-ES"/>
        </w:rPr>
        <w:t xml:space="preserve"> no estableció violaciones de la Convención </w:t>
      </w:r>
      <w:r w:rsidR="00DF395C" w:rsidRPr="00975C02">
        <w:rPr>
          <w:sz w:val="20"/>
          <w:szCs w:val="20"/>
          <w:lang w:val="es-ES"/>
        </w:rPr>
        <w:t>sobre</w:t>
      </w:r>
      <w:r w:rsidRPr="00975C02">
        <w:rPr>
          <w:sz w:val="20"/>
          <w:szCs w:val="20"/>
          <w:lang w:val="es-ES"/>
        </w:rPr>
        <w:t xml:space="preserve"> los Derechos del Niño</w:t>
      </w:r>
      <w:r w:rsidR="00DF395C" w:rsidRPr="00975C02">
        <w:rPr>
          <w:sz w:val="20"/>
          <w:szCs w:val="20"/>
          <w:lang w:val="es-ES"/>
        </w:rPr>
        <w:t>,</w:t>
      </w:r>
      <w:r w:rsidRPr="00975C02">
        <w:rPr>
          <w:sz w:val="20"/>
          <w:szCs w:val="20"/>
          <w:lang w:val="es-ES"/>
        </w:rPr>
        <w:t xml:space="preserve"> sino que utilizó dicho instrumento como parte del </w:t>
      </w:r>
      <w:r w:rsidR="0089592D" w:rsidRPr="00975C02">
        <w:rPr>
          <w:i/>
          <w:sz w:val="20"/>
          <w:szCs w:val="20"/>
          <w:lang w:val="es-ES"/>
        </w:rPr>
        <w:t>corpus j</w:t>
      </w:r>
      <w:r w:rsidRPr="00975C02">
        <w:rPr>
          <w:i/>
          <w:sz w:val="20"/>
          <w:szCs w:val="20"/>
          <w:lang w:val="es-ES"/>
        </w:rPr>
        <w:t>uris</w:t>
      </w:r>
      <w:r w:rsidRPr="00975C02">
        <w:rPr>
          <w:sz w:val="20"/>
          <w:szCs w:val="20"/>
          <w:lang w:val="es-ES"/>
        </w:rPr>
        <w:t xml:space="preserve"> internacional en la materia, a fin de dar alcance a las disposiciones de la Convención Americana, lo que resulta </w:t>
      </w:r>
      <w:r w:rsidRPr="00975C02">
        <w:rPr>
          <w:sz w:val="20"/>
          <w:szCs w:val="20"/>
          <w:lang w:val="es-ES"/>
        </w:rPr>
        <w:lastRenderedPageBreak/>
        <w:t>consistente con la práctica tanto de la Comisión como de la Corte.</w:t>
      </w:r>
    </w:p>
    <w:p w14:paraId="25823611" w14:textId="77777777" w:rsidR="00DD00E7" w:rsidRPr="00975C02" w:rsidRDefault="00DD00E7" w:rsidP="00DD00E7">
      <w:pPr>
        <w:spacing w:line="240" w:lineRule="auto"/>
        <w:contextualSpacing/>
        <w:rPr>
          <w:sz w:val="20"/>
          <w:szCs w:val="20"/>
          <w:lang w:val="es-ES"/>
        </w:rPr>
      </w:pPr>
    </w:p>
    <w:p w14:paraId="0F60E6CC" w14:textId="6E881A76" w:rsidR="00DD00E7" w:rsidRPr="00975C02" w:rsidRDefault="00DD00E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Las </w:t>
      </w:r>
      <w:r w:rsidRPr="00975C02">
        <w:rPr>
          <w:b/>
          <w:i/>
          <w:sz w:val="20"/>
          <w:szCs w:val="20"/>
          <w:lang w:val="es-ES"/>
        </w:rPr>
        <w:t xml:space="preserve">representantes </w:t>
      </w:r>
      <w:r w:rsidR="00F75CA4" w:rsidRPr="00975C02">
        <w:rPr>
          <w:sz w:val="20"/>
          <w:szCs w:val="20"/>
          <w:lang w:val="es-ES"/>
        </w:rPr>
        <w:t>adujeron que</w:t>
      </w:r>
      <w:r w:rsidR="00494E8E" w:rsidRPr="00975C02">
        <w:rPr>
          <w:sz w:val="20"/>
          <w:szCs w:val="20"/>
          <w:lang w:val="es-ES"/>
        </w:rPr>
        <w:t>,</w:t>
      </w:r>
      <w:r w:rsidR="00F75CA4" w:rsidRPr="00975C02">
        <w:rPr>
          <w:sz w:val="20"/>
          <w:szCs w:val="20"/>
          <w:lang w:val="es-ES"/>
        </w:rPr>
        <w:t xml:space="preserve"> siendo la Convención sobre los Derechos del Niño parte del </w:t>
      </w:r>
      <w:r w:rsidR="00F75CA4" w:rsidRPr="00975C02">
        <w:rPr>
          <w:i/>
          <w:sz w:val="20"/>
          <w:szCs w:val="20"/>
          <w:lang w:val="es-ES"/>
        </w:rPr>
        <w:t>corpus</w:t>
      </w:r>
      <w:r w:rsidR="00F75CA4" w:rsidRPr="00975C02">
        <w:rPr>
          <w:sz w:val="20"/>
          <w:szCs w:val="20"/>
          <w:lang w:val="es-ES"/>
        </w:rPr>
        <w:t xml:space="preserve"> </w:t>
      </w:r>
      <w:r w:rsidR="00F75CA4" w:rsidRPr="00975C02">
        <w:rPr>
          <w:i/>
          <w:sz w:val="20"/>
          <w:szCs w:val="20"/>
          <w:lang w:val="es-ES"/>
        </w:rPr>
        <w:t>juris</w:t>
      </w:r>
      <w:r w:rsidR="00F75CA4" w:rsidRPr="00975C02">
        <w:rPr>
          <w:sz w:val="20"/>
          <w:szCs w:val="20"/>
          <w:lang w:val="es-ES"/>
        </w:rPr>
        <w:t xml:space="preserve"> internacional de protección de </w:t>
      </w:r>
      <w:r w:rsidR="00494E8E" w:rsidRPr="00975C02">
        <w:rPr>
          <w:sz w:val="20"/>
          <w:szCs w:val="20"/>
          <w:lang w:val="es-ES"/>
        </w:rPr>
        <w:t xml:space="preserve">niñas y </w:t>
      </w:r>
      <w:r w:rsidR="00F75CA4" w:rsidRPr="00975C02">
        <w:rPr>
          <w:sz w:val="20"/>
          <w:szCs w:val="20"/>
          <w:lang w:val="es-ES"/>
        </w:rPr>
        <w:t>niños, “[hicieron] uso de [sus] disposiciones […] para analizar el caso que nos ocupa”</w:t>
      </w:r>
      <w:r w:rsidR="002C5273" w:rsidRPr="00975C02">
        <w:rPr>
          <w:sz w:val="20"/>
          <w:szCs w:val="20"/>
          <w:lang w:val="es-ES"/>
        </w:rPr>
        <w:t>.</w:t>
      </w:r>
      <w:r w:rsidR="00F75CA4" w:rsidRPr="00975C02">
        <w:rPr>
          <w:sz w:val="20"/>
          <w:szCs w:val="20"/>
          <w:lang w:val="es-ES"/>
        </w:rPr>
        <w:t xml:space="preserve"> Con base en ello e invocando el </w:t>
      </w:r>
      <w:r w:rsidR="006C1836" w:rsidRPr="00975C02">
        <w:rPr>
          <w:sz w:val="20"/>
          <w:szCs w:val="20"/>
          <w:lang w:val="es-ES"/>
        </w:rPr>
        <w:t>interés superior de la niña</w:t>
      </w:r>
      <w:r w:rsidR="00D345DA" w:rsidRPr="00975C02">
        <w:rPr>
          <w:sz w:val="20"/>
          <w:szCs w:val="20"/>
          <w:lang w:val="es-ES"/>
        </w:rPr>
        <w:t>,</w:t>
      </w:r>
      <w:r w:rsidR="008A4CF8" w:rsidRPr="00975C02">
        <w:rPr>
          <w:sz w:val="20"/>
          <w:szCs w:val="20"/>
          <w:lang w:val="es-ES"/>
        </w:rPr>
        <w:t xml:space="preserve"> </w:t>
      </w:r>
      <w:r w:rsidR="001E002F" w:rsidRPr="00975C02">
        <w:rPr>
          <w:rFonts w:eastAsia="Calibri" w:cs="Arial"/>
          <w:sz w:val="20"/>
          <w:szCs w:val="20"/>
          <w:lang w:val="es-ES" w:eastAsia="en-US"/>
        </w:rPr>
        <w:t>sostuvieron</w:t>
      </w:r>
      <w:r w:rsidRPr="00975C02">
        <w:rPr>
          <w:rFonts w:eastAsia="Calibri" w:cs="Arial"/>
          <w:sz w:val="20"/>
          <w:szCs w:val="20"/>
          <w:lang w:val="es-ES" w:eastAsia="en-US"/>
        </w:rPr>
        <w:t xml:space="preserve"> que fue por tal motivo que hicieron referencia a </w:t>
      </w:r>
      <w:r w:rsidR="003A4333" w:rsidRPr="00975C02">
        <w:rPr>
          <w:rFonts w:eastAsia="Calibri" w:cs="Arial"/>
          <w:sz w:val="20"/>
          <w:szCs w:val="20"/>
          <w:lang w:val="es-ES" w:eastAsia="en-US"/>
        </w:rPr>
        <w:t xml:space="preserve">la </w:t>
      </w:r>
      <w:r w:rsidRPr="00975C02">
        <w:rPr>
          <w:rFonts w:eastAsia="Calibri" w:cs="Arial"/>
          <w:sz w:val="20"/>
          <w:szCs w:val="20"/>
          <w:lang w:val="es-ES" w:eastAsia="en-US"/>
        </w:rPr>
        <w:t>normativa</w:t>
      </w:r>
      <w:r w:rsidR="003A4333" w:rsidRPr="00975C02">
        <w:rPr>
          <w:sz w:val="20"/>
          <w:szCs w:val="20"/>
          <w:lang w:val="es-ES"/>
        </w:rPr>
        <w:t xml:space="preserve"> de la Convención sobre los Derechos del Niño</w:t>
      </w:r>
      <w:r w:rsidRPr="00975C02">
        <w:rPr>
          <w:rFonts w:eastAsia="Calibri" w:cs="Arial"/>
          <w:sz w:val="20"/>
          <w:szCs w:val="20"/>
          <w:lang w:val="es-ES" w:eastAsia="en-US"/>
        </w:rPr>
        <w:t>, en relación con los artículos 1.1 y 19 de la Convención. En consecuencia, las representantes solicitaron a la Corte que la excepción sea desestimada.</w:t>
      </w:r>
    </w:p>
    <w:p w14:paraId="1382D191" w14:textId="77777777" w:rsidR="00DD00E7" w:rsidRPr="00975C02" w:rsidRDefault="00DD00E7" w:rsidP="00F75CA4">
      <w:pPr>
        <w:spacing w:line="240" w:lineRule="auto"/>
        <w:rPr>
          <w:sz w:val="20"/>
          <w:szCs w:val="20"/>
          <w:lang w:val="es-ES"/>
        </w:rPr>
      </w:pPr>
    </w:p>
    <w:p w14:paraId="1CAE56A9" w14:textId="77777777" w:rsidR="00DD00E7" w:rsidRPr="00975C02" w:rsidRDefault="00DD00E7" w:rsidP="00F75CA4">
      <w:pPr>
        <w:pStyle w:val="Heading2"/>
        <w:tabs>
          <w:tab w:val="left" w:pos="1843"/>
        </w:tabs>
        <w:spacing w:before="0" w:line="240" w:lineRule="auto"/>
        <w:ind w:left="1134"/>
        <w:rPr>
          <w:rFonts w:ascii="Verdana" w:hAnsi="Verdana"/>
          <w:b w:val="0"/>
          <w:i/>
          <w:color w:val="auto"/>
          <w:sz w:val="20"/>
          <w:szCs w:val="20"/>
          <w:lang w:val="es-ES"/>
        </w:rPr>
      </w:pPr>
      <w:bookmarkStart w:id="59" w:name="_Toc514172601"/>
      <w:r w:rsidRPr="00975C02">
        <w:rPr>
          <w:rFonts w:ascii="Verdana" w:hAnsi="Verdana"/>
          <w:b w:val="0"/>
          <w:i/>
          <w:color w:val="auto"/>
          <w:sz w:val="20"/>
          <w:szCs w:val="20"/>
          <w:lang w:val="es-ES"/>
        </w:rPr>
        <w:t xml:space="preserve">C.2 </w:t>
      </w:r>
      <w:r w:rsidR="00C607DD" w:rsidRPr="00975C02">
        <w:rPr>
          <w:rFonts w:ascii="Verdana" w:hAnsi="Verdana"/>
          <w:b w:val="0"/>
          <w:i/>
          <w:color w:val="auto"/>
          <w:sz w:val="20"/>
          <w:szCs w:val="20"/>
          <w:lang w:val="es-ES"/>
        </w:rPr>
        <w:tab/>
      </w:r>
      <w:r w:rsidRPr="00975C02">
        <w:rPr>
          <w:rFonts w:ascii="Verdana" w:hAnsi="Verdana"/>
          <w:b w:val="0"/>
          <w:i/>
          <w:color w:val="auto"/>
          <w:sz w:val="20"/>
          <w:szCs w:val="20"/>
          <w:lang w:val="es-ES"/>
        </w:rPr>
        <w:t>Consideraciones de la Corte</w:t>
      </w:r>
      <w:bookmarkEnd w:id="59"/>
    </w:p>
    <w:p w14:paraId="673F4099" w14:textId="77777777" w:rsidR="00DD00E7" w:rsidRPr="00975C02" w:rsidRDefault="00DD00E7" w:rsidP="00F75CA4">
      <w:pPr>
        <w:spacing w:line="240" w:lineRule="auto"/>
        <w:rPr>
          <w:sz w:val="20"/>
          <w:szCs w:val="20"/>
          <w:lang w:val="es-ES"/>
        </w:rPr>
      </w:pPr>
    </w:p>
    <w:p w14:paraId="009E180F" w14:textId="74FC27B1" w:rsidR="00A53FD8" w:rsidRPr="00975C02" w:rsidRDefault="00275C57" w:rsidP="003813B9">
      <w:pPr>
        <w:numPr>
          <w:ilvl w:val="0"/>
          <w:numId w:val="2"/>
        </w:numPr>
        <w:tabs>
          <w:tab w:val="left" w:pos="567"/>
          <w:tab w:val="num" w:pos="12305"/>
        </w:tabs>
        <w:spacing w:line="240" w:lineRule="auto"/>
        <w:ind w:left="0" w:firstLine="0"/>
        <w:rPr>
          <w:rFonts w:eastAsia="Calibri" w:cs="Verdana"/>
          <w:sz w:val="20"/>
          <w:szCs w:val="20"/>
          <w:lang w:val="es-ES" w:eastAsia="en-US"/>
        </w:rPr>
      </w:pPr>
      <w:r w:rsidRPr="00975C02">
        <w:rPr>
          <w:sz w:val="20"/>
          <w:szCs w:val="20"/>
          <w:lang w:val="es-ES"/>
        </w:rPr>
        <w:t>L</w:t>
      </w:r>
      <w:r w:rsidR="00DD00E7" w:rsidRPr="00975C02">
        <w:rPr>
          <w:sz w:val="20"/>
          <w:szCs w:val="20"/>
          <w:lang w:val="es-ES"/>
        </w:rPr>
        <w:t xml:space="preserve">a Corte </w:t>
      </w:r>
      <w:r w:rsidR="002D2EDF" w:rsidRPr="00975C02">
        <w:rPr>
          <w:sz w:val="20"/>
          <w:szCs w:val="20"/>
          <w:lang w:val="es-ES"/>
        </w:rPr>
        <w:t xml:space="preserve">nota que </w:t>
      </w:r>
      <w:r w:rsidR="0087468D" w:rsidRPr="00975C02">
        <w:rPr>
          <w:sz w:val="20"/>
          <w:szCs w:val="20"/>
          <w:lang w:val="es-ES"/>
        </w:rPr>
        <w:t xml:space="preserve">las representantes </w:t>
      </w:r>
      <w:r w:rsidR="00AA3F07" w:rsidRPr="00975C02">
        <w:rPr>
          <w:sz w:val="20"/>
          <w:szCs w:val="20"/>
          <w:lang w:val="es-ES"/>
        </w:rPr>
        <w:t>presentaron sus alegatos en torno a</w:t>
      </w:r>
      <w:r w:rsidR="002D2EDF" w:rsidRPr="00975C02">
        <w:rPr>
          <w:sz w:val="20"/>
          <w:szCs w:val="20"/>
          <w:lang w:val="es-ES"/>
        </w:rPr>
        <w:t xml:space="preserve"> </w:t>
      </w:r>
      <w:r w:rsidR="003813B9" w:rsidRPr="00975C02">
        <w:rPr>
          <w:sz w:val="20"/>
          <w:szCs w:val="20"/>
          <w:lang w:val="es-ES"/>
        </w:rPr>
        <w:t>las disposiciones de la Convención sobre los Derechos de Niño</w:t>
      </w:r>
      <w:r w:rsidR="00E723B8" w:rsidRPr="00975C02">
        <w:rPr>
          <w:sz w:val="20"/>
          <w:szCs w:val="20"/>
          <w:lang w:val="es-ES"/>
        </w:rPr>
        <w:t xml:space="preserve"> de forma </w:t>
      </w:r>
      <w:r w:rsidR="0087468D" w:rsidRPr="00975C02">
        <w:rPr>
          <w:sz w:val="20"/>
          <w:szCs w:val="20"/>
          <w:lang w:val="es-ES"/>
        </w:rPr>
        <w:t>imprecisa</w:t>
      </w:r>
      <w:r w:rsidR="003813B9" w:rsidRPr="00975C02">
        <w:rPr>
          <w:sz w:val="20"/>
          <w:szCs w:val="20"/>
          <w:lang w:val="es-ES"/>
        </w:rPr>
        <w:t xml:space="preserve">. No obstante, la Corte </w:t>
      </w:r>
      <w:r w:rsidR="00DD00E7" w:rsidRPr="00975C02">
        <w:rPr>
          <w:sz w:val="20"/>
          <w:szCs w:val="20"/>
          <w:lang w:val="es-ES"/>
        </w:rPr>
        <w:t>entiende que las representantes no solicitaron que se declar</w:t>
      </w:r>
      <w:r w:rsidR="003278AA" w:rsidRPr="00975C02">
        <w:rPr>
          <w:sz w:val="20"/>
          <w:szCs w:val="20"/>
          <w:lang w:val="es-ES"/>
        </w:rPr>
        <w:t>ara</w:t>
      </w:r>
      <w:r w:rsidR="00DD00E7" w:rsidRPr="00975C02">
        <w:rPr>
          <w:sz w:val="20"/>
          <w:szCs w:val="20"/>
          <w:lang w:val="es-ES"/>
        </w:rPr>
        <w:t xml:space="preserve"> la responsabilidad internacional del Estado</w:t>
      </w:r>
      <w:r w:rsidR="002A54B6" w:rsidRPr="00975C02">
        <w:rPr>
          <w:sz w:val="20"/>
          <w:szCs w:val="20"/>
          <w:lang w:val="es-ES"/>
        </w:rPr>
        <w:t xml:space="preserve"> sobre dichas</w:t>
      </w:r>
      <w:r w:rsidR="00DD00E7" w:rsidRPr="00975C02">
        <w:rPr>
          <w:sz w:val="20"/>
          <w:szCs w:val="20"/>
          <w:lang w:val="es-ES"/>
        </w:rPr>
        <w:t xml:space="preserve"> disposiciones, para lo cual </w:t>
      </w:r>
      <w:r w:rsidR="00F67453" w:rsidRPr="00975C02">
        <w:rPr>
          <w:sz w:val="20"/>
          <w:szCs w:val="20"/>
          <w:lang w:val="es-ES"/>
        </w:rPr>
        <w:t xml:space="preserve">este Tribunal </w:t>
      </w:r>
      <w:r w:rsidR="00DD00E7" w:rsidRPr="00975C02">
        <w:rPr>
          <w:sz w:val="20"/>
          <w:szCs w:val="20"/>
          <w:lang w:val="es-ES"/>
        </w:rPr>
        <w:t xml:space="preserve">no resulta competente, sino que las invocaron como normas </w:t>
      </w:r>
      <w:r w:rsidR="003813B9" w:rsidRPr="00975C02">
        <w:rPr>
          <w:sz w:val="20"/>
          <w:szCs w:val="20"/>
          <w:lang w:val="es-ES"/>
        </w:rPr>
        <w:t>que dotan de</w:t>
      </w:r>
      <w:r w:rsidR="00DD00E7" w:rsidRPr="00975C02">
        <w:rPr>
          <w:sz w:val="20"/>
          <w:szCs w:val="20"/>
          <w:lang w:val="es-ES"/>
        </w:rPr>
        <w:t xml:space="preserve"> contenido </w:t>
      </w:r>
      <w:r w:rsidRPr="00975C02">
        <w:rPr>
          <w:sz w:val="20"/>
          <w:szCs w:val="20"/>
          <w:lang w:val="es-ES"/>
        </w:rPr>
        <w:t>el alcance de</w:t>
      </w:r>
      <w:r w:rsidR="003813B9" w:rsidRPr="00975C02">
        <w:rPr>
          <w:sz w:val="20"/>
          <w:szCs w:val="20"/>
          <w:lang w:val="es-ES"/>
        </w:rPr>
        <w:t xml:space="preserve"> </w:t>
      </w:r>
      <w:r w:rsidR="00DD00E7" w:rsidRPr="00975C02">
        <w:rPr>
          <w:sz w:val="20"/>
          <w:szCs w:val="20"/>
          <w:lang w:val="es-ES"/>
        </w:rPr>
        <w:t>l</w:t>
      </w:r>
      <w:r w:rsidR="003813B9" w:rsidRPr="00975C02">
        <w:rPr>
          <w:sz w:val="20"/>
          <w:szCs w:val="20"/>
          <w:lang w:val="es-ES"/>
        </w:rPr>
        <w:t>as medidas especiales de protección previstas en el</w:t>
      </w:r>
      <w:r w:rsidR="00DD00E7" w:rsidRPr="00975C02">
        <w:rPr>
          <w:sz w:val="20"/>
          <w:szCs w:val="20"/>
          <w:lang w:val="es-ES"/>
        </w:rPr>
        <w:t xml:space="preserve"> artículo 19 de la Convención Americana, para cuya interpretación y aplicación la Corte sí tiene competencia. </w:t>
      </w:r>
      <w:r w:rsidR="003813B9" w:rsidRPr="00975C02">
        <w:rPr>
          <w:sz w:val="20"/>
          <w:szCs w:val="20"/>
          <w:lang w:val="es-ES"/>
        </w:rPr>
        <w:t>En efecto, la Corte ha señalado que “</w:t>
      </w:r>
      <w:r w:rsidR="00820552" w:rsidRPr="00975C02">
        <w:rPr>
          <w:spacing w:val="-2"/>
          <w:sz w:val="20"/>
          <w:szCs w:val="20"/>
          <w:lang w:val="es-ES"/>
        </w:rPr>
        <w:t>al examinar la compatibilidad de las conductas o normas estatales con la Convención, la Corte puede interpretar a la luz de otros tratados las obligaciones y los derechos contenidos en dicho instrumento</w:t>
      </w:r>
      <w:r w:rsidR="003813B9" w:rsidRPr="00975C02">
        <w:rPr>
          <w:sz w:val="20"/>
          <w:szCs w:val="20"/>
          <w:lang w:val="es-ES"/>
        </w:rPr>
        <w:t>”</w:t>
      </w:r>
      <w:r w:rsidR="003813B9" w:rsidRPr="00975C02">
        <w:rPr>
          <w:sz w:val="20"/>
          <w:szCs w:val="20"/>
          <w:vertAlign w:val="superscript"/>
          <w:lang w:val="es-ES"/>
        </w:rPr>
        <w:footnoteReference w:id="28"/>
      </w:r>
      <w:r w:rsidR="003813B9" w:rsidRPr="00975C02">
        <w:rPr>
          <w:sz w:val="20"/>
          <w:szCs w:val="20"/>
          <w:lang w:val="es-ES"/>
        </w:rPr>
        <w:t xml:space="preserve">. </w:t>
      </w:r>
      <w:r w:rsidR="00A53FD8" w:rsidRPr="00975C02">
        <w:rPr>
          <w:sz w:val="20"/>
          <w:szCs w:val="20"/>
          <w:lang w:val="es-ES"/>
        </w:rPr>
        <w:t xml:space="preserve">Ello se deriva de la cláusula expresa del artículo 29.b) </w:t>
      </w:r>
      <w:r w:rsidR="00333E18" w:rsidRPr="00975C02">
        <w:rPr>
          <w:sz w:val="20"/>
          <w:szCs w:val="20"/>
          <w:lang w:val="es-ES"/>
        </w:rPr>
        <w:t xml:space="preserve">de la Convención Americana </w:t>
      </w:r>
      <w:r w:rsidR="002A13B1" w:rsidRPr="00975C02">
        <w:rPr>
          <w:sz w:val="20"/>
          <w:szCs w:val="20"/>
          <w:lang w:val="es-ES"/>
        </w:rPr>
        <w:t>que</w:t>
      </w:r>
      <w:r w:rsidR="00A53FD8" w:rsidRPr="00975C02">
        <w:rPr>
          <w:sz w:val="20"/>
          <w:szCs w:val="20"/>
          <w:lang w:val="es-ES"/>
        </w:rPr>
        <w:t xml:space="preserve"> alu</w:t>
      </w:r>
      <w:r w:rsidR="002A13B1" w:rsidRPr="00975C02">
        <w:rPr>
          <w:sz w:val="20"/>
          <w:szCs w:val="20"/>
          <w:lang w:val="es-ES"/>
        </w:rPr>
        <w:t>de</w:t>
      </w:r>
      <w:r w:rsidR="00A53FD8" w:rsidRPr="00975C02">
        <w:rPr>
          <w:sz w:val="20"/>
          <w:szCs w:val="20"/>
          <w:lang w:val="es-ES"/>
        </w:rPr>
        <w:t xml:space="preserve"> a las reglas de interpretación de </w:t>
      </w:r>
      <w:r w:rsidR="00333E18" w:rsidRPr="00975C02">
        <w:rPr>
          <w:sz w:val="20"/>
          <w:szCs w:val="20"/>
          <w:lang w:val="es-ES"/>
        </w:rPr>
        <w:t xml:space="preserve">su </w:t>
      </w:r>
      <w:r w:rsidR="00A53FD8" w:rsidRPr="00975C02">
        <w:rPr>
          <w:sz w:val="20"/>
          <w:szCs w:val="20"/>
          <w:lang w:val="es-ES"/>
        </w:rPr>
        <w:t xml:space="preserve">propia </w:t>
      </w:r>
      <w:r w:rsidR="00333E18" w:rsidRPr="00975C02">
        <w:rPr>
          <w:sz w:val="20"/>
          <w:szCs w:val="20"/>
          <w:lang w:val="es-ES"/>
        </w:rPr>
        <w:t xml:space="preserve">normativa </w:t>
      </w:r>
      <w:r w:rsidR="00A53FD8" w:rsidRPr="00975C02">
        <w:rPr>
          <w:sz w:val="20"/>
          <w:szCs w:val="20"/>
          <w:lang w:val="es-ES"/>
        </w:rPr>
        <w:t>en función de “otra convención en que sea parte uno de dichos Estados”.</w:t>
      </w:r>
      <w:r w:rsidR="00F16499" w:rsidRPr="00975C02">
        <w:rPr>
          <w:rFonts w:eastAsia="Calibri" w:cs="Verdana"/>
          <w:sz w:val="20"/>
          <w:szCs w:val="20"/>
          <w:lang w:val="es-ES" w:eastAsia="en-US"/>
        </w:rPr>
        <w:t xml:space="preserve"> Se advierte, así, en la Convención Americana una tendencia a integrar el sistema regional y el sistema universal de protección de los derechos humanos</w:t>
      </w:r>
      <w:r w:rsidR="00F16499" w:rsidRPr="00975C02">
        <w:rPr>
          <w:rStyle w:val="FootnoteReference"/>
          <w:rFonts w:eastAsia="Calibri" w:cs="Verdana"/>
          <w:sz w:val="20"/>
          <w:szCs w:val="20"/>
          <w:lang w:val="es-ES" w:eastAsia="en-US"/>
        </w:rPr>
        <w:footnoteReference w:id="29"/>
      </w:r>
      <w:r w:rsidR="00F16499" w:rsidRPr="00975C02">
        <w:rPr>
          <w:rFonts w:eastAsia="Calibri" w:cs="Verdana"/>
          <w:sz w:val="20"/>
          <w:szCs w:val="20"/>
          <w:lang w:val="es-ES" w:eastAsia="en-US"/>
        </w:rPr>
        <w:t>.</w:t>
      </w:r>
    </w:p>
    <w:p w14:paraId="4C0DAF32" w14:textId="77777777" w:rsidR="00A53FD8" w:rsidRPr="00975C02" w:rsidRDefault="00A53FD8" w:rsidP="00A53FD8">
      <w:pPr>
        <w:tabs>
          <w:tab w:val="left" w:pos="567"/>
        </w:tabs>
        <w:spacing w:line="240" w:lineRule="auto"/>
        <w:rPr>
          <w:rFonts w:eastAsia="Calibri" w:cs="Verdana"/>
          <w:sz w:val="20"/>
          <w:szCs w:val="20"/>
          <w:lang w:val="es-ES" w:eastAsia="en-US"/>
        </w:rPr>
      </w:pPr>
    </w:p>
    <w:p w14:paraId="4406F066" w14:textId="4806367F" w:rsidR="00AB4843" w:rsidRPr="00975C02" w:rsidRDefault="00804459" w:rsidP="004E03EF">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Teniendo en cuenta que</w:t>
      </w:r>
      <w:r w:rsidR="003813B9" w:rsidRPr="00975C02">
        <w:rPr>
          <w:sz w:val="20"/>
          <w:szCs w:val="20"/>
          <w:lang w:val="es-ES"/>
        </w:rPr>
        <w:t xml:space="preserve"> </w:t>
      </w:r>
      <w:r w:rsidR="00DC3CEA" w:rsidRPr="00975C02">
        <w:rPr>
          <w:sz w:val="20"/>
          <w:szCs w:val="20"/>
          <w:lang w:val="es-ES"/>
        </w:rPr>
        <w:t>la persona</w:t>
      </w:r>
      <w:r w:rsidR="003813B9" w:rsidRPr="00975C02">
        <w:rPr>
          <w:sz w:val="20"/>
          <w:szCs w:val="20"/>
          <w:lang w:val="es-ES"/>
        </w:rPr>
        <w:t xml:space="preserve"> </w:t>
      </w:r>
      <w:r w:rsidR="008304EF" w:rsidRPr="00975C02">
        <w:rPr>
          <w:sz w:val="20"/>
          <w:szCs w:val="20"/>
          <w:lang w:val="es-ES"/>
        </w:rPr>
        <w:t xml:space="preserve">titular </w:t>
      </w:r>
      <w:r w:rsidR="003813B9" w:rsidRPr="00975C02">
        <w:rPr>
          <w:sz w:val="20"/>
          <w:szCs w:val="20"/>
          <w:lang w:val="es-ES"/>
        </w:rPr>
        <w:t xml:space="preserve">de derechos </w:t>
      </w:r>
      <w:r w:rsidRPr="00975C02">
        <w:rPr>
          <w:sz w:val="20"/>
          <w:szCs w:val="20"/>
          <w:lang w:val="es-ES"/>
        </w:rPr>
        <w:t xml:space="preserve">y presunta víctima principal en este caso </w:t>
      </w:r>
      <w:r w:rsidR="00333E18" w:rsidRPr="00975C02">
        <w:rPr>
          <w:sz w:val="20"/>
          <w:szCs w:val="20"/>
          <w:lang w:val="es-ES"/>
        </w:rPr>
        <w:t>tenía menos</w:t>
      </w:r>
      <w:r w:rsidR="003813B9" w:rsidRPr="00975C02">
        <w:rPr>
          <w:sz w:val="20"/>
          <w:szCs w:val="20"/>
          <w:lang w:val="es-ES"/>
        </w:rPr>
        <w:t xml:space="preserve"> de 18 años</w:t>
      </w:r>
      <w:r w:rsidR="00333E18" w:rsidRPr="00975C02">
        <w:rPr>
          <w:sz w:val="20"/>
          <w:szCs w:val="20"/>
          <w:lang w:val="es-ES"/>
        </w:rPr>
        <w:t xml:space="preserve"> de edad al momento de los hechos</w:t>
      </w:r>
      <w:r w:rsidR="003813B9" w:rsidRPr="00975C02">
        <w:rPr>
          <w:sz w:val="20"/>
          <w:szCs w:val="20"/>
          <w:lang w:val="es-ES"/>
        </w:rPr>
        <w:t>,</w:t>
      </w:r>
      <w:r w:rsidRPr="00975C02">
        <w:rPr>
          <w:sz w:val="20"/>
          <w:szCs w:val="20"/>
          <w:lang w:val="es-ES"/>
        </w:rPr>
        <w:t xml:space="preserve"> la Corte considera útil y apropiado recurrir a la </w:t>
      </w:r>
      <w:r w:rsidRPr="00975C02">
        <w:rPr>
          <w:rFonts w:eastAsia="Calibri" w:cs="Verdana"/>
          <w:sz w:val="20"/>
          <w:szCs w:val="20"/>
          <w:lang w:val="es-ES" w:eastAsia="en-US"/>
        </w:rPr>
        <w:t>Convención sobre los Derechos del Niño</w:t>
      </w:r>
      <w:r w:rsidRPr="00975C02">
        <w:rPr>
          <w:sz w:val="20"/>
          <w:szCs w:val="20"/>
          <w:lang w:val="es-ES"/>
        </w:rPr>
        <w:t xml:space="preserve"> que contiene diversas disposiciones </w:t>
      </w:r>
      <w:r w:rsidR="00743666" w:rsidRPr="00975C02">
        <w:rPr>
          <w:sz w:val="20"/>
          <w:szCs w:val="20"/>
          <w:lang w:val="es-ES"/>
        </w:rPr>
        <w:t>específicas y más desarrolladas en torno a la participación, acceso a la justicia y rehabilitación de niñas</w:t>
      </w:r>
      <w:r w:rsidR="00862941" w:rsidRPr="00975C02">
        <w:rPr>
          <w:sz w:val="20"/>
          <w:szCs w:val="20"/>
          <w:lang w:val="es-ES"/>
        </w:rPr>
        <w:t>,</w:t>
      </w:r>
      <w:r w:rsidR="00743666" w:rsidRPr="00975C02">
        <w:rPr>
          <w:sz w:val="20"/>
          <w:szCs w:val="20"/>
          <w:lang w:val="es-ES"/>
        </w:rPr>
        <w:t xml:space="preserve"> niños</w:t>
      </w:r>
      <w:r w:rsidR="00862941" w:rsidRPr="00975C02">
        <w:rPr>
          <w:sz w:val="20"/>
          <w:szCs w:val="20"/>
          <w:lang w:val="es-ES"/>
        </w:rPr>
        <w:t xml:space="preserve"> y adolescentes</w:t>
      </w:r>
      <w:r w:rsidR="00743666" w:rsidRPr="00975C02">
        <w:rPr>
          <w:sz w:val="20"/>
          <w:szCs w:val="20"/>
          <w:lang w:val="es-ES"/>
        </w:rPr>
        <w:t xml:space="preserve"> víctimas de delitos</w:t>
      </w:r>
      <w:r w:rsidR="00862941" w:rsidRPr="00975C02">
        <w:rPr>
          <w:sz w:val="20"/>
          <w:szCs w:val="20"/>
          <w:lang w:val="es-ES"/>
        </w:rPr>
        <w:t>. Tales</w:t>
      </w:r>
      <w:r w:rsidRPr="00975C02">
        <w:rPr>
          <w:sz w:val="20"/>
          <w:szCs w:val="20"/>
          <w:lang w:val="es-ES"/>
        </w:rPr>
        <w:t xml:space="preserve"> disposiciones pueden ilustrar sobre el contenido y alcance de las medidas de protección especial que deben ser precisadas </w:t>
      </w:r>
      <w:r w:rsidR="00862941" w:rsidRPr="00975C02">
        <w:rPr>
          <w:sz w:val="20"/>
          <w:szCs w:val="20"/>
          <w:lang w:val="es-ES"/>
        </w:rPr>
        <w:t>en e</w:t>
      </w:r>
      <w:r w:rsidRPr="00975C02">
        <w:rPr>
          <w:sz w:val="20"/>
          <w:szCs w:val="20"/>
          <w:lang w:val="es-ES"/>
        </w:rPr>
        <w:t>l caso examinado a la luz del artículo 19 de la Convención.</w:t>
      </w:r>
      <w:r w:rsidR="004E03EF" w:rsidRPr="00975C02">
        <w:rPr>
          <w:sz w:val="20"/>
          <w:szCs w:val="20"/>
          <w:lang w:val="es-ES"/>
        </w:rPr>
        <w:t xml:space="preserve"> </w:t>
      </w:r>
      <w:r w:rsidR="008304EF" w:rsidRPr="00975C02">
        <w:rPr>
          <w:sz w:val="20"/>
          <w:szCs w:val="20"/>
          <w:lang w:val="es-ES"/>
        </w:rPr>
        <w:t>La Corte considera la aplicabilidad de dicho instrumento</w:t>
      </w:r>
      <w:r w:rsidR="00451534" w:rsidRPr="00975C02">
        <w:rPr>
          <w:sz w:val="20"/>
          <w:szCs w:val="20"/>
          <w:lang w:val="es-ES"/>
        </w:rPr>
        <w:t xml:space="preserve"> al presente caso</w:t>
      </w:r>
      <w:r w:rsidR="008304EF" w:rsidRPr="00975C02">
        <w:rPr>
          <w:sz w:val="20"/>
          <w:szCs w:val="20"/>
          <w:lang w:val="es-ES"/>
        </w:rPr>
        <w:t xml:space="preserve"> </w:t>
      </w:r>
      <w:r w:rsidR="00862941" w:rsidRPr="00975C02">
        <w:rPr>
          <w:sz w:val="20"/>
          <w:szCs w:val="20"/>
          <w:lang w:val="es-ES"/>
        </w:rPr>
        <w:t xml:space="preserve">en los términos indicados, </w:t>
      </w:r>
      <w:r w:rsidR="008304EF" w:rsidRPr="00975C02">
        <w:rPr>
          <w:sz w:val="20"/>
          <w:szCs w:val="20"/>
          <w:lang w:val="es-ES"/>
        </w:rPr>
        <w:t>en tanto Nicaragua es parte de ese tratado internacional</w:t>
      </w:r>
      <w:r w:rsidR="00FA0912" w:rsidRPr="00975C02">
        <w:rPr>
          <w:rStyle w:val="FootnoteReference"/>
          <w:sz w:val="20"/>
          <w:szCs w:val="20"/>
          <w:lang w:val="es-ES"/>
        </w:rPr>
        <w:footnoteReference w:id="30"/>
      </w:r>
      <w:r w:rsidR="008304EF" w:rsidRPr="00975C02">
        <w:rPr>
          <w:sz w:val="20"/>
          <w:szCs w:val="20"/>
          <w:lang w:val="es-ES"/>
        </w:rPr>
        <w:t xml:space="preserve"> </w:t>
      </w:r>
      <w:r w:rsidR="00AB4843" w:rsidRPr="00975C02">
        <w:rPr>
          <w:sz w:val="20"/>
          <w:szCs w:val="20"/>
          <w:lang w:val="es-ES"/>
        </w:rPr>
        <w:t>y ha reconocido</w:t>
      </w:r>
      <w:r w:rsidR="00862941" w:rsidRPr="00975C02">
        <w:rPr>
          <w:sz w:val="20"/>
          <w:szCs w:val="20"/>
          <w:lang w:val="es-ES"/>
        </w:rPr>
        <w:t>,</w:t>
      </w:r>
      <w:r w:rsidR="00AB4843" w:rsidRPr="00975C02">
        <w:rPr>
          <w:sz w:val="20"/>
          <w:szCs w:val="20"/>
          <w:lang w:val="es-ES"/>
        </w:rPr>
        <w:t xml:space="preserve"> por lo tanto</w:t>
      </w:r>
      <w:r w:rsidR="00862941" w:rsidRPr="00975C02">
        <w:rPr>
          <w:sz w:val="20"/>
          <w:szCs w:val="20"/>
          <w:lang w:val="es-ES"/>
        </w:rPr>
        <w:t>,</w:t>
      </w:r>
      <w:r w:rsidR="00AB4843" w:rsidRPr="00975C02">
        <w:rPr>
          <w:sz w:val="20"/>
          <w:szCs w:val="20"/>
          <w:lang w:val="es-ES"/>
        </w:rPr>
        <w:t xml:space="preserve"> las reglas establecidas allí expresamente como fuente de derecho. P</w:t>
      </w:r>
      <w:r w:rsidR="008304EF" w:rsidRPr="00975C02">
        <w:rPr>
          <w:sz w:val="20"/>
          <w:szCs w:val="20"/>
          <w:lang w:val="es-ES"/>
        </w:rPr>
        <w:t>ero</w:t>
      </w:r>
      <w:r w:rsidR="00AB4843" w:rsidRPr="00975C02">
        <w:rPr>
          <w:sz w:val="20"/>
          <w:szCs w:val="20"/>
          <w:lang w:val="es-ES"/>
        </w:rPr>
        <w:t>,</w:t>
      </w:r>
      <w:r w:rsidR="008304EF" w:rsidRPr="00975C02">
        <w:rPr>
          <w:sz w:val="20"/>
          <w:szCs w:val="20"/>
          <w:lang w:val="es-ES"/>
        </w:rPr>
        <w:t xml:space="preserve"> además</w:t>
      </w:r>
      <w:r w:rsidR="00451534" w:rsidRPr="00975C02">
        <w:rPr>
          <w:sz w:val="20"/>
          <w:szCs w:val="20"/>
          <w:lang w:val="es-ES"/>
        </w:rPr>
        <w:t>,</w:t>
      </w:r>
      <w:r w:rsidR="008304EF" w:rsidRPr="00975C02">
        <w:rPr>
          <w:sz w:val="20"/>
          <w:szCs w:val="20"/>
          <w:lang w:val="es-ES"/>
        </w:rPr>
        <w:t xml:space="preserve"> </w:t>
      </w:r>
      <w:r w:rsidR="00AB4843" w:rsidRPr="00975C02">
        <w:rPr>
          <w:sz w:val="20"/>
          <w:szCs w:val="20"/>
          <w:lang w:val="es-ES"/>
        </w:rPr>
        <w:t xml:space="preserve">es necesario recordar, como </w:t>
      </w:r>
      <w:r w:rsidR="008304EF" w:rsidRPr="00975C02">
        <w:rPr>
          <w:sz w:val="20"/>
          <w:szCs w:val="20"/>
          <w:lang w:val="es-ES"/>
        </w:rPr>
        <w:t xml:space="preserve">ya ha </w:t>
      </w:r>
      <w:r w:rsidR="00AB4843" w:rsidRPr="00975C02">
        <w:rPr>
          <w:sz w:val="20"/>
          <w:szCs w:val="20"/>
          <w:lang w:val="es-ES"/>
        </w:rPr>
        <w:t xml:space="preserve">sido </w:t>
      </w:r>
      <w:r w:rsidR="008304EF" w:rsidRPr="00975C02">
        <w:rPr>
          <w:sz w:val="20"/>
          <w:szCs w:val="20"/>
          <w:lang w:val="es-ES"/>
        </w:rPr>
        <w:t>resaltado</w:t>
      </w:r>
      <w:r w:rsidR="00AB4843" w:rsidRPr="00975C02">
        <w:rPr>
          <w:sz w:val="20"/>
          <w:szCs w:val="20"/>
          <w:lang w:val="es-ES"/>
        </w:rPr>
        <w:t xml:space="preserve"> en reiteradas oportunidades</w:t>
      </w:r>
      <w:r w:rsidR="00451534" w:rsidRPr="00975C02">
        <w:rPr>
          <w:sz w:val="20"/>
          <w:szCs w:val="20"/>
          <w:lang w:val="es-ES"/>
        </w:rPr>
        <w:t>,</w:t>
      </w:r>
      <w:r w:rsidR="008304EF" w:rsidRPr="00975C02">
        <w:rPr>
          <w:sz w:val="20"/>
          <w:szCs w:val="20"/>
          <w:lang w:val="es-ES"/>
        </w:rPr>
        <w:t xml:space="preserve"> </w:t>
      </w:r>
      <w:r w:rsidR="00451534" w:rsidRPr="00975C02">
        <w:rPr>
          <w:sz w:val="20"/>
          <w:szCs w:val="20"/>
          <w:lang w:val="es-ES"/>
        </w:rPr>
        <w:t>que</w:t>
      </w:r>
      <w:r w:rsidR="008304EF" w:rsidRPr="00975C02">
        <w:rPr>
          <w:sz w:val="20"/>
          <w:szCs w:val="20"/>
          <w:lang w:val="es-ES"/>
        </w:rPr>
        <w:t xml:space="preserve"> la Convención sobre los Derechos del Niño es el tratado internacional que posee mayor vocación de universalidad, lo cual “pone de manifiesto un amplio consenso internacional (</w:t>
      </w:r>
      <w:r w:rsidR="008304EF" w:rsidRPr="00975C02">
        <w:rPr>
          <w:i/>
          <w:sz w:val="20"/>
          <w:szCs w:val="20"/>
          <w:lang w:val="es-ES"/>
        </w:rPr>
        <w:t>opinio iuris comunis</w:t>
      </w:r>
      <w:r w:rsidR="008304EF" w:rsidRPr="00975C02">
        <w:rPr>
          <w:sz w:val="20"/>
          <w:szCs w:val="20"/>
          <w:lang w:val="es-ES"/>
        </w:rPr>
        <w:t>) favorable a los principios e instituciones acogidos por dicho instrumento, que refleja el desarrollo actual de esta materia”</w:t>
      </w:r>
      <w:r w:rsidR="008304EF" w:rsidRPr="00975C02">
        <w:rPr>
          <w:sz w:val="20"/>
          <w:szCs w:val="20"/>
          <w:vertAlign w:val="superscript"/>
          <w:lang w:val="es-ES"/>
        </w:rPr>
        <w:footnoteReference w:id="31"/>
      </w:r>
      <w:r w:rsidR="00AB4843" w:rsidRPr="00975C02">
        <w:rPr>
          <w:sz w:val="20"/>
          <w:szCs w:val="20"/>
          <w:lang w:val="es-ES"/>
        </w:rPr>
        <w:t>.</w:t>
      </w:r>
    </w:p>
    <w:p w14:paraId="59415930" w14:textId="77777777" w:rsidR="00AB4843" w:rsidRPr="00975C02" w:rsidRDefault="00AB4843" w:rsidP="00AB4843">
      <w:pPr>
        <w:tabs>
          <w:tab w:val="left" w:pos="567"/>
        </w:tabs>
        <w:spacing w:line="240" w:lineRule="auto"/>
        <w:rPr>
          <w:sz w:val="20"/>
          <w:szCs w:val="20"/>
          <w:lang w:val="es-ES"/>
        </w:rPr>
      </w:pPr>
    </w:p>
    <w:p w14:paraId="3B076200" w14:textId="42855014" w:rsidR="00DD00E7" w:rsidRPr="00975C02" w:rsidRDefault="008304EF" w:rsidP="00A25E39">
      <w:pPr>
        <w:numPr>
          <w:ilvl w:val="0"/>
          <w:numId w:val="2"/>
        </w:numPr>
        <w:tabs>
          <w:tab w:val="left" w:pos="567"/>
          <w:tab w:val="num" w:pos="12305"/>
        </w:tabs>
        <w:spacing w:line="240" w:lineRule="auto"/>
        <w:ind w:left="0" w:firstLine="0"/>
        <w:rPr>
          <w:rFonts w:eastAsia="Calibri" w:cs="Verdana"/>
          <w:sz w:val="20"/>
          <w:szCs w:val="20"/>
          <w:lang w:val="es-ES" w:eastAsia="en-US"/>
        </w:rPr>
      </w:pPr>
      <w:r w:rsidRPr="00975C02">
        <w:rPr>
          <w:sz w:val="20"/>
          <w:szCs w:val="20"/>
          <w:lang w:val="es-ES"/>
        </w:rPr>
        <w:t>En suma</w:t>
      </w:r>
      <w:r w:rsidR="00804459" w:rsidRPr="00975C02">
        <w:rPr>
          <w:sz w:val="20"/>
          <w:szCs w:val="20"/>
          <w:lang w:val="es-ES"/>
        </w:rPr>
        <w:t>,</w:t>
      </w:r>
      <w:r w:rsidR="003813B9" w:rsidRPr="00975C02">
        <w:rPr>
          <w:sz w:val="20"/>
          <w:szCs w:val="20"/>
          <w:lang w:val="es-ES"/>
        </w:rPr>
        <w:t xml:space="preserve"> </w:t>
      </w:r>
      <w:r w:rsidR="00DD00E7" w:rsidRPr="00975C02">
        <w:rPr>
          <w:rFonts w:eastAsia="Calibri" w:cs="Verdana"/>
          <w:sz w:val="20"/>
          <w:szCs w:val="20"/>
          <w:lang w:val="es-ES" w:eastAsia="en-US"/>
        </w:rPr>
        <w:t>este Tribunal ha establecido en reiterada jurisprudencia que</w:t>
      </w:r>
      <w:r w:rsidR="003813B9" w:rsidRPr="00975C02">
        <w:rPr>
          <w:rFonts w:eastAsia="Calibri" w:cs="Verdana"/>
          <w:sz w:val="20"/>
          <w:szCs w:val="20"/>
          <w:lang w:val="es-ES" w:eastAsia="en-US"/>
        </w:rPr>
        <w:t>,</w:t>
      </w:r>
      <w:r w:rsidR="00DD00E7" w:rsidRPr="00975C02">
        <w:rPr>
          <w:rFonts w:eastAsia="Calibri" w:cs="Verdana"/>
          <w:sz w:val="20"/>
          <w:szCs w:val="20"/>
          <w:lang w:val="es-ES" w:eastAsia="en-US"/>
        </w:rPr>
        <w:t xml:space="preserve"> tanto la Convención Americana como la Convención sobre los Derechos del Niño</w:t>
      </w:r>
      <w:r w:rsidR="00B0256C" w:rsidRPr="00975C02">
        <w:rPr>
          <w:rFonts w:eastAsia="Calibri" w:cs="Verdana"/>
          <w:sz w:val="20"/>
          <w:szCs w:val="20"/>
          <w:lang w:val="es-ES" w:eastAsia="en-US"/>
        </w:rPr>
        <w:t>, así como</w:t>
      </w:r>
      <w:r w:rsidR="00077564" w:rsidRPr="00975C02">
        <w:rPr>
          <w:rFonts w:eastAsia="Calibri" w:cs="Verdana"/>
          <w:sz w:val="20"/>
          <w:szCs w:val="20"/>
          <w:lang w:val="es-ES" w:eastAsia="en-US"/>
        </w:rPr>
        <w:t xml:space="preserve"> otros instrumentos internacionales de contenido y efectos jurídicos variados</w:t>
      </w:r>
      <w:r w:rsidR="00A25E39" w:rsidRPr="00975C02">
        <w:rPr>
          <w:rFonts w:eastAsia="Calibri" w:cs="Verdana"/>
          <w:sz w:val="20"/>
          <w:szCs w:val="20"/>
          <w:lang w:val="es-ES" w:eastAsia="en-US"/>
        </w:rPr>
        <w:t xml:space="preserve"> que sirven como guía de </w:t>
      </w:r>
      <w:r w:rsidR="00A25E39" w:rsidRPr="00975C02">
        <w:rPr>
          <w:sz w:val="20"/>
          <w:szCs w:val="20"/>
          <w:lang w:val="es-ES"/>
        </w:rPr>
        <w:t>interpretación</w:t>
      </w:r>
      <w:r w:rsidR="00A71D2A" w:rsidRPr="00975C02">
        <w:rPr>
          <w:rStyle w:val="FootnoteReference"/>
          <w:sz w:val="20"/>
          <w:szCs w:val="20"/>
          <w:lang w:val="es-ES"/>
        </w:rPr>
        <w:footnoteReference w:id="32"/>
      </w:r>
      <w:r w:rsidR="003813B9" w:rsidRPr="00975C02">
        <w:rPr>
          <w:rFonts w:eastAsia="Calibri" w:cs="Verdana"/>
          <w:sz w:val="20"/>
          <w:szCs w:val="20"/>
          <w:lang w:val="es-ES" w:eastAsia="en-US"/>
        </w:rPr>
        <w:t>,</w:t>
      </w:r>
      <w:r w:rsidR="00DD00E7" w:rsidRPr="00975C02">
        <w:rPr>
          <w:rFonts w:eastAsia="Calibri" w:cs="Verdana"/>
          <w:sz w:val="20"/>
          <w:szCs w:val="20"/>
          <w:lang w:val="es-ES" w:eastAsia="en-US"/>
        </w:rPr>
        <w:t xml:space="preserve"> </w:t>
      </w:r>
      <w:r w:rsidR="00DD00E7" w:rsidRPr="00975C02">
        <w:rPr>
          <w:rFonts w:eastAsia="Calibri" w:cs="Verdana"/>
          <w:sz w:val="20"/>
          <w:szCs w:val="20"/>
          <w:lang w:val="es-ES" w:eastAsia="en-US"/>
        </w:rPr>
        <w:lastRenderedPageBreak/>
        <w:t xml:space="preserve">forman parte de un muy comprensivo </w:t>
      </w:r>
      <w:r w:rsidR="00DD00E7" w:rsidRPr="00975C02">
        <w:rPr>
          <w:rFonts w:eastAsia="Calibri" w:cs="Verdana"/>
          <w:i/>
          <w:iCs/>
          <w:sz w:val="20"/>
          <w:szCs w:val="20"/>
          <w:lang w:val="es-ES" w:eastAsia="en-US"/>
        </w:rPr>
        <w:t xml:space="preserve">corpus juris </w:t>
      </w:r>
      <w:r w:rsidR="00DD00E7" w:rsidRPr="00975C02">
        <w:rPr>
          <w:rFonts w:eastAsia="Calibri" w:cs="Verdana"/>
          <w:sz w:val="20"/>
          <w:szCs w:val="20"/>
          <w:lang w:val="es-ES" w:eastAsia="en-US"/>
        </w:rPr>
        <w:t>internacional de protección de niñ</w:t>
      </w:r>
      <w:r w:rsidR="00644CC3" w:rsidRPr="00975C02">
        <w:rPr>
          <w:rFonts w:eastAsia="Calibri" w:cs="Verdana"/>
          <w:sz w:val="20"/>
          <w:szCs w:val="20"/>
          <w:lang w:val="es-ES" w:eastAsia="en-US"/>
        </w:rPr>
        <w:t>a</w:t>
      </w:r>
      <w:r w:rsidR="00DD00E7" w:rsidRPr="00975C02">
        <w:rPr>
          <w:rFonts w:eastAsia="Calibri" w:cs="Verdana"/>
          <w:sz w:val="20"/>
          <w:szCs w:val="20"/>
          <w:lang w:val="es-ES" w:eastAsia="en-US"/>
        </w:rPr>
        <w:t>s</w:t>
      </w:r>
      <w:r w:rsidR="00644CC3" w:rsidRPr="00975C02">
        <w:rPr>
          <w:rFonts w:eastAsia="Calibri" w:cs="Verdana"/>
          <w:sz w:val="20"/>
          <w:szCs w:val="20"/>
          <w:lang w:val="es-ES" w:eastAsia="en-US"/>
        </w:rPr>
        <w:t>, niños y adolescentes</w:t>
      </w:r>
      <w:r w:rsidR="005F4359" w:rsidRPr="00975C02">
        <w:rPr>
          <w:rFonts w:eastAsia="Calibri" w:cs="Verdana"/>
          <w:sz w:val="20"/>
          <w:szCs w:val="20"/>
          <w:lang w:val="es-ES" w:eastAsia="en-US"/>
        </w:rPr>
        <w:t>. Éste</w:t>
      </w:r>
      <w:r w:rsidR="00604FED" w:rsidRPr="00975C02">
        <w:rPr>
          <w:rFonts w:eastAsia="Calibri" w:cs="Verdana"/>
          <w:sz w:val="20"/>
          <w:szCs w:val="20"/>
          <w:lang w:val="es-ES" w:eastAsia="en-US"/>
        </w:rPr>
        <w:t xml:space="preserve"> </w:t>
      </w:r>
      <w:r w:rsidR="00DD00E7" w:rsidRPr="00975C02">
        <w:rPr>
          <w:rFonts w:eastAsia="Calibri" w:cs="Verdana"/>
          <w:sz w:val="20"/>
          <w:szCs w:val="20"/>
          <w:lang w:val="es-ES" w:eastAsia="en-US"/>
        </w:rPr>
        <w:t xml:space="preserve">debe servir para </w:t>
      </w:r>
      <w:r w:rsidR="0055045C" w:rsidRPr="00975C02">
        <w:rPr>
          <w:rFonts w:eastAsia="Calibri" w:cs="Verdana"/>
          <w:sz w:val="20"/>
          <w:szCs w:val="20"/>
          <w:lang w:val="es-ES" w:eastAsia="en-US"/>
        </w:rPr>
        <w:t xml:space="preserve">fijar </w:t>
      </w:r>
      <w:r w:rsidR="00DD00E7" w:rsidRPr="00975C02">
        <w:rPr>
          <w:rFonts w:eastAsia="Calibri" w:cs="Verdana"/>
          <w:sz w:val="20"/>
          <w:szCs w:val="20"/>
          <w:lang w:val="es-ES" w:eastAsia="en-US"/>
        </w:rPr>
        <w:t>el contenido</w:t>
      </w:r>
      <w:r w:rsidR="0055045C" w:rsidRPr="00975C02">
        <w:rPr>
          <w:rFonts w:eastAsia="Calibri" w:cs="Verdana"/>
          <w:sz w:val="20"/>
          <w:szCs w:val="20"/>
          <w:lang w:val="es-ES" w:eastAsia="en-US"/>
        </w:rPr>
        <w:t xml:space="preserve"> y alcance de</w:t>
      </w:r>
      <w:r w:rsidR="00DD00E7" w:rsidRPr="00975C02">
        <w:rPr>
          <w:rFonts w:eastAsia="Calibri" w:cs="Verdana"/>
          <w:sz w:val="20"/>
          <w:szCs w:val="20"/>
          <w:lang w:val="es-ES" w:eastAsia="en-US"/>
        </w:rPr>
        <w:t xml:space="preserve"> la disposición general definida en el artículo 19</w:t>
      </w:r>
      <w:r w:rsidR="00CF71D7" w:rsidRPr="00975C02">
        <w:rPr>
          <w:rFonts w:eastAsia="Calibri" w:cs="Verdana"/>
          <w:sz w:val="20"/>
          <w:szCs w:val="20"/>
          <w:lang w:val="es-ES" w:eastAsia="en-US"/>
        </w:rPr>
        <w:t xml:space="preserve"> de la Convención Americana</w:t>
      </w:r>
      <w:r w:rsidR="00604FED" w:rsidRPr="00975C02">
        <w:rPr>
          <w:rFonts w:eastAsia="Calibri" w:cs="Verdana"/>
          <w:sz w:val="20"/>
          <w:szCs w:val="20"/>
          <w:lang w:val="es-ES" w:eastAsia="en-US"/>
        </w:rPr>
        <w:t>,</w:t>
      </w:r>
      <w:r w:rsidR="00DD00E7" w:rsidRPr="00975C02">
        <w:rPr>
          <w:rFonts w:eastAsia="Calibri" w:cs="Verdana"/>
          <w:sz w:val="20"/>
          <w:szCs w:val="20"/>
          <w:lang w:val="es-ES" w:eastAsia="en-US"/>
        </w:rPr>
        <w:t xml:space="preserve"> </w:t>
      </w:r>
      <w:r w:rsidR="0055045C" w:rsidRPr="00975C02">
        <w:rPr>
          <w:rFonts w:eastAsia="Calibri" w:cs="Verdana"/>
          <w:sz w:val="20"/>
          <w:szCs w:val="20"/>
          <w:lang w:val="es-ES" w:eastAsia="en-US"/>
        </w:rPr>
        <w:t xml:space="preserve">en relación con </w:t>
      </w:r>
      <w:r w:rsidR="00644CC3" w:rsidRPr="00975C02">
        <w:rPr>
          <w:rFonts w:eastAsia="Calibri" w:cs="Verdana"/>
          <w:sz w:val="20"/>
          <w:szCs w:val="20"/>
          <w:lang w:val="es-ES" w:eastAsia="en-US"/>
        </w:rPr>
        <w:t>los</w:t>
      </w:r>
      <w:r w:rsidR="0055045C" w:rsidRPr="00975C02">
        <w:rPr>
          <w:rFonts w:eastAsia="Calibri" w:cs="Verdana"/>
          <w:sz w:val="20"/>
          <w:szCs w:val="20"/>
          <w:lang w:val="es-ES" w:eastAsia="en-US"/>
        </w:rPr>
        <w:t xml:space="preserve"> demás</w:t>
      </w:r>
      <w:r w:rsidR="00644CC3" w:rsidRPr="00975C02">
        <w:rPr>
          <w:rFonts w:eastAsia="Calibri" w:cs="Verdana"/>
          <w:sz w:val="20"/>
          <w:szCs w:val="20"/>
          <w:lang w:val="es-ES" w:eastAsia="en-US"/>
        </w:rPr>
        <w:t xml:space="preserve"> derechos contenidos </w:t>
      </w:r>
      <w:r w:rsidR="00DD00E7" w:rsidRPr="00975C02">
        <w:rPr>
          <w:rFonts w:eastAsia="Calibri" w:cs="Verdana"/>
          <w:sz w:val="20"/>
          <w:szCs w:val="20"/>
          <w:lang w:val="es-ES" w:eastAsia="en-US"/>
        </w:rPr>
        <w:t>e</w:t>
      </w:r>
      <w:r w:rsidR="00644CC3" w:rsidRPr="00975C02">
        <w:rPr>
          <w:rFonts w:eastAsia="Calibri" w:cs="Verdana"/>
          <w:sz w:val="20"/>
          <w:szCs w:val="20"/>
          <w:lang w:val="es-ES" w:eastAsia="en-US"/>
        </w:rPr>
        <w:t>n</w:t>
      </w:r>
      <w:r w:rsidR="00CF71D7" w:rsidRPr="00975C02">
        <w:rPr>
          <w:rFonts w:eastAsia="Calibri" w:cs="Verdana"/>
          <w:sz w:val="20"/>
          <w:szCs w:val="20"/>
          <w:lang w:val="es-ES" w:eastAsia="en-US"/>
        </w:rPr>
        <w:t xml:space="preserve"> dicho instrumento</w:t>
      </w:r>
      <w:r w:rsidR="0055045C" w:rsidRPr="00975C02">
        <w:rPr>
          <w:rFonts w:eastAsia="Calibri" w:cs="Verdana"/>
          <w:sz w:val="20"/>
          <w:szCs w:val="20"/>
          <w:lang w:val="es-ES" w:eastAsia="en-US"/>
        </w:rPr>
        <w:t>, cuando el sujeto titular de derechos es una persona menor de 18 años de edad</w:t>
      </w:r>
      <w:r w:rsidR="00DD00E7" w:rsidRPr="00975C02">
        <w:rPr>
          <w:rFonts w:eastAsia="Calibri" w:cs="Verdana"/>
          <w:sz w:val="20"/>
          <w:szCs w:val="20"/>
          <w:vertAlign w:val="superscript"/>
          <w:lang w:val="es-ES" w:eastAsia="en-US"/>
        </w:rPr>
        <w:footnoteReference w:id="33"/>
      </w:r>
      <w:r w:rsidR="00DD00E7" w:rsidRPr="00975C02">
        <w:rPr>
          <w:rFonts w:eastAsia="Calibri" w:cs="Verdana"/>
          <w:sz w:val="20"/>
          <w:szCs w:val="20"/>
          <w:lang w:val="es-ES" w:eastAsia="en-US"/>
        </w:rPr>
        <w:t>.</w:t>
      </w:r>
      <w:r w:rsidR="00AB4843" w:rsidRPr="00975C02">
        <w:rPr>
          <w:sz w:val="20"/>
          <w:szCs w:val="20"/>
          <w:lang w:val="es-ES"/>
        </w:rPr>
        <w:t xml:space="preserve"> </w:t>
      </w:r>
      <w:r w:rsidR="005851F6" w:rsidRPr="00975C02">
        <w:rPr>
          <w:sz w:val="20"/>
          <w:szCs w:val="20"/>
          <w:lang w:val="es-ES"/>
        </w:rPr>
        <w:t>Por lo tanto, e</w:t>
      </w:r>
      <w:r w:rsidR="00D803D4" w:rsidRPr="00975C02">
        <w:rPr>
          <w:sz w:val="20"/>
          <w:szCs w:val="20"/>
          <w:lang w:val="es-ES"/>
        </w:rPr>
        <w:t>n los términos de</w:t>
      </w:r>
      <w:r w:rsidR="00DD00E7" w:rsidRPr="00975C02">
        <w:rPr>
          <w:sz w:val="20"/>
          <w:szCs w:val="20"/>
          <w:lang w:val="es-ES"/>
        </w:rPr>
        <w:t xml:space="preserve"> </w:t>
      </w:r>
      <w:r w:rsidR="00B10FFA" w:rsidRPr="00975C02">
        <w:rPr>
          <w:sz w:val="20"/>
          <w:szCs w:val="20"/>
          <w:lang w:val="es-ES"/>
        </w:rPr>
        <w:t>las</w:t>
      </w:r>
      <w:r w:rsidR="00DD00E7" w:rsidRPr="00975C02">
        <w:rPr>
          <w:sz w:val="20"/>
          <w:szCs w:val="20"/>
          <w:lang w:val="es-ES"/>
        </w:rPr>
        <w:t xml:space="preserve"> consideraciones</w:t>
      </w:r>
      <w:r w:rsidR="00B10FFA" w:rsidRPr="00975C02">
        <w:rPr>
          <w:sz w:val="20"/>
          <w:szCs w:val="20"/>
          <w:lang w:val="es-ES"/>
        </w:rPr>
        <w:t xml:space="preserve"> precedentes</w:t>
      </w:r>
      <w:r w:rsidR="00DD00E7" w:rsidRPr="00975C02">
        <w:rPr>
          <w:sz w:val="20"/>
          <w:szCs w:val="20"/>
          <w:lang w:val="es-ES"/>
        </w:rPr>
        <w:t xml:space="preserve">, </w:t>
      </w:r>
      <w:r w:rsidR="00B30A4C" w:rsidRPr="00975C02">
        <w:rPr>
          <w:rFonts w:eastAsia="Calibri" w:cs="Arial"/>
          <w:sz w:val="20"/>
          <w:szCs w:val="20"/>
          <w:lang w:val="es-ES" w:eastAsia="en-US"/>
        </w:rPr>
        <w:t>corresponde desestimar la excepción opuesta</w:t>
      </w:r>
      <w:r w:rsidR="00DD00E7" w:rsidRPr="00975C02">
        <w:rPr>
          <w:sz w:val="20"/>
          <w:szCs w:val="20"/>
          <w:lang w:val="es-ES"/>
        </w:rPr>
        <w:t>.</w:t>
      </w:r>
    </w:p>
    <w:p w14:paraId="2547727E" w14:textId="77777777" w:rsidR="00C607DD" w:rsidRPr="00975C02" w:rsidRDefault="00C607DD" w:rsidP="00F75CA4">
      <w:pPr>
        <w:tabs>
          <w:tab w:val="left" w:pos="567"/>
        </w:tabs>
        <w:spacing w:line="240" w:lineRule="auto"/>
        <w:rPr>
          <w:sz w:val="20"/>
          <w:szCs w:val="20"/>
          <w:lang w:val="es-ES"/>
        </w:rPr>
      </w:pPr>
    </w:p>
    <w:p w14:paraId="4100131B" w14:textId="77777777" w:rsidR="00270756" w:rsidRPr="00975C02" w:rsidRDefault="00270756" w:rsidP="00C607DD">
      <w:pPr>
        <w:keepNext/>
        <w:keepLines/>
        <w:tabs>
          <w:tab w:val="left" w:pos="851"/>
        </w:tabs>
        <w:spacing w:line="240" w:lineRule="auto"/>
        <w:jc w:val="center"/>
        <w:outlineLvl w:val="0"/>
        <w:rPr>
          <w:rFonts w:cs="Verdana"/>
          <w:b/>
          <w:bCs/>
          <w:caps/>
          <w:snapToGrid w:val="0"/>
          <w:sz w:val="20"/>
          <w:szCs w:val="20"/>
          <w:lang w:val="es-ES"/>
        </w:rPr>
      </w:pPr>
      <w:bookmarkStart w:id="60" w:name="_Toc470180042"/>
      <w:bookmarkStart w:id="61" w:name="_Toc514172602"/>
      <w:r w:rsidRPr="00975C02">
        <w:rPr>
          <w:rFonts w:cs="Verdana"/>
          <w:b/>
          <w:bCs/>
          <w:caps/>
          <w:snapToGrid w:val="0"/>
          <w:sz w:val="20"/>
          <w:szCs w:val="20"/>
          <w:lang w:val="es-ES"/>
        </w:rPr>
        <w:t>V</w:t>
      </w:r>
      <w:r w:rsidRPr="00975C02">
        <w:rPr>
          <w:rFonts w:cs="Verdana"/>
          <w:b/>
          <w:bCs/>
          <w:caps/>
          <w:snapToGrid w:val="0"/>
          <w:sz w:val="20"/>
          <w:szCs w:val="20"/>
          <w:lang w:val="es-ES"/>
        </w:rPr>
        <w:br/>
        <w:t>CONSIDERACIONES PREVIAS</w:t>
      </w:r>
      <w:bookmarkEnd w:id="60"/>
      <w:bookmarkEnd w:id="61"/>
    </w:p>
    <w:p w14:paraId="3AE9C9A7" w14:textId="77777777" w:rsidR="00270756" w:rsidRPr="00975C02" w:rsidRDefault="00270756" w:rsidP="00681AE9">
      <w:pPr>
        <w:widowControl/>
        <w:adjustRightInd/>
        <w:spacing w:line="240" w:lineRule="auto"/>
        <w:jc w:val="left"/>
        <w:textAlignment w:val="auto"/>
        <w:rPr>
          <w:rFonts w:eastAsiaTheme="minorHAnsi" w:cstheme="minorBidi"/>
          <w:bCs/>
          <w:sz w:val="20"/>
          <w:szCs w:val="20"/>
          <w:lang w:val="es-ES" w:eastAsia="en-US"/>
        </w:rPr>
      </w:pPr>
    </w:p>
    <w:p w14:paraId="35E9D327" w14:textId="1031DAC0"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Antes de examinar los hechos pertinentes y la aplicación de las normas de la Convención </w:t>
      </w:r>
      <w:r w:rsidRPr="00975C02">
        <w:rPr>
          <w:sz w:val="20"/>
          <w:szCs w:val="20"/>
          <w:lang w:val="es-ES"/>
        </w:rPr>
        <w:t>Americana</w:t>
      </w:r>
      <w:r w:rsidRPr="00975C02">
        <w:rPr>
          <w:rFonts w:cstheme="minorBidi"/>
          <w:sz w:val="20"/>
          <w:szCs w:val="20"/>
          <w:lang w:val="es-ES" w:eastAsia="en-US"/>
        </w:rPr>
        <w:t xml:space="preserve"> a los mismos, es necesario realizar algunas consideraciones previas sobre la </w:t>
      </w:r>
      <w:r w:rsidRPr="00975C02">
        <w:rPr>
          <w:rFonts w:eastAsia="Batang"/>
          <w:sz w:val="20"/>
          <w:szCs w:val="20"/>
          <w:lang w:val="es-ES" w:eastAsia="es-MX"/>
        </w:rPr>
        <w:t>determinación</w:t>
      </w:r>
      <w:r w:rsidRPr="00975C02">
        <w:rPr>
          <w:rFonts w:cstheme="minorBidi"/>
          <w:sz w:val="20"/>
          <w:szCs w:val="20"/>
          <w:lang w:val="es-ES" w:eastAsia="en-US"/>
        </w:rPr>
        <w:t xml:space="preserve"> de las presuntas víctimas y las presuntas violaciones de derechos alegadas por las </w:t>
      </w:r>
      <w:r w:rsidRPr="00975C02">
        <w:rPr>
          <w:sz w:val="20"/>
          <w:szCs w:val="20"/>
          <w:lang w:val="es-ES"/>
        </w:rPr>
        <w:t>representantes</w:t>
      </w:r>
      <w:r w:rsidR="00BB3AF0" w:rsidRPr="00975C02">
        <w:rPr>
          <w:sz w:val="20"/>
          <w:szCs w:val="20"/>
          <w:lang w:val="es-ES"/>
        </w:rPr>
        <w:t xml:space="preserve">, en razón de lo </w:t>
      </w:r>
      <w:r w:rsidR="003E4770" w:rsidRPr="00975C02">
        <w:rPr>
          <w:sz w:val="20"/>
          <w:szCs w:val="20"/>
          <w:lang w:val="es-ES"/>
        </w:rPr>
        <w:t xml:space="preserve">argumentado </w:t>
      </w:r>
      <w:r w:rsidR="00BB3AF0" w:rsidRPr="00975C02">
        <w:rPr>
          <w:sz w:val="20"/>
          <w:szCs w:val="20"/>
          <w:lang w:val="es-ES"/>
        </w:rPr>
        <w:t>por el Estado</w:t>
      </w:r>
      <w:r w:rsidRPr="00975C02">
        <w:rPr>
          <w:rFonts w:cstheme="minorBidi"/>
          <w:sz w:val="20"/>
          <w:szCs w:val="20"/>
          <w:lang w:val="es-ES" w:eastAsia="en-US"/>
        </w:rPr>
        <w:t>.</w:t>
      </w:r>
      <w:r w:rsidR="00A2086D" w:rsidRPr="00975C02">
        <w:rPr>
          <w:rFonts w:cstheme="minorBidi"/>
          <w:sz w:val="20"/>
          <w:szCs w:val="20"/>
          <w:lang w:val="es-ES" w:eastAsia="en-US"/>
        </w:rPr>
        <w:t xml:space="preserve"> En lo que se refiere a los argumentos del Estado </w:t>
      </w:r>
      <w:r w:rsidR="003E4770" w:rsidRPr="00975C02">
        <w:rPr>
          <w:rFonts w:cstheme="minorBidi"/>
          <w:sz w:val="20"/>
          <w:szCs w:val="20"/>
          <w:lang w:val="es-ES" w:eastAsia="en-US"/>
        </w:rPr>
        <w:t>sobre</w:t>
      </w:r>
      <w:r w:rsidR="00A2086D" w:rsidRPr="00975C02">
        <w:rPr>
          <w:rFonts w:cstheme="minorBidi"/>
          <w:sz w:val="20"/>
          <w:szCs w:val="20"/>
          <w:lang w:val="es-ES" w:eastAsia="en-US"/>
        </w:rPr>
        <w:t xml:space="preserve"> la supuesta extemporaneidad de</w:t>
      </w:r>
      <w:r w:rsidR="003E4770" w:rsidRPr="00975C02">
        <w:rPr>
          <w:rFonts w:cstheme="minorBidi"/>
          <w:sz w:val="20"/>
          <w:szCs w:val="20"/>
          <w:lang w:val="es-ES" w:eastAsia="en-US"/>
        </w:rPr>
        <w:t xml:space="preserve"> la presentación de</w:t>
      </w:r>
      <w:r w:rsidR="00A2086D" w:rsidRPr="00975C02">
        <w:rPr>
          <w:rFonts w:cstheme="minorBidi"/>
          <w:sz w:val="20"/>
          <w:szCs w:val="20"/>
          <w:lang w:val="es-ES" w:eastAsia="en-US"/>
        </w:rPr>
        <w:t xml:space="preserve"> algunos anexos al escrito de solicitudes y argumentos por</w:t>
      </w:r>
      <w:r w:rsidR="003E4770" w:rsidRPr="00975C02">
        <w:rPr>
          <w:rFonts w:cstheme="minorBidi"/>
          <w:sz w:val="20"/>
          <w:szCs w:val="20"/>
          <w:lang w:val="es-ES" w:eastAsia="en-US"/>
        </w:rPr>
        <w:t xml:space="preserve"> parte de</w:t>
      </w:r>
      <w:r w:rsidR="00A2086D" w:rsidRPr="00975C02">
        <w:rPr>
          <w:rFonts w:cstheme="minorBidi"/>
          <w:sz w:val="20"/>
          <w:szCs w:val="20"/>
          <w:lang w:val="es-ES" w:eastAsia="en-US"/>
        </w:rPr>
        <w:t xml:space="preserve"> las representantes, la Corte resolverá lo pertinente en el apartado correspondiente a la prueba (</w:t>
      </w:r>
      <w:r w:rsidR="00A2086D" w:rsidRPr="00975C02">
        <w:rPr>
          <w:rFonts w:cstheme="minorBidi"/>
          <w:i/>
          <w:sz w:val="20"/>
          <w:szCs w:val="20"/>
          <w:lang w:val="es-ES" w:eastAsia="en-US"/>
        </w:rPr>
        <w:t>infra</w:t>
      </w:r>
      <w:r w:rsidR="00DA704D" w:rsidRPr="00975C02">
        <w:rPr>
          <w:rFonts w:cstheme="minorBidi"/>
          <w:sz w:val="20"/>
          <w:szCs w:val="20"/>
          <w:lang w:val="es-ES" w:eastAsia="en-US"/>
        </w:rPr>
        <w:t xml:space="preserve"> párr. 60</w:t>
      </w:r>
      <w:r w:rsidR="00A2086D" w:rsidRPr="00975C02">
        <w:rPr>
          <w:rFonts w:cstheme="minorBidi"/>
          <w:sz w:val="20"/>
          <w:szCs w:val="20"/>
          <w:lang w:val="es-ES" w:eastAsia="en-US"/>
        </w:rPr>
        <w:t>).</w:t>
      </w:r>
    </w:p>
    <w:p w14:paraId="66563D95" w14:textId="77777777" w:rsidR="00270756" w:rsidRPr="00975C02" w:rsidRDefault="00270756" w:rsidP="00270756">
      <w:pPr>
        <w:widowControl/>
        <w:tabs>
          <w:tab w:val="left" w:pos="567"/>
        </w:tabs>
        <w:adjustRightInd/>
        <w:spacing w:line="240" w:lineRule="auto"/>
        <w:textAlignment w:val="auto"/>
        <w:rPr>
          <w:rFonts w:cstheme="minorBidi"/>
          <w:sz w:val="20"/>
          <w:szCs w:val="20"/>
          <w:lang w:val="es-ES" w:eastAsia="en-US"/>
        </w:rPr>
      </w:pPr>
    </w:p>
    <w:p w14:paraId="158562BC" w14:textId="77777777" w:rsidR="00270756" w:rsidRPr="00975C02" w:rsidRDefault="00270756" w:rsidP="003B445C">
      <w:pPr>
        <w:keepNext/>
        <w:keepLines/>
        <w:tabs>
          <w:tab w:val="left" w:pos="1134"/>
        </w:tabs>
        <w:spacing w:line="240" w:lineRule="auto"/>
        <w:ind w:left="567" w:firstLine="1"/>
        <w:outlineLvl w:val="1"/>
        <w:rPr>
          <w:rFonts w:eastAsia="MS Mincho"/>
          <w:b/>
          <w:bCs/>
          <w:i/>
          <w:sz w:val="20"/>
          <w:szCs w:val="20"/>
          <w:lang w:val="es-ES"/>
        </w:rPr>
      </w:pPr>
      <w:bookmarkStart w:id="62" w:name="_Toc470180043"/>
      <w:bookmarkStart w:id="63" w:name="_Toc514172603"/>
      <w:r w:rsidRPr="00975C02">
        <w:rPr>
          <w:rFonts w:eastAsia="MS Mincho"/>
          <w:b/>
          <w:bCs/>
          <w:i/>
          <w:sz w:val="20"/>
          <w:szCs w:val="20"/>
          <w:lang w:val="es-ES"/>
        </w:rPr>
        <w:t>A.</w:t>
      </w:r>
      <w:r w:rsidRPr="00975C02">
        <w:rPr>
          <w:rFonts w:eastAsia="MS Mincho"/>
          <w:b/>
          <w:bCs/>
          <w:i/>
          <w:sz w:val="20"/>
          <w:szCs w:val="20"/>
          <w:lang w:val="es-ES"/>
        </w:rPr>
        <w:tab/>
        <w:t>Determinación de las presuntas víctimas</w:t>
      </w:r>
      <w:bookmarkEnd w:id="62"/>
      <w:bookmarkEnd w:id="63"/>
    </w:p>
    <w:p w14:paraId="39298576" w14:textId="77777777" w:rsidR="00270756" w:rsidRPr="00975C02" w:rsidRDefault="00270756" w:rsidP="00270756">
      <w:pPr>
        <w:widowControl/>
        <w:adjustRightInd/>
        <w:spacing w:line="240" w:lineRule="auto"/>
        <w:textAlignment w:val="auto"/>
        <w:rPr>
          <w:rFonts w:eastAsiaTheme="minorHAnsi" w:cstheme="minorBidi"/>
          <w:b/>
          <w:bCs/>
          <w:i/>
          <w:sz w:val="20"/>
          <w:szCs w:val="20"/>
          <w:lang w:val="es-ES" w:eastAsia="en-US"/>
        </w:rPr>
      </w:pPr>
    </w:p>
    <w:p w14:paraId="08F1DE6E" w14:textId="77777777" w:rsidR="007A37EF" w:rsidRPr="00975C02" w:rsidRDefault="007A37EF" w:rsidP="007A37EF">
      <w:pPr>
        <w:pStyle w:val="Heading2"/>
        <w:tabs>
          <w:tab w:val="left" w:pos="1843"/>
        </w:tabs>
        <w:spacing w:before="0" w:line="240" w:lineRule="auto"/>
        <w:ind w:left="1134"/>
        <w:rPr>
          <w:rFonts w:ascii="Verdana" w:hAnsi="Verdana"/>
          <w:b w:val="0"/>
          <w:i/>
          <w:color w:val="auto"/>
          <w:sz w:val="20"/>
          <w:szCs w:val="20"/>
          <w:lang w:val="es-ES"/>
        </w:rPr>
      </w:pPr>
      <w:bookmarkStart w:id="64" w:name="_Toc514172604"/>
      <w:r w:rsidRPr="00975C02">
        <w:rPr>
          <w:rFonts w:ascii="Verdana" w:hAnsi="Verdana"/>
          <w:b w:val="0"/>
          <w:i/>
          <w:color w:val="auto"/>
          <w:sz w:val="20"/>
          <w:szCs w:val="20"/>
          <w:lang w:val="es-ES"/>
        </w:rPr>
        <w:t xml:space="preserve">A.1 </w:t>
      </w:r>
      <w:r w:rsidRPr="00975C02">
        <w:rPr>
          <w:rFonts w:ascii="Verdana" w:hAnsi="Verdana"/>
          <w:b w:val="0"/>
          <w:i/>
          <w:color w:val="auto"/>
          <w:sz w:val="20"/>
          <w:szCs w:val="20"/>
          <w:lang w:val="es-ES"/>
        </w:rPr>
        <w:tab/>
        <w:t>Alegatos del Estado y observaciones de la Comisión y las representantes</w:t>
      </w:r>
      <w:bookmarkEnd w:id="64"/>
    </w:p>
    <w:p w14:paraId="41EEDE47" w14:textId="77777777" w:rsidR="007A37EF" w:rsidRPr="00975C02" w:rsidRDefault="007A37EF" w:rsidP="00270756">
      <w:pPr>
        <w:widowControl/>
        <w:adjustRightInd/>
        <w:spacing w:line="240" w:lineRule="auto"/>
        <w:textAlignment w:val="auto"/>
        <w:rPr>
          <w:rFonts w:eastAsiaTheme="minorHAnsi" w:cstheme="minorBidi"/>
          <w:b/>
          <w:bCs/>
          <w:i/>
          <w:sz w:val="20"/>
          <w:szCs w:val="20"/>
          <w:lang w:val="es-ES" w:eastAsia="en-US"/>
        </w:rPr>
      </w:pPr>
    </w:p>
    <w:p w14:paraId="03D22C1A" w14:textId="6E21CC73" w:rsidR="00270756" w:rsidRPr="00975C02" w:rsidRDefault="00270756"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 xml:space="preserve">El </w:t>
      </w:r>
      <w:r w:rsidRPr="00975C02">
        <w:rPr>
          <w:rFonts w:cstheme="minorBidi"/>
          <w:b/>
          <w:i/>
          <w:sz w:val="20"/>
          <w:szCs w:val="20"/>
          <w:lang w:val="es-ES" w:eastAsia="en-US"/>
        </w:rPr>
        <w:t>Estado</w:t>
      </w:r>
      <w:r w:rsidRPr="00975C02">
        <w:rPr>
          <w:rFonts w:cstheme="minorBidi"/>
          <w:sz w:val="20"/>
          <w:szCs w:val="20"/>
          <w:lang w:val="es-ES" w:eastAsia="en-US"/>
        </w:rPr>
        <w:t xml:space="preserve"> sostuvo que la Corte </w:t>
      </w:r>
      <w:r w:rsidR="003874B5" w:rsidRPr="00975C02">
        <w:rPr>
          <w:rFonts w:cstheme="minorBidi"/>
          <w:sz w:val="20"/>
          <w:szCs w:val="20"/>
          <w:lang w:val="es-ES" w:eastAsia="en-US"/>
        </w:rPr>
        <w:t xml:space="preserve">sería </w:t>
      </w:r>
      <w:r w:rsidRPr="00975C02">
        <w:rPr>
          <w:rFonts w:cstheme="minorBidi"/>
          <w:sz w:val="20"/>
          <w:szCs w:val="20"/>
          <w:lang w:val="es-ES" w:eastAsia="en-US"/>
        </w:rPr>
        <w:t xml:space="preserve">incompetente para conocer sobre las </w:t>
      </w:r>
      <w:r w:rsidR="003874B5" w:rsidRPr="00975C02">
        <w:rPr>
          <w:rFonts w:cstheme="minorBidi"/>
          <w:sz w:val="20"/>
          <w:szCs w:val="20"/>
          <w:lang w:val="es-ES" w:eastAsia="en-US"/>
        </w:rPr>
        <w:t xml:space="preserve">vulneraciones </w:t>
      </w:r>
      <w:r w:rsidRPr="00975C02">
        <w:rPr>
          <w:rFonts w:cstheme="minorBidi"/>
          <w:sz w:val="20"/>
          <w:szCs w:val="20"/>
          <w:lang w:val="es-ES" w:eastAsia="en-US"/>
        </w:rPr>
        <w:t xml:space="preserve">alegadas a </w:t>
      </w:r>
      <w:r w:rsidR="003874B5" w:rsidRPr="00975C02">
        <w:rPr>
          <w:rFonts w:cstheme="minorBidi"/>
          <w:sz w:val="20"/>
          <w:szCs w:val="20"/>
          <w:lang w:val="es-ES" w:eastAsia="en-US"/>
        </w:rPr>
        <w:t xml:space="preserve">los derechos </w:t>
      </w:r>
      <w:r w:rsidRPr="00975C02">
        <w:rPr>
          <w:rFonts w:cstheme="minorBidi"/>
          <w:sz w:val="20"/>
          <w:szCs w:val="20"/>
          <w:lang w:val="es-ES" w:eastAsia="en-US"/>
        </w:rPr>
        <w:t xml:space="preserve">de </w:t>
      </w:r>
      <w:r w:rsidR="00762232" w:rsidRPr="00975C02">
        <w:rPr>
          <w:rFonts w:cstheme="minorBidi"/>
          <w:sz w:val="20"/>
          <w:szCs w:val="20"/>
          <w:lang w:val="es-ES" w:eastAsia="en-US"/>
        </w:rPr>
        <w:t xml:space="preserve">N.R.P., </w:t>
      </w:r>
      <w:r w:rsidRPr="00975C02">
        <w:rPr>
          <w:rFonts w:cstheme="minorBidi"/>
          <w:sz w:val="20"/>
          <w:szCs w:val="20"/>
          <w:lang w:val="es-ES" w:eastAsia="en-US"/>
        </w:rPr>
        <w:t>H.J.R.P. y V.A.R.P., debido a que la Comisión no los habría incluido como presuntas víctimas</w:t>
      </w:r>
      <w:r w:rsidR="003874B5" w:rsidRPr="00975C02">
        <w:rPr>
          <w:rFonts w:cstheme="minorBidi"/>
          <w:sz w:val="20"/>
          <w:szCs w:val="20"/>
          <w:lang w:val="es-ES" w:eastAsia="en-US"/>
        </w:rPr>
        <w:t xml:space="preserve"> en su Informe de Fondo</w:t>
      </w:r>
      <w:r w:rsidRPr="00975C02">
        <w:rPr>
          <w:rFonts w:cstheme="minorBidi"/>
          <w:sz w:val="20"/>
          <w:szCs w:val="20"/>
          <w:lang w:val="es-ES" w:eastAsia="en-US"/>
        </w:rPr>
        <w:t xml:space="preserve">. Al respecto, el Estado afirmó que la Comisión </w:t>
      </w:r>
      <w:r w:rsidR="00A513AB" w:rsidRPr="00975C02">
        <w:rPr>
          <w:rFonts w:cstheme="minorBidi"/>
          <w:sz w:val="20"/>
          <w:szCs w:val="20"/>
          <w:lang w:val="es-ES" w:eastAsia="en-US"/>
        </w:rPr>
        <w:t>en su</w:t>
      </w:r>
      <w:r w:rsidRPr="00975C02">
        <w:rPr>
          <w:rFonts w:cstheme="minorBidi"/>
          <w:sz w:val="20"/>
          <w:szCs w:val="20"/>
          <w:lang w:val="es-ES" w:eastAsia="en-US"/>
        </w:rPr>
        <w:t xml:space="preserve"> </w:t>
      </w:r>
      <w:r w:rsidR="00ED5B92" w:rsidRPr="00975C02">
        <w:rPr>
          <w:rFonts w:cstheme="minorBidi"/>
          <w:sz w:val="20"/>
          <w:szCs w:val="20"/>
          <w:lang w:val="es-ES" w:eastAsia="en-US"/>
        </w:rPr>
        <w:t>I</w:t>
      </w:r>
      <w:r w:rsidRPr="00975C02">
        <w:rPr>
          <w:rFonts w:cstheme="minorBidi"/>
          <w:sz w:val="20"/>
          <w:szCs w:val="20"/>
          <w:lang w:val="es-ES" w:eastAsia="en-US"/>
        </w:rPr>
        <w:t xml:space="preserve">nforme de </w:t>
      </w:r>
      <w:r w:rsidR="00ED5B92" w:rsidRPr="00975C02">
        <w:rPr>
          <w:rFonts w:cstheme="minorBidi"/>
          <w:sz w:val="20"/>
          <w:szCs w:val="20"/>
          <w:lang w:val="es-ES" w:eastAsia="en-US"/>
        </w:rPr>
        <w:t>A</w:t>
      </w:r>
      <w:r w:rsidRPr="00975C02">
        <w:rPr>
          <w:rFonts w:cstheme="minorBidi"/>
          <w:sz w:val="20"/>
          <w:szCs w:val="20"/>
          <w:lang w:val="es-ES" w:eastAsia="en-US"/>
        </w:rPr>
        <w:t xml:space="preserve">dmisibilidad </w:t>
      </w:r>
      <w:r w:rsidR="00A513AB" w:rsidRPr="00975C02">
        <w:rPr>
          <w:rFonts w:cstheme="minorBidi"/>
          <w:sz w:val="20"/>
          <w:szCs w:val="20"/>
          <w:lang w:val="es-ES" w:eastAsia="en-US"/>
        </w:rPr>
        <w:t xml:space="preserve">No. </w:t>
      </w:r>
      <w:r w:rsidRPr="00975C02">
        <w:rPr>
          <w:rFonts w:cstheme="minorBidi"/>
          <w:sz w:val="20"/>
          <w:szCs w:val="20"/>
          <w:lang w:val="es-ES" w:eastAsia="en-US"/>
        </w:rPr>
        <w:t xml:space="preserve">3/09 </w:t>
      </w:r>
      <w:r w:rsidR="00717F4B" w:rsidRPr="00975C02">
        <w:rPr>
          <w:rFonts w:cstheme="minorBidi"/>
          <w:sz w:val="20"/>
          <w:szCs w:val="20"/>
          <w:lang w:val="es-ES" w:eastAsia="en-US"/>
        </w:rPr>
        <w:t xml:space="preserve">habría fijado </w:t>
      </w:r>
      <w:r w:rsidRPr="00975C02">
        <w:rPr>
          <w:rFonts w:cstheme="minorBidi"/>
          <w:sz w:val="20"/>
          <w:szCs w:val="20"/>
          <w:lang w:val="es-ES" w:eastAsia="en-US"/>
        </w:rPr>
        <w:t xml:space="preserve">el límite respecto de quiénes eran las presuntas víctimas en el presente asunto. Asimismo, mediante el </w:t>
      </w:r>
      <w:r w:rsidR="00D566C9" w:rsidRPr="00975C02">
        <w:rPr>
          <w:rFonts w:eastAsia="Verdana" w:cs="Verdana"/>
          <w:sz w:val="20"/>
          <w:szCs w:val="20"/>
          <w:lang w:val="es-ES"/>
        </w:rPr>
        <w:t>Informe No. 4/16</w:t>
      </w:r>
      <w:r w:rsidRPr="00975C02">
        <w:rPr>
          <w:rFonts w:cstheme="minorBidi"/>
          <w:sz w:val="20"/>
          <w:szCs w:val="20"/>
          <w:lang w:val="es-ES" w:eastAsia="en-US"/>
        </w:rPr>
        <w:t xml:space="preserve"> </w:t>
      </w:r>
      <w:r w:rsidR="00B800C4" w:rsidRPr="00975C02">
        <w:rPr>
          <w:rFonts w:cstheme="minorBidi"/>
          <w:sz w:val="20"/>
          <w:szCs w:val="20"/>
          <w:lang w:val="es-ES" w:eastAsia="en-US"/>
        </w:rPr>
        <w:t xml:space="preserve">habría </w:t>
      </w:r>
      <w:r w:rsidRPr="00975C02">
        <w:rPr>
          <w:rFonts w:cstheme="minorBidi"/>
          <w:sz w:val="20"/>
          <w:szCs w:val="20"/>
          <w:lang w:val="es-ES" w:eastAsia="en-US"/>
        </w:rPr>
        <w:t>determin</w:t>
      </w:r>
      <w:r w:rsidR="00B800C4" w:rsidRPr="00975C02">
        <w:rPr>
          <w:rFonts w:cstheme="minorBidi"/>
          <w:sz w:val="20"/>
          <w:szCs w:val="20"/>
          <w:lang w:val="es-ES" w:eastAsia="en-US"/>
        </w:rPr>
        <w:t>ado</w:t>
      </w:r>
      <w:r w:rsidRPr="00975C02">
        <w:rPr>
          <w:rFonts w:cstheme="minorBidi"/>
          <w:sz w:val="20"/>
          <w:szCs w:val="20"/>
          <w:lang w:val="es-ES" w:eastAsia="en-US"/>
        </w:rPr>
        <w:t xml:space="preserve"> que las víctimas en el presente caso s</w:t>
      </w:r>
      <w:r w:rsidR="00B800C4" w:rsidRPr="00975C02">
        <w:rPr>
          <w:rFonts w:cstheme="minorBidi"/>
          <w:sz w:val="20"/>
          <w:szCs w:val="20"/>
          <w:lang w:val="es-ES" w:eastAsia="en-US"/>
        </w:rPr>
        <w:t>ería</w:t>
      </w:r>
      <w:r w:rsidRPr="00975C02">
        <w:rPr>
          <w:rFonts w:cstheme="minorBidi"/>
          <w:sz w:val="20"/>
          <w:szCs w:val="20"/>
          <w:lang w:val="es-ES" w:eastAsia="en-US"/>
        </w:rPr>
        <w:t xml:space="preserve">n V.R.P. y V.P.C. Sin embargo, las representantes en el apartado </w:t>
      </w:r>
      <w:r w:rsidR="00A513AB" w:rsidRPr="00975C02">
        <w:rPr>
          <w:rFonts w:cstheme="minorBidi"/>
          <w:sz w:val="20"/>
          <w:szCs w:val="20"/>
          <w:lang w:val="es-ES" w:eastAsia="en-US"/>
        </w:rPr>
        <w:t xml:space="preserve">de su escrito de solicitudes y argumentos </w:t>
      </w:r>
      <w:r w:rsidRPr="00975C02">
        <w:rPr>
          <w:rFonts w:cstheme="minorBidi"/>
          <w:sz w:val="20"/>
          <w:szCs w:val="20"/>
          <w:lang w:val="es-ES" w:eastAsia="en-US"/>
        </w:rPr>
        <w:t>referido a las reparaciones incorporaron una solicitud a la Corte para que recono</w:t>
      </w:r>
      <w:r w:rsidR="00B800C4" w:rsidRPr="00975C02">
        <w:rPr>
          <w:rFonts w:cstheme="minorBidi"/>
          <w:sz w:val="20"/>
          <w:szCs w:val="20"/>
          <w:lang w:val="es-ES" w:eastAsia="en-US"/>
        </w:rPr>
        <w:t>ciera</w:t>
      </w:r>
      <w:r w:rsidRPr="00975C02">
        <w:rPr>
          <w:rFonts w:cstheme="minorBidi"/>
          <w:sz w:val="20"/>
          <w:szCs w:val="20"/>
          <w:lang w:val="es-ES" w:eastAsia="en-US"/>
        </w:rPr>
        <w:t xml:space="preserve"> como acreedores a los otros hijos de la peticionaria. </w:t>
      </w:r>
      <w:r w:rsidR="00A513AB" w:rsidRPr="00975C02">
        <w:rPr>
          <w:rFonts w:cstheme="minorBidi"/>
          <w:sz w:val="20"/>
          <w:szCs w:val="20"/>
          <w:lang w:val="es-ES" w:eastAsia="en-US"/>
        </w:rPr>
        <w:t>Por lo tanto</w:t>
      </w:r>
      <w:r w:rsidRPr="00975C02">
        <w:rPr>
          <w:rFonts w:cstheme="minorBidi"/>
          <w:sz w:val="20"/>
          <w:szCs w:val="20"/>
          <w:lang w:val="es-ES" w:eastAsia="en-US"/>
        </w:rPr>
        <w:t>, el Estado solicitó a la Corte que declar</w:t>
      </w:r>
      <w:r w:rsidR="000275B4" w:rsidRPr="00975C02">
        <w:rPr>
          <w:rFonts w:cstheme="minorBidi"/>
          <w:sz w:val="20"/>
          <w:szCs w:val="20"/>
          <w:lang w:val="es-ES" w:eastAsia="en-US"/>
        </w:rPr>
        <w:t>a</w:t>
      </w:r>
      <w:r w:rsidR="00A513AB" w:rsidRPr="00975C02">
        <w:rPr>
          <w:rFonts w:cstheme="minorBidi"/>
          <w:sz w:val="20"/>
          <w:szCs w:val="20"/>
          <w:lang w:val="es-ES" w:eastAsia="en-US"/>
        </w:rPr>
        <w:t>se</w:t>
      </w:r>
      <w:r w:rsidRPr="00975C02">
        <w:rPr>
          <w:rFonts w:cstheme="minorBidi"/>
          <w:sz w:val="20"/>
          <w:szCs w:val="20"/>
          <w:lang w:val="es-ES" w:eastAsia="en-US"/>
        </w:rPr>
        <w:t xml:space="preserve"> su incompetencia para conocer sobre las reparaciones alegadas a favor de </w:t>
      </w:r>
      <w:r w:rsidR="00762232" w:rsidRPr="00975C02">
        <w:rPr>
          <w:rFonts w:cstheme="minorBidi"/>
          <w:sz w:val="20"/>
          <w:szCs w:val="20"/>
          <w:lang w:val="es-ES" w:eastAsia="en-US"/>
        </w:rPr>
        <w:t xml:space="preserve">N.R.P., </w:t>
      </w:r>
      <w:r w:rsidRPr="00975C02">
        <w:rPr>
          <w:rFonts w:cstheme="minorBidi"/>
          <w:sz w:val="20"/>
          <w:szCs w:val="20"/>
          <w:lang w:val="es-ES" w:eastAsia="en-US"/>
        </w:rPr>
        <w:t xml:space="preserve">H.J.R.P. y V.A.R.P., en razón de que la declaración de quienes serían las víctimas y beneficiarios de una eventual reparación no podrían ser otras personas que las determinadas por la Comisión en su informe de fondo. </w:t>
      </w:r>
      <w:r w:rsidR="00F92515" w:rsidRPr="00975C02">
        <w:rPr>
          <w:rFonts w:cstheme="minorBidi"/>
          <w:sz w:val="20"/>
          <w:szCs w:val="20"/>
          <w:lang w:val="es-ES" w:eastAsia="en-US"/>
        </w:rPr>
        <w:t>En sus alegatos finales, el Estado sostuvo que en ninguna parte de</w:t>
      </w:r>
      <w:r w:rsidR="00D566C9" w:rsidRPr="00975C02">
        <w:rPr>
          <w:rFonts w:cstheme="minorBidi"/>
          <w:sz w:val="20"/>
          <w:szCs w:val="20"/>
          <w:lang w:val="es-ES" w:eastAsia="en-US"/>
        </w:rPr>
        <w:t xml:space="preserve"> dicho</w:t>
      </w:r>
      <w:r w:rsidR="00F92515" w:rsidRPr="00975C02">
        <w:rPr>
          <w:rFonts w:cstheme="minorBidi"/>
          <w:sz w:val="20"/>
          <w:szCs w:val="20"/>
          <w:lang w:val="es-ES" w:eastAsia="en-US"/>
        </w:rPr>
        <w:t xml:space="preserve"> informe, incluido el párrafo 153, </w:t>
      </w:r>
      <w:r w:rsidR="004932BF" w:rsidRPr="00975C02">
        <w:rPr>
          <w:rFonts w:cstheme="minorBidi"/>
          <w:sz w:val="20"/>
          <w:szCs w:val="20"/>
          <w:lang w:val="es-ES" w:eastAsia="en-US"/>
        </w:rPr>
        <w:t xml:space="preserve">ni de la carta de sometimiento del caso a la Corte, </w:t>
      </w:r>
      <w:r w:rsidR="00F92515" w:rsidRPr="00975C02">
        <w:rPr>
          <w:rFonts w:cstheme="minorBidi"/>
          <w:sz w:val="20"/>
          <w:szCs w:val="20"/>
          <w:lang w:val="es-ES" w:eastAsia="en-US"/>
        </w:rPr>
        <w:t>la Comisión se refirió a los artículos de la Convención que fueron supuestamente violentados en cada caso para los hijos de V.P.C.</w:t>
      </w:r>
    </w:p>
    <w:p w14:paraId="30F2A0E9"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6713DEB6" w14:textId="26F3C948" w:rsidR="00270756" w:rsidRPr="00975C02" w:rsidRDefault="00270756"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 xml:space="preserve">Las </w:t>
      </w:r>
      <w:r w:rsidRPr="00975C02">
        <w:rPr>
          <w:rFonts w:cstheme="minorBidi"/>
          <w:b/>
          <w:i/>
          <w:sz w:val="20"/>
          <w:szCs w:val="20"/>
          <w:lang w:val="es-ES" w:eastAsia="en-US"/>
        </w:rPr>
        <w:t xml:space="preserve">representantes </w:t>
      </w:r>
      <w:r w:rsidRPr="00975C02">
        <w:rPr>
          <w:rFonts w:cstheme="minorBidi"/>
          <w:sz w:val="20"/>
          <w:szCs w:val="20"/>
          <w:lang w:val="es-ES" w:eastAsia="en-US"/>
        </w:rPr>
        <w:t>sostuvieron que</w:t>
      </w:r>
      <w:r w:rsidR="00233525" w:rsidRPr="00975C02">
        <w:rPr>
          <w:rFonts w:cstheme="minorBidi"/>
          <w:sz w:val="20"/>
          <w:szCs w:val="20"/>
          <w:lang w:val="es-ES" w:eastAsia="en-US"/>
        </w:rPr>
        <w:t>,</w:t>
      </w:r>
      <w:r w:rsidRPr="00975C02">
        <w:rPr>
          <w:rFonts w:cstheme="minorBidi"/>
          <w:sz w:val="20"/>
          <w:szCs w:val="20"/>
          <w:lang w:val="es-ES" w:eastAsia="en-US"/>
        </w:rPr>
        <w:t xml:space="preserve"> si bien corresponde a la Comisión determinar las presuntas víctimas, constituye un hecho controvertible que los hermanos de la niña V.R.P</w:t>
      </w:r>
      <w:r w:rsidR="00233525" w:rsidRPr="00975C02">
        <w:rPr>
          <w:rFonts w:cstheme="minorBidi"/>
          <w:sz w:val="20"/>
          <w:szCs w:val="20"/>
          <w:lang w:val="es-ES" w:eastAsia="en-US"/>
        </w:rPr>
        <w:t>.</w:t>
      </w:r>
      <w:r w:rsidRPr="00975C02">
        <w:rPr>
          <w:rFonts w:cstheme="minorBidi"/>
          <w:sz w:val="20"/>
          <w:szCs w:val="20"/>
          <w:lang w:val="es-ES" w:eastAsia="en-US"/>
        </w:rPr>
        <w:t xml:space="preserve"> no hayan sido referidos por la Comisión como víctimas en el presente caso</w:t>
      </w:r>
      <w:r w:rsidR="003B4210" w:rsidRPr="00975C02">
        <w:rPr>
          <w:rFonts w:cstheme="minorBidi"/>
          <w:sz w:val="20"/>
          <w:szCs w:val="20"/>
          <w:lang w:val="es-ES" w:eastAsia="en-US"/>
        </w:rPr>
        <w:t xml:space="preserve">, </w:t>
      </w:r>
      <w:r w:rsidR="000275B4" w:rsidRPr="00975C02">
        <w:rPr>
          <w:rFonts w:cstheme="minorBidi"/>
          <w:sz w:val="20"/>
          <w:szCs w:val="20"/>
          <w:lang w:val="es-ES" w:eastAsia="en-US"/>
        </w:rPr>
        <w:t xml:space="preserve">según lo que </w:t>
      </w:r>
      <w:r w:rsidR="003C7E7A" w:rsidRPr="00975C02">
        <w:rPr>
          <w:rFonts w:cstheme="minorBidi"/>
          <w:sz w:val="20"/>
          <w:szCs w:val="20"/>
          <w:lang w:val="es-ES" w:eastAsia="en-US"/>
        </w:rPr>
        <w:t>se desprendería</w:t>
      </w:r>
      <w:r w:rsidR="003B4210" w:rsidRPr="00975C02">
        <w:rPr>
          <w:rFonts w:cstheme="minorBidi"/>
          <w:sz w:val="20"/>
          <w:szCs w:val="20"/>
          <w:lang w:val="es-ES" w:eastAsia="en-US"/>
        </w:rPr>
        <w:t xml:space="preserve"> de los párrafos 1</w:t>
      </w:r>
      <w:r w:rsidRPr="00975C02">
        <w:rPr>
          <w:rFonts w:cstheme="minorBidi"/>
          <w:sz w:val="20"/>
          <w:szCs w:val="20"/>
          <w:lang w:val="es-ES" w:eastAsia="en-US"/>
        </w:rPr>
        <w:t xml:space="preserve">53 </w:t>
      </w:r>
      <w:r w:rsidR="003B4210" w:rsidRPr="00975C02">
        <w:rPr>
          <w:rFonts w:cstheme="minorBidi"/>
          <w:sz w:val="20"/>
          <w:szCs w:val="20"/>
          <w:lang w:val="es-ES" w:eastAsia="en-US"/>
        </w:rPr>
        <w:t xml:space="preserve">y 154 </w:t>
      </w:r>
      <w:r w:rsidRPr="00975C02">
        <w:rPr>
          <w:rFonts w:cstheme="minorBidi"/>
          <w:sz w:val="20"/>
          <w:szCs w:val="20"/>
          <w:lang w:val="es-ES" w:eastAsia="en-US"/>
        </w:rPr>
        <w:t>del Informe de Fondo de la Comisión</w:t>
      </w:r>
      <w:r w:rsidR="003B4210" w:rsidRPr="00975C02">
        <w:rPr>
          <w:rFonts w:cstheme="minorBidi"/>
          <w:sz w:val="20"/>
          <w:szCs w:val="20"/>
          <w:lang w:val="es-ES" w:eastAsia="en-US"/>
        </w:rPr>
        <w:t xml:space="preserve">. </w:t>
      </w:r>
      <w:r w:rsidRPr="00975C02">
        <w:rPr>
          <w:rFonts w:cstheme="minorBidi"/>
          <w:sz w:val="20"/>
          <w:szCs w:val="20"/>
          <w:lang w:val="es-ES" w:eastAsia="en-US"/>
        </w:rPr>
        <w:t>Por tal raz</w:t>
      </w:r>
      <w:r w:rsidR="003B4210" w:rsidRPr="00975C02">
        <w:rPr>
          <w:rFonts w:cstheme="minorBidi"/>
          <w:sz w:val="20"/>
          <w:szCs w:val="20"/>
          <w:lang w:val="es-ES" w:eastAsia="en-US"/>
        </w:rPr>
        <w:t>ó</w:t>
      </w:r>
      <w:r w:rsidRPr="00975C02">
        <w:rPr>
          <w:rFonts w:cstheme="minorBidi"/>
          <w:sz w:val="20"/>
          <w:szCs w:val="20"/>
          <w:lang w:val="es-ES" w:eastAsia="en-US"/>
        </w:rPr>
        <w:t xml:space="preserve">n, las representantes solicitaron a la Corte </w:t>
      </w:r>
      <w:r w:rsidR="00D97C6A" w:rsidRPr="00975C02">
        <w:rPr>
          <w:rFonts w:cstheme="minorBidi"/>
          <w:sz w:val="20"/>
          <w:szCs w:val="20"/>
          <w:lang w:val="es-ES" w:eastAsia="en-US"/>
        </w:rPr>
        <w:t>que</w:t>
      </w:r>
      <w:r w:rsidRPr="00975C02">
        <w:rPr>
          <w:rFonts w:cstheme="minorBidi"/>
          <w:sz w:val="20"/>
          <w:szCs w:val="20"/>
          <w:lang w:val="es-ES" w:eastAsia="en-US"/>
        </w:rPr>
        <w:t xml:space="preserve"> declar</w:t>
      </w:r>
      <w:r w:rsidR="000275B4" w:rsidRPr="00975C02">
        <w:rPr>
          <w:rFonts w:cstheme="minorBidi"/>
          <w:sz w:val="20"/>
          <w:szCs w:val="20"/>
          <w:lang w:val="es-ES" w:eastAsia="en-US"/>
        </w:rPr>
        <w:t>as</w:t>
      </w:r>
      <w:r w:rsidR="00D97C6A" w:rsidRPr="00975C02">
        <w:rPr>
          <w:rFonts w:cstheme="minorBidi"/>
          <w:sz w:val="20"/>
          <w:szCs w:val="20"/>
          <w:lang w:val="es-ES" w:eastAsia="en-US"/>
        </w:rPr>
        <w:t>e</w:t>
      </w:r>
      <w:r w:rsidRPr="00975C02">
        <w:rPr>
          <w:rFonts w:cstheme="minorBidi"/>
          <w:sz w:val="20"/>
          <w:szCs w:val="20"/>
          <w:lang w:val="es-ES" w:eastAsia="en-US"/>
        </w:rPr>
        <w:t xml:space="preserve"> como presuntas víctimas a </w:t>
      </w:r>
      <w:r w:rsidR="002E1EE5" w:rsidRPr="00975C02">
        <w:rPr>
          <w:rFonts w:cstheme="minorBidi"/>
          <w:sz w:val="20"/>
          <w:szCs w:val="20"/>
          <w:lang w:val="es-ES" w:eastAsia="en-US"/>
        </w:rPr>
        <w:t xml:space="preserve">N.R.P., </w:t>
      </w:r>
      <w:r w:rsidRPr="00975C02">
        <w:rPr>
          <w:rFonts w:cstheme="minorBidi"/>
          <w:sz w:val="20"/>
          <w:szCs w:val="20"/>
          <w:lang w:val="es-ES" w:eastAsia="en-US"/>
        </w:rPr>
        <w:t>H.</w:t>
      </w:r>
      <w:r w:rsidR="00343716" w:rsidRPr="00975C02">
        <w:rPr>
          <w:rFonts w:cstheme="minorBidi"/>
          <w:sz w:val="20"/>
          <w:szCs w:val="20"/>
          <w:lang w:val="es-ES" w:eastAsia="en-US"/>
        </w:rPr>
        <w:t>J.</w:t>
      </w:r>
      <w:r w:rsidRPr="00975C02">
        <w:rPr>
          <w:rFonts w:cstheme="minorBidi"/>
          <w:sz w:val="20"/>
          <w:szCs w:val="20"/>
          <w:lang w:val="es-ES" w:eastAsia="en-US"/>
        </w:rPr>
        <w:t>R.P</w:t>
      </w:r>
      <w:r w:rsidR="003B4210" w:rsidRPr="00975C02">
        <w:rPr>
          <w:rFonts w:cstheme="minorBidi"/>
          <w:sz w:val="20"/>
          <w:szCs w:val="20"/>
          <w:lang w:val="es-ES" w:eastAsia="en-US"/>
        </w:rPr>
        <w:t>.</w:t>
      </w:r>
      <w:r w:rsidRPr="00975C02">
        <w:rPr>
          <w:rFonts w:cstheme="minorBidi"/>
          <w:sz w:val="20"/>
          <w:szCs w:val="20"/>
          <w:lang w:val="es-ES" w:eastAsia="en-US"/>
        </w:rPr>
        <w:t>, V.</w:t>
      </w:r>
      <w:r w:rsidR="00343716" w:rsidRPr="00975C02">
        <w:rPr>
          <w:rFonts w:cstheme="minorBidi"/>
          <w:sz w:val="20"/>
          <w:szCs w:val="20"/>
          <w:lang w:val="es-ES" w:eastAsia="en-US"/>
        </w:rPr>
        <w:t>A.</w:t>
      </w:r>
      <w:r w:rsidRPr="00975C02">
        <w:rPr>
          <w:rFonts w:cstheme="minorBidi"/>
          <w:sz w:val="20"/>
          <w:szCs w:val="20"/>
          <w:lang w:val="es-ES" w:eastAsia="en-US"/>
        </w:rPr>
        <w:t>R.P</w:t>
      </w:r>
      <w:r w:rsidR="00343716" w:rsidRPr="00975C02">
        <w:rPr>
          <w:rFonts w:cstheme="minorBidi"/>
          <w:sz w:val="20"/>
          <w:szCs w:val="20"/>
          <w:lang w:val="es-ES" w:eastAsia="en-US"/>
        </w:rPr>
        <w:t>.</w:t>
      </w:r>
      <w:r w:rsidRPr="00975C02">
        <w:rPr>
          <w:rFonts w:cstheme="minorBidi"/>
          <w:sz w:val="20"/>
          <w:szCs w:val="20"/>
          <w:lang w:val="es-ES" w:eastAsia="en-US"/>
        </w:rPr>
        <w:t xml:space="preserve"> y, hermanos de la presunta víctima V.R.P</w:t>
      </w:r>
      <w:r w:rsidR="00343716" w:rsidRPr="00975C02">
        <w:rPr>
          <w:rFonts w:cstheme="minorBidi"/>
          <w:sz w:val="20"/>
          <w:szCs w:val="20"/>
          <w:lang w:val="es-ES" w:eastAsia="en-US"/>
        </w:rPr>
        <w:t>.</w:t>
      </w:r>
      <w:r w:rsidRPr="00975C02">
        <w:rPr>
          <w:rFonts w:cstheme="minorBidi"/>
          <w:sz w:val="20"/>
          <w:szCs w:val="20"/>
          <w:lang w:val="es-ES" w:eastAsia="en-US"/>
        </w:rPr>
        <w:t xml:space="preserve"> e hijos de la peticionaria y presunta víctima V.P.C.</w:t>
      </w:r>
    </w:p>
    <w:p w14:paraId="0053E4AE"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2D78A4A7" w14:textId="1B6205C9" w:rsidR="00270756" w:rsidRPr="00975C02" w:rsidRDefault="00270756"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 xml:space="preserve">La </w:t>
      </w:r>
      <w:r w:rsidRPr="00975C02">
        <w:rPr>
          <w:rFonts w:cstheme="minorBidi"/>
          <w:b/>
          <w:i/>
          <w:sz w:val="20"/>
          <w:szCs w:val="20"/>
          <w:lang w:val="es-ES" w:eastAsia="en-US"/>
        </w:rPr>
        <w:t>Comisión</w:t>
      </w:r>
      <w:r w:rsidRPr="00975C02">
        <w:rPr>
          <w:rFonts w:cstheme="minorBidi"/>
          <w:sz w:val="20"/>
          <w:szCs w:val="20"/>
          <w:lang w:val="es-ES" w:eastAsia="en-US"/>
        </w:rPr>
        <w:t xml:space="preserve"> </w:t>
      </w:r>
      <w:r w:rsidR="00446DDA" w:rsidRPr="00975C02">
        <w:rPr>
          <w:rFonts w:cstheme="minorBidi"/>
          <w:sz w:val="20"/>
          <w:szCs w:val="20"/>
          <w:lang w:val="es-ES" w:eastAsia="en-US"/>
        </w:rPr>
        <w:t xml:space="preserve">indicó que en el párrafo 154 del </w:t>
      </w:r>
      <w:r w:rsidR="00D0178F" w:rsidRPr="00975C02">
        <w:rPr>
          <w:rFonts w:cstheme="minorBidi"/>
          <w:sz w:val="20"/>
          <w:szCs w:val="20"/>
          <w:lang w:val="es-ES" w:eastAsia="en-US"/>
        </w:rPr>
        <w:t>I</w:t>
      </w:r>
      <w:r w:rsidR="00446DDA" w:rsidRPr="00975C02">
        <w:rPr>
          <w:rFonts w:cstheme="minorBidi"/>
          <w:sz w:val="20"/>
          <w:szCs w:val="20"/>
          <w:lang w:val="es-ES" w:eastAsia="en-US"/>
        </w:rPr>
        <w:t xml:space="preserve">nforme de </w:t>
      </w:r>
      <w:r w:rsidR="00D0178F" w:rsidRPr="00975C02">
        <w:rPr>
          <w:rFonts w:cstheme="minorBidi"/>
          <w:sz w:val="20"/>
          <w:szCs w:val="20"/>
          <w:lang w:val="es-ES" w:eastAsia="en-US"/>
        </w:rPr>
        <w:t>F</w:t>
      </w:r>
      <w:r w:rsidR="00446DDA" w:rsidRPr="00975C02">
        <w:rPr>
          <w:rFonts w:cstheme="minorBidi"/>
          <w:sz w:val="20"/>
          <w:szCs w:val="20"/>
          <w:lang w:val="es-ES" w:eastAsia="en-US"/>
        </w:rPr>
        <w:t xml:space="preserve">ondo estableció violaciones </w:t>
      </w:r>
      <w:r w:rsidR="002325E4" w:rsidRPr="00975C02">
        <w:rPr>
          <w:rFonts w:cstheme="minorBidi"/>
          <w:sz w:val="20"/>
          <w:szCs w:val="20"/>
          <w:lang w:val="es-ES" w:eastAsia="en-US"/>
        </w:rPr>
        <w:t xml:space="preserve">respecto de </w:t>
      </w:r>
      <w:r w:rsidR="00446DDA" w:rsidRPr="00975C02">
        <w:rPr>
          <w:rFonts w:cstheme="minorBidi"/>
          <w:sz w:val="20"/>
          <w:szCs w:val="20"/>
          <w:lang w:val="es-ES" w:eastAsia="en-US"/>
        </w:rPr>
        <w:t xml:space="preserve">todo el núcleo familiar de V.R.P. Precisó al respecto que la omisión del párrafo 4 del </w:t>
      </w:r>
      <w:r w:rsidR="00D566C9" w:rsidRPr="00975C02">
        <w:rPr>
          <w:rFonts w:cstheme="minorBidi"/>
          <w:sz w:val="20"/>
          <w:szCs w:val="20"/>
          <w:lang w:val="es-ES" w:eastAsia="en-US"/>
        </w:rPr>
        <w:lastRenderedPageBreak/>
        <w:t>I</w:t>
      </w:r>
      <w:r w:rsidR="00446DDA" w:rsidRPr="00975C02">
        <w:rPr>
          <w:rFonts w:cstheme="minorBidi"/>
          <w:sz w:val="20"/>
          <w:szCs w:val="20"/>
          <w:lang w:val="es-ES" w:eastAsia="en-US"/>
        </w:rPr>
        <w:t xml:space="preserve">nforme de </w:t>
      </w:r>
      <w:r w:rsidR="00D566C9" w:rsidRPr="00975C02">
        <w:rPr>
          <w:rFonts w:cstheme="minorBidi"/>
          <w:sz w:val="20"/>
          <w:szCs w:val="20"/>
          <w:lang w:val="es-ES" w:eastAsia="en-US"/>
        </w:rPr>
        <w:t>F</w:t>
      </w:r>
      <w:r w:rsidR="00446DDA" w:rsidRPr="00975C02">
        <w:rPr>
          <w:rFonts w:cstheme="minorBidi"/>
          <w:sz w:val="20"/>
          <w:szCs w:val="20"/>
          <w:lang w:val="es-ES" w:eastAsia="en-US"/>
        </w:rPr>
        <w:t>ondo “se trata de un error material involuntario que no invalida dicha determinación”.</w:t>
      </w:r>
    </w:p>
    <w:p w14:paraId="0851726A"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379F02E8" w14:textId="77777777" w:rsidR="007A37EF" w:rsidRPr="00975C02" w:rsidRDefault="007A37EF" w:rsidP="007A37EF">
      <w:pPr>
        <w:pStyle w:val="Heading2"/>
        <w:tabs>
          <w:tab w:val="left" w:pos="1843"/>
        </w:tabs>
        <w:spacing w:before="0" w:line="240" w:lineRule="auto"/>
        <w:ind w:left="1134"/>
        <w:rPr>
          <w:rFonts w:ascii="Verdana" w:hAnsi="Verdana"/>
          <w:b w:val="0"/>
          <w:i/>
          <w:color w:val="auto"/>
          <w:sz w:val="20"/>
          <w:szCs w:val="20"/>
          <w:lang w:val="es-ES"/>
        </w:rPr>
      </w:pPr>
      <w:bookmarkStart w:id="65" w:name="_Toc514172605"/>
      <w:r w:rsidRPr="00975C02">
        <w:rPr>
          <w:rFonts w:ascii="Verdana" w:hAnsi="Verdana"/>
          <w:b w:val="0"/>
          <w:i/>
          <w:color w:val="auto"/>
          <w:sz w:val="20"/>
          <w:szCs w:val="20"/>
          <w:lang w:val="es-ES"/>
        </w:rPr>
        <w:t xml:space="preserve">A.2 </w:t>
      </w:r>
      <w:r w:rsidRPr="00975C02">
        <w:rPr>
          <w:rFonts w:ascii="Verdana" w:hAnsi="Verdana"/>
          <w:b w:val="0"/>
          <w:i/>
          <w:color w:val="auto"/>
          <w:sz w:val="20"/>
          <w:szCs w:val="20"/>
          <w:lang w:val="es-ES"/>
        </w:rPr>
        <w:tab/>
        <w:t>Consideraciones de la Corte</w:t>
      </w:r>
      <w:bookmarkEnd w:id="65"/>
    </w:p>
    <w:p w14:paraId="6A3F532C" w14:textId="77777777" w:rsidR="007A37EF" w:rsidRPr="00975C02" w:rsidRDefault="007A37EF" w:rsidP="001C7E37">
      <w:pPr>
        <w:widowControl/>
        <w:tabs>
          <w:tab w:val="left" w:pos="567"/>
        </w:tabs>
        <w:adjustRightInd/>
        <w:spacing w:line="240" w:lineRule="auto"/>
        <w:textAlignment w:val="auto"/>
        <w:rPr>
          <w:rFonts w:cstheme="minorBidi"/>
          <w:b/>
          <w:i/>
          <w:sz w:val="20"/>
          <w:szCs w:val="20"/>
          <w:lang w:val="es-ES" w:eastAsia="en-US"/>
        </w:rPr>
      </w:pPr>
    </w:p>
    <w:p w14:paraId="1A66B779" w14:textId="4C2BFAED" w:rsidR="00270756" w:rsidRPr="00975C02" w:rsidRDefault="00270756" w:rsidP="00C8070B">
      <w:pPr>
        <w:numPr>
          <w:ilvl w:val="0"/>
          <w:numId w:val="2"/>
        </w:numPr>
        <w:tabs>
          <w:tab w:val="left" w:pos="567"/>
          <w:tab w:val="num" w:pos="12305"/>
        </w:tabs>
        <w:spacing w:line="240" w:lineRule="auto"/>
        <w:ind w:left="0" w:firstLine="0"/>
        <w:rPr>
          <w:rFonts w:eastAsia="Batang"/>
          <w:sz w:val="20"/>
          <w:szCs w:val="20"/>
          <w:lang w:val="es-ES" w:eastAsia="es-MX"/>
        </w:rPr>
      </w:pPr>
      <w:r w:rsidRPr="00975C02">
        <w:rPr>
          <w:rFonts w:eastAsia="Batang"/>
          <w:sz w:val="20"/>
          <w:szCs w:val="20"/>
          <w:lang w:val="es-ES" w:eastAsia="es-MX"/>
        </w:rPr>
        <w:t xml:space="preserve">Esta Corte recuerda que las presuntas víctimas deben estar señaladas en el Informe de Fondo de la </w:t>
      </w:r>
      <w:r w:rsidRPr="00975C02">
        <w:rPr>
          <w:rFonts w:cstheme="minorBidi"/>
          <w:sz w:val="20"/>
          <w:szCs w:val="20"/>
          <w:lang w:val="es-ES" w:eastAsia="en-US"/>
        </w:rPr>
        <w:t>Comisión</w:t>
      </w:r>
      <w:r w:rsidRPr="00975C02">
        <w:rPr>
          <w:rFonts w:eastAsia="Batang"/>
          <w:sz w:val="20"/>
          <w:szCs w:val="20"/>
          <w:lang w:val="es-ES" w:eastAsia="es-MX"/>
        </w:rPr>
        <w:t>, emitido según el artículo 50 de la Convención. El artículo 35.1 del Reglamento de este Tribunal dispone que el caso será sometido a la Corte mediante la presentación de dicho Informe, el cual deberá contener “la identificación de las presuntas víctimas”. De conformidad con dicha norma, corresponde a la Comisión y no a este Tribunal, identificar con precisión y en la debida oportunidad procesal a las presuntas víctimas en un caso ante la Corte</w:t>
      </w:r>
      <w:r w:rsidRPr="00975C02">
        <w:rPr>
          <w:rFonts w:eastAsia="Batang"/>
          <w:sz w:val="20"/>
          <w:szCs w:val="20"/>
          <w:vertAlign w:val="superscript"/>
          <w:lang w:val="es-ES" w:eastAsia="es-MX"/>
        </w:rPr>
        <w:footnoteReference w:id="34"/>
      </w:r>
      <w:r w:rsidRPr="00975C02">
        <w:rPr>
          <w:rFonts w:eastAsia="Batang"/>
          <w:sz w:val="20"/>
          <w:szCs w:val="20"/>
          <w:lang w:val="es-ES" w:eastAsia="es-MX"/>
        </w:rPr>
        <w:t xml:space="preserve">. La seguridad jurídica exige, como regla general, que todas las presuntas víctimas estén debidamente identificadas en el Informe de Fondo, no siendo posible añadir nuevas presuntas víctimas </w:t>
      </w:r>
      <w:r w:rsidR="000A3F33" w:rsidRPr="00975C02">
        <w:rPr>
          <w:rFonts w:eastAsia="Batang"/>
          <w:sz w:val="20"/>
          <w:szCs w:val="20"/>
          <w:lang w:val="es-ES" w:eastAsia="es-MX"/>
        </w:rPr>
        <w:t>con posterioridad</w:t>
      </w:r>
      <w:r w:rsidRPr="00975C02">
        <w:rPr>
          <w:rFonts w:eastAsia="Batang"/>
          <w:sz w:val="20"/>
          <w:szCs w:val="20"/>
          <w:lang w:val="es-ES" w:eastAsia="es-MX"/>
        </w:rPr>
        <w:t>, salvo en la circunstancia excepcional contemplada en el artículo 35.2 del Reglamento de la Corte, la cual</w:t>
      </w:r>
      <w:r w:rsidR="003B4210" w:rsidRPr="00975C02">
        <w:rPr>
          <w:rFonts w:eastAsia="Batang"/>
          <w:sz w:val="20"/>
          <w:szCs w:val="20"/>
          <w:lang w:val="es-ES" w:eastAsia="es-MX"/>
        </w:rPr>
        <w:t xml:space="preserve"> no aplica en el presente caso.</w:t>
      </w:r>
    </w:p>
    <w:p w14:paraId="7199536D" w14:textId="77777777" w:rsidR="00270756" w:rsidRPr="00975C02" w:rsidRDefault="00270756" w:rsidP="001C7E37">
      <w:pPr>
        <w:widowControl/>
        <w:tabs>
          <w:tab w:val="left" w:pos="567"/>
        </w:tabs>
        <w:adjustRightInd/>
        <w:spacing w:line="240" w:lineRule="auto"/>
        <w:textAlignment w:val="auto"/>
        <w:rPr>
          <w:rFonts w:eastAsia="Batang"/>
          <w:sz w:val="20"/>
          <w:szCs w:val="20"/>
          <w:lang w:val="es-ES" w:eastAsia="es-MX"/>
        </w:rPr>
      </w:pPr>
    </w:p>
    <w:p w14:paraId="22227ED3" w14:textId="29167007" w:rsidR="00270756" w:rsidRPr="00975C02" w:rsidRDefault="009A5889"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L</w:t>
      </w:r>
      <w:r w:rsidR="003A58AF" w:rsidRPr="00975C02">
        <w:rPr>
          <w:rFonts w:cstheme="minorBidi"/>
          <w:sz w:val="20"/>
          <w:szCs w:val="20"/>
          <w:lang w:val="es-ES" w:eastAsia="en-US"/>
        </w:rPr>
        <w:t xml:space="preserve">a Corte </w:t>
      </w:r>
      <w:r w:rsidR="003B4210" w:rsidRPr="00975C02">
        <w:rPr>
          <w:rFonts w:cstheme="minorBidi"/>
          <w:sz w:val="20"/>
          <w:szCs w:val="20"/>
          <w:lang w:val="es-ES" w:eastAsia="en-US"/>
        </w:rPr>
        <w:t>constata que</w:t>
      </w:r>
      <w:r w:rsidR="000A3F33" w:rsidRPr="00975C02">
        <w:rPr>
          <w:rFonts w:cstheme="minorBidi"/>
          <w:sz w:val="20"/>
          <w:szCs w:val="20"/>
          <w:lang w:val="es-ES" w:eastAsia="en-US"/>
        </w:rPr>
        <w:t xml:space="preserve"> la Comisión no incluyó</w:t>
      </w:r>
      <w:r w:rsidRPr="00975C02">
        <w:rPr>
          <w:rFonts w:cstheme="minorBidi"/>
          <w:sz w:val="20"/>
          <w:szCs w:val="20"/>
          <w:lang w:val="es-ES" w:eastAsia="en-US"/>
        </w:rPr>
        <w:t>,</w:t>
      </w:r>
      <w:r w:rsidR="00270756" w:rsidRPr="00975C02">
        <w:rPr>
          <w:rFonts w:cstheme="minorBidi"/>
          <w:sz w:val="20"/>
          <w:szCs w:val="20"/>
          <w:lang w:val="es-ES" w:eastAsia="en-US"/>
        </w:rPr>
        <w:t xml:space="preserve"> en su Informe de Fondo </w:t>
      </w:r>
      <w:r w:rsidR="003B4210" w:rsidRPr="00975C02">
        <w:rPr>
          <w:rFonts w:cstheme="minorBidi"/>
          <w:sz w:val="20"/>
          <w:szCs w:val="20"/>
          <w:lang w:val="es-ES" w:eastAsia="en-US"/>
        </w:rPr>
        <w:t>No. 4/16</w:t>
      </w:r>
      <w:r w:rsidRPr="00975C02">
        <w:rPr>
          <w:rFonts w:cstheme="minorBidi"/>
          <w:sz w:val="20"/>
          <w:szCs w:val="20"/>
          <w:lang w:val="es-ES" w:eastAsia="en-US"/>
        </w:rPr>
        <w:t>,</w:t>
      </w:r>
      <w:r w:rsidR="00A55B91" w:rsidRPr="00975C02">
        <w:rPr>
          <w:rFonts w:cstheme="minorBidi"/>
          <w:sz w:val="20"/>
          <w:szCs w:val="20"/>
          <w:lang w:val="es-ES" w:eastAsia="en-US"/>
        </w:rPr>
        <w:t xml:space="preserve"> un párrafo específico que listara a las presuntas víctimas en este caso. No obstante ello, decidió </w:t>
      </w:r>
      <w:r w:rsidR="00270756" w:rsidRPr="00975C02">
        <w:rPr>
          <w:rFonts w:cstheme="minorBidi"/>
          <w:sz w:val="20"/>
          <w:szCs w:val="20"/>
          <w:lang w:val="es-ES" w:eastAsia="en-US"/>
        </w:rPr>
        <w:t>que “existen suficientes elementos para concluir que la violación sexual sufrida por la niña V.R.P</w:t>
      </w:r>
      <w:r w:rsidR="00AE5370" w:rsidRPr="00975C02">
        <w:rPr>
          <w:rFonts w:cstheme="minorBidi"/>
          <w:sz w:val="20"/>
          <w:szCs w:val="20"/>
          <w:lang w:val="es-ES" w:eastAsia="en-US"/>
        </w:rPr>
        <w:t>.</w:t>
      </w:r>
      <w:r w:rsidR="00270756" w:rsidRPr="00975C02">
        <w:rPr>
          <w:rFonts w:cstheme="minorBidi"/>
          <w:sz w:val="20"/>
          <w:szCs w:val="20"/>
          <w:lang w:val="es-ES" w:eastAsia="en-US"/>
        </w:rPr>
        <w:t>, las consecuencias de la misma y la impunidad en que se mantiene el caso atribuible al Estado, provocaron una afectación emocional a su madre V.P.C</w:t>
      </w:r>
      <w:r w:rsidR="009F7C9B" w:rsidRPr="00975C02">
        <w:rPr>
          <w:rFonts w:cstheme="minorBidi"/>
          <w:sz w:val="20"/>
          <w:szCs w:val="20"/>
          <w:lang w:val="es-ES" w:eastAsia="en-US"/>
        </w:rPr>
        <w:t>.</w:t>
      </w:r>
      <w:r w:rsidR="00270756" w:rsidRPr="00975C02">
        <w:rPr>
          <w:rFonts w:cstheme="minorBidi"/>
          <w:sz w:val="20"/>
          <w:szCs w:val="20"/>
          <w:lang w:val="es-ES" w:eastAsia="en-US"/>
        </w:rPr>
        <w:t xml:space="preserve"> y sus hijos e hija H.</w:t>
      </w:r>
      <w:r w:rsidR="00AE5370" w:rsidRPr="00975C02">
        <w:rPr>
          <w:rFonts w:cstheme="minorBidi"/>
          <w:sz w:val="20"/>
          <w:szCs w:val="20"/>
          <w:lang w:val="es-ES" w:eastAsia="en-US"/>
        </w:rPr>
        <w:t>J.</w:t>
      </w:r>
      <w:r w:rsidR="00270756" w:rsidRPr="00975C02">
        <w:rPr>
          <w:rFonts w:cstheme="minorBidi"/>
          <w:sz w:val="20"/>
          <w:szCs w:val="20"/>
          <w:lang w:val="es-ES" w:eastAsia="en-US"/>
        </w:rPr>
        <w:t>R.P</w:t>
      </w:r>
      <w:r w:rsidR="00AE5370" w:rsidRPr="00975C02">
        <w:rPr>
          <w:rFonts w:cstheme="minorBidi"/>
          <w:sz w:val="20"/>
          <w:szCs w:val="20"/>
          <w:lang w:val="es-ES" w:eastAsia="en-US"/>
        </w:rPr>
        <w:t>.</w:t>
      </w:r>
      <w:r w:rsidR="00270756" w:rsidRPr="00975C02">
        <w:rPr>
          <w:rFonts w:cstheme="minorBidi"/>
          <w:sz w:val="20"/>
          <w:szCs w:val="20"/>
          <w:lang w:val="es-ES" w:eastAsia="en-US"/>
        </w:rPr>
        <w:t xml:space="preserve">, </w:t>
      </w:r>
      <w:r w:rsidR="00AE5370" w:rsidRPr="00975C02">
        <w:rPr>
          <w:rFonts w:cstheme="minorBidi"/>
          <w:sz w:val="20"/>
          <w:szCs w:val="20"/>
          <w:lang w:val="es-ES" w:eastAsia="en-US"/>
        </w:rPr>
        <w:t>[V.A]</w:t>
      </w:r>
      <w:r w:rsidR="00270756" w:rsidRPr="00975C02">
        <w:rPr>
          <w:rFonts w:cstheme="minorBidi"/>
          <w:sz w:val="20"/>
          <w:szCs w:val="20"/>
          <w:lang w:val="es-ES" w:eastAsia="en-US"/>
        </w:rPr>
        <w:t>.R.P</w:t>
      </w:r>
      <w:r w:rsidR="00AE5370" w:rsidRPr="00975C02">
        <w:rPr>
          <w:rFonts w:cstheme="minorBidi"/>
          <w:sz w:val="20"/>
          <w:szCs w:val="20"/>
          <w:lang w:val="es-ES" w:eastAsia="en-US"/>
        </w:rPr>
        <w:t>.</w:t>
      </w:r>
      <w:r w:rsidR="00270756" w:rsidRPr="00975C02">
        <w:rPr>
          <w:rFonts w:cstheme="minorBidi"/>
          <w:sz w:val="20"/>
          <w:szCs w:val="20"/>
          <w:lang w:val="es-ES" w:eastAsia="en-US"/>
        </w:rPr>
        <w:t xml:space="preserve"> y N.R.P</w:t>
      </w:r>
      <w:r w:rsidR="00AE5370" w:rsidRPr="00975C02">
        <w:rPr>
          <w:rFonts w:cstheme="minorBidi"/>
          <w:sz w:val="20"/>
          <w:szCs w:val="20"/>
          <w:lang w:val="es-ES" w:eastAsia="en-US"/>
        </w:rPr>
        <w:t>.</w:t>
      </w:r>
      <w:r w:rsidR="00270756" w:rsidRPr="00975C02">
        <w:rPr>
          <w:rFonts w:cstheme="minorBidi"/>
          <w:sz w:val="20"/>
          <w:szCs w:val="20"/>
          <w:lang w:val="es-ES" w:eastAsia="en-US"/>
        </w:rPr>
        <w:t>, en contravención del derecho reconocido en el artículo 5.1 de la Convención Americana, en relación con el artículo 1.1 de dicho instrumento”</w:t>
      </w:r>
      <w:r w:rsidR="00270756" w:rsidRPr="00975C02">
        <w:rPr>
          <w:rFonts w:cstheme="minorBidi"/>
          <w:sz w:val="20"/>
          <w:szCs w:val="20"/>
          <w:vertAlign w:val="superscript"/>
          <w:lang w:val="es-ES" w:eastAsia="en-US"/>
        </w:rPr>
        <w:footnoteReference w:id="35"/>
      </w:r>
      <w:r w:rsidR="00270756" w:rsidRPr="00975C02">
        <w:rPr>
          <w:rFonts w:cstheme="minorBidi"/>
          <w:sz w:val="20"/>
          <w:szCs w:val="20"/>
          <w:lang w:val="es-ES" w:eastAsia="en-US"/>
        </w:rPr>
        <w:t>.</w:t>
      </w:r>
      <w:r w:rsidR="000A3F33" w:rsidRPr="00975C02">
        <w:rPr>
          <w:rFonts w:cstheme="minorBidi"/>
          <w:b/>
          <w:sz w:val="16"/>
          <w:szCs w:val="16"/>
          <w:lang w:val="es-ES" w:eastAsia="en-US"/>
        </w:rPr>
        <w:t xml:space="preserve"> </w:t>
      </w:r>
      <w:r w:rsidR="00270756" w:rsidRPr="00975C02">
        <w:rPr>
          <w:rFonts w:cstheme="minorBidi"/>
          <w:sz w:val="20"/>
          <w:szCs w:val="20"/>
          <w:lang w:val="es-ES" w:eastAsia="en-US"/>
        </w:rPr>
        <w:t>Además, en las conclusiones contenidas en el párrafo 154 indicó que las violaciones de los derechos de la Convención se establec</w:t>
      </w:r>
      <w:r w:rsidR="009F7C9B" w:rsidRPr="00975C02">
        <w:rPr>
          <w:rFonts w:cstheme="minorBidi"/>
          <w:sz w:val="20"/>
          <w:szCs w:val="20"/>
          <w:lang w:val="es-ES" w:eastAsia="en-US"/>
        </w:rPr>
        <w:t>i</w:t>
      </w:r>
      <w:r w:rsidR="00270756" w:rsidRPr="00975C02">
        <w:rPr>
          <w:rFonts w:cstheme="minorBidi"/>
          <w:sz w:val="20"/>
          <w:szCs w:val="20"/>
          <w:lang w:val="es-ES" w:eastAsia="en-US"/>
        </w:rPr>
        <w:t>e</w:t>
      </w:r>
      <w:r w:rsidR="009F7C9B" w:rsidRPr="00975C02">
        <w:rPr>
          <w:rFonts w:cstheme="minorBidi"/>
          <w:sz w:val="20"/>
          <w:szCs w:val="20"/>
          <w:lang w:val="es-ES" w:eastAsia="en-US"/>
        </w:rPr>
        <w:t>ro</w:t>
      </w:r>
      <w:r w:rsidR="00270756" w:rsidRPr="00975C02">
        <w:rPr>
          <w:rFonts w:cstheme="minorBidi"/>
          <w:sz w:val="20"/>
          <w:szCs w:val="20"/>
          <w:lang w:val="es-ES" w:eastAsia="en-US"/>
        </w:rPr>
        <w:t xml:space="preserve">n “en perjuicio de las personas que se indican en cada una de las secciones del </w:t>
      </w:r>
      <w:r w:rsidR="009F7C9B" w:rsidRPr="00975C02">
        <w:rPr>
          <w:rFonts w:cstheme="minorBidi"/>
          <w:sz w:val="20"/>
          <w:szCs w:val="20"/>
          <w:lang w:val="es-ES" w:eastAsia="en-US"/>
        </w:rPr>
        <w:t>[referido]</w:t>
      </w:r>
      <w:r w:rsidR="00270756" w:rsidRPr="00975C02">
        <w:rPr>
          <w:rFonts w:cstheme="minorBidi"/>
          <w:sz w:val="20"/>
          <w:szCs w:val="20"/>
          <w:lang w:val="es-ES" w:eastAsia="en-US"/>
        </w:rPr>
        <w:t xml:space="preserve"> informe”</w:t>
      </w:r>
      <w:r w:rsidR="00270756" w:rsidRPr="00975C02">
        <w:rPr>
          <w:rFonts w:cstheme="minorBidi"/>
          <w:sz w:val="20"/>
          <w:szCs w:val="20"/>
          <w:vertAlign w:val="superscript"/>
          <w:lang w:val="es-ES" w:eastAsia="en-US"/>
        </w:rPr>
        <w:footnoteReference w:id="36"/>
      </w:r>
      <w:r w:rsidR="00270756" w:rsidRPr="00975C02">
        <w:rPr>
          <w:rFonts w:cstheme="minorBidi"/>
          <w:sz w:val="20"/>
          <w:szCs w:val="20"/>
          <w:lang w:val="es-ES" w:eastAsia="en-US"/>
        </w:rPr>
        <w:t xml:space="preserve">. </w:t>
      </w:r>
      <w:r w:rsidR="003A58AF" w:rsidRPr="00975C02">
        <w:rPr>
          <w:rFonts w:cstheme="minorBidi"/>
          <w:sz w:val="20"/>
          <w:szCs w:val="20"/>
          <w:lang w:val="es-ES" w:eastAsia="en-US"/>
        </w:rPr>
        <w:t xml:space="preserve">Por </w:t>
      </w:r>
      <w:r w:rsidR="008610E9" w:rsidRPr="00975C02">
        <w:rPr>
          <w:rFonts w:cstheme="minorBidi"/>
          <w:sz w:val="20"/>
          <w:szCs w:val="20"/>
          <w:lang w:val="es-ES" w:eastAsia="en-US"/>
        </w:rPr>
        <w:t>otra parte</w:t>
      </w:r>
      <w:r w:rsidR="003A58AF" w:rsidRPr="00975C02">
        <w:rPr>
          <w:rFonts w:cstheme="minorBidi"/>
          <w:sz w:val="20"/>
          <w:szCs w:val="20"/>
          <w:lang w:val="es-ES" w:eastAsia="en-US"/>
        </w:rPr>
        <w:t>,</w:t>
      </w:r>
      <w:r w:rsidR="008610E9" w:rsidRPr="00975C02">
        <w:rPr>
          <w:rFonts w:cstheme="minorBidi"/>
          <w:sz w:val="20"/>
          <w:szCs w:val="20"/>
          <w:lang w:val="es-ES" w:eastAsia="en-US"/>
        </w:rPr>
        <w:t xml:space="preserve"> es cierto que</w:t>
      </w:r>
      <w:r w:rsidR="003A58AF" w:rsidRPr="00975C02">
        <w:rPr>
          <w:rFonts w:cstheme="minorBidi"/>
          <w:sz w:val="20"/>
          <w:szCs w:val="20"/>
          <w:lang w:val="es-ES" w:eastAsia="en-US"/>
        </w:rPr>
        <w:t xml:space="preserve"> en el párrafo 4 del </w:t>
      </w:r>
      <w:r w:rsidR="00A84F03" w:rsidRPr="00975C02">
        <w:rPr>
          <w:rFonts w:cstheme="minorBidi"/>
          <w:sz w:val="20"/>
          <w:szCs w:val="20"/>
          <w:lang w:val="es-ES" w:eastAsia="en-US"/>
        </w:rPr>
        <w:t>I</w:t>
      </w:r>
      <w:r w:rsidR="003A58AF" w:rsidRPr="00975C02">
        <w:rPr>
          <w:rFonts w:cstheme="minorBidi"/>
          <w:sz w:val="20"/>
          <w:szCs w:val="20"/>
          <w:lang w:val="es-ES" w:eastAsia="en-US"/>
        </w:rPr>
        <w:t xml:space="preserve">nforme de </w:t>
      </w:r>
      <w:r w:rsidR="00A84F03" w:rsidRPr="00975C02">
        <w:rPr>
          <w:rFonts w:cstheme="minorBidi"/>
          <w:sz w:val="20"/>
          <w:szCs w:val="20"/>
          <w:lang w:val="es-ES" w:eastAsia="en-US"/>
        </w:rPr>
        <w:t>F</w:t>
      </w:r>
      <w:r w:rsidR="003A58AF" w:rsidRPr="00975C02">
        <w:rPr>
          <w:rFonts w:cstheme="minorBidi"/>
          <w:sz w:val="20"/>
          <w:szCs w:val="20"/>
          <w:lang w:val="es-ES" w:eastAsia="en-US"/>
        </w:rPr>
        <w:t xml:space="preserve">ondo, así como en la nota de sometimiento del caso, </w:t>
      </w:r>
      <w:r w:rsidR="008610E9" w:rsidRPr="00975C02">
        <w:rPr>
          <w:rFonts w:cstheme="minorBidi"/>
          <w:sz w:val="20"/>
          <w:szCs w:val="20"/>
          <w:lang w:val="es-ES" w:eastAsia="en-US"/>
        </w:rPr>
        <w:t>la Comisión</w:t>
      </w:r>
      <w:r w:rsidR="003A58AF" w:rsidRPr="00975C02">
        <w:rPr>
          <w:rFonts w:cstheme="minorBidi"/>
          <w:sz w:val="20"/>
          <w:szCs w:val="20"/>
          <w:lang w:val="es-ES" w:eastAsia="en-US"/>
        </w:rPr>
        <w:t xml:space="preserve"> omiti</w:t>
      </w:r>
      <w:r w:rsidR="008610E9" w:rsidRPr="00975C02">
        <w:rPr>
          <w:rFonts w:cstheme="minorBidi"/>
          <w:sz w:val="20"/>
          <w:szCs w:val="20"/>
          <w:lang w:val="es-ES" w:eastAsia="en-US"/>
        </w:rPr>
        <w:t>ó incluir</w:t>
      </w:r>
      <w:r w:rsidR="003A58AF" w:rsidRPr="00975C02">
        <w:rPr>
          <w:rFonts w:cstheme="minorBidi"/>
          <w:sz w:val="20"/>
          <w:szCs w:val="20"/>
          <w:lang w:val="es-ES" w:eastAsia="en-US"/>
        </w:rPr>
        <w:t xml:space="preserve"> la conclusión referente al análisis realizado respecto de la violación al artículo 5</w:t>
      </w:r>
      <w:r w:rsidR="00FB1B5A" w:rsidRPr="00975C02">
        <w:rPr>
          <w:rFonts w:cstheme="minorBidi"/>
          <w:sz w:val="20"/>
          <w:szCs w:val="20"/>
          <w:lang w:val="es-ES" w:eastAsia="en-US"/>
        </w:rPr>
        <w:t>.1 de la Convención</w:t>
      </w:r>
      <w:r w:rsidR="003A58AF" w:rsidRPr="00975C02">
        <w:rPr>
          <w:rFonts w:cstheme="minorBidi"/>
          <w:sz w:val="20"/>
          <w:szCs w:val="20"/>
          <w:lang w:val="es-ES" w:eastAsia="en-US"/>
        </w:rPr>
        <w:t xml:space="preserve"> en perjuicio de los hermanos de V.R.P.</w:t>
      </w:r>
      <w:r w:rsidR="008610E9" w:rsidRPr="00975C02">
        <w:rPr>
          <w:rFonts w:cstheme="minorBidi"/>
          <w:sz w:val="20"/>
          <w:szCs w:val="20"/>
          <w:lang w:val="es-ES" w:eastAsia="en-US"/>
        </w:rPr>
        <w:t xml:space="preserve"> Para la Corte, esta falta de precisión</w:t>
      </w:r>
      <w:r w:rsidR="003A58AF" w:rsidRPr="00975C02">
        <w:rPr>
          <w:rFonts w:cstheme="minorBidi"/>
          <w:sz w:val="20"/>
          <w:szCs w:val="20"/>
          <w:lang w:val="es-ES" w:eastAsia="en-US"/>
        </w:rPr>
        <w:t xml:space="preserve"> no puede ser entendida en detrimento del examen realizado en el apartado correspondiente y la conclusión expresa contenida en los párrafos 153 y 154</w:t>
      </w:r>
      <w:r w:rsidR="008610E9" w:rsidRPr="00975C02">
        <w:rPr>
          <w:rFonts w:cstheme="minorBidi"/>
          <w:sz w:val="20"/>
          <w:szCs w:val="20"/>
          <w:lang w:val="es-ES" w:eastAsia="en-US"/>
        </w:rPr>
        <w:t xml:space="preserve">, toda vez </w:t>
      </w:r>
      <w:r w:rsidR="00185D43" w:rsidRPr="00975C02">
        <w:rPr>
          <w:rFonts w:cstheme="minorBidi"/>
          <w:sz w:val="20"/>
          <w:szCs w:val="20"/>
          <w:lang w:val="es-ES" w:eastAsia="en-US"/>
        </w:rPr>
        <w:t xml:space="preserve">que el escrito de sometimiento así como el informe de fondo deben ser leídos y entendidos de manera integral. </w:t>
      </w:r>
      <w:r w:rsidR="00270756" w:rsidRPr="00975C02">
        <w:rPr>
          <w:rFonts w:cstheme="minorBidi"/>
          <w:sz w:val="20"/>
          <w:szCs w:val="20"/>
          <w:lang w:val="es-ES" w:eastAsia="en-US"/>
        </w:rPr>
        <w:t>De es</w:t>
      </w:r>
      <w:r w:rsidR="003F3A48" w:rsidRPr="00975C02">
        <w:rPr>
          <w:rFonts w:cstheme="minorBidi"/>
          <w:sz w:val="20"/>
          <w:szCs w:val="20"/>
          <w:lang w:val="es-ES" w:eastAsia="en-US"/>
        </w:rPr>
        <w:t>t</w:t>
      </w:r>
      <w:r w:rsidR="00270756" w:rsidRPr="00975C02">
        <w:rPr>
          <w:rFonts w:cstheme="minorBidi"/>
          <w:sz w:val="20"/>
          <w:szCs w:val="20"/>
          <w:lang w:val="es-ES" w:eastAsia="en-US"/>
        </w:rPr>
        <w:t xml:space="preserve">e modo, </w:t>
      </w:r>
      <w:r w:rsidR="006543DF" w:rsidRPr="00975C02">
        <w:rPr>
          <w:rFonts w:cstheme="minorBidi"/>
          <w:sz w:val="20"/>
          <w:szCs w:val="20"/>
          <w:lang w:val="es-ES" w:eastAsia="en-US"/>
        </w:rPr>
        <w:t>la Corte concluye que</w:t>
      </w:r>
      <w:r w:rsidR="00D116A8" w:rsidRPr="00975C02">
        <w:rPr>
          <w:rFonts w:cstheme="minorBidi"/>
          <w:sz w:val="20"/>
          <w:szCs w:val="20"/>
          <w:lang w:val="es-ES" w:eastAsia="en-US"/>
        </w:rPr>
        <w:t>, en las circunstancias de este caso,</w:t>
      </w:r>
      <w:r w:rsidR="006543DF" w:rsidRPr="00975C02">
        <w:rPr>
          <w:rFonts w:cstheme="minorBidi"/>
          <w:sz w:val="20"/>
          <w:szCs w:val="20"/>
          <w:lang w:val="es-ES" w:eastAsia="en-US"/>
        </w:rPr>
        <w:t xml:space="preserve"> </w:t>
      </w:r>
      <w:r w:rsidR="00270756" w:rsidRPr="00975C02">
        <w:rPr>
          <w:rFonts w:cstheme="minorBidi"/>
          <w:sz w:val="20"/>
          <w:szCs w:val="20"/>
          <w:lang w:val="es-ES" w:eastAsia="en-US"/>
        </w:rPr>
        <w:t xml:space="preserve">el Informe de Fondo </w:t>
      </w:r>
      <w:r w:rsidR="00A84F03" w:rsidRPr="00975C02">
        <w:rPr>
          <w:rFonts w:eastAsia="Verdana" w:cs="Verdana"/>
          <w:sz w:val="20"/>
          <w:szCs w:val="20"/>
          <w:lang w:val="es-ES"/>
        </w:rPr>
        <w:t xml:space="preserve">No. 4/16 </w:t>
      </w:r>
      <w:r w:rsidR="00154484" w:rsidRPr="00975C02">
        <w:rPr>
          <w:rFonts w:cstheme="minorBidi"/>
          <w:sz w:val="20"/>
          <w:szCs w:val="20"/>
          <w:lang w:val="es-ES" w:eastAsia="en-US"/>
        </w:rPr>
        <w:t>individualizó de forma suficiente</w:t>
      </w:r>
      <w:r w:rsidR="0014352D" w:rsidRPr="00975C02">
        <w:rPr>
          <w:rFonts w:cstheme="minorBidi"/>
          <w:sz w:val="20"/>
          <w:szCs w:val="20"/>
          <w:lang w:val="es-ES" w:eastAsia="en-US"/>
        </w:rPr>
        <w:t xml:space="preserve">mente precisa </w:t>
      </w:r>
      <w:r w:rsidR="00270756" w:rsidRPr="00975C02">
        <w:rPr>
          <w:rFonts w:cstheme="minorBidi"/>
          <w:sz w:val="20"/>
          <w:szCs w:val="20"/>
          <w:lang w:val="es-ES" w:eastAsia="en-US"/>
        </w:rPr>
        <w:t xml:space="preserve">como presuntas víctimas </w:t>
      </w:r>
      <w:r w:rsidR="00B230DF" w:rsidRPr="00975C02">
        <w:rPr>
          <w:rFonts w:cstheme="minorBidi"/>
          <w:sz w:val="20"/>
          <w:szCs w:val="20"/>
          <w:lang w:val="es-ES" w:eastAsia="en-US"/>
        </w:rPr>
        <w:t>a</w:t>
      </w:r>
      <w:r w:rsidR="00270756" w:rsidRPr="00975C02">
        <w:rPr>
          <w:rFonts w:cstheme="minorBidi"/>
          <w:sz w:val="20"/>
          <w:szCs w:val="20"/>
          <w:lang w:val="es-ES" w:eastAsia="en-US"/>
        </w:rPr>
        <w:t xml:space="preserve"> </w:t>
      </w:r>
      <w:r w:rsidR="002E1EE5" w:rsidRPr="00975C02">
        <w:rPr>
          <w:rFonts w:cstheme="minorBidi"/>
          <w:sz w:val="20"/>
          <w:szCs w:val="20"/>
          <w:lang w:val="es-ES" w:eastAsia="en-US"/>
        </w:rPr>
        <w:t xml:space="preserve">N.R.P., </w:t>
      </w:r>
      <w:r w:rsidR="00270756" w:rsidRPr="00975C02">
        <w:rPr>
          <w:rFonts w:cstheme="minorBidi"/>
          <w:sz w:val="20"/>
          <w:szCs w:val="20"/>
          <w:lang w:val="es-ES" w:eastAsia="en-US"/>
        </w:rPr>
        <w:t>H.</w:t>
      </w:r>
      <w:r w:rsidR="00AE5370" w:rsidRPr="00975C02">
        <w:rPr>
          <w:rFonts w:cstheme="minorBidi"/>
          <w:sz w:val="20"/>
          <w:szCs w:val="20"/>
          <w:lang w:val="es-ES" w:eastAsia="en-US"/>
        </w:rPr>
        <w:t>J.</w:t>
      </w:r>
      <w:r w:rsidR="00270756" w:rsidRPr="00975C02">
        <w:rPr>
          <w:rFonts w:cstheme="minorBidi"/>
          <w:sz w:val="20"/>
          <w:szCs w:val="20"/>
          <w:lang w:val="es-ES" w:eastAsia="en-US"/>
        </w:rPr>
        <w:t>R.P</w:t>
      </w:r>
      <w:r w:rsidR="00AE5370" w:rsidRPr="00975C02">
        <w:rPr>
          <w:rFonts w:cstheme="minorBidi"/>
          <w:sz w:val="20"/>
          <w:szCs w:val="20"/>
          <w:lang w:val="es-ES" w:eastAsia="en-US"/>
        </w:rPr>
        <w:t>.</w:t>
      </w:r>
      <w:r w:rsidR="002E1EE5" w:rsidRPr="00975C02">
        <w:rPr>
          <w:rFonts w:cstheme="minorBidi"/>
          <w:sz w:val="20"/>
          <w:szCs w:val="20"/>
          <w:lang w:val="es-ES" w:eastAsia="en-US"/>
        </w:rPr>
        <w:t xml:space="preserve"> y</w:t>
      </w:r>
      <w:r w:rsidR="00270756" w:rsidRPr="00975C02">
        <w:rPr>
          <w:rFonts w:cstheme="minorBidi"/>
          <w:sz w:val="20"/>
          <w:szCs w:val="20"/>
          <w:lang w:val="es-ES" w:eastAsia="en-US"/>
        </w:rPr>
        <w:t xml:space="preserve"> V.</w:t>
      </w:r>
      <w:r w:rsidR="00AE5370" w:rsidRPr="00975C02">
        <w:rPr>
          <w:rFonts w:cstheme="minorBidi"/>
          <w:sz w:val="20"/>
          <w:szCs w:val="20"/>
          <w:lang w:val="es-ES" w:eastAsia="en-US"/>
        </w:rPr>
        <w:t>A.</w:t>
      </w:r>
      <w:r w:rsidR="00270756" w:rsidRPr="00975C02">
        <w:rPr>
          <w:rFonts w:cstheme="minorBidi"/>
          <w:sz w:val="20"/>
          <w:szCs w:val="20"/>
          <w:lang w:val="es-ES" w:eastAsia="en-US"/>
        </w:rPr>
        <w:t>R.P</w:t>
      </w:r>
      <w:r w:rsidR="00D52FE3" w:rsidRPr="00975C02">
        <w:rPr>
          <w:rFonts w:cstheme="minorBidi"/>
          <w:sz w:val="20"/>
          <w:szCs w:val="20"/>
          <w:lang w:val="es-ES" w:eastAsia="en-US"/>
        </w:rPr>
        <w:t>.</w:t>
      </w:r>
      <w:r w:rsidR="00270756" w:rsidRPr="00975C02">
        <w:rPr>
          <w:rFonts w:cstheme="minorBidi"/>
          <w:sz w:val="20"/>
          <w:szCs w:val="20"/>
          <w:lang w:val="es-ES" w:eastAsia="en-US"/>
        </w:rPr>
        <w:t>, alegándose respecto de ellos la presunta violación d</w:t>
      </w:r>
      <w:r w:rsidR="00736402" w:rsidRPr="00975C02">
        <w:rPr>
          <w:rFonts w:cstheme="minorBidi"/>
          <w:sz w:val="20"/>
          <w:szCs w:val="20"/>
          <w:lang w:val="es-ES" w:eastAsia="en-US"/>
        </w:rPr>
        <w:t>el artículo 5</w:t>
      </w:r>
      <w:r w:rsidR="00FB1B5A" w:rsidRPr="00975C02">
        <w:rPr>
          <w:rFonts w:cstheme="minorBidi"/>
          <w:sz w:val="20"/>
          <w:szCs w:val="20"/>
          <w:lang w:val="es-ES" w:eastAsia="en-US"/>
        </w:rPr>
        <w:t>.1</w:t>
      </w:r>
      <w:r w:rsidR="00736402" w:rsidRPr="00975C02">
        <w:rPr>
          <w:rFonts w:cstheme="minorBidi"/>
          <w:sz w:val="20"/>
          <w:szCs w:val="20"/>
          <w:lang w:val="es-ES" w:eastAsia="en-US"/>
        </w:rPr>
        <w:t xml:space="preserve"> de la Convención.</w:t>
      </w:r>
    </w:p>
    <w:p w14:paraId="206832CE"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5871CD9E" w14:textId="10D7CBF6" w:rsidR="00270756" w:rsidRPr="00975C02" w:rsidRDefault="00270756" w:rsidP="00C8070B">
      <w:pPr>
        <w:numPr>
          <w:ilvl w:val="0"/>
          <w:numId w:val="2"/>
        </w:numPr>
        <w:tabs>
          <w:tab w:val="left" w:pos="567"/>
          <w:tab w:val="num" w:pos="12305"/>
        </w:tabs>
        <w:spacing w:line="240" w:lineRule="auto"/>
        <w:ind w:left="0" w:firstLine="0"/>
        <w:rPr>
          <w:rFonts w:cstheme="minorBidi"/>
          <w:b/>
          <w:i/>
          <w:sz w:val="20"/>
          <w:szCs w:val="20"/>
          <w:lang w:val="es-ES" w:eastAsia="en-US"/>
        </w:rPr>
      </w:pPr>
      <w:r w:rsidRPr="00975C02">
        <w:rPr>
          <w:rFonts w:cstheme="minorBidi"/>
          <w:sz w:val="20"/>
          <w:szCs w:val="20"/>
          <w:lang w:val="es-ES" w:eastAsia="en-US"/>
        </w:rPr>
        <w:t xml:space="preserve">Por lo expuesto, la Corte </w:t>
      </w:r>
      <w:r w:rsidR="00D37922" w:rsidRPr="00975C02">
        <w:rPr>
          <w:sz w:val="20"/>
          <w:szCs w:val="20"/>
          <w:lang w:val="es-ES"/>
        </w:rPr>
        <w:t>considerará como presuntas víctimas en el presente caso a aquellas personas identificadas e individualizadas por la Comisión, esto es, a</w:t>
      </w:r>
      <w:r w:rsidR="00D37922" w:rsidRPr="00975C02">
        <w:rPr>
          <w:rFonts w:cstheme="minorBidi"/>
          <w:sz w:val="20"/>
          <w:szCs w:val="20"/>
          <w:lang w:val="es-ES" w:eastAsia="en-US"/>
        </w:rPr>
        <w:t xml:space="preserve"> </w:t>
      </w:r>
      <w:r w:rsidRPr="00975C02">
        <w:rPr>
          <w:rFonts w:cstheme="minorBidi"/>
          <w:sz w:val="20"/>
          <w:szCs w:val="20"/>
          <w:lang w:val="es-ES" w:eastAsia="en-US"/>
        </w:rPr>
        <w:t>V.R.P</w:t>
      </w:r>
      <w:r w:rsidR="00AE5370" w:rsidRPr="00975C02">
        <w:rPr>
          <w:rFonts w:cstheme="minorBidi"/>
          <w:sz w:val="20"/>
          <w:szCs w:val="20"/>
          <w:lang w:val="es-ES" w:eastAsia="en-US"/>
        </w:rPr>
        <w:t>.</w:t>
      </w:r>
      <w:r w:rsidRPr="00975C02">
        <w:rPr>
          <w:rFonts w:cstheme="minorBidi"/>
          <w:sz w:val="20"/>
          <w:szCs w:val="20"/>
          <w:lang w:val="es-ES" w:eastAsia="en-US"/>
        </w:rPr>
        <w:t xml:space="preserve"> y V.P.C</w:t>
      </w:r>
      <w:r w:rsidR="00AE5370" w:rsidRPr="00975C02">
        <w:rPr>
          <w:rFonts w:cstheme="minorBidi"/>
          <w:sz w:val="20"/>
          <w:szCs w:val="20"/>
          <w:lang w:val="es-ES" w:eastAsia="en-US"/>
        </w:rPr>
        <w:t>.</w:t>
      </w:r>
      <w:r w:rsidRPr="00975C02">
        <w:rPr>
          <w:rFonts w:cstheme="minorBidi"/>
          <w:sz w:val="20"/>
          <w:szCs w:val="20"/>
          <w:lang w:val="es-ES" w:eastAsia="en-US"/>
        </w:rPr>
        <w:t xml:space="preserve">, así </w:t>
      </w:r>
      <w:r w:rsidR="003C418D" w:rsidRPr="00975C02">
        <w:rPr>
          <w:rFonts w:cstheme="minorBidi"/>
          <w:sz w:val="20"/>
          <w:szCs w:val="20"/>
          <w:lang w:val="es-ES" w:eastAsia="en-US"/>
        </w:rPr>
        <w:t xml:space="preserve">como </w:t>
      </w:r>
      <w:r w:rsidR="00D37922" w:rsidRPr="00975C02">
        <w:rPr>
          <w:rFonts w:cstheme="minorBidi"/>
          <w:sz w:val="20"/>
          <w:szCs w:val="20"/>
          <w:lang w:val="es-ES" w:eastAsia="en-US"/>
        </w:rPr>
        <w:t>a</w:t>
      </w:r>
      <w:r w:rsidRPr="00975C02">
        <w:rPr>
          <w:rFonts w:cstheme="minorBidi"/>
          <w:sz w:val="20"/>
          <w:szCs w:val="20"/>
          <w:lang w:val="es-ES" w:eastAsia="en-US"/>
        </w:rPr>
        <w:t xml:space="preserve"> </w:t>
      </w:r>
      <w:r w:rsidR="002E1EE5" w:rsidRPr="00975C02">
        <w:rPr>
          <w:rFonts w:cstheme="minorBidi"/>
          <w:sz w:val="20"/>
          <w:szCs w:val="20"/>
          <w:lang w:val="es-ES" w:eastAsia="en-US"/>
        </w:rPr>
        <w:t xml:space="preserve">N.R.P., </w:t>
      </w:r>
      <w:r w:rsidRPr="00975C02">
        <w:rPr>
          <w:rFonts w:cstheme="minorBidi"/>
          <w:sz w:val="20"/>
          <w:szCs w:val="20"/>
          <w:lang w:val="es-ES" w:eastAsia="en-US"/>
        </w:rPr>
        <w:t>H.</w:t>
      </w:r>
      <w:r w:rsidR="00AE5370" w:rsidRPr="00975C02">
        <w:rPr>
          <w:rFonts w:cstheme="minorBidi"/>
          <w:sz w:val="20"/>
          <w:szCs w:val="20"/>
          <w:lang w:val="es-ES" w:eastAsia="en-US"/>
        </w:rPr>
        <w:t>J.</w:t>
      </w:r>
      <w:r w:rsidRPr="00975C02">
        <w:rPr>
          <w:rFonts w:cstheme="minorBidi"/>
          <w:sz w:val="20"/>
          <w:szCs w:val="20"/>
          <w:lang w:val="es-ES" w:eastAsia="en-US"/>
        </w:rPr>
        <w:t>R.P</w:t>
      </w:r>
      <w:r w:rsidR="00AE5370" w:rsidRPr="00975C02">
        <w:rPr>
          <w:rFonts w:cstheme="minorBidi"/>
          <w:sz w:val="20"/>
          <w:szCs w:val="20"/>
          <w:lang w:val="es-ES" w:eastAsia="en-US"/>
        </w:rPr>
        <w:t>.</w:t>
      </w:r>
      <w:r w:rsidR="002E1EE5" w:rsidRPr="00975C02">
        <w:rPr>
          <w:rFonts w:cstheme="minorBidi"/>
          <w:sz w:val="20"/>
          <w:szCs w:val="20"/>
          <w:lang w:val="es-ES" w:eastAsia="en-US"/>
        </w:rPr>
        <w:t xml:space="preserve"> y</w:t>
      </w:r>
      <w:r w:rsidRPr="00975C02">
        <w:rPr>
          <w:rFonts w:cstheme="minorBidi"/>
          <w:sz w:val="20"/>
          <w:szCs w:val="20"/>
          <w:lang w:val="es-ES" w:eastAsia="en-US"/>
        </w:rPr>
        <w:t xml:space="preserve"> V.</w:t>
      </w:r>
      <w:r w:rsidR="00AE5370" w:rsidRPr="00975C02">
        <w:rPr>
          <w:rFonts w:cstheme="minorBidi"/>
          <w:sz w:val="20"/>
          <w:szCs w:val="20"/>
          <w:lang w:val="es-ES" w:eastAsia="en-US"/>
        </w:rPr>
        <w:t>A.</w:t>
      </w:r>
      <w:r w:rsidRPr="00975C02">
        <w:rPr>
          <w:rFonts w:cstheme="minorBidi"/>
          <w:sz w:val="20"/>
          <w:szCs w:val="20"/>
          <w:lang w:val="es-ES" w:eastAsia="en-US"/>
        </w:rPr>
        <w:t>R.P</w:t>
      </w:r>
      <w:r w:rsidR="00AE5370" w:rsidRPr="00975C02">
        <w:rPr>
          <w:rFonts w:cstheme="minorBidi"/>
          <w:sz w:val="20"/>
          <w:szCs w:val="20"/>
          <w:lang w:val="es-ES" w:eastAsia="en-US"/>
        </w:rPr>
        <w:t>.</w:t>
      </w:r>
    </w:p>
    <w:p w14:paraId="20EA1CDD" w14:textId="77777777" w:rsidR="00270756" w:rsidRPr="00975C02" w:rsidRDefault="00270756" w:rsidP="001C7E37">
      <w:pPr>
        <w:widowControl/>
        <w:tabs>
          <w:tab w:val="left" w:pos="567"/>
        </w:tabs>
        <w:adjustRightInd/>
        <w:spacing w:line="240" w:lineRule="auto"/>
        <w:textAlignment w:val="auto"/>
        <w:rPr>
          <w:rFonts w:cstheme="minorBidi"/>
          <w:b/>
          <w:i/>
          <w:sz w:val="20"/>
          <w:szCs w:val="20"/>
          <w:lang w:val="es-ES" w:eastAsia="en-US"/>
        </w:rPr>
      </w:pPr>
    </w:p>
    <w:p w14:paraId="5062046E" w14:textId="77777777" w:rsidR="00270756" w:rsidRPr="00975C02" w:rsidRDefault="00270756" w:rsidP="003B445C">
      <w:pPr>
        <w:keepNext/>
        <w:keepLines/>
        <w:tabs>
          <w:tab w:val="left" w:pos="1134"/>
        </w:tabs>
        <w:spacing w:line="240" w:lineRule="auto"/>
        <w:ind w:left="567" w:firstLine="1"/>
        <w:outlineLvl w:val="1"/>
        <w:rPr>
          <w:rFonts w:eastAsia="MS Mincho"/>
          <w:b/>
          <w:bCs/>
          <w:i/>
          <w:sz w:val="20"/>
          <w:szCs w:val="20"/>
          <w:lang w:val="es-ES"/>
        </w:rPr>
      </w:pPr>
      <w:bookmarkStart w:id="66" w:name="_Toc514172606"/>
      <w:r w:rsidRPr="00975C02">
        <w:rPr>
          <w:rFonts w:eastAsia="MS Mincho"/>
          <w:b/>
          <w:bCs/>
          <w:i/>
          <w:sz w:val="20"/>
          <w:szCs w:val="20"/>
          <w:lang w:val="es-ES"/>
        </w:rPr>
        <w:t>B.</w:t>
      </w:r>
      <w:r w:rsidRPr="00975C02">
        <w:rPr>
          <w:rFonts w:eastAsia="MS Mincho"/>
          <w:b/>
          <w:bCs/>
          <w:i/>
          <w:sz w:val="20"/>
          <w:szCs w:val="20"/>
          <w:lang w:val="es-ES"/>
        </w:rPr>
        <w:tab/>
        <w:t>Otras violaciones de derechos humanos alegadas por la</w:t>
      </w:r>
      <w:r w:rsidR="003B445C" w:rsidRPr="00975C02">
        <w:rPr>
          <w:rFonts w:eastAsia="MS Mincho"/>
          <w:b/>
          <w:bCs/>
          <w:i/>
          <w:sz w:val="20"/>
          <w:szCs w:val="20"/>
          <w:lang w:val="es-ES"/>
        </w:rPr>
        <w:t>s</w:t>
      </w:r>
      <w:r w:rsidRPr="00975C02">
        <w:rPr>
          <w:rFonts w:eastAsia="MS Mincho"/>
          <w:b/>
          <w:bCs/>
          <w:i/>
          <w:sz w:val="20"/>
          <w:szCs w:val="20"/>
          <w:lang w:val="es-ES"/>
        </w:rPr>
        <w:t xml:space="preserve"> representante</w:t>
      </w:r>
      <w:r w:rsidR="003B445C" w:rsidRPr="00975C02">
        <w:rPr>
          <w:rFonts w:eastAsia="MS Mincho"/>
          <w:b/>
          <w:bCs/>
          <w:i/>
          <w:sz w:val="20"/>
          <w:szCs w:val="20"/>
          <w:lang w:val="es-ES"/>
        </w:rPr>
        <w:t>s</w:t>
      </w:r>
      <w:bookmarkEnd w:id="66"/>
    </w:p>
    <w:p w14:paraId="5B50C800" w14:textId="77777777" w:rsidR="00397EF6" w:rsidRPr="00975C02" w:rsidRDefault="00397EF6" w:rsidP="001C7E37">
      <w:pPr>
        <w:widowControl/>
        <w:adjustRightInd/>
        <w:spacing w:line="240" w:lineRule="auto"/>
        <w:textAlignment w:val="auto"/>
        <w:rPr>
          <w:rFonts w:eastAsiaTheme="minorHAnsi" w:cstheme="minorBidi"/>
          <w:sz w:val="20"/>
          <w:szCs w:val="20"/>
          <w:lang w:val="es-ES" w:eastAsia="en-US"/>
        </w:rPr>
      </w:pPr>
    </w:p>
    <w:p w14:paraId="45159240" w14:textId="77777777" w:rsidR="007A37EF" w:rsidRPr="00975C02" w:rsidRDefault="007A37EF" w:rsidP="007A37EF">
      <w:pPr>
        <w:pStyle w:val="Heading2"/>
        <w:tabs>
          <w:tab w:val="left" w:pos="1843"/>
        </w:tabs>
        <w:spacing w:before="0" w:line="240" w:lineRule="auto"/>
        <w:ind w:left="1134"/>
        <w:rPr>
          <w:rFonts w:ascii="Verdana" w:hAnsi="Verdana"/>
          <w:b w:val="0"/>
          <w:i/>
          <w:color w:val="auto"/>
          <w:sz w:val="20"/>
          <w:szCs w:val="20"/>
          <w:lang w:val="es-ES"/>
        </w:rPr>
      </w:pPr>
      <w:bookmarkStart w:id="67" w:name="_Toc514172607"/>
      <w:r w:rsidRPr="00975C02">
        <w:rPr>
          <w:rFonts w:ascii="Verdana" w:hAnsi="Verdana"/>
          <w:b w:val="0"/>
          <w:i/>
          <w:color w:val="auto"/>
          <w:sz w:val="20"/>
          <w:szCs w:val="20"/>
          <w:lang w:val="es-ES"/>
        </w:rPr>
        <w:t xml:space="preserve">B.1 </w:t>
      </w:r>
      <w:r w:rsidRPr="00975C02">
        <w:rPr>
          <w:rFonts w:ascii="Verdana" w:hAnsi="Verdana"/>
          <w:b w:val="0"/>
          <w:i/>
          <w:color w:val="auto"/>
          <w:sz w:val="20"/>
          <w:szCs w:val="20"/>
          <w:lang w:val="es-ES"/>
        </w:rPr>
        <w:tab/>
        <w:t>Alegatos del Estado y observaciones de la Comisión y las representantes</w:t>
      </w:r>
      <w:bookmarkEnd w:id="67"/>
    </w:p>
    <w:p w14:paraId="67986A74" w14:textId="77777777" w:rsidR="007A37EF" w:rsidRPr="00975C02" w:rsidRDefault="007A37EF" w:rsidP="001C7E37">
      <w:pPr>
        <w:widowControl/>
        <w:adjustRightInd/>
        <w:spacing w:line="240" w:lineRule="auto"/>
        <w:textAlignment w:val="auto"/>
        <w:rPr>
          <w:rFonts w:eastAsiaTheme="minorHAnsi" w:cstheme="minorBidi"/>
          <w:sz w:val="20"/>
          <w:szCs w:val="20"/>
          <w:lang w:val="es-ES" w:eastAsia="en-US"/>
        </w:rPr>
      </w:pPr>
    </w:p>
    <w:p w14:paraId="5D38CFBC" w14:textId="658B0F1E"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El </w:t>
      </w:r>
      <w:r w:rsidRPr="00975C02">
        <w:rPr>
          <w:rFonts w:cstheme="minorBidi"/>
          <w:b/>
          <w:i/>
          <w:sz w:val="20"/>
          <w:szCs w:val="20"/>
          <w:lang w:val="es-ES" w:eastAsia="en-US"/>
        </w:rPr>
        <w:t>Estado</w:t>
      </w:r>
      <w:r w:rsidRPr="00975C02">
        <w:rPr>
          <w:rFonts w:cstheme="minorBidi"/>
          <w:sz w:val="20"/>
          <w:szCs w:val="20"/>
          <w:lang w:val="es-ES" w:eastAsia="en-US"/>
        </w:rPr>
        <w:t xml:space="preserve"> discrep</w:t>
      </w:r>
      <w:r w:rsidR="00E9481C" w:rsidRPr="00975C02">
        <w:rPr>
          <w:rFonts w:cstheme="minorBidi"/>
          <w:sz w:val="20"/>
          <w:szCs w:val="20"/>
          <w:lang w:val="es-ES" w:eastAsia="en-US"/>
        </w:rPr>
        <w:t>ó</w:t>
      </w:r>
      <w:r w:rsidRPr="00975C02">
        <w:rPr>
          <w:rFonts w:cstheme="minorBidi"/>
          <w:sz w:val="20"/>
          <w:szCs w:val="20"/>
          <w:lang w:val="es-ES" w:eastAsia="en-US"/>
        </w:rPr>
        <w:t xml:space="preserve"> con lo planteado por las representantes</w:t>
      </w:r>
      <w:r w:rsidR="00E9481C" w:rsidRPr="00975C02">
        <w:rPr>
          <w:rFonts w:cstheme="minorBidi"/>
          <w:sz w:val="20"/>
          <w:szCs w:val="20"/>
          <w:lang w:val="es-ES" w:eastAsia="en-US"/>
        </w:rPr>
        <w:t xml:space="preserve"> sobre</w:t>
      </w:r>
      <w:r w:rsidRPr="00975C02">
        <w:rPr>
          <w:rFonts w:cstheme="minorBidi"/>
          <w:sz w:val="20"/>
          <w:szCs w:val="20"/>
          <w:lang w:val="es-ES" w:eastAsia="en-US"/>
        </w:rPr>
        <w:t xml:space="preserve"> la violación de derechos humanos no presentados por la Comisión. </w:t>
      </w:r>
      <w:r w:rsidR="00E9481C" w:rsidRPr="00975C02">
        <w:rPr>
          <w:rFonts w:cstheme="minorBidi"/>
          <w:sz w:val="20"/>
          <w:szCs w:val="20"/>
          <w:lang w:val="es-ES" w:eastAsia="en-US"/>
        </w:rPr>
        <w:t>S</w:t>
      </w:r>
      <w:r w:rsidRPr="00975C02">
        <w:rPr>
          <w:rFonts w:cstheme="minorBidi"/>
          <w:sz w:val="20"/>
          <w:szCs w:val="20"/>
          <w:lang w:val="es-ES" w:eastAsia="en-US"/>
        </w:rPr>
        <w:t xml:space="preserve">ostuvo que </w:t>
      </w:r>
      <w:r w:rsidR="005A1724" w:rsidRPr="00975C02">
        <w:rPr>
          <w:rFonts w:cstheme="minorBidi"/>
          <w:sz w:val="20"/>
          <w:szCs w:val="20"/>
          <w:lang w:val="es-ES" w:eastAsia="en-US"/>
        </w:rPr>
        <w:t>se</w:t>
      </w:r>
      <w:r w:rsidRPr="00975C02">
        <w:rPr>
          <w:rFonts w:cstheme="minorBidi"/>
          <w:sz w:val="20"/>
          <w:szCs w:val="20"/>
          <w:lang w:val="es-ES" w:eastAsia="en-US"/>
        </w:rPr>
        <w:t xml:space="preserve"> vulner</w:t>
      </w:r>
      <w:r w:rsidR="00E9481C" w:rsidRPr="00975C02">
        <w:rPr>
          <w:rFonts w:cstheme="minorBidi"/>
          <w:sz w:val="20"/>
          <w:szCs w:val="20"/>
          <w:lang w:val="es-ES" w:eastAsia="en-US"/>
        </w:rPr>
        <w:t>ó</w:t>
      </w:r>
      <w:r w:rsidRPr="00975C02">
        <w:rPr>
          <w:rFonts w:cstheme="minorBidi"/>
          <w:sz w:val="20"/>
          <w:szCs w:val="20"/>
          <w:lang w:val="es-ES" w:eastAsia="en-US"/>
        </w:rPr>
        <w:t xml:space="preserve"> el principio de buena fe procesal al haberse alegado </w:t>
      </w:r>
      <w:r w:rsidR="00E9481C" w:rsidRPr="00975C02">
        <w:rPr>
          <w:rFonts w:cstheme="minorBidi"/>
          <w:sz w:val="20"/>
          <w:szCs w:val="20"/>
          <w:lang w:val="es-ES" w:eastAsia="en-US"/>
        </w:rPr>
        <w:t xml:space="preserve">en relación con la presunta víctima V.R.P. </w:t>
      </w:r>
      <w:r w:rsidRPr="00975C02">
        <w:rPr>
          <w:rFonts w:cstheme="minorBidi"/>
          <w:sz w:val="20"/>
          <w:szCs w:val="20"/>
          <w:lang w:val="es-ES" w:eastAsia="en-US"/>
        </w:rPr>
        <w:t>violaciones de los artículos 1.1, 8.1, 17.1, 22.1 y 25.1 de la Convención Americana; de los artículos 1, 2, 4.b</w:t>
      </w:r>
      <w:r w:rsidR="00E9481C" w:rsidRPr="00975C02">
        <w:rPr>
          <w:rFonts w:cstheme="minorBidi"/>
          <w:sz w:val="20"/>
          <w:szCs w:val="20"/>
          <w:lang w:val="es-ES" w:eastAsia="en-US"/>
        </w:rPr>
        <w:t xml:space="preserve"> y</w:t>
      </w:r>
      <w:r w:rsidRPr="00975C02">
        <w:rPr>
          <w:rFonts w:cstheme="minorBidi"/>
          <w:sz w:val="20"/>
          <w:szCs w:val="20"/>
          <w:lang w:val="es-ES" w:eastAsia="en-US"/>
        </w:rPr>
        <w:t xml:space="preserve"> 4.g de la Convención de </w:t>
      </w:r>
      <w:r w:rsidRPr="00975C02">
        <w:rPr>
          <w:rFonts w:cstheme="minorBidi"/>
          <w:sz w:val="20"/>
          <w:szCs w:val="20"/>
          <w:lang w:val="es-ES" w:eastAsia="en-US"/>
        </w:rPr>
        <w:lastRenderedPageBreak/>
        <w:t>Belé</w:t>
      </w:r>
      <w:r w:rsidR="005A1724" w:rsidRPr="00975C02">
        <w:rPr>
          <w:rFonts w:cstheme="minorBidi"/>
          <w:sz w:val="20"/>
          <w:szCs w:val="20"/>
          <w:lang w:val="es-ES" w:eastAsia="en-US"/>
        </w:rPr>
        <w:t>m</w:t>
      </w:r>
      <w:r w:rsidRPr="00975C02">
        <w:rPr>
          <w:rFonts w:cstheme="minorBidi"/>
          <w:sz w:val="20"/>
          <w:szCs w:val="20"/>
          <w:lang w:val="es-ES" w:eastAsia="en-US"/>
        </w:rPr>
        <w:t xml:space="preserve"> do Pará</w:t>
      </w:r>
      <w:r w:rsidR="00E9481C" w:rsidRPr="00975C02">
        <w:rPr>
          <w:rFonts w:cstheme="minorBidi"/>
          <w:sz w:val="20"/>
          <w:szCs w:val="20"/>
          <w:lang w:val="es-ES" w:eastAsia="en-US"/>
        </w:rPr>
        <w:t>, así como</w:t>
      </w:r>
      <w:r w:rsidRPr="00975C02">
        <w:rPr>
          <w:rFonts w:cstheme="minorBidi"/>
          <w:sz w:val="20"/>
          <w:szCs w:val="20"/>
          <w:lang w:val="es-ES" w:eastAsia="en-US"/>
        </w:rPr>
        <w:t xml:space="preserve"> de los artículos 2.1, 3.1. y 2, 4, 16, 24.1 y 2 de la Convención sobre los </w:t>
      </w:r>
      <w:r w:rsidR="005A1724" w:rsidRPr="00975C02">
        <w:rPr>
          <w:rFonts w:cstheme="minorBidi"/>
          <w:sz w:val="20"/>
          <w:szCs w:val="20"/>
          <w:lang w:val="es-ES" w:eastAsia="en-US"/>
        </w:rPr>
        <w:t>D</w:t>
      </w:r>
      <w:r w:rsidRPr="00975C02">
        <w:rPr>
          <w:rFonts w:cstheme="minorBidi"/>
          <w:sz w:val="20"/>
          <w:szCs w:val="20"/>
          <w:lang w:val="es-ES" w:eastAsia="en-US"/>
        </w:rPr>
        <w:t xml:space="preserve">erechos del </w:t>
      </w:r>
      <w:r w:rsidR="005A1724" w:rsidRPr="00975C02">
        <w:rPr>
          <w:rFonts w:cstheme="minorBidi"/>
          <w:sz w:val="20"/>
          <w:szCs w:val="20"/>
          <w:lang w:val="es-ES" w:eastAsia="en-US"/>
        </w:rPr>
        <w:t>N</w:t>
      </w:r>
      <w:r w:rsidRPr="00975C02">
        <w:rPr>
          <w:rFonts w:cstheme="minorBidi"/>
          <w:sz w:val="20"/>
          <w:szCs w:val="20"/>
          <w:lang w:val="es-ES" w:eastAsia="en-US"/>
        </w:rPr>
        <w:t>iño</w:t>
      </w:r>
      <w:r w:rsidR="00E9481C" w:rsidRPr="00975C02">
        <w:rPr>
          <w:rFonts w:cstheme="minorBidi"/>
          <w:sz w:val="20"/>
          <w:szCs w:val="20"/>
          <w:lang w:val="es-ES" w:eastAsia="en-US"/>
        </w:rPr>
        <w:t>.</w:t>
      </w:r>
      <w:r w:rsidRPr="00975C02">
        <w:rPr>
          <w:rFonts w:cstheme="minorBidi"/>
          <w:sz w:val="20"/>
          <w:szCs w:val="20"/>
          <w:lang w:val="es-ES" w:eastAsia="en-US"/>
        </w:rPr>
        <w:t xml:space="preserve"> </w:t>
      </w:r>
      <w:r w:rsidR="00E9481C" w:rsidRPr="00975C02">
        <w:rPr>
          <w:rFonts w:cstheme="minorBidi"/>
          <w:sz w:val="20"/>
          <w:szCs w:val="20"/>
          <w:lang w:val="es-ES" w:eastAsia="en-US"/>
        </w:rPr>
        <w:t xml:space="preserve">Señaló </w:t>
      </w:r>
      <w:r w:rsidR="00BA5087" w:rsidRPr="00975C02">
        <w:rPr>
          <w:rFonts w:cstheme="minorBidi"/>
          <w:sz w:val="20"/>
          <w:szCs w:val="20"/>
          <w:lang w:val="es-ES" w:eastAsia="en-US"/>
        </w:rPr>
        <w:t xml:space="preserve">lo mismo </w:t>
      </w:r>
      <w:r w:rsidR="00E9481C" w:rsidRPr="00975C02">
        <w:rPr>
          <w:rFonts w:cstheme="minorBidi"/>
          <w:sz w:val="20"/>
          <w:szCs w:val="20"/>
          <w:lang w:val="es-ES" w:eastAsia="en-US"/>
        </w:rPr>
        <w:t xml:space="preserve">en relación con V.P.C. </w:t>
      </w:r>
      <w:r w:rsidR="00BA5087" w:rsidRPr="00975C02">
        <w:rPr>
          <w:rFonts w:cstheme="minorBidi"/>
          <w:sz w:val="20"/>
          <w:szCs w:val="20"/>
          <w:lang w:val="es-ES" w:eastAsia="en-US"/>
        </w:rPr>
        <w:t>respecto de</w:t>
      </w:r>
      <w:r w:rsidRPr="00975C02">
        <w:rPr>
          <w:rFonts w:cstheme="minorBidi"/>
          <w:sz w:val="20"/>
          <w:szCs w:val="20"/>
          <w:lang w:val="es-ES" w:eastAsia="en-US"/>
        </w:rPr>
        <w:t xml:space="preserve"> la </w:t>
      </w:r>
      <w:r w:rsidR="00BA5087" w:rsidRPr="00975C02">
        <w:rPr>
          <w:rFonts w:cstheme="minorBidi"/>
          <w:sz w:val="20"/>
          <w:szCs w:val="20"/>
          <w:lang w:val="es-ES" w:eastAsia="en-US"/>
        </w:rPr>
        <w:t xml:space="preserve">alegada </w:t>
      </w:r>
      <w:r w:rsidRPr="00975C02">
        <w:rPr>
          <w:rFonts w:cstheme="minorBidi"/>
          <w:sz w:val="20"/>
          <w:szCs w:val="20"/>
          <w:lang w:val="es-ES" w:eastAsia="en-US"/>
        </w:rPr>
        <w:t>violación de los artículos 5.1, 8, 11,</w:t>
      </w:r>
      <w:r w:rsidR="00E9481C" w:rsidRPr="00975C02">
        <w:rPr>
          <w:rFonts w:cstheme="minorBidi"/>
          <w:sz w:val="20"/>
          <w:szCs w:val="20"/>
          <w:lang w:val="es-ES" w:eastAsia="en-US"/>
        </w:rPr>
        <w:t xml:space="preserve"> 12.1,</w:t>
      </w:r>
      <w:r w:rsidRPr="00975C02">
        <w:rPr>
          <w:rFonts w:cstheme="minorBidi"/>
          <w:sz w:val="20"/>
          <w:szCs w:val="20"/>
          <w:lang w:val="es-ES" w:eastAsia="en-US"/>
        </w:rPr>
        <w:t xml:space="preserve"> 24 y 25 de la Convención Americana en relación con el artículo 1.1 de la misma, y </w:t>
      </w:r>
      <w:r w:rsidR="00E9481C" w:rsidRPr="00975C02">
        <w:rPr>
          <w:rFonts w:cstheme="minorBidi"/>
          <w:sz w:val="20"/>
          <w:szCs w:val="20"/>
          <w:lang w:val="es-ES" w:eastAsia="en-US"/>
        </w:rPr>
        <w:t xml:space="preserve">de </w:t>
      </w:r>
      <w:r w:rsidRPr="00975C02">
        <w:rPr>
          <w:rFonts w:cstheme="minorBidi"/>
          <w:sz w:val="20"/>
          <w:szCs w:val="20"/>
          <w:lang w:val="es-ES" w:eastAsia="en-US"/>
        </w:rPr>
        <w:t>los artículos 4</w:t>
      </w:r>
      <w:r w:rsidR="00BA5087" w:rsidRPr="00975C02">
        <w:rPr>
          <w:rFonts w:cstheme="minorBidi"/>
          <w:sz w:val="20"/>
          <w:szCs w:val="20"/>
          <w:lang w:val="es-ES" w:eastAsia="en-US"/>
        </w:rPr>
        <w:t>.g</w:t>
      </w:r>
      <w:r w:rsidR="001B7AE0" w:rsidRPr="00975C02">
        <w:rPr>
          <w:rFonts w:cstheme="minorBidi"/>
          <w:sz w:val="20"/>
          <w:szCs w:val="20"/>
          <w:lang w:val="es-ES" w:eastAsia="en-US"/>
        </w:rPr>
        <w:t>)</w:t>
      </w:r>
      <w:r w:rsidRPr="00975C02">
        <w:rPr>
          <w:rFonts w:cstheme="minorBidi"/>
          <w:sz w:val="20"/>
          <w:szCs w:val="20"/>
          <w:lang w:val="es-ES" w:eastAsia="en-US"/>
        </w:rPr>
        <w:t xml:space="preserve"> y </w:t>
      </w:r>
      <w:r w:rsidR="00BA5087" w:rsidRPr="00975C02">
        <w:rPr>
          <w:rFonts w:cstheme="minorBidi"/>
          <w:sz w:val="20"/>
          <w:szCs w:val="20"/>
          <w:lang w:val="es-ES" w:eastAsia="en-US"/>
        </w:rPr>
        <w:t>7.b</w:t>
      </w:r>
      <w:r w:rsidR="001B7AE0" w:rsidRPr="00975C02">
        <w:rPr>
          <w:rFonts w:cstheme="minorBidi"/>
          <w:sz w:val="20"/>
          <w:szCs w:val="20"/>
          <w:lang w:val="es-ES" w:eastAsia="en-US"/>
        </w:rPr>
        <w:t>)</w:t>
      </w:r>
      <w:r w:rsidRPr="00975C02">
        <w:rPr>
          <w:rFonts w:cstheme="minorBidi"/>
          <w:sz w:val="20"/>
          <w:szCs w:val="20"/>
          <w:lang w:val="es-ES" w:eastAsia="en-US"/>
        </w:rPr>
        <w:t xml:space="preserve"> de la Convención de Belém do Pará;</w:t>
      </w:r>
      <w:r w:rsidR="00E9481C" w:rsidRPr="00975C02">
        <w:rPr>
          <w:rFonts w:cstheme="minorBidi"/>
          <w:sz w:val="20"/>
          <w:szCs w:val="20"/>
          <w:lang w:val="es-ES" w:eastAsia="en-US"/>
        </w:rPr>
        <w:t xml:space="preserve"> así como también</w:t>
      </w:r>
      <w:r w:rsidRPr="00975C02">
        <w:rPr>
          <w:rFonts w:cstheme="minorBidi"/>
          <w:sz w:val="20"/>
          <w:szCs w:val="20"/>
          <w:lang w:val="es-ES" w:eastAsia="en-US"/>
        </w:rPr>
        <w:t xml:space="preserve"> </w:t>
      </w:r>
      <w:r w:rsidR="006C3FC8" w:rsidRPr="00975C02">
        <w:rPr>
          <w:rFonts w:cstheme="minorBidi"/>
          <w:sz w:val="20"/>
          <w:szCs w:val="20"/>
          <w:lang w:val="es-ES" w:eastAsia="en-US"/>
        </w:rPr>
        <w:t xml:space="preserve">con respecto a los hermanos de la presunta víctima, </w:t>
      </w:r>
      <w:r w:rsidRPr="00975C02">
        <w:rPr>
          <w:rFonts w:cstheme="minorBidi"/>
          <w:sz w:val="20"/>
          <w:szCs w:val="20"/>
          <w:lang w:val="es-ES" w:eastAsia="en-US"/>
        </w:rPr>
        <w:t xml:space="preserve">la violación de los artículos 5.1 y 11 de la Convención Americana en relación </w:t>
      </w:r>
      <w:r w:rsidR="00E9481C" w:rsidRPr="00975C02">
        <w:rPr>
          <w:rFonts w:cstheme="minorBidi"/>
          <w:sz w:val="20"/>
          <w:szCs w:val="20"/>
          <w:lang w:val="es-ES" w:eastAsia="en-US"/>
        </w:rPr>
        <w:t>con e</w:t>
      </w:r>
      <w:r w:rsidRPr="00975C02">
        <w:rPr>
          <w:rFonts w:cstheme="minorBidi"/>
          <w:sz w:val="20"/>
          <w:szCs w:val="20"/>
          <w:lang w:val="es-ES" w:eastAsia="en-US"/>
        </w:rPr>
        <w:t xml:space="preserve">l artículo 1.1 de la misma, </w:t>
      </w:r>
      <w:r w:rsidR="00BA5087" w:rsidRPr="00975C02">
        <w:rPr>
          <w:rFonts w:cstheme="minorBidi"/>
          <w:sz w:val="20"/>
          <w:szCs w:val="20"/>
          <w:lang w:val="es-ES" w:eastAsia="en-US"/>
        </w:rPr>
        <w:t>todos los cuales no habrían sido alegados</w:t>
      </w:r>
      <w:r w:rsidRPr="00975C02">
        <w:rPr>
          <w:rFonts w:cstheme="minorBidi"/>
          <w:sz w:val="20"/>
          <w:szCs w:val="20"/>
          <w:lang w:val="es-ES" w:eastAsia="en-US"/>
        </w:rPr>
        <w:t xml:space="preserve"> durante el trámite del caso, ni ante la Comisión ni </w:t>
      </w:r>
      <w:r w:rsidR="00BA5087" w:rsidRPr="00975C02">
        <w:rPr>
          <w:rFonts w:cstheme="minorBidi"/>
          <w:sz w:val="20"/>
          <w:szCs w:val="20"/>
          <w:lang w:val="es-ES" w:eastAsia="en-US"/>
        </w:rPr>
        <w:t>ante la Corte</w:t>
      </w:r>
      <w:r w:rsidRPr="00975C02">
        <w:rPr>
          <w:rFonts w:cstheme="minorBidi"/>
          <w:sz w:val="20"/>
          <w:szCs w:val="20"/>
          <w:lang w:val="es-ES" w:eastAsia="en-US"/>
        </w:rPr>
        <w:t>.</w:t>
      </w:r>
      <w:r w:rsidR="00FB0046" w:rsidRPr="00975C02">
        <w:rPr>
          <w:rFonts w:cstheme="minorBidi"/>
          <w:sz w:val="20"/>
          <w:szCs w:val="20"/>
          <w:lang w:val="es-ES" w:eastAsia="en-US"/>
        </w:rPr>
        <w:t xml:space="preserve"> </w:t>
      </w:r>
      <w:r w:rsidR="006C3FC8" w:rsidRPr="00975C02">
        <w:rPr>
          <w:rFonts w:cstheme="minorBidi"/>
          <w:sz w:val="20"/>
          <w:szCs w:val="20"/>
          <w:lang w:val="es-ES" w:eastAsia="en-US"/>
        </w:rPr>
        <w:t>E</w:t>
      </w:r>
      <w:r w:rsidRPr="00975C02">
        <w:rPr>
          <w:rFonts w:cstheme="minorBidi"/>
          <w:sz w:val="20"/>
          <w:szCs w:val="20"/>
          <w:lang w:val="es-ES" w:eastAsia="en-US"/>
        </w:rPr>
        <w:t>l Estado sostuvo que esas invocaciones de nuevas presuntas violaciones constituyen un cambio evidente de la postura original de la peticionaria y sus representantes respecto del Informe de Fondo de la Comisión, lo que</w:t>
      </w:r>
      <w:r w:rsidR="006C3FC8" w:rsidRPr="00975C02">
        <w:rPr>
          <w:rFonts w:cstheme="minorBidi"/>
          <w:sz w:val="20"/>
          <w:szCs w:val="20"/>
          <w:lang w:val="es-ES" w:eastAsia="en-US"/>
        </w:rPr>
        <w:t xml:space="preserve"> a su criterio</w:t>
      </w:r>
      <w:r w:rsidRPr="00975C02">
        <w:rPr>
          <w:rFonts w:cstheme="minorBidi"/>
          <w:sz w:val="20"/>
          <w:szCs w:val="20"/>
          <w:lang w:val="es-ES" w:eastAsia="en-US"/>
        </w:rPr>
        <w:t xml:space="preserve"> “constituye una afectación directa al proceso en el </w:t>
      </w:r>
      <w:r w:rsidR="006C3FC8" w:rsidRPr="00975C02">
        <w:rPr>
          <w:rFonts w:cstheme="minorBidi"/>
          <w:sz w:val="20"/>
          <w:szCs w:val="20"/>
          <w:lang w:val="es-ES" w:eastAsia="en-US"/>
        </w:rPr>
        <w:t>[</w:t>
      </w:r>
      <w:r w:rsidRPr="00975C02">
        <w:rPr>
          <w:rFonts w:cstheme="minorBidi"/>
          <w:sz w:val="20"/>
          <w:szCs w:val="20"/>
          <w:lang w:val="es-ES" w:eastAsia="en-US"/>
        </w:rPr>
        <w:t>s</w:t>
      </w:r>
      <w:r w:rsidR="006C3FC8" w:rsidRPr="00975C02">
        <w:rPr>
          <w:rFonts w:cstheme="minorBidi"/>
          <w:sz w:val="20"/>
          <w:szCs w:val="20"/>
          <w:lang w:val="es-ES" w:eastAsia="en-US"/>
        </w:rPr>
        <w:t>]</w:t>
      </w:r>
      <w:r w:rsidRPr="00975C02">
        <w:rPr>
          <w:rFonts w:cstheme="minorBidi"/>
          <w:sz w:val="20"/>
          <w:szCs w:val="20"/>
          <w:lang w:val="es-ES" w:eastAsia="en-US"/>
        </w:rPr>
        <w:t xml:space="preserve">istema </w:t>
      </w:r>
      <w:r w:rsidR="006C3FC8" w:rsidRPr="00975C02">
        <w:rPr>
          <w:rFonts w:cstheme="minorBidi"/>
          <w:sz w:val="20"/>
          <w:szCs w:val="20"/>
          <w:lang w:val="es-ES" w:eastAsia="en-US"/>
        </w:rPr>
        <w:t>[</w:t>
      </w:r>
      <w:r w:rsidRPr="00975C02">
        <w:rPr>
          <w:rFonts w:cstheme="minorBidi"/>
          <w:sz w:val="20"/>
          <w:szCs w:val="20"/>
          <w:lang w:val="es-ES" w:eastAsia="en-US"/>
        </w:rPr>
        <w:t>i</w:t>
      </w:r>
      <w:r w:rsidR="006C3FC8" w:rsidRPr="00975C02">
        <w:rPr>
          <w:rFonts w:cstheme="minorBidi"/>
          <w:sz w:val="20"/>
          <w:szCs w:val="20"/>
          <w:lang w:val="es-ES" w:eastAsia="en-US"/>
        </w:rPr>
        <w:t>]</w:t>
      </w:r>
      <w:r w:rsidRPr="00975C02">
        <w:rPr>
          <w:rFonts w:cstheme="minorBidi"/>
          <w:sz w:val="20"/>
          <w:szCs w:val="20"/>
          <w:lang w:val="es-ES" w:eastAsia="en-US"/>
        </w:rPr>
        <w:t>nteramericano, una violación al derecho defensa y una violación a la seguridad jurídica”. Por ello, el Estado solicit</w:t>
      </w:r>
      <w:r w:rsidR="00BA5087" w:rsidRPr="00975C02">
        <w:rPr>
          <w:rFonts w:cstheme="minorBidi"/>
          <w:sz w:val="20"/>
          <w:szCs w:val="20"/>
          <w:lang w:val="es-ES" w:eastAsia="en-US"/>
        </w:rPr>
        <w:t xml:space="preserve">ó a la Corte que no admitiera </w:t>
      </w:r>
      <w:r w:rsidR="006C3FC8" w:rsidRPr="00975C02">
        <w:rPr>
          <w:rFonts w:cstheme="minorBidi"/>
          <w:sz w:val="20"/>
          <w:szCs w:val="20"/>
          <w:lang w:val="es-ES" w:eastAsia="en-US"/>
        </w:rPr>
        <w:t xml:space="preserve">el análisis de </w:t>
      </w:r>
      <w:r w:rsidR="00BA5087" w:rsidRPr="00975C02">
        <w:rPr>
          <w:rFonts w:cstheme="minorBidi"/>
          <w:sz w:val="20"/>
          <w:szCs w:val="20"/>
          <w:lang w:val="es-ES" w:eastAsia="en-US"/>
        </w:rPr>
        <w:t>dichas disposiciones</w:t>
      </w:r>
      <w:r w:rsidR="00C61410" w:rsidRPr="00975C02">
        <w:rPr>
          <w:rFonts w:cstheme="minorBidi"/>
          <w:sz w:val="20"/>
          <w:szCs w:val="20"/>
          <w:lang w:val="es-ES" w:eastAsia="en-US"/>
        </w:rPr>
        <w:t xml:space="preserve"> en el caso</w:t>
      </w:r>
      <w:r w:rsidRPr="00975C02">
        <w:rPr>
          <w:rFonts w:cstheme="minorBidi"/>
          <w:sz w:val="20"/>
          <w:szCs w:val="20"/>
          <w:lang w:val="es-ES" w:eastAsia="en-US"/>
        </w:rPr>
        <w:t>.</w:t>
      </w:r>
    </w:p>
    <w:p w14:paraId="67865934"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28190E09" w14:textId="1A93A0A5"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Las </w:t>
      </w:r>
      <w:r w:rsidRPr="00975C02">
        <w:rPr>
          <w:rFonts w:cstheme="minorBidi"/>
          <w:b/>
          <w:i/>
          <w:sz w:val="20"/>
          <w:szCs w:val="20"/>
          <w:lang w:val="es-ES" w:eastAsia="en-US"/>
        </w:rPr>
        <w:t>representantes</w:t>
      </w:r>
      <w:r w:rsidRPr="00975C02">
        <w:rPr>
          <w:rFonts w:cstheme="minorBidi"/>
          <w:sz w:val="20"/>
          <w:szCs w:val="20"/>
          <w:lang w:val="es-ES" w:eastAsia="en-US"/>
        </w:rPr>
        <w:t xml:space="preserve"> afirmaron que, con base en el artículo 40 del Reglamento de la Corte, el escrito de solicitudes, argumentos y pruebas constituye un escrito autónomo e independiente de las alegaciones del </w:t>
      </w:r>
      <w:r w:rsidR="000F2E4C" w:rsidRPr="00975C02">
        <w:rPr>
          <w:rFonts w:cstheme="minorBidi"/>
          <w:sz w:val="20"/>
          <w:szCs w:val="20"/>
          <w:lang w:val="es-ES" w:eastAsia="en-US"/>
        </w:rPr>
        <w:t>informe de fondo</w:t>
      </w:r>
      <w:r w:rsidRPr="00975C02">
        <w:rPr>
          <w:rFonts w:cstheme="minorBidi"/>
          <w:sz w:val="20"/>
          <w:szCs w:val="20"/>
          <w:lang w:val="es-ES" w:eastAsia="en-US"/>
        </w:rPr>
        <w:t xml:space="preserve"> presentado por la Comisión, por medio del cual se pueden incorporar nuevas violaciones a derechos siempre y cuando estén contemplados dentro del marco fáctico fijado por la Comisión. </w:t>
      </w:r>
      <w:r w:rsidR="000C506F" w:rsidRPr="00975C02">
        <w:rPr>
          <w:rFonts w:cstheme="minorBidi"/>
          <w:sz w:val="20"/>
          <w:szCs w:val="20"/>
          <w:lang w:val="es-ES" w:eastAsia="en-US"/>
        </w:rPr>
        <w:t>A</w:t>
      </w:r>
      <w:r w:rsidRPr="00975C02">
        <w:rPr>
          <w:rFonts w:cstheme="minorBidi"/>
          <w:sz w:val="20"/>
          <w:szCs w:val="20"/>
          <w:lang w:val="es-ES" w:eastAsia="en-US"/>
        </w:rPr>
        <w:t>gregaron</w:t>
      </w:r>
      <w:r w:rsidR="000C506F" w:rsidRPr="00975C02">
        <w:rPr>
          <w:rFonts w:cstheme="minorBidi"/>
          <w:sz w:val="20"/>
          <w:szCs w:val="20"/>
          <w:lang w:val="es-ES" w:eastAsia="en-US"/>
        </w:rPr>
        <w:t xml:space="preserve"> que, en el presente caso, </w:t>
      </w:r>
      <w:r w:rsidRPr="00975C02">
        <w:rPr>
          <w:rFonts w:cstheme="minorBidi"/>
          <w:sz w:val="20"/>
          <w:szCs w:val="20"/>
          <w:lang w:val="es-ES" w:eastAsia="en-US"/>
        </w:rPr>
        <w:t xml:space="preserve">todas las violaciones descriptas se encuentran contempladas dentro del marco fáctico. </w:t>
      </w:r>
      <w:r w:rsidR="000C506F" w:rsidRPr="00975C02">
        <w:rPr>
          <w:rFonts w:cstheme="minorBidi"/>
          <w:sz w:val="20"/>
          <w:szCs w:val="20"/>
          <w:lang w:val="es-ES" w:eastAsia="en-US"/>
        </w:rPr>
        <w:t>Entendieron que, p</w:t>
      </w:r>
      <w:r w:rsidRPr="00975C02">
        <w:rPr>
          <w:rFonts w:cstheme="minorBidi"/>
          <w:sz w:val="20"/>
          <w:szCs w:val="20"/>
          <w:lang w:val="es-ES" w:eastAsia="en-US"/>
        </w:rPr>
        <w:t xml:space="preserve">or ese motivo, sí es posible la inclusión de derechos no contemplados en el </w:t>
      </w:r>
      <w:r w:rsidR="000C506F" w:rsidRPr="00975C02">
        <w:rPr>
          <w:rFonts w:cstheme="minorBidi"/>
          <w:sz w:val="20"/>
          <w:szCs w:val="20"/>
          <w:lang w:val="es-ES" w:eastAsia="en-US"/>
        </w:rPr>
        <w:t>I</w:t>
      </w:r>
      <w:r w:rsidRPr="00975C02">
        <w:rPr>
          <w:rFonts w:cstheme="minorBidi"/>
          <w:sz w:val="20"/>
          <w:szCs w:val="20"/>
          <w:lang w:val="es-ES" w:eastAsia="en-US"/>
        </w:rPr>
        <w:t xml:space="preserve">nforme de </w:t>
      </w:r>
      <w:r w:rsidR="000C506F" w:rsidRPr="00975C02">
        <w:rPr>
          <w:rFonts w:cstheme="minorBidi"/>
          <w:sz w:val="20"/>
          <w:szCs w:val="20"/>
          <w:lang w:val="es-ES" w:eastAsia="en-US"/>
        </w:rPr>
        <w:t>F</w:t>
      </w:r>
      <w:r w:rsidRPr="00975C02">
        <w:rPr>
          <w:rFonts w:cstheme="minorBidi"/>
          <w:sz w:val="20"/>
          <w:szCs w:val="20"/>
          <w:lang w:val="es-ES" w:eastAsia="en-US"/>
        </w:rPr>
        <w:t>ondo en virtud de que las violaciones y vejámenes sufridos por V.P.C</w:t>
      </w:r>
      <w:r w:rsidR="00FB0046" w:rsidRPr="00975C02">
        <w:rPr>
          <w:rFonts w:cstheme="minorBidi"/>
          <w:sz w:val="20"/>
          <w:szCs w:val="20"/>
          <w:lang w:val="es-ES" w:eastAsia="en-US"/>
        </w:rPr>
        <w:t>.</w:t>
      </w:r>
      <w:r w:rsidRPr="00975C02">
        <w:rPr>
          <w:rFonts w:cstheme="minorBidi"/>
          <w:sz w:val="20"/>
          <w:szCs w:val="20"/>
          <w:lang w:val="es-ES" w:eastAsia="en-US"/>
        </w:rPr>
        <w:t xml:space="preserve"> y V.R.P</w:t>
      </w:r>
      <w:r w:rsidR="00FB0046" w:rsidRPr="00975C02">
        <w:rPr>
          <w:rFonts w:cstheme="minorBidi"/>
          <w:sz w:val="20"/>
          <w:szCs w:val="20"/>
          <w:lang w:val="es-ES" w:eastAsia="en-US"/>
        </w:rPr>
        <w:t>.</w:t>
      </w:r>
      <w:r w:rsidRPr="00975C02">
        <w:rPr>
          <w:rFonts w:cstheme="minorBidi"/>
          <w:sz w:val="20"/>
          <w:szCs w:val="20"/>
          <w:lang w:val="es-ES" w:eastAsia="en-US"/>
        </w:rPr>
        <w:t xml:space="preserve">, </w:t>
      </w:r>
      <w:r w:rsidR="000C506F" w:rsidRPr="00975C02">
        <w:rPr>
          <w:rFonts w:cstheme="minorBidi"/>
          <w:sz w:val="20"/>
          <w:szCs w:val="20"/>
          <w:lang w:val="es-ES" w:eastAsia="en-US"/>
        </w:rPr>
        <w:t xml:space="preserve">los cuales fueron </w:t>
      </w:r>
      <w:r w:rsidRPr="00975C02">
        <w:rPr>
          <w:rFonts w:cstheme="minorBidi"/>
          <w:sz w:val="20"/>
          <w:szCs w:val="20"/>
          <w:lang w:val="es-ES" w:eastAsia="en-US"/>
        </w:rPr>
        <w:t xml:space="preserve">descritos en el marco fáctico del </w:t>
      </w:r>
      <w:r w:rsidR="000F2E4C" w:rsidRPr="00975C02">
        <w:rPr>
          <w:rFonts w:cstheme="minorBidi"/>
          <w:sz w:val="20"/>
          <w:szCs w:val="20"/>
          <w:lang w:val="es-ES" w:eastAsia="en-US"/>
        </w:rPr>
        <w:t>caso</w:t>
      </w:r>
      <w:r w:rsidR="000C506F" w:rsidRPr="00975C02">
        <w:rPr>
          <w:rFonts w:cstheme="minorBidi"/>
          <w:sz w:val="20"/>
          <w:szCs w:val="20"/>
          <w:lang w:val="es-ES" w:eastAsia="en-US"/>
        </w:rPr>
        <w:t>,</w:t>
      </w:r>
      <w:r w:rsidRPr="00975C02">
        <w:rPr>
          <w:rFonts w:cstheme="minorBidi"/>
          <w:sz w:val="20"/>
          <w:szCs w:val="20"/>
          <w:lang w:val="es-ES" w:eastAsia="en-US"/>
        </w:rPr>
        <w:t xml:space="preserve"> tuvieron consecuencias ulteriores. En efecto, las representantes concluyeron que en el presente caso “han planteado algunas vulneraciones a derechos de las presuntas víctimas, pero siempre en el marco de los hechos indicados por la Comisión”</w:t>
      </w:r>
      <w:r w:rsidR="00241E31" w:rsidRPr="00975C02">
        <w:rPr>
          <w:rFonts w:cstheme="minorBidi"/>
          <w:sz w:val="20"/>
          <w:szCs w:val="20"/>
          <w:lang w:val="es-ES" w:eastAsia="en-US"/>
        </w:rPr>
        <w:t>.</w:t>
      </w:r>
    </w:p>
    <w:p w14:paraId="643C498E"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77DEC811" w14:textId="77777777"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La </w:t>
      </w:r>
      <w:r w:rsidRPr="00975C02">
        <w:rPr>
          <w:rFonts w:cstheme="minorBidi"/>
          <w:b/>
          <w:i/>
          <w:sz w:val="20"/>
          <w:szCs w:val="20"/>
          <w:lang w:val="es-ES" w:eastAsia="en-US"/>
        </w:rPr>
        <w:t>Comisión</w:t>
      </w:r>
      <w:r w:rsidRPr="00975C02">
        <w:rPr>
          <w:rFonts w:cstheme="minorBidi"/>
          <w:sz w:val="20"/>
          <w:szCs w:val="20"/>
          <w:lang w:val="es-ES" w:eastAsia="en-US"/>
        </w:rPr>
        <w:t xml:space="preserve"> no se </w:t>
      </w:r>
      <w:r w:rsidR="00280724" w:rsidRPr="00975C02">
        <w:rPr>
          <w:rFonts w:cstheme="minorBidi"/>
          <w:sz w:val="20"/>
          <w:szCs w:val="20"/>
          <w:lang w:val="es-ES" w:eastAsia="en-US"/>
        </w:rPr>
        <w:t>pronunció</w:t>
      </w:r>
      <w:r w:rsidRPr="00975C02">
        <w:rPr>
          <w:rFonts w:cstheme="minorBidi"/>
          <w:sz w:val="20"/>
          <w:szCs w:val="20"/>
          <w:lang w:val="es-ES" w:eastAsia="en-US"/>
        </w:rPr>
        <w:t xml:space="preserve"> al respecto.</w:t>
      </w:r>
    </w:p>
    <w:p w14:paraId="38AE1B34"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0A566A71" w14:textId="77777777" w:rsidR="007A37EF" w:rsidRPr="00975C02" w:rsidRDefault="007A37EF" w:rsidP="007A37EF">
      <w:pPr>
        <w:pStyle w:val="Heading2"/>
        <w:tabs>
          <w:tab w:val="left" w:pos="1843"/>
        </w:tabs>
        <w:spacing w:before="0" w:line="240" w:lineRule="auto"/>
        <w:ind w:left="1134"/>
        <w:rPr>
          <w:rFonts w:ascii="Verdana" w:hAnsi="Verdana"/>
          <w:b w:val="0"/>
          <w:i/>
          <w:color w:val="auto"/>
          <w:sz w:val="20"/>
          <w:szCs w:val="20"/>
          <w:lang w:val="es-ES"/>
        </w:rPr>
      </w:pPr>
      <w:bookmarkStart w:id="68" w:name="_Toc514172608"/>
      <w:r w:rsidRPr="00975C02">
        <w:rPr>
          <w:rFonts w:ascii="Verdana" w:hAnsi="Verdana"/>
          <w:b w:val="0"/>
          <w:i/>
          <w:color w:val="auto"/>
          <w:sz w:val="20"/>
          <w:szCs w:val="20"/>
          <w:lang w:val="es-ES"/>
        </w:rPr>
        <w:t xml:space="preserve">B.2 </w:t>
      </w:r>
      <w:r w:rsidRPr="00975C02">
        <w:rPr>
          <w:rFonts w:ascii="Verdana" w:hAnsi="Verdana"/>
          <w:b w:val="0"/>
          <w:i/>
          <w:color w:val="auto"/>
          <w:sz w:val="20"/>
          <w:szCs w:val="20"/>
          <w:lang w:val="es-ES"/>
        </w:rPr>
        <w:tab/>
        <w:t>Consideraciones de la Corte</w:t>
      </w:r>
      <w:bookmarkEnd w:id="68"/>
    </w:p>
    <w:p w14:paraId="303E2EA5" w14:textId="77777777" w:rsidR="007A37EF" w:rsidRPr="00975C02" w:rsidRDefault="007A37EF" w:rsidP="001C7E37">
      <w:pPr>
        <w:widowControl/>
        <w:tabs>
          <w:tab w:val="left" w:pos="0"/>
          <w:tab w:val="left" w:pos="567"/>
        </w:tabs>
        <w:adjustRightInd/>
        <w:spacing w:line="240" w:lineRule="auto"/>
        <w:textAlignment w:val="auto"/>
        <w:rPr>
          <w:rFonts w:cstheme="minorBidi"/>
          <w:sz w:val="20"/>
          <w:szCs w:val="20"/>
          <w:lang w:val="es-ES" w:eastAsia="en-US"/>
        </w:rPr>
      </w:pPr>
    </w:p>
    <w:p w14:paraId="5C902F41" w14:textId="43F7107F" w:rsidR="00270756" w:rsidRPr="00975C02" w:rsidRDefault="00274135"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Es</w:t>
      </w:r>
      <w:r w:rsidR="00270756" w:rsidRPr="00975C02">
        <w:rPr>
          <w:rFonts w:cstheme="minorBidi"/>
          <w:sz w:val="20"/>
          <w:szCs w:val="20"/>
          <w:lang w:val="es-ES" w:eastAsia="en-US"/>
        </w:rPr>
        <w:t xml:space="preserve"> preciso recordar </w:t>
      </w:r>
      <w:r w:rsidRPr="00975C02">
        <w:rPr>
          <w:rFonts w:cstheme="minorBidi"/>
          <w:sz w:val="20"/>
          <w:szCs w:val="20"/>
          <w:lang w:val="es-ES" w:eastAsia="en-US"/>
        </w:rPr>
        <w:t xml:space="preserve">la jurisprudencia constante </w:t>
      </w:r>
      <w:r w:rsidR="000C506F" w:rsidRPr="00975C02">
        <w:rPr>
          <w:rFonts w:cstheme="minorBidi"/>
          <w:sz w:val="20"/>
          <w:szCs w:val="20"/>
          <w:lang w:val="es-ES" w:eastAsia="en-US"/>
        </w:rPr>
        <w:t xml:space="preserve">de esta Corte según la cual </w:t>
      </w:r>
      <w:r w:rsidR="00270756" w:rsidRPr="00975C02">
        <w:rPr>
          <w:rFonts w:cstheme="minorBidi"/>
          <w:sz w:val="20"/>
          <w:szCs w:val="20"/>
          <w:lang w:val="es-ES" w:eastAsia="en-US"/>
        </w:rPr>
        <w:t>las presuntas víctimas y sus representantes pueden 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00270756" w:rsidRPr="00975C02">
        <w:rPr>
          <w:rFonts w:cstheme="minorBidi"/>
          <w:sz w:val="20"/>
          <w:szCs w:val="20"/>
          <w:vertAlign w:val="superscript"/>
          <w:lang w:val="es-ES" w:eastAsia="en-US"/>
        </w:rPr>
        <w:footnoteReference w:id="37"/>
      </w:r>
      <w:r w:rsidR="00270756" w:rsidRPr="00975C02">
        <w:rPr>
          <w:rFonts w:cstheme="minorBidi"/>
          <w:sz w:val="20"/>
          <w:szCs w:val="20"/>
          <w:lang w:val="es-ES" w:eastAsia="en-US"/>
        </w:rPr>
        <w:t>.</w:t>
      </w:r>
    </w:p>
    <w:p w14:paraId="2271BD1D"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0070B59D" w14:textId="64437DA3"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En virtud de ello, la Corte advierte que en el Informe de Fondo</w:t>
      </w:r>
      <w:r w:rsidR="000F2E4C" w:rsidRPr="00975C02">
        <w:rPr>
          <w:rFonts w:cstheme="minorBidi"/>
          <w:sz w:val="20"/>
          <w:szCs w:val="20"/>
          <w:lang w:val="es-ES" w:eastAsia="en-US"/>
        </w:rPr>
        <w:t xml:space="preserve"> </w:t>
      </w:r>
      <w:r w:rsidR="000F2E4C" w:rsidRPr="00975C02">
        <w:rPr>
          <w:rFonts w:eastAsia="Verdana" w:cs="Verdana"/>
          <w:sz w:val="20"/>
          <w:szCs w:val="20"/>
          <w:lang w:val="es-ES"/>
        </w:rPr>
        <w:t>No. 4/16</w:t>
      </w:r>
      <w:r w:rsidRPr="00975C02">
        <w:rPr>
          <w:rFonts w:cstheme="minorBidi"/>
          <w:sz w:val="20"/>
          <w:szCs w:val="20"/>
          <w:lang w:val="es-ES" w:eastAsia="en-US"/>
        </w:rPr>
        <w:t xml:space="preserve">, a diferencia de lo </w:t>
      </w:r>
      <w:r w:rsidR="00D51C27" w:rsidRPr="00975C02">
        <w:rPr>
          <w:rFonts w:cstheme="minorBidi"/>
          <w:sz w:val="20"/>
          <w:szCs w:val="20"/>
          <w:lang w:val="es-ES" w:eastAsia="en-US"/>
        </w:rPr>
        <w:t>indicado</w:t>
      </w:r>
      <w:r w:rsidRPr="00975C02">
        <w:rPr>
          <w:rFonts w:cstheme="minorBidi"/>
          <w:sz w:val="20"/>
          <w:szCs w:val="20"/>
          <w:lang w:val="es-ES" w:eastAsia="en-US"/>
        </w:rPr>
        <w:t xml:space="preserve"> por el Estado, la Comisión concluyó la violación de los derechos contenidos en los artículos 5, 8, 11, 19, 24 y 25 de la Convención Americana, en relación con el artículo 1.1 del mismo instrumento; y del artículo 7.b) de la Convención de Belém do Pará. Las representantes, en adición a lo establecido por la Comisión, solicitaron a la Corte que declar</w:t>
      </w:r>
      <w:r w:rsidR="00D51C27" w:rsidRPr="00975C02">
        <w:rPr>
          <w:rFonts w:cstheme="minorBidi"/>
          <w:sz w:val="20"/>
          <w:szCs w:val="20"/>
          <w:lang w:val="es-ES" w:eastAsia="en-US"/>
        </w:rPr>
        <w:t>as</w:t>
      </w:r>
      <w:r w:rsidRPr="00975C02">
        <w:rPr>
          <w:rFonts w:cstheme="minorBidi"/>
          <w:sz w:val="20"/>
          <w:szCs w:val="20"/>
          <w:lang w:val="es-ES" w:eastAsia="en-US"/>
        </w:rPr>
        <w:t>e la violación de los derechos contenidos en los artículos 12</w:t>
      </w:r>
      <w:r w:rsidR="00061DF9" w:rsidRPr="00975C02">
        <w:rPr>
          <w:rFonts w:cstheme="minorBidi"/>
          <w:sz w:val="20"/>
          <w:szCs w:val="20"/>
          <w:lang w:val="es-ES" w:eastAsia="en-US"/>
        </w:rPr>
        <w:t>.1</w:t>
      </w:r>
      <w:r w:rsidRPr="00975C02">
        <w:rPr>
          <w:rFonts w:cstheme="minorBidi"/>
          <w:sz w:val="20"/>
          <w:szCs w:val="20"/>
          <w:lang w:val="es-ES" w:eastAsia="en-US"/>
        </w:rPr>
        <w:t>, 17</w:t>
      </w:r>
      <w:r w:rsidR="00061DF9" w:rsidRPr="00975C02">
        <w:rPr>
          <w:rFonts w:cstheme="minorBidi"/>
          <w:sz w:val="20"/>
          <w:szCs w:val="20"/>
          <w:lang w:val="es-ES" w:eastAsia="en-US"/>
        </w:rPr>
        <w:t>.1</w:t>
      </w:r>
      <w:r w:rsidRPr="00975C02">
        <w:rPr>
          <w:rFonts w:cstheme="minorBidi"/>
          <w:sz w:val="20"/>
          <w:szCs w:val="20"/>
          <w:lang w:val="es-ES" w:eastAsia="en-US"/>
        </w:rPr>
        <w:t xml:space="preserve"> y 22</w:t>
      </w:r>
      <w:r w:rsidR="00061DF9" w:rsidRPr="00975C02">
        <w:rPr>
          <w:rFonts w:cstheme="minorBidi"/>
          <w:sz w:val="20"/>
          <w:szCs w:val="20"/>
          <w:lang w:val="es-ES" w:eastAsia="en-US"/>
        </w:rPr>
        <w:t>.1</w:t>
      </w:r>
      <w:r w:rsidRPr="00975C02">
        <w:rPr>
          <w:rFonts w:cstheme="minorBidi"/>
          <w:sz w:val="20"/>
          <w:szCs w:val="20"/>
          <w:lang w:val="es-ES" w:eastAsia="en-US"/>
        </w:rPr>
        <w:t xml:space="preserve"> de la Convención Americana</w:t>
      </w:r>
      <w:r w:rsidR="00061DF9" w:rsidRPr="00975C02">
        <w:rPr>
          <w:rFonts w:cstheme="minorBidi"/>
          <w:sz w:val="20"/>
          <w:szCs w:val="20"/>
          <w:lang w:val="es-ES" w:eastAsia="en-US"/>
        </w:rPr>
        <w:t xml:space="preserve"> en relación con el artículo 1.1 de dicho instrumento,</w:t>
      </w:r>
      <w:r w:rsidR="00D51C27" w:rsidRPr="00975C02">
        <w:rPr>
          <w:rFonts w:cstheme="minorBidi"/>
          <w:sz w:val="20"/>
          <w:szCs w:val="20"/>
          <w:lang w:val="es-ES" w:eastAsia="en-US"/>
        </w:rPr>
        <w:t xml:space="preserve"> y</w:t>
      </w:r>
      <w:r w:rsidRPr="00975C02">
        <w:rPr>
          <w:rFonts w:cstheme="minorBidi"/>
          <w:sz w:val="20"/>
          <w:szCs w:val="20"/>
          <w:lang w:val="es-ES" w:eastAsia="en-US"/>
        </w:rPr>
        <w:t xml:space="preserve"> </w:t>
      </w:r>
      <w:r w:rsidR="00061DF9" w:rsidRPr="00975C02">
        <w:rPr>
          <w:rFonts w:cstheme="minorBidi"/>
          <w:sz w:val="20"/>
          <w:szCs w:val="20"/>
          <w:lang w:val="es-ES" w:eastAsia="en-US"/>
        </w:rPr>
        <w:t xml:space="preserve">de </w:t>
      </w:r>
      <w:r w:rsidRPr="00975C02">
        <w:rPr>
          <w:rFonts w:cstheme="minorBidi"/>
          <w:sz w:val="20"/>
          <w:szCs w:val="20"/>
          <w:lang w:val="es-ES" w:eastAsia="en-US"/>
        </w:rPr>
        <w:t>los artículos 1.1, 2, 4.b) y 4.g) de la Convención de Belém do Pará</w:t>
      </w:r>
      <w:r w:rsidR="00D51C27" w:rsidRPr="00975C02">
        <w:rPr>
          <w:rFonts w:cstheme="minorBidi"/>
          <w:sz w:val="20"/>
          <w:szCs w:val="20"/>
          <w:lang w:val="es-ES" w:eastAsia="en-US"/>
        </w:rPr>
        <w:t xml:space="preserve">. Asimismo, </w:t>
      </w:r>
      <w:r w:rsidR="00AE585E" w:rsidRPr="00975C02">
        <w:rPr>
          <w:rFonts w:cstheme="minorBidi"/>
          <w:sz w:val="20"/>
          <w:szCs w:val="20"/>
          <w:lang w:val="es-ES" w:eastAsia="en-US"/>
        </w:rPr>
        <w:t xml:space="preserve">las representantes </w:t>
      </w:r>
      <w:r w:rsidR="00D51C27" w:rsidRPr="00975C02">
        <w:rPr>
          <w:rFonts w:cstheme="minorBidi"/>
          <w:sz w:val="20"/>
          <w:szCs w:val="20"/>
          <w:lang w:val="es-ES" w:eastAsia="en-US"/>
        </w:rPr>
        <w:t>invocaron</w:t>
      </w:r>
      <w:r w:rsidRPr="00975C02">
        <w:rPr>
          <w:rFonts w:cstheme="minorBidi"/>
          <w:sz w:val="20"/>
          <w:szCs w:val="20"/>
          <w:lang w:val="es-ES" w:eastAsia="en-US"/>
        </w:rPr>
        <w:t xml:space="preserve"> los derechos recogidos en los artículos 2.1, 3.1, 3.2, 4, 16, 24.1 y 24.2 de la Convención sobre los </w:t>
      </w:r>
      <w:r w:rsidR="00D51C27" w:rsidRPr="00975C02">
        <w:rPr>
          <w:rFonts w:cstheme="minorBidi"/>
          <w:sz w:val="20"/>
          <w:szCs w:val="20"/>
          <w:lang w:val="es-ES" w:eastAsia="en-US"/>
        </w:rPr>
        <w:t>D</w:t>
      </w:r>
      <w:r w:rsidRPr="00975C02">
        <w:rPr>
          <w:rFonts w:cstheme="minorBidi"/>
          <w:sz w:val="20"/>
          <w:szCs w:val="20"/>
          <w:lang w:val="es-ES" w:eastAsia="en-US"/>
        </w:rPr>
        <w:t xml:space="preserve">erechos del </w:t>
      </w:r>
      <w:r w:rsidR="00D51C27" w:rsidRPr="00975C02">
        <w:rPr>
          <w:rFonts w:cstheme="minorBidi"/>
          <w:sz w:val="20"/>
          <w:szCs w:val="20"/>
          <w:lang w:val="es-ES" w:eastAsia="en-US"/>
        </w:rPr>
        <w:t>N</w:t>
      </w:r>
      <w:r w:rsidRPr="00975C02">
        <w:rPr>
          <w:rFonts w:cstheme="minorBidi"/>
          <w:sz w:val="20"/>
          <w:szCs w:val="20"/>
          <w:lang w:val="es-ES" w:eastAsia="en-US"/>
        </w:rPr>
        <w:t>iño</w:t>
      </w:r>
      <w:r w:rsidR="00D51C27" w:rsidRPr="00975C02">
        <w:rPr>
          <w:rFonts w:cstheme="minorBidi"/>
          <w:sz w:val="20"/>
          <w:szCs w:val="20"/>
          <w:lang w:val="es-ES" w:eastAsia="en-US"/>
        </w:rPr>
        <w:t xml:space="preserve">, como fue </w:t>
      </w:r>
      <w:r w:rsidR="00AE585E" w:rsidRPr="00975C02">
        <w:rPr>
          <w:rFonts w:cstheme="minorBidi"/>
          <w:sz w:val="20"/>
          <w:szCs w:val="20"/>
          <w:lang w:val="es-ES" w:eastAsia="en-US"/>
        </w:rPr>
        <w:t xml:space="preserve">analizado </w:t>
      </w:r>
      <w:r w:rsidR="00D51C27" w:rsidRPr="00975C02">
        <w:rPr>
          <w:rFonts w:cstheme="minorBidi"/>
          <w:i/>
          <w:sz w:val="20"/>
          <w:szCs w:val="20"/>
          <w:lang w:val="es-ES" w:eastAsia="en-US"/>
        </w:rPr>
        <w:t>supra</w:t>
      </w:r>
      <w:r w:rsidRPr="00975C02">
        <w:rPr>
          <w:rFonts w:cstheme="minorBidi"/>
          <w:sz w:val="20"/>
          <w:szCs w:val="20"/>
          <w:lang w:val="es-ES" w:eastAsia="en-US"/>
        </w:rPr>
        <w:t>.</w:t>
      </w:r>
    </w:p>
    <w:p w14:paraId="7EF404B9"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7266325A" w14:textId="4DB29B71"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En primer lugar, respecto de los</w:t>
      </w:r>
      <w:r w:rsidR="00113316" w:rsidRPr="00975C02">
        <w:rPr>
          <w:rFonts w:cstheme="minorBidi"/>
          <w:sz w:val="20"/>
          <w:szCs w:val="20"/>
          <w:lang w:val="es-ES" w:eastAsia="en-US"/>
        </w:rPr>
        <w:t xml:space="preserve"> alegatos referidos a</w:t>
      </w:r>
      <w:r w:rsidRPr="00975C02">
        <w:rPr>
          <w:rFonts w:cstheme="minorBidi"/>
          <w:sz w:val="20"/>
          <w:szCs w:val="20"/>
          <w:lang w:val="es-ES" w:eastAsia="en-US"/>
        </w:rPr>
        <w:t xml:space="preserve"> </w:t>
      </w:r>
      <w:r w:rsidR="00AE585E" w:rsidRPr="00975C02">
        <w:rPr>
          <w:rFonts w:cstheme="minorBidi"/>
          <w:sz w:val="20"/>
          <w:szCs w:val="20"/>
          <w:lang w:val="es-ES" w:eastAsia="en-US"/>
        </w:rPr>
        <w:t xml:space="preserve">los </w:t>
      </w:r>
      <w:r w:rsidRPr="00975C02">
        <w:rPr>
          <w:rFonts w:cstheme="minorBidi"/>
          <w:sz w:val="20"/>
          <w:szCs w:val="20"/>
          <w:lang w:val="es-ES" w:eastAsia="en-US"/>
        </w:rPr>
        <w:t>artículos 12</w:t>
      </w:r>
      <w:r w:rsidR="00AE585E" w:rsidRPr="00975C02">
        <w:rPr>
          <w:rFonts w:cstheme="minorBidi"/>
          <w:sz w:val="20"/>
          <w:szCs w:val="20"/>
          <w:lang w:val="es-ES" w:eastAsia="en-US"/>
        </w:rPr>
        <w:t>.1</w:t>
      </w:r>
      <w:r w:rsidRPr="00975C02">
        <w:rPr>
          <w:rFonts w:cstheme="minorBidi"/>
          <w:sz w:val="20"/>
          <w:szCs w:val="20"/>
          <w:lang w:val="es-ES" w:eastAsia="en-US"/>
        </w:rPr>
        <w:t>, 17</w:t>
      </w:r>
      <w:r w:rsidR="00AE585E" w:rsidRPr="00975C02">
        <w:rPr>
          <w:rFonts w:cstheme="minorBidi"/>
          <w:sz w:val="20"/>
          <w:szCs w:val="20"/>
          <w:lang w:val="es-ES" w:eastAsia="en-US"/>
        </w:rPr>
        <w:t>.1</w:t>
      </w:r>
      <w:r w:rsidRPr="00975C02">
        <w:rPr>
          <w:rFonts w:cstheme="minorBidi"/>
          <w:sz w:val="20"/>
          <w:szCs w:val="20"/>
          <w:lang w:val="es-ES" w:eastAsia="en-US"/>
        </w:rPr>
        <w:t xml:space="preserve"> y 22</w:t>
      </w:r>
      <w:r w:rsidR="00AE585E" w:rsidRPr="00975C02">
        <w:rPr>
          <w:rFonts w:cstheme="minorBidi"/>
          <w:sz w:val="20"/>
          <w:szCs w:val="20"/>
          <w:lang w:val="es-ES" w:eastAsia="en-US"/>
        </w:rPr>
        <w:t>.1</w:t>
      </w:r>
      <w:r w:rsidRPr="00975C02">
        <w:rPr>
          <w:rFonts w:cstheme="minorBidi"/>
          <w:sz w:val="20"/>
          <w:szCs w:val="20"/>
          <w:lang w:val="es-ES" w:eastAsia="en-US"/>
        </w:rPr>
        <w:t xml:space="preserve"> de la Convención Americana, la Corte entiende que </w:t>
      </w:r>
      <w:r w:rsidR="00113316" w:rsidRPr="00975C02">
        <w:rPr>
          <w:rFonts w:cstheme="minorBidi"/>
          <w:sz w:val="20"/>
          <w:szCs w:val="20"/>
          <w:lang w:val="es-ES" w:eastAsia="en-US"/>
        </w:rPr>
        <w:t xml:space="preserve">se sustentan en el </w:t>
      </w:r>
      <w:r w:rsidRPr="00975C02">
        <w:rPr>
          <w:rFonts w:cstheme="minorBidi"/>
          <w:sz w:val="20"/>
          <w:szCs w:val="20"/>
          <w:lang w:val="es-ES" w:eastAsia="en-US"/>
        </w:rPr>
        <w:t>mismo escenario fáctico descrito en el Informe de Fondo y, en efecto, guardan conformidad con la jurisprudencia referida precedentemente y con el artículo 40 del Reglamento de este Tribunal. Por lo expuesto, no corresponde hacer lugar a la pretensión del Estado</w:t>
      </w:r>
      <w:r w:rsidR="00460411" w:rsidRPr="00975C02">
        <w:rPr>
          <w:rFonts w:cstheme="minorBidi"/>
          <w:sz w:val="20"/>
          <w:szCs w:val="20"/>
          <w:lang w:val="es-ES" w:eastAsia="en-US"/>
        </w:rPr>
        <w:t>, de modo tal que</w:t>
      </w:r>
      <w:r w:rsidRPr="00975C02">
        <w:rPr>
          <w:rFonts w:cstheme="minorBidi"/>
          <w:sz w:val="20"/>
          <w:szCs w:val="20"/>
          <w:lang w:val="es-ES" w:eastAsia="en-US"/>
        </w:rPr>
        <w:t xml:space="preserve"> </w:t>
      </w:r>
      <w:r w:rsidR="00AE585E" w:rsidRPr="00975C02">
        <w:rPr>
          <w:rFonts w:cstheme="minorBidi"/>
          <w:sz w:val="20"/>
          <w:szCs w:val="20"/>
          <w:lang w:val="es-ES" w:eastAsia="en-US"/>
        </w:rPr>
        <w:t xml:space="preserve">tales </w:t>
      </w:r>
      <w:r w:rsidR="00460411" w:rsidRPr="00975C02">
        <w:rPr>
          <w:rFonts w:cstheme="minorBidi"/>
          <w:sz w:val="20"/>
          <w:szCs w:val="20"/>
          <w:lang w:val="es-ES" w:eastAsia="en-US"/>
        </w:rPr>
        <w:t xml:space="preserve">derechos </w:t>
      </w:r>
      <w:r w:rsidRPr="00975C02">
        <w:rPr>
          <w:rFonts w:cstheme="minorBidi"/>
          <w:sz w:val="20"/>
          <w:szCs w:val="20"/>
          <w:lang w:val="es-ES" w:eastAsia="en-US"/>
        </w:rPr>
        <w:t xml:space="preserve">serán </w:t>
      </w:r>
      <w:r w:rsidRPr="00975C02">
        <w:rPr>
          <w:rFonts w:cstheme="minorBidi"/>
          <w:sz w:val="20"/>
          <w:szCs w:val="20"/>
          <w:lang w:val="es-ES" w:eastAsia="en-US"/>
        </w:rPr>
        <w:lastRenderedPageBreak/>
        <w:t>considerados en el análisis de fondo</w:t>
      </w:r>
      <w:r w:rsidR="00AE585E" w:rsidRPr="00975C02">
        <w:rPr>
          <w:rFonts w:cstheme="minorBidi"/>
          <w:sz w:val="20"/>
          <w:szCs w:val="20"/>
          <w:lang w:val="es-ES" w:eastAsia="en-US"/>
        </w:rPr>
        <w:t xml:space="preserve"> del caso</w:t>
      </w:r>
      <w:r w:rsidRPr="00975C02">
        <w:rPr>
          <w:rFonts w:cstheme="minorBidi"/>
          <w:sz w:val="20"/>
          <w:szCs w:val="20"/>
          <w:lang w:val="es-ES" w:eastAsia="en-US"/>
        </w:rPr>
        <w:t>.</w:t>
      </w:r>
    </w:p>
    <w:p w14:paraId="55A6A9E5"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75D09220" w14:textId="2823AE7A"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Por otro lado, con relación a los derechos contenidos en la Convención </w:t>
      </w:r>
      <w:r w:rsidR="00C9501F" w:rsidRPr="00975C02">
        <w:rPr>
          <w:rFonts w:cstheme="minorBidi"/>
          <w:sz w:val="20"/>
          <w:szCs w:val="20"/>
          <w:lang w:val="es-ES" w:eastAsia="en-US"/>
        </w:rPr>
        <w:t>de Belém do Pará</w:t>
      </w:r>
      <w:r w:rsidRPr="00975C02">
        <w:rPr>
          <w:rFonts w:cstheme="minorBidi"/>
          <w:sz w:val="20"/>
          <w:szCs w:val="20"/>
          <w:lang w:val="es-ES" w:eastAsia="en-US"/>
        </w:rPr>
        <w:t>, esta Corte ya ha afirmado en su jurisprudencia que tiene competencia para pronunciarse sobre la misma</w:t>
      </w:r>
      <w:r w:rsidRPr="00975C02">
        <w:rPr>
          <w:rFonts w:cstheme="minorBidi"/>
          <w:sz w:val="20"/>
          <w:szCs w:val="20"/>
          <w:vertAlign w:val="superscript"/>
          <w:lang w:val="es-ES" w:eastAsia="en-US"/>
        </w:rPr>
        <w:footnoteReference w:id="38"/>
      </w:r>
      <w:r w:rsidRPr="00975C02">
        <w:rPr>
          <w:rFonts w:cstheme="minorBidi"/>
          <w:sz w:val="20"/>
          <w:szCs w:val="20"/>
          <w:lang w:val="es-ES" w:eastAsia="en-US"/>
        </w:rPr>
        <w:t>. Sin embargo, de conformidad con lo dispuesto en el artículo 12 de dicho instrumento</w:t>
      </w:r>
      <w:r w:rsidR="006A2F96" w:rsidRPr="00975C02">
        <w:rPr>
          <w:rFonts w:cstheme="minorBidi"/>
          <w:sz w:val="20"/>
          <w:szCs w:val="20"/>
          <w:lang w:val="es-ES" w:eastAsia="en-US"/>
        </w:rPr>
        <w:t>,</w:t>
      </w:r>
      <w:r w:rsidRPr="00975C02">
        <w:rPr>
          <w:rFonts w:eastAsia="Calibri" w:cs="Arial"/>
          <w:sz w:val="20"/>
          <w:szCs w:val="20"/>
          <w:lang w:val="es-ES" w:eastAsia="en-US"/>
        </w:rPr>
        <w:t xml:space="preserve"> la posibilidad de la presentación de “peticiones” a la Comisión se refiere a</w:t>
      </w:r>
      <w:r w:rsidR="00D411B7" w:rsidRPr="00975C02">
        <w:rPr>
          <w:rFonts w:eastAsia="Calibri" w:cs="Arial"/>
          <w:sz w:val="20"/>
          <w:szCs w:val="20"/>
          <w:lang w:val="es-ES" w:eastAsia="en-US"/>
        </w:rPr>
        <w:t xml:space="preserve"> </w:t>
      </w:r>
      <w:r w:rsidRPr="00975C02">
        <w:rPr>
          <w:rFonts w:eastAsia="Calibri" w:cs="Arial"/>
          <w:sz w:val="20"/>
          <w:szCs w:val="20"/>
          <w:lang w:val="es-ES" w:eastAsia="en-US"/>
        </w:rPr>
        <w:t xml:space="preserve">“denuncias o quejas de violación de [su] artículo 7”, no así del resto del articulado. </w:t>
      </w:r>
      <w:r w:rsidR="006A2F96" w:rsidRPr="00975C02">
        <w:rPr>
          <w:rFonts w:eastAsia="Calibri" w:cs="Arial"/>
          <w:sz w:val="20"/>
          <w:szCs w:val="20"/>
          <w:lang w:val="es-ES" w:eastAsia="en-US"/>
        </w:rPr>
        <w:t>Por consiguiente</w:t>
      </w:r>
      <w:r w:rsidRPr="00975C02">
        <w:rPr>
          <w:rFonts w:eastAsia="Calibri" w:cs="Arial"/>
          <w:sz w:val="20"/>
          <w:szCs w:val="20"/>
          <w:lang w:val="es-ES" w:eastAsia="en-US"/>
        </w:rPr>
        <w:t xml:space="preserve">, </w:t>
      </w:r>
      <w:r w:rsidR="004B3A0D" w:rsidRPr="00975C02">
        <w:rPr>
          <w:rFonts w:eastAsia="Calibri" w:cs="Arial"/>
          <w:sz w:val="20"/>
          <w:szCs w:val="20"/>
          <w:lang w:val="es-ES" w:eastAsia="en-US"/>
        </w:rPr>
        <w:t>al examinar las violaciones alegadas respecto de la Convención de Belém do Pará</w:t>
      </w:r>
      <w:r w:rsidR="00837713" w:rsidRPr="00975C02">
        <w:rPr>
          <w:rFonts w:eastAsia="Calibri" w:cs="Arial"/>
          <w:sz w:val="20"/>
          <w:szCs w:val="20"/>
          <w:lang w:val="es-ES" w:eastAsia="en-US"/>
        </w:rPr>
        <w:t>,</w:t>
      </w:r>
      <w:r w:rsidRPr="00975C02">
        <w:rPr>
          <w:rFonts w:eastAsia="Calibri" w:cs="Arial"/>
          <w:sz w:val="20"/>
          <w:szCs w:val="20"/>
          <w:lang w:val="es-ES" w:eastAsia="en-US"/>
        </w:rPr>
        <w:t xml:space="preserve"> </w:t>
      </w:r>
      <w:r w:rsidR="00837713" w:rsidRPr="00975C02">
        <w:rPr>
          <w:rFonts w:eastAsia="Calibri" w:cs="Arial"/>
          <w:sz w:val="20"/>
          <w:szCs w:val="20"/>
          <w:lang w:val="es-ES" w:eastAsia="en-US"/>
        </w:rPr>
        <w:t xml:space="preserve">esta Corte </w:t>
      </w:r>
      <w:r w:rsidRPr="00975C02">
        <w:rPr>
          <w:rFonts w:eastAsia="Calibri" w:cs="Arial"/>
          <w:sz w:val="20"/>
          <w:szCs w:val="20"/>
          <w:lang w:val="es-ES" w:eastAsia="en-US"/>
        </w:rPr>
        <w:t xml:space="preserve">podrá </w:t>
      </w:r>
      <w:r w:rsidR="00837713" w:rsidRPr="00975C02">
        <w:rPr>
          <w:rFonts w:eastAsia="Calibri" w:cs="Arial"/>
          <w:sz w:val="20"/>
          <w:szCs w:val="20"/>
          <w:lang w:val="es-ES" w:eastAsia="en-US"/>
        </w:rPr>
        <w:t xml:space="preserve">establecer </w:t>
      </w:r>
      <w:r w:rsidRPr="00975C02">
        <w:rPr>
          <w:rFonts w:eastAsia="Calibri" w:cs="Arial"/>
          <w:sz w:val="20"/>
          <w:szCs w:val="20"/>
          <w:lang w:val="es-ES" w:eastAsia="en-US"/>
        </w:rPr>
        <w:t xml:space="preserve">únicamente </w:t>
      </w:r>
      <w:r w:rsidR="00837713" w:rsidRPr="00975C02">
        <w:rPr>
          <w:rFonts w:eastAsia="Calibri" w:cs="Arial"/>
          <w:sz w:val="20"/>
          <w:szCs w:val="20"/>
          <w:lang w:val="es-ES" w:eastAsia="en-US"/>
        </w:rPr>
        <w:t xml:space="preserve">la </w:t>
      </w:r>
      <w:r w:rsidR="004B3A0D" w:rsidRPr="00975C02">
        <w:rPr>
          <w:rFonts w:eastAsia="Calibri" w:cs="Arial"/>
          <w:sz w:val="20"/>
          <w:szCs w:val="20"/>
          <w:lang w:val="es-ES" w:eastAsia="en-US"/>
        </w:rPr>
        <w:t xml:space="preserve">responsabilidad </w:t>
      </w:r>
      <w:r w:rsidR="00837713" w:rsidRPr="00975C02">
        <w:rPr>
          <w:rFonts w:eastAsia="Calibri" w:cs="Arial"/>
          <w:sz w:val="20"/>
          <w:szCs w:val="20"/>
          <w:lang w:val="es-ES" w:eastAsia="en-US"/>
        </w:rPr>
        <w:t xml:space="preserve">del Estado </w:t>
      </w:r>
      <w:r w:rsidR="004B3A0D" w:rsidRPr="00975C02">
        <w:rPr>
          <w:rFonts w:eastAsia="Calibri" w:cs="Arial"/>
          <w:sz w:val="20"/>
          <w:szCs w:val="20"/>
          <w:lang w:val="es-ES" w:eastAsia="en-US"/>
        </w:rPr>
        <w:t>por el incumplimiento de lo que mandata</w:t>
      </w:r>
      <w:r w:rsidRPr="00975C02">
        <w:rPr>
          <w:rFonts w:eastAsia="Calibri" w:cs="Arial"/>
          <w:sz w:val="20"/>
          <w:szCs w:val="20"/>
          <w:lang w:val="es-ES" w:eastAsia="en-US"/>
        </w:rPr>
        <w:t xml:space="preserve"> el artículo 7, sin perjuicio del valor interpretativo que posee </w:t>
      </w:r>
      <w:r w:rsidR="004B3A0D" w:rsidRPr="00975C02">
        <w:rPr>
          <w:rFonts w:eastAsia="Calibri" w:cs="Arial"/>
          <w:sz w:val="20"/>
          <w:szCs w:val="20"/>
          <w:lang w:val="es-ES" w:eastAsia="en-US"/>
        </w:rPr>
        <w:t xml:space="preserve">dicho instrumento </w:t>
      </w:r>
      <w:r w:rsidRPr="00975C02">
        <w:rPr>
          <w:rFonts w:eastAsia="Calibri" w:cs="Arial"/>
          <w:sz w:val="20"/>
          <w:szCs w:val="20"/>
          <w:lang w:val="es-ES" w:eastAsia="en-US"/>
        </w:rPr>
        <w:t>en su integralidad.</w:t>
      </w:r>
      <w:r w:rsidR="004B3A0D" w:rsidRPr="00975C02">
        <w:rPr>
          <w:rFonts w:eastAsia="Calibri" w:cs="Arial"/>
          <w:sz w:val="20"/>
          <w:szCs w:val="20"/>
          <w:lang w:val="es-ES" w:eastAsia="en-US"/>
        </w:rPr>
        <w:t xml:space="preserve"> En esta medida, se desestiman los alegatos del Estado.</w:t>
      </w:r>
    </w:p>
    <w:p w14:paraId="5D82D0F5" w14:textId="77777777" w:rsidR="00270756" w:rsidRPr="00975C02" w:rsidRDefault="00270756" w:rsidP="001C7E37">
      <w:pPr>
        <w:widowControl/>
        <w:tabs>
          <w:tab w:val="left" w:pos="0"/>
          <w:tab w:val="left" w:pos="567"/>
        </w:tabs>
        <w:adjustRightInd/>
        <w:spacing w:line="240" w:lineRule="auto"/>
        <w:textAlignment w:val="auto"/>
        <w:rPr>
          <w:rFonts w:cstheme="minorBidi"/>
          <w:sz w:val="20"/>
          <w:szCs w:val="20"/>
          <w:lang w:val="es-ES" w:eastAsia="en-US"/>
        </w:rPr>
      </w:pPr>
    </w:p>
    <w:p w14:paraId="7E97203D" w14:textId="0B3E987C" w:rsidR="00270756" w:rsidRPr="00975C02" w:rsidRDefault="00270756" w:rsidP="00C8070B">
      <w:pPr>
        <w:numPr>
          <w:ilvl w:val="0"/>
          <w:numId w:val="2"/>
        </w:numPr>
        <w:tabs>
          <w:tab w:val="left" w:pos="567"/>
          <w:tab w:val="num" w:pos="12305"/>
        </w:tabs>
        <w:spacing w:line="240" w:lineRule="auto"/>
        <w:ind w:left="0" w:firstLine="0"/>
        <w:rPr>
          <w:rFonts w:cstheme="minorBidi"/>
          <w:sz w:val="20"/>
          <w:szCs w:val="20"/>
          <w:lang w:val="es-ES" w:eastAsia="en-US"/>
        </w:rPr>
      </w:pPr>
      <w:r w:rsidRPr="00975C02">
        <w:rPr>
          <w:rFonts w:cstheme="minorBidi"/>
          <w:sz w:val="20"/>
          <w:szCs w:val="20"/>
          <w:lang w:val="es-ES" w:eastAsia="en-US"/>
        </w:rPr>
        <w:t xml:space="preserve">Finalmente, </w:t>
      </w:r>
      <w:r w:rsidR="00837713" w:rsidRPr="00975C02">
        <w:rPr>
          <w:rFonts w:cstheme="minorBidi"/>
          <w:sz w:val="20"/>
          <w:szCs w:val="20"/>
          <w:lang w:val="es-ES" w:eastAsia="en-US"/>
        </w:rPr>
        <w:t xml:space="preserve">en cuanto </w:t>
      </w:r>
      <w:r w:rsidRPr="00975C02">
        <w:rPr>
          <w:rFonts w:cstheme="minorBidi"/>
          <w:sz w:val="20"/>
          <w:szCs w:val="20"/>
          <w:lang w:val="es-ES" w:eastAsia="en-US"/>
        </w:rPr>
        <w:t xml:space="preserve">a los derechos de la Convención sobre los </w:t>
      </w:r>
      <w:r w:rsidR="006A2F96" w:rsidRPr="00975C02">
        <w:rPr>
          <w:rFonts w:cstheme="minorBidi"/>
          <w:sz w:val="20"/>
          <w:szCs w:val="20"/>
          <w:lang w:val="es-ES" w:eastAsia="en-US"/>
        </w:rPr>
        <w:t>D</w:t>
      </w:r>
      <w:r w:rsidRPr="00975C02">
        <w:rPr>
          <w:rFonts w:cstheme="minorBidi"/>
          <w:sz w:val="20"/>
          <w:szCs w:val="20"/>
          <w:lang w:val="es-ES" w:eastAsia="en-US"/>
        </w:rPr>
        <w:t xml:space="preserve">erechos del </w:t>
      </w:r>
      <w:r w:rsidR="006A2F96" w:rsidRPr="00975C02">
        <w:rPr>
          <w:rFonts w:cstheme="minorBidi"/>
          <w:sz w:val="20"/>
          <w:szCs w:val="20"/>
          <w:lang w:val="es-ES" w:eastAsia="en-US"/>
        </w:rPr>
        <w:t>N</w:t>
      </w:r>
      <w:r w:rsidRPr="00975C02">
        <w:rPr>
          <w:rFonts w:cstheme="minorBidi"/>
          <w:sz w:val="20"/>
          <w:szCs w:val="20"/>
          <w:lang w:val="es-ES" w:eastAsia="en-US"/>
        </w:rPr>
        <w:t xml:space="preserve">iño, la Corte ya se ha expedido al </w:t>
      </w:r>
      <w:r w:rsidR="00837713" w:rsidRPr="00975C02">
        <w:rPr>
          <w:rFonts w:cstheme="minorBidi"/>
          <w:sz w:val="20"/>
          <w:szCs w:val="20"/>
          <w:lang w:val="es-ES" w:eastAsia="en-US"/>
        </w:rPr>
        <w:t xml:space="preserve">respecto al </w:t>
      </w:r>
      <w:r w:rsidRPr="00975C02">
        <w:rPr>
          <w:rFonts w:cstheme="minorBidi"/>
          <w:sz w:val="20"/>
          <w:szCs w:val="20"/>
          <w:lang w:val="es-ES" w:eastAsia="en-US"/>
        </w:rPr>
        <w:t xml:space="preserve">momento de abordar la excepción preliminar sobre la supuesta incompetencia </w:t>
      </w:r>
      <w:r w:rsidRPr="00975C02">
        <w:rPr>
          <w:rFonts w:cstheme="minorBidi"/>
          <w:i/>
          <w:sz w:val="20"/>
          <w:szCs w:val="20"/>
          <w:lang w:val="es-ES" w:eastAsia="en-US"/>
        </w:rPr>
        <w:t>ratione materia</w:t>
      </w:r>
      <w:r w:rsidR="00DF7C24" w:rsidRPr="00975C02">
        <w:rPr>
          <w:rFonts w:cstheme="minorBidi"/>
          <w:i/>
          <w:sz w:val="20"/>
          <w:szCs w:val="20"/>
          <w:lang w:val="es-ES" w:eastAsia="en-US"/>
        </w:rPr>
        <w:t>e</w:t>
      </w:r>
      <w:r w:rsidRPr="00975C02">
        <w:rPr>
          <w:rFonts w:cstheme="minorBidi"/>
          <w:sz w:val="20"/>
          <w:szCs w:val="20"/>
          <w:lang w:val="es-ES" w:eastAsia="en-US"/>
        </w:rPr>
        <w:t xml:space="preserve"> </w:t>
      </w:r>
      <w:r w:rsidR="00902FF3" w:rsidRPr="00975C02">
        <w:rPr>
          <w:rFonts w:cstheme="minorBidi"/>
          <w:sz w:val="20"/>
          <w:szCs w:val="20"/>
          <w:lang w:val="es-ES" w:eastAsia="en-US"/>
        </w:rPr>
        <w:t>o</w:t>
      </w:r>
      <w:r w:rsidRPr="00975C02">
        <w:rPr>
          <w:rFonts w:cstheme="minorBidi"/>
          <w:sz w:val="20"/>
          <w:szCs w:val="20"/>
          <w:lang w:val="es-ES" w:eastAsia="en-US"/>
        </w:rPr>
        <w:t>puesta por el Estado, por lo que se remite a lo allí resuelto</w:t>
      </w:r>
      <w:r w:rsidR="006A2F96" w:rsidRPr="00975C02">
        <w:rPr>
          <w:rFonts w:cstheme="minorBidi"/>
          <w:sz w:val="20"/>
          <w:szCs w:val="20"/>
          <w:lang w:val="es-ES" w:eastAsia="en-US"/>
        </w:rPr>
        <w:t xml:space="preserve"> (</w:t>
      </w:r>
      <w:r w:rsidR="006A2F96" w:rsidRPr="00975C02">
        <w:rPr>
          <w:rFonts w:cstheme="minorBidi"/>
          <w:i/>
          <w:sz w:val="20"/>
          <w:szCs w:val="20"/>
          <w:lang w:val="es-ES" w:eastAsia="en-US"/>
        </w:rPr>
        <w:t xml:space="preserve">supra </w:t>
      </w:r>
      <w:r w:rsidR="006A2F96" w:rsidRPr="00975C02">
        <w:rPr>
          <w:rFonts w:cstheme="minorBidi"/>
          <w:sz w:val="20"/>
          <w:szCs w:val="20"/>
          <w:lang w:val="es-ES" w:eastAsia="en-US"/>
        </w:rPr>
        <w:t>párr</w:t>
      </w:r>
      <w:r w:rsidR="00975C02">
        <w:rPr>
          <w:rFonts w:cstheme="minorBidi"/>
          <w:sz w:val="20"/>
          <w:szCs w:val="20"/>
          <w:lang w:val="es-ES" w:eastAsia="en-US"/>
        </w:rPr>
        <w:t>s</w:t>
      </w:r>
      <w:r w:rsidR="006A2F96" w:rsidRPr="00975C02">
        <w:rPr>
          <w:rFonts w:cstheme="minorBidi"/>
          <w:sz w:val="20"/>
          <w:szCs w:val="20"/>
          <w:lang w:val="es-ES" w:eastAsia="en-US"/>
        </w:rPr>
        <w:t xml:space="preserve">. </w:t>
      </w:r>
      <w:r w:rsidR="00DA704D" w:rsidRPr="00975C02">
        <w:rPr>
          <w:rFonts w:cstheme="minorBidi"/>
          <w:sz w:val="20"/>
          <w:szCs w:val="20"/>
          <w:lang w:val="es-ES" w:eastAsia="en-US"/>
        </w:rPr>
        <w:t>40 a 42</w:t>
      </w:r>
      <w:r w:rsidR="006A2F96" w:rsidRPr="00975C02">
        <w:rPr>
          <w:rFonts w:cstheme="minorBidi"/>
          <w:sz w:val="20"/>
          <w:szCs w:val="20"/>
          <w:lang w:val="es-ES" w:eastAsia="en-US"/>
        </w:rPr>
        <w:t>)</w:t>
      </w:r>
      <w:r w:rsidRPr="00975C02">
        <w:rPr>
          <w:rFonts w:cstheme="minorBidi"/>
          <w:sz w:val="20"/>
          <w:szCs w:val="20"/>
          <w:lang w:val="es-ES" w:eastAsia="en-US"/>
        </w:rPr>
        <w:t>.</w:t>
      </w:r>
    </w:p>
    <w:p w14:paraId="06BCD12E" w14:textId="77777777" w:rsidR="001C7E37" w:rsidRPr="00975C02" w:rsidRDefault="001C7E37" w:rsidP="001C7E37">
      <w:pPr>
        <w:spacing w:line="240" w:lineRule="auto"/>
        <w:jc w:val="center"/>
        <w:rPr>
          <w:sz w:val="20"/>
          <w:szCs w:val="20"/>
          <w:lang w:val="es-ES"/>
        </w:rPr>
      </w:pPr>
    </w:p>
    <w:p w14:paraId="14B17F7F" w14:textId="77777777" w:rsidR="001C7E37" w:rsidRPr="00975C02" w:rsidRDefault="001C7E37" w:rsidP="001C7E37">
      <w:pPr>
        <w:keepNext/>
        <w:keepLines/>
        <w:tabs>
          <w:tab w:val="left" w:pos="851"/>
        </w:tabs>
        <w:spacing w:line="240" w:lineRule="auto"/>
        <w:jc w:val="center"/>
        <w:outlineLvl w:val="0"/>
        <w:rPr>
          <w:rFonts w:cs="Verdana"/>
          <w:b/>
          <w:bCs/>
          <w:caps/>
          <w:snapToGrid w:val="0"/>
          <w:sz w:val="20"/>
          <w:szCs w:val="20"/>
          <w:lang w:val="es-ES"/>
        </w:rPr>
      </w:pPr>
      <w:bookmarkStart w:id="69" w:name="_Toc375517114"/>
      <w:bookmarkStart w:id="70" w:name="_Toc459158102"/>
      <w:bookmarkStart w:id="71" w:name="_Toc470180046"/>
      <w:bookmarkStart w:id="72" w:name="_Toc514172609"/>
      <w:r w:rsidRPr="00975C02">
        <w:rPr>
          <w:rFonts w:cs="Verdana"/>
          <w:b/>
          <w:bCs/>
          <w:caps/>
          <w:snapToGrid w:val="0"/>
          <w:sz w:val="20"/>
          <w:szCs w:val="20"/>
          <w:lang w:val="es-ES"/>
        </w:rPr>
        <w:t>VI</w:t>
      </w:r>
      <w:r w:rsidRPr="00975C02">
        <w:rPr>
          <w:rFonts w:cs="Verdana"/>
          <w:b/>
          <w:bCs/>
          <w:caps/>
          <w:snapToGrid w:val="0"/>
          <w:sz w:val="20"/>
          <w:szCs w:val="20"/>
          <w:lang w:val="es-ES"/>
        </w:rPr>
        <w:br/>
        <w:t>PRUEBA</w:t>
      </w:r>
      <w:bookmarkEnd w:id="69"/>
      <w:bookmarkEnd w:id="70"/>
      <w:bookmarkEnd w:id="71"/>
      <w:bookmarkEnd w:id="72"/>
    </w:p>
    <w:p w14:paraId="7874DDEF" w14:textId="77777777" w:rsidR="001C7E37" w:rsidRPr="00975C02" w:rsidRDefault="001C7E37" w:rsidP="001C7E37">
      <w:pPr>
        <w:spacing w:line="240" w:lineRule="auto"/>
        <w:rPr>
          <w:sz w:val="20"/>
          <w:szCs w:val="20"/>
          <w:lang w:val="es-ES"/>
        </w:rPr>
      </w:pPr>
    </w:p>
    <w:p w14:paraId="36731FDF" w14:textId="77777777" w:rsidR="001C7E37" w:rsidRPr="00975C02" w:rsidRDefault="001C7E37" w:rsidP="001C7E37">
      <w:pPr>
        <w:keepNext/>
        <w:keepLines/>
        <w:tabs>
          <w:tab w:val="left" w:pos="1134"/>
        </w:tabs>
        <w:spacing w:line="240" w:lineRule="auto"/>
        <w:ind w:left="567" w:firstLine="1"/>
        <w:outlineLvl w:val="1"/>
        <w:rPr>
          <w:rFonts w:eastAsia="MS Mincho"/>
          <w:b/>
          <w:bCs/>
          <w:i/>
          <w:sz w:val="20"/>
          <w:szCs w:val="20"/>
          <w:lang w:val="es-ES"/>
        </w:rPr>
      </w:pPr>
      <w:bookmarkStart w:id="73" w:name="_Toc375517115"/>
      <w:bookmarkStart w:id="74" w:name="_Toc459158103"/>
      <w:bookmarkStart w:id="75" w:name="_Toc470180047"/>
      <w:bookmarkStart w:id="76" w:name="_Toc514172610"/>
      <w:r w:rsidRPr="00975C02">
        <w:rPr>
          <w:rFonts w:eastAsia="MS Mincho"/>
          <w:b/>
          <w:bCs/>
          <w:i/>
          <w:sz w:val="20"/>
          <w:szCs w:val="20"/>
          <w:lang w:val="es-ES"/>
        </w:rPr>
        <w:t>A.</w:t>
      </w:r>
      <w:r w:rsidRPr="00975C02">
        <w:rPr>
          <w:rFonts w:eastAsia="MS Mincho"/>
          <w:b/>
          <w:bCs/>
          <w:i/>
          <w:sz w:val="20"/>
          <w:szCs w:val="20"/>
          <w:lang w:val="es-ES"/>
        </w:rPr>
        <w:tab/>
        <w:t>Prueba documental, testimonial y pericial</w:t>
      </w:r>
      <w:bookmarkEnd w:id="73"/>
      <w:bookmarkEnd w:id="74"/>
      <w:bookmarkEnd w:id="75"/>
      <w:bookmarkEnd w:id="76"/>
    </w:p>
    <w:p w14:paraId="799A8633" w14:textId="77777777" w:rsidR="001C7E37" w:rsidRPr="00975C02" w:rsidRDefault="001C7E37" w:rsidP="001C7E37">
      <w:pPr>
        <w:widowControl/>
        <w:tabs>
          <w:tab w:val="left" w:pos="567"/>
        </w:tabs>
        <w:autoSpaceDE w:val="0"/>
        <w:autoSpaceDN w:val="0"/>
        <w:adjustRightInd/>
        <w:spacing w:line="240" w:lineRule="auto"/>
        <w:textAlignment w:val="auto"/>
        <w:rPr>
          <w:rFonts w:cs="Verdana"/>
          <w:sz w:val="20"/>
          <w:szCs w:val="20"/>
          <w:lang w:val="es-ES" w:eastAsia="en-US"/>
        </w:rPr>
      </w:pPr>
    </w:p>
    <w:p w14:paraId="381B4AB7" w14:textId="28A63FB3" w:rsidR="001C7E37" w:rsidRPr="00975C02" w:rsidRDefault="001C7E37" w:rsidP="00C8070B">
      <w:pPr>
        <w:numPr>
          <w:ilvl w:val="0"/>
          <w:numId w:val="2"/>
        </w:numPr>
        <w:tabs>
          <w:tab w:val="left" w:pos="567"/>
          <w:tab w:val="num" w:pos="12305"/>
        </w:tabs>
        <w:spacing w:line="240" w:lineRule="auto"/>
        <w:ind w:left="0" w:firstLine="0"/>
        <w:rPr>
          <w:rFonts w:cs="Verdana"/>
          <w:sz w:val="20"/>
          <w:szCs w:val="20"/>
          <w:lang w:val="es-ES" w:eastAsia="en-US"/>
        </w:rPr>
      </w:pPr>
      <w:r w:rsidRPr="00975C02">
        <w:rPr>
          <w:sz w:val="20"/>
          <w:szCs w:val="20"/>
          <w:lang w:val="es-ES"/>
        </w:rPr>
        <w:t xml:space="preserve">La Corte recibió diversos documentos presentados como prueba por el Estado, las </w:t>
      </w:r>
      <w:r w:rsidR="00DB14D0" w:rsidRPr="00975C02">
        <w:rPr>
          <w:sz w:val="20"/>
          <w:szCs w:val="20"/>
          <w:lang w:val="es-ES"/>
        </w:rPr>
        <w:t>representantes</w:t>
      </w:r>
      <w:r w:rsidRPr="00975C02">
        <w:rPr>
          <w:sz w:val="20"/>
          <w:szCs w:val="20"/>
          <w:lang w:val="es-ES"/>
        </w:rPr>
        <w:t xml:space="preserve"> y la Comisión Interamericana, adjuntos a sus escritos principales y </w:t>
      </w:r>
      <w:r w:rsidR="00317BC4" w:rsidRPr="00975C02">
        <w:rPr>
          <w:sz w:val="20"/>
          <w:szCs w:val="20"/>
          <w:lang w:val="es-ES"/>
        </w:rPr>
        <w:t>como prueba para mejor resolver</w:t>
      </w:r>
      <w:r w:rsidRPr="00975C02">
        <w:rPr>
          <w:sz w:val="20"/>
          <w:szCs w:val="20"/>
          <w:lang w:val="es-ES"/>
        </w:rPr>
        <w:t xml:space="preserve"> (</w:t>
      </w:r>
      <w:r w:rsidRPr="00975C02">
        <w:rPr>
          <w:i/>
          <w:sz w:val="20"/>
          <w:szCs w:val="20"/>
          <w:lang w:val="es-ES"/>
        </w:rPr>
        <w:t>supra</w:t>
      </w:r>
      <w:r w:rsidRPr="00975C02">
        <w:rPr>
          <w:sz w:val="20"/>
          <w:szCs w:val="20"/>
          <w:lang w:val="es-ES"/>
        </w:rPr>
        <w:t xml:space="preserve"> párrs. </w:t>
      </w:r>
      <w:r w:rsidR="00B546D8" w:rsidRPr="00975C02">
        <w:rPr>
          <w:sz w:val="20"/>
          <w:szCs w:val="20"/>
          <w:lang w:val="es-ES"/>
        </w:rPr>
        <w:t>1, 6, 7</w:t>
      </w:r>
      <w:r w:rsidR="00BC054D" w:rsidRPr="00975C02">
        <w:rPr>
          <w:sz w:val="20"/>
          <w:szCs w:val="20"/>
          <w:lang w:val="es-ES"/>
        </w:rPr>
        <w:t xml:space="preserve"> y 12</w:t>
      </w:r>
      <w:r w:rsidRPr="00975C02">
        <w:rPr>
          <w:sz w:val="20"/>
          <w:szCs w:val="20"/>
          <w:lang w:val="es-ES"/>
        </w:rPr>
        <w:t>). Asimismo, la Corte recibió las declaraciones rendidas ante fedatario público (</w:t>
      </w:r>
      <w:r w:rsidRPr="00975C02">
        <w:rPr>
          <w:i/>
          <w:iCs/>
          <w:sz w:val="20"/>
          <w:szCs w:val="20"/>
          <w:lang w:val="es-ES"/>
        </w:rPr>
        <w:t>affidávit</w:t>
      </w:r>
      <w:r w:rsidRPr="00975C02">
        <w:rPr>
          <w:sz w:val="20"/>
          <w:szCs w:val="20"/>
          <w:lang w:val="es-ES"/>
        </w:rPr>
        <w:t xml:space="preserve">) de </w:t>
      </w:r>
      <w:r w:rsidR="002E1EE5" w:rsidRPr="00975C02">
        <w:rPr>
          <w:sz w:val="20"/>
          <w:szCs w:val="20"/>
          <w:lang w:val="es-ES"/>
        </w:rPr>
        <w:t xml:space="preserve">N.R.P., </w:t>
      </w:r>
      <w:r w:rsidRPr="00975C02">
        <w:rPr>
          <w:sz w:val="20"/>
          <w:szCs w:val="20"/>
          <w:lang w:val="es-ES"/>
        </w:rPr>
        <w:t>H.J.R.P. y V.A.R.P</w:t>
      </w:r>
      <w:r w:rsidR="007A37EF" w:rsidRPr="00975C02">
        <w:rPr>
          <w:sz w:val="20"/>
          <w:szCs w:val="20"/>
          <w:lang w:val="es-ES"/>
        </w:rPr>
        <w:t>.</w:t>
      </w:r>
      <w:r w:rsidR="00DB14D0" w:rsidRPr="00975C02">
        <w:rPr>
          <w:sz w:val="20"/>
          <w:szCs w:val="20"/>
          <w:lang w:val="es-ES"/>
        </w:rPr>
        <w:t>, propuestos por la</w:t>
      </w:r>
      <w:r w:rsidRPr="00975C02">
        <w:rPr>
          <w:sz w:val="20"/>
          <w:szCs w:val="20"/>
          <w:lang w:val="es-ES"/>
        </w:rPr>
        <w:t xml:space="preserve">s representantes. En cuanto a la prueba rendida en audiencia pública, la Corte recibió las declaraciones de las presuntas víctimas </w:t>
      </w:r>
      <w:r w:rsidR="00DB14D0" w:rsidRPr="00975C02">
        <w:rPr>
          <w:rFonts w:cs="Arial"/>
          <w:iCs/>
          <w:sz w:val="20"/>
          <w:szCs w:val="20"/>
          <w:lang w:val="es-ES"/>
        </w:rPr>
        <w:t xml:space="preserve">V.R.P. y </w:t>
      </w:r>
      <w:r w:rsidRPr="00975C02">
        <w:rPr>
          <w:rFonts w:cs="Arial"/>
          <w:iCs/>
          <w:sz w:val="20"/>
          <w:szCs w:val="20"/>
          <w:lang w:val="es-ES"/>
        </w:rPr>
        <w:t xml:space="preserve">V.P.C., </w:t>
      </w:r>
      <w:r w:rsidR="00DB14D0" w:rsidRPr="00975C02">
        <w:rPr>
          <w:rFonts w:cs="Arial"/>
          <w:iCs/>
          <w:sz w:val="20"/>
          <w:szCs w:val="20"/>
          <w:lang w:val="es-ES"/>
        </w:rPr>
        <w:t xml:space="preserve">así como los </w:t>
      </w:r>
      <w:r w:rsidR="007F7AA0" w:rsidRPr="00975C02">
        <w:rPr>
          <w:rFonts w:cs="Arial"/>
          <w:iCs/>
          <w:sz w:val="20"/>
          <w:szCs w:val="20"/>
          <w:lang w:val="es-ES"/>
        </w:rPr>
        <w:t>dictámenes</w:t>
      </w:r>
      <w:r w:rsidR="00DB14D0" w:rsidRPr="00975C02">
        <w:rPr>
          <w:rFonts w:cs="Arial"/>
          <w:iCs/>
          <w:sz w:val="20"/>
          <w:szCs w:val="20"/>
          <w:lang w:val="es-ES"/>
        </w:rPr>
        <w:t xml:space="preserve"> </w:t>
      </w:r>
      <w:r w:rsidRPr="00975C02">
        <w:rPr>
          <w:rFonts w:eastAsia="Verdana" w:cs="Verdana"/>
          <w:sz w:val="20"/>
          <w:szCs w:val="20"/>
          <w:lang w:val="es-ES"/>
        </w:rPr>
        <w:t xml:space="preserve">del </w:t>
      </w:r>
      <w:r w:rsidR="007F7AA0" w:rsidRPr="00975C02">
        <w:rPr>
          <w:rFonts w:eastAsia="Verdana" w:cs="Verdana"/>
          <w:sz w:val="20"/>
          <w:szCs w:val="20"/>
          <w:lang w:val="es-ES"/>
        </w:rPr>
        <w:t>perito</w:t>
      </w:r>
      <w:r w:rsidRPr="00975C02">
        <w:rPr>
          <w:rFonts w:eastAsia="Verdana" w:cs="Verdana"/>
          <w:sz w:val="20"/>
          <w:szCs w:val="20"/>
          <w:lang w:val="es-ES"/>
        </w:rPr>
        <w:t xml:space="preserve"> Enrique Oscar Stola, propuesto por las </w:t>
      </w:r>
      <w:r w:rsidR="00DB14D0" w:rsidRPr="00975C02">
        <w:rPr>
          <w:rFonts w:eastAsia="Verdana" w:cs="Verdana"/>
          <w:sz w:val="20"/>
          <w:szCs w:val="20"/>
          <w:lang w:val="es-ES"/>
        </w:rPr>
        <w:t xml:space="preserve">representantes, </w:t>
      </w:r>
      <w:r w:rsidRPr="00975C02">
        <w:rPr>
          <w:rFonts w:eastAsia="Verdana" w:cs="Verdana"/>
          <w:sz w:val="20"/>
          <w:szCs w:val="20"/>
          <w:lang w:val="es-ES"/>
        </w:rPr>
        <w:t xml:space="preserve">y </w:t>
      </w:r>
      <w:r w:rsidR="007F7AA0" w:rsidRPr="00975C02">
        <w:rPr>
          <w:rFonts w:eastAsia="Verdana" w:cs="Verdana"/>
          <w:sz w:val="20"/>
          <w:szCs w:val="20"/>
          <w:lang w:val="es-ES"/>
        </w:rPr>
        <w:t xml:space="preserve">del perito </w:t>
      </w:r>
      <w:r w:rsidRPr="00975C02">
        <w:rPr>
          <w:rFonts w:eastAsia="Verdana" w:cs="Verdana"/>
          <w:sz w:val="20"/>
          <w:szCs w:val="20"/>
          <w:lang w:val="es-ES"/>
        </w:rPr>
        <w:t>Miguel Cillero Bruñol, propuesto por la Comisión</w:t>
      </w:r>
      <w:r w:rsidRPr="00975C02">
        <w:rPr>
          <w:sz w:val="20"/>
          <w:szCs w:val="20"/>
          <w:lang w:val="es-ES"/>
        </w:rPr>
        <w:t>.</w:t>
      </w:r>
    </w:p>
    <w:p w14:paraId="0A0E0F72" w14:textId="77777777" w:rsidR="001C7E37" w:rsidRPr="00975C02" w:rsidRDefault="001C7E37" w:rsidP="001C7E37">
      <w:pPr>
        <w:autoSpaceDE w:val="0"/>
        <w:autoSpaceDN w:val="0"/>
        <w:spacing w:line="240" w:lineRule="auto"/>
        <w:rPr>
          <w:sz w:val="20"/>
          <w:szCs w:val="20"/>
          <w:lang w:val="es-ES"/>
        </w:rPr>
      </w:pPr>
    </w:p>
    <w:p w14:paraId="58734E65" w14:textId="77777777" w:rsidR="001C7E37" w:rsidRPr="00975C02" w:rsidRDefault="001C7E37" w:rsidP="001C7E37">
      <w:pPr>
        <w:keepNext/>
        <w:keepLines/>
        <w:tabs>
          <w:tab w:val="left" w:pos="1134"/>
        </w:tabs>
        <w:spacing w:line="240" w:lineRule="auto"/>
        <w:ind w:left="567" w:firstLine="1"/>
        <w:outlineLvl w:val="1"/>
        <w:rPr>
          <w:rFonts w:eastAsia="MS Mincho"/>
          <w:b/>
          <w:bCs/>
          <w:i/>
          <w:sz w:val="20"/>
          <w:szCs w:val="20"/>
          <w:lang w:val="es-ES"/>
        </w:rPr>
      </w:pPr>
      <w:bookmarkStart w:id="77" w:name="_Toc375517116"/>
      <w:bookmarkStart w:id="78" w:name="_Toc459158104"/>
      <w:bookmarkStart w:id="79" w:name="_Toc470180048"/>
      <w:bookmarkStart w:id="80" w:name="_Toc514172611"/>
      <w:r w:rsidRPr="00975C02">
        <w:rPr>
          <w:rFonts w:eastAsia="MS Mincho"/>
          <w:b/>
          <w:bCs/>
          <w:i/>
          <w:sz w:val="20"/>
          <w:szCs w:val="20"/>
          <w:lang w:val="es-ES"/>
        </w:rPr>
        <w:t xml:space="preserve">B. </w:t>
      </w:r>
      <w:r w:rsidRPr="00975C02">
        <w:rPr>
          <w:rFonts w:eastAsia="MS Mincho"/>
          <w:b/>
          <w:bCs/>
          <w:i/>
          <w:sz w:val="20"/>
          <w:szCs w:val="20"/>
          <w:lang w:val="es-ES"/>
        </w:rPr>
        <w:tab/>
        <w:t>Admisión de la prueba</w:t>
      </w:r>
      <w:bookmarkEnd w:id="77"/>
      <w:bookmarkEnd w:id="78"/>
      <w:bookmarkEnd w:id="79"/>
      <w:bookmarkEnd w:id="80"/>
    </w:p>
    <w:p w14:paraId="5A936B8E" w14:textId="77777777" w:rsidR="001C7E37" w:rsidRPr="00975C02" w:rsidRDefault="001C7E37" w:rsidP="001C7E37">
      <w:pPr>
        <w:spacing w:line="240" w:lineRule="auto"/>
        <w:rPr>
          <w:bCs/>
          <w:i/>
          <w:sz w:val="20"/>
          <w:szCs w:val="20"/>
          <w:lang w:val="es-ES"/>
        </w:rPr>
      </w:pPr>
    </w:p>
    <w:p w14:paraId="649211E2" w14:textId="77777777" w:rsidR="001C7E37" w:rsidRPr="00975C02" w:rsidRDefault="001C7E37" w:rsidP="00C607DD">
      <w:pPr>
        <w:pStyle w:val="Heading2"/>
        <w:tabs>
          <w:tab w:val="left" w:pos="1843"/>
        </w:tabs>
        <w:spacing w:before="0" w:line="240" w:lineRule="auto"/>
        <w:ind w:left="1134"/>
        <w:rPr>
          <w:rFonts w:ascii="Verdana" w:hAnsi="Verdana"/>
          <w:b w:val="0"/>
          <w:i/>
          <w:color w:val="auto"/>
          <w:sz w:val="20"/>
          <w:szCs w:val="20"/>
          <w:lang w:val="es-ES"/>
        </w:rPr>
      </w:pPr>
      <w:bookmarkStart w:id="81" w:name="_Toc375517117"/>
      <w:bookmarkStart w:id="82" w:name="_Toc459158105"/>
      <w:bookmarkStart w:id="83" w:name="_Toc470180049"/>
      <w:bookmarkStart w:id="84" w:name="_Toc514172612"/>
      <w:r w:rsidRPr="00975C02">
        <w:rPr>
          <w:rFonts w:ascii="Verdana" w:hAnsi="Verdana"/>
          <w:b w:val="0"/>
          <w:i/>
          <w:color w:val="auto"/>
          <w:sz w:val="20"/>
          <w:szCs w:val="20"/>
          <w:lang w:val="es-ES"/>
        </w:rPr>
        <w:t xml:space="preserve">B.1 </w:t>
      </w:r>
      <w:r w:rsidRPr="00975C02">
        <w:rPr>
          <w:rFonts w:ascii="Verdana" w:hAnsi="Verdana"/>
          <w:b w:val="0"/>
          <w:i/>
          <w:color w:val="auto"/>
          <w:sz w:val="20"/>
          <w:szCs w:val="20"/>
          <w:lang w:val="es-ES"/>
        </w:rPr>
        <w:tab/>
        <w:t>Admisión de la prueba documental</w:t>
      </w:r>
      <w:bookmarkEnd w:id="81"/>
      <w:bookmarkEnd w:id="82"/>
      <w:bookmarkEnd w:id="83"/>
      <w:bookmarkEnd w:id="84"/>
    </w:p>
    <w:p w14:paraId="52C4E923" w14:textId="77777777" w:rsidR="001C7E37" w:rsidRPr="00975C02" w:rsidRDefault="001C7E37" w:rsidP="001C7E37">
      <w:pPr>
        <w:widowControl/>
        <w:tabs>
          <w:tab w:val="left" w:pos="567"/>
        </w:tabs>
        <w:autoSpaceDE w:val="0"/>
        <w:autoSpaceDN w:val="0"/>
        <w:adjustRightInd/>
        <w:spacing w:line="240" w:lineRule="auto"/>
        <w:textAlignment w:val="auto"/>
        <w:rPr>
          <w:rFonts w:cs="Verdana"/>
          <w:sz w:val="20"/>
          <w:szCs w:val="20"/>
          <w:lang w:val="es-ES" w:eastAsia="en-US"/>
        </w:rPr>
      </w:pPr>
    </w:p>
    <w:p w14:paraId="6730BBFA" w14:textId="39C7BEC3" w:rsidR="001C7E37" w:rsidRPr="00975C02" w:rsidRDefault="001C7E3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el presente caso, como en otros, el Tribunal admite el valor probatorio de aquellos documentos presentados</w:t>
      </w:r>
      <w:r w:rsidR="007F4DDA" w:rsidRPr="00975C02">
        <w:rPr>
          <w:sz w:val="20"/>
          <w:szCs w:val="20"/>
          <w:lang w:val="es-ES"/>
        </w:rPr>
        <w:t xml:space="preserve"> por las partes y por la Comisión</w:t>
      </w:r>
      <w:r w:rsidRPr="00975C02">
        <w:rPr>
          <w:sz w:val="20"/>
          <w:szCs w:val="20"/>
          <w:lang w:val="es-ES"/>
        </w:rPr>
        <w:t xml:space="preserve"> en la debida oportunidad procesal</w:t>
      </w:r>
      <w:r w:rsidR="007F4DDA" w:rsidRPr="00975C02">
        <w:rPr>
          <w:sz w:val="20"/>
          <w:szCs w:val="20"/>
          <w:lang w:val="es-ES"/>
        </w:rPr>
        <w:t>,</w:t>
      </w:r>
      <w:r w:rsidRPr="00975C02">
        <w:rPr>
          <w:sz w:val="20"/>
          <w:szCs w:val="20"/>
          <w:lang w:val="es-ES"/>
        </w:rPr>
        <w:t xml:space="preserve"> que no fueron controvertidos ni objetados, y cuya autenticidad no fue puesta en duda</w:t>
      </w:r>
      <w:r w:rsidRPr="00975C02">
        <w:rPr>
          <w:sz w:val="20"/>
          <w:szCs w:val="20"/>
          <w:vertAlign w:val="superscript"/>
          <w:lang w:val="es-ES"/>
        </w:rPr>
        <w:footnoteReference w:id="39"/>
      </w:r>
      <w:r w:rsidRPr="00975C02">
        <w:rPr>
          <w:sz w:val="20"/>
          <w:szCs w:val="20"/>
          <w:lang w:val="es-ES"/>
        </w:rPr>
        <w:t>.</w:t>
      </w:r>
    </w:p>
    <w:p w14:paraId="53A864F9" w14:textId="77777777" w:rsidR="001C7E37" w:rsidRPr="00975C02" w:rsidRDefault="001C7E37" w:rsidP="001C7E37">
      <w:pPr>
        <w:widowControl/>
        <w:tabs>
          <w:tab w:val="left" w:pos="720"/>
        </w:tabs>
        <w:adjustRightInd/>
        <w:spacing w:line="240" w:lineRule="auto"/>
        <w:ind w:right="-90"/>
        <w:textAlignment w:val="auto"/>
        <w:rPr>
          <w:sz w:val="20"/>
          <w:szCs w:val="20"/>
          <w:lang w:val="es-ES"/>
        </w:rPr>
      </w:pPr>
    </w:p>
    <w:p w14:paraId="7E3687A9" w14:textId="7FA27BD3" w:rsidR="0098291D" w:rsidRPr="00975C02" w:rsidRDefault="0098291D" w:rsidP="0098291D">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Estado alegó que determinadas pruebas presentadas con el escrito de las representantes serían inadmisibles por</w:t>
      </w:r>
      <w:r w:rsidR="000A606B" w:rsidRPr="00975C02">
        <w:rPr>
          <w:sz w:val="20"/>
          <w:szCs w:val="20"/>
          <w:lang w:val="es-ES"/>
        </w:rPr>
        <w:t>que habría sido presentadas de forma</w:t>
      </w:r>
      <w:r w:rsidRPr="00975C02">
        <w:rPr>
          <w:sz w:val="20"/>
          <w:szCs w:val="20"/>
          <w:lang w:val="es-ES"/>
        </w:rPr>
        <w:t xml:space="preserve"> extemporánea. Ahora</w:t>
      </w:r>
      <w:r w:rsidRPr="00975C02">
        <w:rPr>
          <w:sz w:val="20"/>
          <w:szCs w:val="20"/>
          <w:lang w:val="es-ES" w:eastAsia="es-ES"/>
        </w:rPr>
        <w:t xml:space="preserve"> bien, de conformidad con el artículo 57.2 del Reglamento,</w:t>
      </w:r>
      <w:r w:rsidR="000A606B" w:rsidRPr="00975C02">
        <w:rPr>
          <w:sz w:val="20"/>
          <w:szCs w:val="20"/>
          <w:lang w:val="es-ES" w:eastAsia="es-ES"/>
        </w:rPr>
        <w:t xml:space="preserve"> la oportunidad procesal para la presentación de prueba documental es</w:t>
      </w:r>
      <w:r w:rsidRPr="00975C02">
        <w:rPr>
          <w:sz w:val="20"/>
          <w:szCs w:val="20"/>
          <w:lang w:val="es-ES" w:eastAsia="es-ES"/>
        </w:rPr>
        <w:t xml:space="preserve">, en general, junto con los escritos de sometimiento del caso, de solicitudes y argumentos o de contestación, según corresponda. </w:t>
      </w:r>
      <w:r w:rsidRPr="00975C02">
        <w:rPr>
          <w:sz w:val="20"/>
          <w:szCs w:val="20"/>
          <w:lang w:val="es-ES"/>
        </w:rPr>
        <w:t xml:space="preserve">Al respecto, la Corte nota que </w:t>
      </w:r>
      <w:r w:rsidR="000A606B" w:rsidRPr="00975C02">
        <w:rPr>
          <w:sz w:val="20"/>
          <w:szCs w:val="20"/>
          <w:lang w:val="es-ES"/>
        </w:rPr>
        <w:t xml:space="preserve">la </w:t>
      </w:r>
      <w:r w:rsidRPr="00975C02">
        <w:rPr>
          <w:sz w:val="20"/>
          <w:szCs w:val="20"/>
          <w:lang w:val="es-ES"/>
        </w:rPr>
        <w:t xml:space="preserve">prueba </w:t>
      </w:r>
      <w:r w:rsidR="000A606B" w:rsidRPr="00975C02">
        <w:rPr>
          <w:sz w:val="20"/>
          <w:szCs w:val="20"/>
          <w:lang w:val="es-ES"/>
        </w:rPr>
        <w:t xml:space="preserve">cuestionada por el Estado </w:t>
      </w:r>
      <w:r w:rsidRPr="00975C02">
        <w:rPr>
          <w:sz w:val="20"/>
          <w:szCs w:val="20"/>
          <w:lang w:val="es-ES"/>
        </w:rPr>
        <w:t xml:space="preserve">fue debidamente ofrecida en </w:t>
      </w:r>
      <w:r w:rsidR="000A606B" w:rsidRPr="00975C02">
        <w:rPr>
          <w:sz w:val="20"/>
          <w:szCs w:val="20"/>
          <w:lang w:val="es-ES"/>
        </w:rPr>
        <w:t>el momento</w:t>
      </w:r>
      <w:r w:rsidRPr="00975C02">
        <w:rPr>
          <w:sz w:val="20"/>
          <w:szCs w:val="20"/>
          <w:lang w:val="es-ES"/>
        </w:rPr>
        <w:t xml:space="preserve"> procesal oportun</w:t>
      </w:r>
      <w:r w:rsidR="000A606B" w:rsidRPr="00975C02">
        <w:rPr>
          <w:sz w:val="20"/>
          <w:szCs w:val="20"/>
          <w:lang w:val="es-ES"/>
        </w:rPr>
        <w:t>o</w:t>
      </w:r>
      <w:r w:rsidRPr="00975C02">
        <w:rPr>
          <w:sz w:val="20"/>
          <w:szCs w:val="20"/>
          <w:lang w:val="es-ES"/>
        </w:rPr>
        <w:t xml:space="preserve"> y sometida a la Corte junto con el escrito de solicitudes, argumentos y pruebas. La Corte reitera que el hecho de que se haya solicitado </w:t>
      </w:r>
      <w:r w:rsidR="000A606B" w:rsidRPr="00975C02">
        <w:rPr>
          <w:sz w:val="20"/>
          <w:szCs w:val="20"/>
          <w:lang w:val="es-ES"/>
        </w:rPr>
        <w:t>l</w:t>
      </w:r>
      <w:r w:rsidRPr="00975C02">
        <w:rPr>
          <w:sz w:val="20"/>
          <w:szCs w:val="20"/>
          <w:lang w:val="es-ES"/>
        </w:rPr>
        <w:t xml:space="preserve">a subsanación de ciertas deficiencias en los anexos, </w:t>
      </w:r>
      <w:r w:rsidR="00A173EC" w:rsidRPr="00975C02">
        <w:rPr>
          <w:sz w:val="20"/>
          <w:szCs w:val="20"/>
          <w:lang w:val="es-ES"/>
        </w:rPr>
        <w:t>específicamente de</w:t>
      </w:r>
      <w:r w:rsidRPr="00975C02">
        <w:rPr>
          <w:sz w:val="20"/>
          <w:szCs w:val="20"/>
          <w:lang w:val="es-ES"/>
        </w:rPr>
        <w:t xml:space="preserve"> </w:t>
      </w:r>
      <w:r w:rsidR="00A173EC" w:rsidRPr="00975C02">
        <w:rPr>
          <w:sz w:val="20"/>
          <w:szCs w:val="20"/>
          <w:lang w:val="es-ES"/>
        </w:rPr>
        <w:t xml:space="preserve">aquellos folios </w:t>
      </w:r>
      <w:r w:rsidRPr="00975C02">
        <w:rPr>
          <w:sz w:val="20"/>
          <w:szCs w:val="20"/>
          <w:lang w:val="es-ES"/>
        </w:rPr>
        <w:t>que se encontraban parcialmente ilegibles o que faltaba</w:t>
      </w:r>
      <w:r w:rsidR="00A173EC" w:rsidRPr="00975C02">
        <w:rPr>
          <w:sz w:val="20"/>
          <w:szCs w:val="20"/>
          <w:lang w:val="es-ES"/>
        </w:rPr>
        <w:t>n</w:t>
      </w:r>
      <w:r w:rsidRPr="00975C02">
        <w:rPr>
          <w:sz w:val="20"/>
          <w:szCs w:val="20"/>
          <w:lang w:val="es-ES"/>
        </w:rPr>
        <w:t xml:space="preserve">, no torna dicha prueba </w:t>
      </w:r>
      <w:r w:rsidRPr="00975C02">
        <w:rPr>
          <w:sz w:val="20"/>
          <w:szCs w:val="20"/>
          <w:lang w:val="es-ES"/>
        </w:rPr>
        <w:lastRenderedPageBreak/>
        <w:t>inadmisible o extemporánea</w:t>
      </w:r>
      <w:r w:rsidR="00A173EC" w:rsidRPr="00975C02">
        <w:rPr>
          <w:sz w:val="20"/>
          <w:szCs w:val="20"/>
          <w:lang w:val="es-ES"/>
        </w:rPr>
        <w:t xml:space="preserve"> </w:t>
      </w:r>
      <w:r w:rsidR="00A173EC" w:rsidRPr="00975C02">
        <w:rPr>
          <w:i/>
          <w:sz w:val="20"/>
          <w:szCs w:val="20"/>
          <w:lang w:val="es-ES"/>
        </w:rPr>
        <w:t>per se</w:t>
      </w:r>
      <w:r w:rsidRPr="00975C02">
        <w:rPr>
          <w:sz w:val="20"/>
          <w:szCs w:val="20"/>
          <w:lang w:val="es-ES"/>
        </w:rPr>
        <w:t>, ya que se encuentra dentro de la facultad del Tribunal procurar las pruebas que sean útiles para la resolución del caso</w:t>
      </w:r>
      <w:r w:rsidR="00A173EC" w:rsidRPr="00975C02">
        <w:rPr>
          <w:sz w:val="20"/>
          <w:szCs w:val="20"/>
          <w:lang w:val="es-ES"/>
        </w:rPr>
        <w:t xml:space="preserve"> y, de ser necesario, solicitar tal subsanación</w:t>
      </w:r>
      <w:r w:rsidRPr="00975C02">
        <w:rPr>
          <w:sz w:val="20"/>
          <w:szCs w:val="20"/>
          <w:lang w:val="es-ES"/>
        </w:rPr>
        <w:t>.</w:t>
      </w:r>
    </w:p>
    <w:p w14:paraId="0CFF4B1E" w14:textId="77777777" w:rsidR="0098291D" w:rsidRPr="00975C02" w:rsidRDefault="0098291D" w:rsidP="001C7E37">
      <w:pPr>
        <w:autoSpaceDE w:val="0"/>
        <w:autoSpaceDN w:val="0"/>
        <w:spacing w:line="240" w:lineRule="auto"/>
        <w:rPr>
          <w:sz w:val="20"/>
          <w:szCs w:val="20"/>
          <w:lang w:val="es-ES"/>
        </w:rPr>
      </w:pPr>
    </w:p>
    <w:p w14:paraId="38F186F4" w14:textId="13B566A1" w:rsidR="0093445D" w:rsidRPr="00975C02" w:rsidRDefault="00E659A5" w:rsidP="00E659A5">
      <w:pPr>
        <w:widowControl/>
        <w:numPr>
          <w:ilvl w:val="0"/>
          <w:numId w:val="2"/>
        </w:numPr>
        <w:tabs>
          <w:tab w:val="left" w:pos="567"/>
          <w:tab w:val="num" w:pos="12305"/>
        </w:tabs>
        <w:adjustRightInd/>
        <w:spacing w:line="240" w:lineRule="auto"/>
        <w:ind w:left="0" w:right="-90" w:firstLine="0"/>
        <w:textAlignment w:val="auto"/>
        <w:rPr>
          <w:sz w:val="20"/>
          <w:szCs w:val="20"/>
          <w:lang w:val="es-ES"/>
        </w:rPr>
      </w:pPr>
      <w:r w:rsidRPr="00975C02">
        <w:rPr>
          <w:sz w:val="20"/>
          <w:szCs w:val="20"/>
          <w:lang w:val="es-ES"/>
        </w:rPr>
        <w:t>Las representantes impugnaron varias pruebas presentadas por el Estado junto con su escrito de contestación. Respecto de una serie de anexos</w:t>
      </w:r>
      <w:r w:rsidR="000A606B" w:rsidRPr="00975C02">
        <w:rPr>
          <w:sz w:val="20"/>
          <w:szCs w:val="20"/>
          <w:lang w:val="es-ES"/>
        </w:rPr>
        <w:t>,</w:t>
      </w:r>
      <w:r w:rsidRPr="00975C02">
        <w:rPr>
          <w:sz w:val="20"/>
          <w:szCs w:val="20"/>
          <w:lang w:val="es-ES"/>
        </w:rPr>
        <w:t xml:space="preserve"> refirieron que se enc</w:t>
      </w:r>
      <w:r w:rsidR="000A606B" w:rsidRPr="00975C02">
        <w:rPr>
          <w:sz w:val="20"/>
          <w:szCs w:val="20"/>
          <w:lang w:val="es-ES"/>
        </w:rPr>
        <w:t>o</w:t>
      </w:r>
      <w:r w:rsidRPr="00975C02">
        <w:rPr>
          <w:sz w:val="20"/>
          <w:szCs w:val="20"/>
          <w:lang w:val="es-ES"/>
        </w:rPr>
        <w:t>ntra</w:t>
      </w:r>
      <w:r w:rsidR="000A606B" w:rsidRPr="00975C02">
        <w:rPr>
          <w:sz w:val="20"/>
          <w:szCs w:val="20"/>
          <w:lang w:val="es-ES"/>
        </w:rPr>
        <w:t>ba</w:t>
      </w:r>
      <w:r w:rsidRPr="00975C02">
        <w:rPr>
          <w:sz w:val="20"/>
          <w:szCs w:val="20"/>
          <w:lang w:val="es-ES"/>
        </w:rPr>
        <w:t>n incompletos. En cuanto a otros</w:t>
      </w:r>
      <w:r w:rsidR="000A606B" w:rsidRPr="00975C02">
        <w:rPr>
          <w:sz w:val="20"/>
          <w:szCs w:val="20"/>
          <w:lang w:val="es-ES"/>
        </w:rPr>
        <w:t xml:space="preserve"> anexos</w:t>
      </w:r>
      <w:r w:rsidRPr="00975C02">
        <w:rPr>
          <w:sz w:val="20"/>
          <w:szCs w:val="20"/>
          <w:lang w:val="es-ES"/>
        </w:rPr>
        <w:t>, indicaron que no serían susceptibles de demostrar aquello que se pre</w:t>
      </w:r>
      <w:r w:rsidR="00A173EC" w:rsidRPr="00975C02">
        <w:rPr>
          <w:sz w:val="20"/>
          <w:szCs w:val="20"/>
          <w:lang w:val="es-ES"/>
        </w:rPr>
        <w:t>tende o, como es el caso de la C</w:t>
      </w:r>
      <w:r w:rsidRPr="00975C02">
        <w:rPr>
          <w:sz w:val="20"/>
          <w:szCs w:val="20"/>
          <w:lang w:val="es-ES"/>
        </w:rPr>
        <w:t>onstitución</w:t>
      </w:r>
      <w:r w:rsidR="001F4518" w:rsidRPr="00975C02">
        <w:rPr>
          <w:sz w:val="20"/>
          <w:szCs w:val="20"/>
          <w:lang w:val="es-ES"/>
        </w:rPr>
        <w:t xml:space="preserve"> aportada</w:t>
      </w:r>
      <w:r w:rsidRPr="00975C02">
        <w:rPr>
          <w:sz w:val="20"/>
          <w:szCs w:val="20"/>
          <w:lang w:val="es-ES"/>
        </w:rPr>
        <w:t>, que el documento se encontraría desactualizado en tanto no conten</w:t>
      </w:r>
      <w:r w:rsidR="001F4518" w:rsidRPr="00975C02">
        <w:rPr>
          <w:sz w:val="20"/>
          <w:szCs w:val="20"/>
          <w:lang w:val="es-ES"/>
        </w:rPr>
        <w:t>dría</w:t>
      </w:r>
      <w:r w:rsidRPr="00975C02">
        <w:rPr>
          <w:sz w:val="20"/>
          <w:szCs w:val="20"/>
          <w:lang w:val="es-ES"/>
        </w:rPr>
        <w:t xml:space="preserve"> ciertas reformas. Al respecto, la Corte considera que las cuestiones planteadas se refieren al valor probatorio de la prueba pero no a su admisibilidad.</w:t>
      </w:r>
    </w:p>
    <w:p w14:paraId="24D31C4E" w14:textId="77777777" w:rsidR="0093445D" w:rsidRPr="00975C02" w:rsidRDefault="0093445D" w:rsidP="001C7E37">
      <w:pPr>
        <w:autoSpaceDE w:val="0"/>
        <w:autoSpaceDN w:val="0"/>
        <w:spacing w:line="240" w:lineRule="auto"/>
        <w:rPr>
          <w:sz w:val="20"/>
          <w:szCs w:val="20"/>
          <w:lang w:val="es-ES"/>
        </w:rPr>
      </w:pPr>
    </w:p>
    <w:p w14:paraId="51F191C2" w14:textId="6E8E532D" w:rsidR="001C7E37" w:rsidRPr="00975C02" w:rsidRDefault="0098291D" w:rsidP="00F4487F">
      <w:pPr>
        <w:widowControl/>
        <w:numPr>
          <w:ilvl w:val="0"/>
          <w:numId w:val="2"/>
        </w:numPr>
        <w:tabs>
          <w:tab w:val="left" w:pos="567"/>
          <w:tab w:val="num" w:pos="12305"/>
        </w:tabs>
        <w:adjustRightInd/>
        <w:spacing w:line="240" w:lineRule="auto"/>
        <w:ind w:left="0" w:right="-90" w:firstLine="0"/>
        <w:textAlignment w:val="auto"/>
        <w:rPr>
          <w:sz w:val="20"/>
          <w:szCs w:val="20"/>
          <w:lang w:val="es-ES"/>
        </w:rPr>
      </w:pPr>
      <w:r w:rsidRPr="00975C02">
        <w:rPr>
          <w:sz w:val="20"/>
          <w:szCs w:val="20"/>
          <w:lang w:val="es-ES"/>
        </w:rPr>
        <w:t>De conformidad con el artículo 58.b de</w:t>
      </w:r>
      <w:r w:rsidR="00DA70CC" w:rsidRPr="00975C02">
        <w:rPr>
          <w:sz w:val="20"/>
          <w:szCs w:val="20"/>
          <w:lang w:val="es-ES"/>
        </w:rPr>
        <w:t xml:space="preserve"> su</w:t>
      </w:r>
      <w:r w:rsidRPr="00975C02">
        <w:rPr>
          <w:sz w:val="20"/>
          <w:szCs w:val="20"/>
          <w:lang w:val="es-ES"/>
        </w:rPr>
        <w:t xml:space="preserve"> Reglamento, la Corte estima procedente admitir los documentos aportados por el Estado, que fueron solicitados por los jueces del Tribunal o su Presidencia como prueba para mejor resolver.</w:t>
      </w:r>
      <w:r w:rsidR="00F4487F" w:rsidRPr="00975C02">
        <w:rPr>
          <w:sz w:val="20"/>
          <w:szCs w:val="20"/>
          <w:lang w:val="es-ES"/>
        </w:rPr>
        <w:t xml:space="preserve"> </w:t>
      </w:r>
      <w:r w:rsidR="00DA70CC" w:rsidRPr="00975C02">
        <w:rPr>
          <w:sz w:val="20"/>
          <w:szCs w:val="20"/>
          <w:lang w:val="es-ES"/>
        </w:rPr>
        <w:t xml:space="preserve">No obstante, </w:t>
      </w:r>
      <w:r w:rsidR="00CE08AD" w:rsidRPr="00975C02">
        <w:rPr>
          <w:sz w:val="20"/>
          <w:szCs w:val="20"/>
          <w:lang w:val="es-ES"/>
        </w:rPr>
        <w:t>la Corte nota que l</w:t>
      </w:r>
      <w:r w:rsidR="00F4487F" w:rsidRPr="00975C02">
        <w:rPr>
          <w:sz w:val="20"/>
          <w:szCs w:val="20"/>
          <w:lang w:val="es-ES"/>
        </w:rPr>
        <w:t>as representantes objetaron l</w:t>
      </w:r>
      <w:r w:rsidR="006673EC" w:rsidRPr="00975C02">
        <w:rPr>
          <w:sz w:val="20"/>
          <w:szCs w:val="20"/>
          <w:lang w:val="es-ES"/>
        </w:rPr>
        <w:t>os</w:t>
      </w:r>
      <w:r w:rsidR="00F4487F" w:rsidRPr="00975C02">
        <w:rPr>
          <w:sz w:val="20"/>
          <w:szCs w:val="20"/>
          <w:lang w:val="es-ES"/>
        </w:rPr>
        <w:t xml:space="preserve"> anexo</w:t>
      </w:r>
      <w:r w:rsidR="006673EC" w:rsidRPr="00975C02">
        <w:rPr>
          <w:sz w:val="20"/>
          <w:szCs w:val="20"/>
          <w:lang w:val="es-ES"/>
        </w:rPr>
        <w:t>s</w:t>
      </w:r>
      <w:r w:rsidR="00F4487F" w:rsidRPr="00975C02">
        <w:rPr>
          <w:sz w:val="20"/>
          <w:szCs w:val="20"/>
          <w:lang w:val="es-ES"/>
        </w:rPr>
        <w:t xml:space="preserve"> 9</w:t>
      </w:r>
      <w:r w:rsidR="006673EC" w:rsidRPr="00975C02">
        <w:rPr>
          <w:sz w:val="20"/>
          <w:szCs w:val="20"/>
          <w:lang w:val="es-ES"/>
        </w:rPr>
        <w:t>.a y 9.b.6</w:t>
      </w:r>
      <w:r w:rsidR="00F4487F" w:rsidRPr="00975C02">
        <w:rPr>
          <w:sz w:val="20"/>
          <w:szCs w:val="20"/>
          <w:lang w:val="es-ES"/>
        </w:rPr>
        <w:t xml:space="preserve"> </w:t>
      </w:r>
      <w:r w:rsidR="00E53117" w:rsidRPr="00975C02">
        <w:rPr>
          <w:sz w:val="20"/>
          <w:szCs w:val="20"/>
          <w:lang w:val="es-ES"/>
        </w:rPr>
        <w:t>remitido</w:t>
      </w:r>
      <w:r w:rsidR="006673EC" w:rsidRPr="00975C02">
        <w:rPr>
          <w:sz w:val="20"/>
          <w:szCs w:val="20"/>
          <w:lang w:val="es-ES"/>
        </w:rPr>
        <w:t>s</w:t>
      </w:r>
      <w:r w:rsidR="00E53117" w:rsidRPr="00975C02">
        <w:rPr>
          <w:sz w:val="20"/>
          <w:szCs w:val="20"/>
          <w:lang w:val="es-ES"/>
        </w:rPr>
        <w:t xml:space="preserve"> por el Estado </w:t>
      </w:r>
      <w:r w:rsidR="00F4487F" w:rsidRPr="00975C02">
        <w:rPr>
          <w:sz w:val="20"/>
          <w:szCs w:val="20"/>
          <w:lang w:val="es-ES"/>
        </w:rPr>
        <w:t>en tanto no consistiría</w:t>
      </w:r>
      <w:r w:rsidR="006673EC" w:rsidRPr="00975C02">
        <w:rPr>
          <w:sz w:val="20"/>
          <w:szCs w:val="20"/>
          <w:lang w:val="es-ES"/>
        </w:rPr>
        <w:t>n</w:t>
      </w:r>
      <w:r w:rsidR="00F4487F" w:rsidRPr="00975C02">
        <w:rPr>
          <w:sz w:val="20"/>
          <w:szCs w:val="20"/>
          <w:lang w:val="es-ES"/>
        </w:rPr>
        <w:t xml:space="preserve"> en documento</w:t>
      </w:r>
      <w:r w:rsidR="006673EC" w:rsidRPr="00975C02">
        <w:rPr>
          <w:sz w:val="20"/>
          <w:szCs w:val="20"/>
          <w:lang w:val="es-ES"/>
        </w:rPr>
        <w:t>s</w:t>
      </w:r>
      <w:r w:rsidR="00F4487F" w:rsidRPr="00975C02">
        <w:rPr>
          <w:sz w:val="20"/>
          <w:szCs w:val="20"/>
          <w:lang w:val="es-ES"/>
        </w:rPr>
        <w:t xml:space="preserve"> oficial</w:t>
      </w:r>
      <w:r w:rsidR="006673EC" w:rsidRPr="00975C02">
        <w:rPr>
          <w:sz w:val="20"/>
          <w:szCs w:val="20"/>
          <w:lang w:val="es-ES"/>
        </w:rPr>
        <w:t>es</w:t>
      </w:r>
      <w:r w:rsidR="00E53117" w:rsidRPr="00975C02">
        <w:rPr>
          <w:sz w:val="20"/>
          <w:szCs w:val="20"/>
          <w:lang w:val="es-ES"/>
        </w:rPr>
        <w:t xml:space="preserve">. Atendiendo a que no es posible verificar </w:t>
      </w:r>
      <w:r w:rsidR="006673EC" w:rsidRPr="00975C02">
        <w:rPr>
          <w:sz w:val="20"/>
          <w:szCs w:val="20"/>
          <w:lang w:val="es-ES"/>
        </w:rPr>
        <w:t>la autenticidad de dichos documentos</w:t>
      </w:r>
      <w:r w:rsidR="00E53117" w:rsidRPr="00975C02">
        <w:rPr>
          <w:sz w:val="20"/>
          <w:szCs w:val="20"/>
          <w:lang w:val="es-ES"/>
        </w:rPr>
        <w:t>, la Corte lo</w:t>
      </w:r>
      <w:r w:rsidR="006673EC" w:rsidRPr="00975C02">
        <w:rPr>
          <w:sz w:val="20"/>
          <w:szCs w:val="20"/>
          <w:lang w:val="es-ES"/>
        </w:rPr>
        <w:t>s</w:t>
      </w:r>
      <w:r w:rsidR="00E53117" w:rsidRPr="00975C02">
        <w:rPr>
          <w:sz w:val="20"/>
          <w:szCs w:val="20"/>
          <w:lang w:val="es-ES"/>
        </w:rPr>
        <w:t xml:space="preserve"> declara inadmisible</w:t>
      </w:r>
      <w:r w:rsidR="006673EC" w:rsidRPr="00975C02">
        <w:rPr>
          <w:sz w:val="20"/>
          <w:szCs w:val="20"/>
          <w:lang w:val="es-ES"/>
        </w:rPr>
        <w:t>s</w:t>
      </w:r>
      <w:r w:rsidR="00E53117" w:rsidRPr="00975C02">
        <w:rPr>
          <w:sz w:val="20"/>
          <w:szCs w:val="20"/>
          <w:lang w:val="es-ES"/>
        </w:rPr>
        <w:t>. A su vez,</w:t>
      </w:r>
      <w:r w:rsidR="00F4487F" w:rsidRPr="00975C02">
        <w:rPr>
          <w:sz w:val="20"/>
          <w:szCs w:val="20"/>
          <w:lang w:val="es-ES"/>
        </w:rPr>
        <w:t xml:space="preserve"> </w:t>
      </w:r>
      <w:r w:rsidR="00E53117" w:rsidRPr="00975C02">
        <w:rPr>
          <w:sz w:val="20"/>
          <w:szCs w:val="20"/>
          <w:lang w:val="es-ES"/>
        </w:rPr>
        <w:t xml:space="preserve">las representantes </w:t>
      </w:r>
      <w:r w:rsidR="00F4487F" w:rsidRPr="00975C02">
        <w:rPr>
          <w:sz w:val="20"/>
          <w:szCs w:val="20"/>
          <w:lang w:val="es-ES"/>
        </w:rPr>
        <w:t>indicaron que varios de los documentos relativos a normativa y protocolos son posteriores a los hechos del caso</w:t>
      </w:r>
      <w:r w:rsidR="00E53117" w:rsidRPr="00975C02">
        <w:rPr>
          <w:sz w:val="20"/>
          <w:szCs w:val="20"/>
          <w:lang w:val="es-ES"/>
        </w:rPr>
        <w:t xml:space="preserve">, lo cual será tenido en cuenta </w:t>
      </w:r>
      <w:r w:rsidR="00517514" w:rsidRPr="00975C02">
        <w:rPr>
          <w:sz w:val="20"/>
          <w:szCs w:val="20"/>
          <w:lang w:val="es-ES"/>
        </w:rPr>
        <w:t xml:space="preserve">por la Corte </w:t>
      </w:r>
      <w:r w:rsidR="00E53117" w:rsidRPr="00975C02">
        <w:rPr>
          <w:sz w:val="20"/>
          <w:szCs w:val="20"/>
          <w:lang w:val="es-ES"/>
        </w:rPr>
        <w:t>al evaluar dicha documentación</w:t>
      </w:r>
      <w:r w:rsidR="00F4487F" w:rsidRPr="00975C02">
        <w:rPr>
          <w:sz w:val="20"/>
          <w:szCs w:val="20"/>
          <w:lang w:val="es-ES"/>
        </w:rPr>
        <w:t>.</w:t>
      </w:r>
    </w:p>
    <w:p w14:paraId="3B71ACDF" w14:textId="77777777" w:rsidR="001C7E37" w:rsidRPr="00975C02" w:rsidRDefault="001C7E37" w:rsidP="001C7E37">
      <w:pPr>
        <w:widowControl/>
        <w:tabs>
          <w:tab w:val="left" w:pos="567"/>
        </w:tabs>
        <w:adjustRightInd/>
        <w:spacing w:line="240" w:lineRule="auto"/>
        <w:ind w:right="-90"/>
        <w:textAlignment w:val="auto"/>
        <w:rPr>
          <w:sz w:val="20"/>
          <w:szCs w:val="20"/>
          <w:lang w:val="es-ES"/>
        </w:rPr>
      </w:pPr>
    </w:p>
    <w:p w14:paraId="1301C859" w14:textId="77777777" w:rsidR="001C7E37" w:rsidRPr="00975C02" w:rsidRDefault="001C7E37" w:rsidP="00C607DD">
      <w:pPr>
        <w:pStyle w:val="Heading2"/>
        <w:tabs>
          <w:tab w:val="left" w:pos="1843"/>
        </w:tabs>
        <w:spacing w:before="0" w:line="240" w:lineRule="auto"/>
        <w:ind w:left="1134"/>
        <w:rPr>
          <w:rFonts w:ascii="Verdana" w:hAnsi="Verdana"/>
          <w:b w:val="0"/>
          <w:i/>
          <w:color w:val="auto"/>
          <w:sz w:val="20"/>
          <w:szCs w:val="20"/>
          <w:lang w:val="es-ES"/>
        </w:rPr>
      </w:pPr>
      <w:bookmarkStart w:id="85" w:name="_Toc375517118"/>
      <w:bookmarkStart w:id="86" w:name="_Toc459158106"/>
      <w:bookmarkStart w:id="87" w:name="_Toc470180050"/>
      <w:bookmarkStart w:id="88" w:name="_Toc514172613"/>
      <w:r w:rsidRPr="00975C02">
        <w:rPr>
          <w:rFonts w:ascii="Verdana" w:hAnsi="Verdana"/>
          <w:b w:val="0"/>
          <w:i/>
          <w:color w:val="auto"/>
          <w:sz w:val="20"/>
          <w:szCs w:val="20"/>
          <w:lang w:val="es-ES"/>
        </w:rPr>
        <w:t xml:space="preserve">B.2 </w:t>
      </w:r>
      <w:r w:rsidRPr="00975C02">
        <w:rPr>
          <w:rFonts w:ascii="Verdana" w:hAnsi="Verdana"/>
          <w:b w:val="0"/>
          <w:i/>
          <w:color w:val="auto"/>
          <w:sz w:val="20"/>
          <w:szCs w:val="20"/>
          <w:lang w:val="es-ES"/>
        </w:rPr>
        <w:tab/>
        <w:t>Admisión de las declaraciones y de los dictámenes periciales</w:t>
      </w:r>
      <w:bookmarkEnd w:id="85"/>
      <w:bookmarkEnd w:id="86"/>
      <w:bookmarkEnd w:id="87"/>
      <w:bookmarkEnd w:id="88"/>
    </w:p>
    <w:p w14:paraId="466FAFEF" w14:textId="77777777" w:rsidR="001C7E37" w:rsidRPr="00975C02" w:rsidRDefault="001C7E37" w:rsidP="001C7E37">
      <w:pPr>
        <w:widowControl/>
        <w:tabs>
          <w:tab w:val="left" w:pos="720"/>
        </w:tabs>
        <w:adjustRightInd/>
        <w:spacing w:line="240" w:lineRule="auto"/>
        <w:ind w:right="-90"/>
        <w:textAlignment w:val="auto"/>
        <w:rPr>
          <w:sz w:val="20"/>
          <w:szCs w:val="20"/>
          <w:lang w:val="es-ES"/>
        </w:rPr>
      </w:pPr>
    </w:p>
    <w:p w14:paraId="45BD471B" w14:textId="77777777" w:rsidR="001C7E37" w:rsidRPr="00975C02" w:rsidRDefault="001C7E37" w:rsidP="00C8070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La Corte estima pertinente admitir las declaraciones y dictámenes rendidos en audiencia pública y mediante declaraciones ante fedatario público, en cuanto se ajusten al objeto definido por el Presidente en la Resolución que ordenó recibirlos</w:t>
      </w:r>
      <w:r w:rsidRPr="00975C02">
        <w:rPr>
          <w:sz w:val="20"/>
          <w:szCs w:val="20"/>
          <w:vertAlign w:val="superscript"/>
          <w:lang w:val="es-ES"/>
        </w:rPr>
        <w:footnoteReference w:id="40"/>
      </w:r>
      <w:r w:rsidRPr="00975C02">
        <w:rPr>
          <w:sz w:val="20"/>
          <w:szCs w:val="20"/>
          <w:lang w:val="es-ES"/>
        </w:rPr>
        <w:t xml:space="preserve"> y al objeto del presente caso.</w:t>
      </w:r>
    </w:p>
    <w:p w14:paraId="095DA423" w14:textId="77777777" w:rsidR="001C7E37" w:rsidRPr="00975C02" w:rsidRDefault="001C7E37" w:rsidP="001C7E37">
      <w:pPr>
        <w:pStyle w:val="ListParagraph"/>
        <w:spacing w:line="240" w:lineRule="auto"/>
        <w:ind w:left="0"/>
        <w:rPr>
          <w:rFonts w:cs="Verdana"/>
          <w:sz w:val="20"/>
          <w:szCs w:val="20"/>
          <w:lang w:val="es-ES" w:eastAsia="es-MX"/>
        </w:rPr>
      </w:pPr>
    </w:p>
    <w:p w14:paraId="686E9792" w14:textId="77777777" w:rsidR="001C7E37" w:rsidRPr="00975C02" w:rsidRDefault="001C7E37" w:rsidP="001C7E37">
      <w:pPr>
        <w:keepNext/>
        <w:keepLines/>
        <w:tabs>
          <w:tab w:val="left" w:pos="1134"/>
        </w:tabs>
        <w:spacing w:line="240" w:lineRule="auto"/>
        <w:ind w:left="567" w:firstLine="1"/>
        <w:outlineLvl w:val="1"/>
        <w:rPr>
          <w:rFonts w:eastAsia="MS Mincho"/>
          <w:b/>
          <w:bCs/>
          <w:i/>
          <w:sz w:val="20"/>
          <w:szCs w:val="20"/>
          <w:lang w:val="es-ES"/>
        </w:rPr>
      </w:pPr>
      <w:bookmarkStart w:id="89" w:name="_Toc405857807"/>
      <w:bookmarkStart w:id="90" w:name="_Toc423107375"/>
      <w:bookmarkStart w:id="91" w:name="_Toc438113881"/>
      <w:bookmarkStart w:id="92" w:name="_Toc459158107"/>
      <w:bookmarkStart w:id="93" w:name="_Toc470180051"/>
      <w:bookmarkStart w:id="94" w:name="_Toc514172614"/>
      <w:r w:rsidRPr="00975C02">
        <w:rPr>
          <w:rFonts w:eastAsia="MS Mincho"/>
          <w:b/>
          <w:bCs/>
          <w:i/>
          <w:sz w:val="20"/>
          <w:szCs w:val="20"/>
          <w:lang w:val="es-ES"/>
        </w:rPr>
        <w:t xml:space="preserve">C. </w:t>
      </w:r>
      <w:r w:rsidRPr="00975C02">
        <w:rPr>
          <w:rFonts w:eastAsia="MS Mincho"/>
          <w:b/>
          <w:bCs/>
          <w:i/>
          <w:sz w:val="20"/>
          <w:szCs w:val="20"/>
          <w:lang w:val="es-ES"/>
        </w:rPr>
        <w:tab/>
        <w:t>Valoración de la prueba</w:t>
      </w:r>
      <w:bookmarkEnd w:id="89"/>
      <w:bookmarkEnd w:id="90"/>
      <w:bookmarkEnd w:id="91"/>
      <w:bookmarkEnd w:id="92"/>
      <w:bookmarkEnd w:id="93"/>
      <w:bookmarkEnd w:id="94"/>
    </w:p>
    <w:p w14:paraId="75B9B977" w14:textId="77777777" w:rsidR="001C7E37" w:rsidRPr="00975C02" w:rsidRDefault="001C7E37" w:rsidP="001C7E37">
      <w:pPr>
        <w:spacing w:line="240" w:lineRule="auto"/>
        <w:rPr>
          <w:sz w:val="20"/>
          <w:szCs w:val="20"/>
          <w:lang w:val="es-ES" w:eastAsia="es-MX"/>
        </w:rPr>
      </w:pPr>
      <w:bookmarkStart w:id="95" w:name="_Ref402038868"/>
    </w:p>
    <w:p w14:paraId="710D0CFA" w14:textId="77777777" w:rsidR="001C7E37" w:rsidRPr="00975C02" w:rsidRDefault="001C7E37" w:rsidP="00C8070B">
      <w:pPr>
        <w:numPr>
          <w:ilvl w:val="0"/>
          <w:numId w:val="2"/>
        </w:numPr>
        <w:tabs>
          <w:tab w:val="left" w:pos="567"/>
          <w:tab w:val="num" w:pos="12305"/>
        </w:tabs>
        <w:spacing w:line="240" w:lineRule="auto"/>
        <w:ind w:left="0" w:firstLine="0"/>
        <w:rPr>
          <w:rFonts w:cs="Verdana"/>
          <w:sz w:val="20"/>
          <w:szCs w:val="20"/>
          <w:lang w:val="es-ES" w:eastAsia="es-MX"/>
        </w:rPr>
      </w:pPr>
      <w:r w:rsidRPr="00975C02">
        <w:rPr>
          <w:rFonts w:cs="Verdana"/>
          <w:sz w:val="20"/>
          <w:szCs w:val="20"/>
          <w:lang w:val="es-ES" w:eastAsia="es-MX"/>
        </w:rPr>
        <w:t>Con base en su jurisprudencia constante respecto de la prueba y su apreciación, la Corte examinará y valorará los elementos probatorios documentales remitidos por las partes y la Comisión que fueron incorporados por este Tribunal, así como las declaraciones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975C02">
        <w:rPr>
          <w:rFonts w:cs="Verdana"/>
          <w:sz w:val="20"/>
          <w:szCs w:val="20"/>
          <w:vertAlign w:val="superscript"/>
          <w:lang w:val="es-ES" w:eastAsia="es-MX"/>
        </w:rPr>
        <w:footnoteReference w:id="41"/>
      </w:r>
      <w:r w:rsidRPr="00975C02">
        <w:rPr>
          <w:rFonts w:cs="Verdana"/>
          <w:sz w:val="20"/>
          <w:szCs w:val="20"/>
          <w:lang w:val="es-ES" w:eastAsia="es-MX"/>
        </w:rPr>
        <w:t>.</w:t>
      </w:r>
      <w:bookmarkEnd w:id="95"/>
    </w:p>
    <w:p w14:paraId="1CB7D1AD" w14:textId="77777777" w:rsidR="001C7E37" w:rsidRPr="00975C02" w:rsidRDefault="001C7E37" w:rsidP="001C7E37">
      <w:pPr>
        <w:spacing w:line="240" w:lineRule="auto"/>
        <w:rPr>
          <w:sz w:val="20"/>
          <w:szCs w:val="20"/>
          <w:lang w:val="es-ES" w:eastAsia="es-MX"/>
        </w:rPr>
      </w:pPr>
    </w:p>
    <w:p w14:paraId="52F3A141" w14:textId="2B6BBC49" w:rsidR="001C7E37" w:rsidRPr="00975C02" w:rsidRDefault="001C7E37" w:rsidP="00C8070B">
      <w:pPr>
        <w:numPr>
          <w:ilvl w:val="0"/>
          <w:numId w:val="2"/>
        </w:numPr>
        <w:tabs>
          <w:tab w:val="left" w:pos="567"/>
          <w:tab w:val="num" w:pos="12305"/>
        </w:tabs>
        <w:spacing w:line="240" w:lineRule="auto"/>
        <w:ind w:left="0" w:firstLine="0"/>
        <w:rPr>
          <w:rFonts w:cs="Verdana"/>
          <w:sz w:val="20"/>
          <w:szCs w:val="20"/>
          <w:lang w:val="es-ES" w:eastAsia="es-MX"/>
        </w:rPr>
      </w:pPr>
      <w:bookmarkStart w:id="96" w:name="_Ref402038884"/>
      <w:r w:rsidRPr="00975C02">
        <w:rPr>
          <w:rFonts w:cs="Verdana"/>
          <w:sz w:val="20"/>
          <w:szCs w:val="20"/>
          <w:lang w:val="es-ES" w:eastAsia="es-MX"/>
        </w:rPr>
        <w:t xml:space="preserve">Finalmente, conforme a </w:t>
      </w:r>
      <w:r w:rsidR="00517514" w:rsidRPr="00975C02">
        <w:rPr>
          <w:rFonts w:cs="Verdana"/>
          <w:sz w:val="20"/>
          <w:szCs w:val="20"/>
          <w:lang w:val="es-ES" w:eastAsia="es-MX"/>
        </w:rPr>
        <w:t xml:space="preserve">su </w:t>
      </w:r>
      <w:r w:rsidRPr="00975C02">
        <w:rPr>
          <w:rFonts w:cs="Verdana"/>
          <w:sz w:val="20"/>
          <w:szCs w:val="20"/>
          <w:lang w:val="es-ES" w:eastAsia="es-MX"/>
        </w:rPr>
        <w:t>jurisprudencia, la Corte recuerda que las declaraciones rendidas por las presuntas víctimas no pueden ser valoradas aisladamente sino dentro del conjunto de las pruebas del proceso, en la medida en que pueden proporcionar mayor información sobre las presuntas violaciones y sus consecuencias</w:t>
      </w:r>
      <w:r w:rsidRPr="00975C02">
        <w:rPr>
          <w:rFonts w:cs="Verdana"/>
          <w:sz w:val="20"/>
          <w:szCs w:val="20"/>
          <w:vertAlign w:val="superscript"/>
          <w:lang w:val="es-ES" w:eastAsia="es-MX"/>
        </w:rPr>
        <w:footnoteReference w:id="42"/>
      </w:r>
      <w:r w:rsidRPr="00975C02">
        <w:rPr>
          <w:rFonts w:cs="Verdana"/>
          <w:sz w:val="20"/>
          <w:szCs w:val="20"/>
          <w:lang w:val="es-ES" w:eastAsia="es-MX"/>
        </w:rPr>
        <w:t>.</w:t>
      </w:r>
      <w:bookmarkEnd w:id="96"/>
    </w:p>
    <w:p w14:paraId="677E186C" w14:textId="77777777" w:rsidR="001C7E37" w:rsidRPr="00975C02" w:rsidRDefault="001C7E37" w:rsidP="001C7E37">
      <w:pPr>
        <w:tabs>
          <w:tab w:val="left" w:pos="567"/>
        </w:tabs>
        <w:spacing w:line="240" w:lineRule="auto"/>
        <w:rPr>
          <w:rFonts w:cs="Verdana"/>
          <w:sz w:val="20"/>
          <w:szCs w:val="20"/>
          <w:lang w:val="es-ES" w:eastAsia="es-MX"/>
        </w:rPr>
      </w:pPr>
    </w:p>
    <w:p w14:paraId="6B7BD0F5" w14:textId="77777777" w:rsidR="00B5625C" w:rsidRPr="00975C02" w:rsidRDefault="00B5625C" w:rsidP="00B5625C">
      <w:pPr>
        <w:keepNext/>
        <w:keepLines/>
        <w:tabs>
          <w:tab w:val="left" w:pos="851"/>
        </w:tabs>
        <w:spacing w:line="240" w:lineRule="auto"/>
        <w:jc w:val="center"/>
        <w:outlineLvl w:val="0"/>
        <w:rPr>
          <w:rFonts w:cs="Verdana"/>
          <w:b/>
          <w:bCs/>
          <w:caps/>
          <w:snapToGrid w:val="0"/>
          <w:sz w:val="20"/>
          <w:szCs w:val="20"/>
          <w:lang w:val="es-ES"/>
        </w:rPr>
      </w:pPr>
      <w:bookmarkStart w:id="97" w:name="_Toc495658661"/>
      <w:bookmarkStart w:id="98" w:name="_Toc498013630"/>
      <w:bookmarkStart w:id="99" w:name="_Toc514172615"/>
      <w:bookmarkStart w:id="100" w:name="_Toc375517129"/>
      <w:bookmarkStart w:id="101" w:name="_Toc447893028"/>
      <w:bookmarkStart w:id="102" w:name="_Toc470180066"/>
      <w:bookmarkStart w:id="103" w:name="_Toc461305142"/>
      <w:bookmarkStart w:id="104" w:name="_Toc470180092"/>
      <w:bookmarkStart w:id="105" w:name="_Toc470180068"/>
      <w:r w:rsidRPr="00975C02">
        <w:rPr>
          <w:rFonts w:cs="Verdana"/>
          <w:b/>
          <w:bCs/>
          <w:caps/>
          <w:snapToGrid w:val="0"/>
          <w:sz w:val="20"/>
          <w:szCs w:val="20"/>
          <w:lang w:val="es-ES"/>
        </w:rPr>
        <w:t>ViI</w:t>
      </w:r>
      <w:r w:rsidRPr="00975C02">
        <w:rPr>
          <w:rFonts w:cs="Verdana"/>
          <w:b/>
          <w:bCs/>
          <w:caps/>
          <w:snapToGrid w:val="0"/>
          <w:sz w:val="20"/>
          <w:szCs w:val="20"/>
          <w:lang w:val="es-ES"/>
        </w:rPr>
        <w:br/>
        <w:t>HECHOS</w:t>
      </w:r>
      <w:bookmarkEnd w:id="97"/>
      <w:bookmarkEnd w:id="98"/>
      <w:bookmarkEnd w:id="99"/>
    </w:p>
    <w:p w14:paraId="080C2C29" w14:textId="77777777" w:rsidR="00B5625C" w:rsidRPr="00975C02" w:rsidRDefault="00B5625C" w:rsidP="00B5625C">
      <w:pPr>
        <w:widowControl/>
        <w:autoSpaceDE w:val="0"/>
        <w:autoSpaceDN w:val="0"/>
        <w:spacing w:line="240" w:lineRule="auto"/>
        <w:textAlignment w:val="auto"/>
        <w:rPr>
          <w:rFonts w:eastAsia="Calibri" w:cs="Arial"/>
          <w:bCs/>
          <w:sz w:val="20"/>
          <w:szCs w:val="22"/>
          <w:lang w:val="es-ES" w:eastAsia="en-US"/>
        </w:rPr>
      </w:pPr>
    </w:p>
    <w:p w14:paraId="5606DCC3"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6" w:name="_Toc514172616"/>
      <w:r w:rsidRPr="00975C02">
        <w:rPr>
          <w:rFonts w:eastAsia="MS Mincho"/>
          <w:b/>
          <w:bCs/>
          <w:i/>
          <w:sz w:val="20"/>
          <w:szCs w:val="20"/>
          <w:lang w:val="es-ES"/>
        </w:rPr>
        <w:t>Antecedentes</w:t>
      </w:r>
      <w:bookmarkEnd w:id="106"/>
    </w:p>
    <w:p w14:paraId="605003B3" w14:textId="77777777" w:rsidR="00B5625C" w:rsidRPr="00975C02" w:rsidRDefault="00B5625C" w:rsidP="00B5625C">
      <w:pPr>
        <w:spacing w:line="240" w:lineRule="auto"/>
        <w:rPr>
          <w:i/>
          <w:sz w:val="20"/>
          <w:szCs w:val="20"/>
          <w:lang w:val="es-ES"/>
        </w:rPr>
      </w:pPr>
    </w:p>
    <w:p w14:paraId="78AAC237" w14:textId="77777777"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lastRenderedPageBreak/>
        <w:t>V.R.P. nació el 15 de abril de 1992 en la localidad de Jinotega, Nicaragua</w:t>
      </w:r>
      <w:r w:rsidRPr="00975C02">
        <w:rPr>
          <w:sz w:val="20"/>
          <w:szCs w:val="20"/>
          <w:vertAlign w:val="superscript"/>
          <w:lang w:val="es-ES"/>
        </w:rPr>
        <w:footnoteReference w:id="43"/>
      </w:r>
      <w:r w:rsidRPr="00975C02">
        <w:rPr>
          <w:sz w:val="20"/>
          <w:szCs w:val="20"/>
          <w:lang w:val="es-ES"/>
        </w:rPr>
        <w:t xml:space="preserve">. Es hija del </w:t>
      </w:r>
      <w:r w:rsidRPr="00975C02">
        <w:rPr>
          <w:rFonts w:cs="Verdana"/>
          <w:sz w:val="20"/>
          <w:szCs w:val="20"/>
          <w:lang w:val="es-ES" w:eastAsia="es-MX"/>
        </w:rPr>
        <w:t>matrimonio</w:t>
      </w:r>
      <w:r w:rsidRPr="00975C02">
        <w:rPr>
          <w:sz w:val="20"/>
          <w:szCs w:val="20"/>
          <w:lang w:val="es-ES"/>
        </w:rPr>
        <w:t xml:space="preserve"> constituido por la señora V.P.C. y el señor H.R.A. e integra el grupo familiar también compuesto por sus tres hermanos mayores: N.R.P., H.J.R.P. y V.A.R.P.</w:t>
      </w:r>
      <w:r w:rsidRPr="00975C02">
        <w:rPr>
          <w:sz w:val="20"/>
          <w:szCs w:val="20"/>
          <w:vertAlign w:val="superscript"/>
          <w:lang w:val="es-ES"/>
        </w:rPr>
        <w:footnoteReference w:id="44"/>
      </w:r>
      <w:r w:rsidRPr="00975C02">
        <w:rPr>
          <w:sz w:val="20"/>
          <w:szCs w:val="20"/>
          <w:lang w:val="es-ES"/>
        </w:rPr>
        <w:t>.</w:t>
      </w:r>
    </w:p>
    <w:p w14:paraId="49E9B02A" w14:textId="77777777" w:rsidR="00B5625C" w:rsidRPr="00975C02" w:rsidRDefault="00B5625C" w:rsidP="00B5625C">
      <w:pPr>
        <w:spacing w:line="240" w:lineRule="auto"/>
        <w:rPr>
          <w:sz w:val="20"/>
          <w:szCs w:val="20"/>
          <w:lang w:val="es-ES"/>
        </w:rPr>
      </w:pPr>
    </w:p>
    <w:p w14:paraId="25182296" w14:textId="77777777"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Hasta el año 2002, tanto V.R.P. como sus hermanos habitaban en una casa </w:t>
      </w:r>
      <w:r w:rsidRPr="00975C02">
        <w:rPr>
          <w:rFonts w:cs="Verdana"/>
          <w:sz w:val="20"/>
          <w:szCs w:val="20"/>
          <w:lang w:val="es-ES" w:eastAsia="es-MX"/>
        </w:rPr>
        <w:t>propiedad</w:t>
      </w:r>
      <w:r w:rsidRPr="00975C02">
        <w:rPr>
          <w:sz w:val="20"/>
          <w:szCs w:val="20"/>
          <w:lang w:val="es-ES"/>
        </w:rPr>
        <w:t xml:space="preserve"> de su madre. La presencia de su padre en el hogar era casi inexistente, ya que el señor H.R.A. tenía una relación extramatrimonial y sólo llegaba esporádicamente a la casa, circunstancia que, a su vez, tornaba muy inestable la relación con su madre</w:t>
      </w:r>
      <w:r w:rsidRPr="00975C02">
        <w:rPr>
          <w:sz w:val="20"/>
          <w:szCs w:val="20"/>
          <w:vertAlign w:val="superscript"/>
          <w:lang w:val="es-ES"/>
        </w:rPr>
        <w:footnoteReference w:id="45"/>
      </w:r>
      <w:r w:rsidRPr="00975C02">
        <w:rPr>
          <w:sz w:val="20"/>
          <w:szCs w:val="20"/>
          <w:lang w:val="es-ES"/>
        </w:rPr>
        <w:t>.</w:t>
      </w:r>
    </w:p>
    <w:p w14:paraId="29F39A7A" w14:textId="77777777" w:rsidR="00B5625C" w:rsidRPr="00975C02" w:rsidRDefault="00B5625C" w:rsidP="00B5625C">
      <w:pPr>
        <w:spacing w:line="240" w:lineRule="auto"/>
        <w:rPr>
          <w:sz w:val="20"/>
          <w:szCs w:val="20"/>
          <w:lang w:val="es-ES"/>
        </w:rPr>
      </w:pPr>
    </w:p>
    <w:p w14:paraId="017A06D4" w14:textId="6B2298A4" w:rsidR="0048481B" w:rsidRPr="00975C02" w:rsidRDefault="0048481B" w:rsidP="00220C9A">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señor H.R.A. era abogado</w:t>
      </w:r>
      <w:r w:rsidR="00E1789D" w:rsidRPr="00975C02">
        <w:rPr>
          <w:sz w:val="20"/>
          <w:szCs w:val="20"/>
          <w:lang w:val="es-ES"/>
        </w:rPr>
        <w:t xml:space="preserve">; </w:t>
      </w:r>
      <w:r w:rsidRPr="00975C02">
        <w:rPr>
          <w:sz w:val="20"/>
          <w:szCs w:val="20"/>
          <w:lang w:val="es-ES"/>
        </w:rPr>
        <w:t>se desempeñó como Procurador Auxiliar del Departamento de Matagalpa</w:t>
      </w:r>
      <w:r w:rsidR="00D506C0" w:rsidRPr="00975C02">
        <w:rPr>
          <w:sz w:val="20"/>
          <w:szCs w:val="20"/>
          <w:lang w:val="es-ES"/>
        </w:rPr>
        <w:t>, entre otros puestos</w:t>
      </w:r>
      <w:r w:rsidRPr="00975C02">
        <w:rPr>
          <w:sz w:val="20"/>
          <w:szCs w:val="20"/>
          <w:vertAlign w:val="superscript"/>
          <w:lang w:val="es-ES"/>
        </w:rPr>
        <w:footnoteReference w:id="46"/>
      </w:r>
      <w:r w:rsidRPr="00975C02">
        <w:rPr>
          <w:sz w:val="20"/>
          <w:szCs w:val="20"/>
          <w:lang w:val="es-ES"/>
        </w:rPr>
        <w:t>.</w:t>
      </w:r>
      <w:r w:rsidR="00220C9A" w:rsidRPr="00975C02">
        <w:rPr>
          <w:sz w:val="20"/>
          <w:szCs w:val="20"/>
          <w:lang w:val="es-ES"/>
        </w:rPr>
        <w:t xml:space="preserve"> Asimismo, era miembro del Frente Sandinista para la Liberación Nacional</w:t>
      </w:r>
      <w:r w:rsidR="00D26077" w:rsidRPr="00975C02">
        <w:rPr>
          <w:sz w:val="20"/>
          <w:szCs w:val="20"/>
          <w:vertAlign w:val="superscript"/>
          <w:lang w:val="es-ES"/>
        </w:rPr>
        <w:footnoteReference w:id="47"/>
      </w:r>
      <w:r w:rsidR="00220C9A" w:rsidRPr="00975C02">
        <w:rPr>
          <w:sz w:val="20"/>
          <w:szCs w:val="20"/>
          <w:lang w:val="es-ES"/>
        </w:rPr>
        <w:t>.</w:t>
      </w:r>
    </w:p>
    <w:p w14:paraId="41649196" w14:textId="77777777" w:rsidR="0048481B" w:rsidRPr="00975C02" w:rsidRDefault="0048481B" w:rsidP="0048481B">
      <w:pPr>
        <w:tabs>
          <w:tab w:val="left" w:pos="567"/>
        </w:tabs>
        <w:spacing w:line="240" w:lineRule="auto"/>
        <w:rPr>
          <w:sz w:val="20"/>
          <w:szCs w:val="20"/>
          <w:lang w:val="es-ES"/>
        </w:rPr>
      </w:pPr>
    </w:p>
    <w:p w14:paraId="4A320587" w14:textId="77777777"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vínculo </w:t>
      </w:r>
      <w:r w:rsidRPr="00975C02">
        <w:rPr>
          <w:rFonts w:cs="Verdana"/>
          <w:sz w:val="20"/>
          <w:szCs w:val="20"/>
          <w:lang w:val="es-ES" w:eastAsia="es-MX"/>
        </w:rPr>
        <w:t>matrimonial</w:t>
      </w:r>
      <w:r w:rsidRPr="00975C02">
        <w:rPr>
          <w:sz w:val="20"/>
          <w:szCs w:val="20"/>
          <w:lang w:val="es-ES"/>
        </w:rPr>
        <w:t xml:space="preserve"> se </w:t>
      </w:r>
      <w:r w:rsidR="00E1789D" w:rsidRPr="00975C02">
        <w:rPr>
          <w:sz w:val="20"/>
          <w:szCs w:val="20"/>
          <w:lang w:val="es-ES"/>
        </w:rPr>
        <w:t>disolvió el 31 de enero de 2002,</w:t>
      </w:r>
      <w:r w:rsidRPr="00975C02">
        <w:rPr>
          <w:sz w:val="20"/>
          <w:szCs w:val="20"/>
          <w:lang w:val="es-ES"/>
        </w:rPr>
        <w:t xml:space="preserve"> como consecuencia de una demanda presentada por V.P.C. en noviembre de 2001</w:t>
      </w:r>
      <w:r w:rsidRPr="00975C02">
        <w:rPr>
          <w:sz w:val="20"/>
          <w:szCs w:val="20"/>
          <w:vertAlign w:val="superscript"/>
          <w:lang w:val="es-ES"/>
        </w:rPr>
        <w:footnoteReference w:id="48"/>
      </w:r>
      <w:r w:rsidRPr="00975C02">
        <w:rPr>
          <w:sz w:val="20"/>
          <w:szCs w:val="20"/>
          <w:lang w:val="es-ES"/>
        </w:rPr>
        <w:t>.</w:t>
      </w:r>
    </w:p>
    <w:p w14:paraId="7C0AEFC5" w14:textId="77777777" w:rsidR="00B5625C" w:rsidRPr="00975C02" w:rsidRDefault="00B5625C" w:rsidP="00B5625C">
      <w:pPr>
        <w:spacing w:line="240" w:lineRule="auto"/>
        <w:rPr>
          <w:sz w:val="20"/>
          <w:szCs w:val="20"/>
          <w:lang w:val="es-ES"/>
        </w:rPr>
      </w:pPr>
    </w:p>
    <w:p w14:paraId="4A9D4FB4"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7" w:name="_Toc514172617"/>
      <w:r w:rsidRPr="00975C02">
        <w:rPr>
          <w:rFonts w:eastAsia="MS Mincho"/>
          <w:b/>
          <w:bCs/>
          <w:i/>
          <w:sz w:val="20"/>
          <w:szCs w:val="20"/>
          <w:lang w:val="es-ES"/>
        </w:rPr>
        <w:t>Los hechos ocurridos en el año 2000</w:t>
      </w:r>
      <w:bookmarkEnd w:id="107"/>
    </w:p>
    <w:p w14:paraId="10077F0A" w14:textId="77777777" w:rsidR="00B5625C" w:rsidRPr="00975C02" w:rsidRDefault="00B5625C" w:rsidP="00B5625C">
      <w:pPr>
        <w:spacing w:line="240" w:lineRule="auto"/>
        <w:rPr>
          <w:sz w:val="20"/>
          <w:szCs w:val="20"/>
          <w:lang w:val="es-ES"/>
        </w:rPr>
      </w:pPr>
    </w:p>
    <w:p w14:paraId="0AA16386" w14:textId="13C90B08"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V.R.P. relató que</w:t>
      </w:r>
      <w:r w:rsidR="00DD06F8">
        <w:rPr>
          <w:sz w:val="20"/>
          <w:szCs w:val="20"/>
          <w:lang w:val="es-ES"/>
        </w:rPr>
        <w:t>,</w:t>
      </w:r>
      <w:r w:rsidRPr="00975C02">
        <w:rPr>
          <w:sz w:val="20"/>
          <w:szCs w:val="20"/>
          <w:lang w:val="es-ES"/>
        </w:rPr>
        <w:t xml:space="preserve"> entre los meses de septiembre y octubre</w:t>
      </w:r>
      <w:r w:rsidR="00FE7D0C" w:rsidRPr="00975C02">
        <w:rPr>
          <w:sz w:val="20"/>
          <w:szCs w:val="20"/>
          <w:lang w:val="es-ES"/>
        </w:rPr>
        <w:t xml:space="preserve"> del año 2000, cuando tenía ocho años de edad</w:t>
      </w:r>
      <w:r w:rsidRPr="00975C02">
        <w:rPr>
          <w:sz w:val="20"/>
          <w:szCs w:val="20"/>
          <w:lang w:val="es-ES"/>
        </w:rPr>
        <w:t>, su padre la llevó en dos ocasiones a un lugar conocido como “Las Flores”. Allí, le dio de tomar café, luego de lo cual se sintió mareada y se durmió. Asimismo, manifestó que</w:t>
      </w:r>
      <w:r w:rsidR="00010DF7">
        <w:rPr>
          <w:sz w:val="20"/>
          <w:szCs w:val="20"/>
          <w:lang w:val="es-ES"/>
        </w:rPr>
        <w:t>,</w:t>
      </w:r>
      <w:r w:rsidRPr="00975C02">
        <w:rPr>
          <w:sz w:val="20"/>
          <w:szCs w:val="20"/>
          <w:lang w:val="es-ES"/>
        </w:rPr>
        <w:t xml:space="preserve"> aunque no se enteró de lo que su padre hacía con ella, al despertarse notaba que éste se arreglaba la faja, la parte anterior del pantalón, se subía el “zipper” y, además, le limpiaba la zona anal</w:t>
      </w:r>
      <w:r w:rsidR="00B1154F" w:rsidRPr="00975C02">
        <w:rPr>
          <w:rStyle w:val="FootnoteReference"/>
          <w:sz w:val="20"/>
          <w:szCs w:val="20"/>
          <w:lang w:val="es-ES"/>
        </w:rPr>
        <w:footnoteReference w:id="49"/>
      </w:r>
      <w:r w:rsidRPr="00975C02">
        <w:rPr>
          <w:sz w:val="20"/>
          <w:szCs w:val="20"/>
          <w:lang w:val="es-ES"/>
        </w:rPr>
        <w:t>.</w:t>
      </w:r>
    </w:p>
    <w:p w14:paraId="6C73CAB1" w14:textId="77777777" w:rsidR="00DC043B" w:rsidRPr="00975C02" w:rsidRDefault="00DC043B" w:rsidP="00DC043B">
      <w:pPr>
        <w:tabs>
          <w:tab w:val="left" w:pos="567"/>
        </w:tabs>
        <w:spacing w:line="240" w:lineRule="auto"/>
        <w:rPr>
          <w:sz w:val="20"/>
          <w:szCs w:val="20"/>
          <w:lang w:val="es-ES"/>
        </w:rPr>
      </w:pPr>
    </w:p>
    <w:p w14:paraId="3133DF4A"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8" w:name="_Toc514172618"/>
      <w:r w:rsidRPr="00975C02">
        <w:rPr>
          <w:rFonts w:eastAsia="MS Mincho"/>
          <w:b/>
          <w:bCs/>
          <w:i/>
          <w:sz w:val="20"/>
          <w:szCs w:val="20"/>
          <w:lang w:val="es-ES"/>
        </w:rPr>
        <w:t>La denuncia penal y el inicio de la investigación</w:t>
      </w:r>
      <w:bookmarkEnd w:id="108"/>
    </w:p>
    <w:p w14:paraId="2E09DE72" w14:textId="77777777" w:rsidR="00B5625C" w:rsidRPr="00975C02" w:rsidRDefault="00B5625C" w:rsidP="00B5625C">
      <w:pPr>
        <w:spacing w:line="240" w:lineRule="auto"/>
        <w:ind w:left="708"/>
        <w:rPr>
          <w:sz w:val="20"/>
          <w:szCs w:val="20"/>
          <w:lang w:val="es-ES"/>
        </w:rPr>
      </w:pPr>
    </w:p>
    <w:p w14:paraId="4BA7769B" w14:textId="2F1DF5FA" w:rsidR="00B5625C" w:rsidRPr="00975C02" w:rsidRDefault="00B5625C" w:rsidP="0048481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16 de octubre de 2001 la señora V.P.C. llevó a su hija a una consulta médica </w:t>
      </w:r>
      <w:r w:rsidRPr="00975C02">
        <w:rPr>
          <w:spacing w:val="-2"/>
          <w:sz w:val="20"/>
          <w:szCs w:val="20"/>
          <w:lang w:val="es-ES"/>
        </w:rPr>
        <w:t xml:space="preserve">privada con </w:t>
      </w:r>
      <w:r w:rsidR="00D506C0" w:rsidRPr="00975C02">
        <w:rPr>
          <w:spacing w:val="-2"/>
          <w:sz w:val="20"/>
          <w:szCs w:val="20"/>
          <w:lang w:val="es-ES"/>
        </w:rPr>
        <w:lastRenderedPageBreak/>
        <w:t xml:space="preserve">un </w:t>
      </w:r>
      <w:r w:rsidRPr="00975C02">
        <w:rPr>
          <w:sz w:val="20"/>
          <w:szCs w:val="20"/>
          <w:lang w:val="es-ES"/>
        </w:rPr>
        <w:t>médico</w:t>
      </w:r>
      <w:r w:rsidRPr="00975C02">
        <w:rPr>
          <w:spacing w:val="-2"/>
          <w:sz w:val="20"/>
          <w:szCs w:val="20"/>
          <w:lang w:val="es-ES"/>
        </w:rPr>
        <w:t xml:space="preserve"> cirujano pediatra </w:t>
      </w:r>
      <w:r w:rsidRPr="00975C02">
        <w:rPr>
          <w:sz w:val="20"/>
          <w:szCs w:val="20"/>
          <w:lang w:val="es-ES"/>
        </w:rPr>
        <w:t xml:space="preserve">debido a las dificultades que </w:t>
      </w:r>
      <w:r w:rsidR="00F25F01">
        <w:rPr>
          <w:sz w:val="20"/>
          <w:szCs w:val="20"/>
          <w:lang w:val="es-ES"/>
        </w:rPr>
        <w:t xml:space="preserve">V.R.P. </w:t>
      </w:r>
      <w:r w:rsidRPr="00975C02">
        <w:rPr>
          <w:sz w:val="20"/>
          <w:szCs w:val="20"/>
          <w:lang w:val="es-ES"/>
        </w:rPr>
        <w:t xml:space="preserve">presentaba para defecar y a los dolores </w:t>
      </w:r>
      <w:r w:rsidR="00F25F01">
        <w:rPr>
          <w:sz w:val="20"/>
          <w:szCs w:val="20"/>
          <w:lang w:val="es-ES"/>
        </w:rPr>
        <w:t xml:space="preserve">que tenía </w:t>
      </w:r>
      <w:r w:rsidRPr="00975C02">
        <w:rPr>
          <w:sz w:val="20"/>
          <w:szCs w:val="20"/>
          <w:lang w:val="es-ES"/>
        </w:rPr>
        <w:t xml:space="preserve">en la región anal. El médico que la atendió, </w:t>
      </w:r>
      <w:r w:rsidRPr="00975C02">
        <w:rPr>
          <w:spacing w:val="-2"/>
          <w:sz w:val="20"/>
          <w:szCs w:val="20"/>
          <w:lang w:val="es-ES"/>
        </w:rPr>
        <w:t>luego de examinar a V.R.P. y tomar la biopsia respectiva bajo anestesia, encontró que la niña presentaba ruptura del himen y condilomas en la región perianal, indicativo de enfermedad venérea</w:t>
      </w:r>
      <w:r w:rsidRPr="00975C02">
        <w:rPr>
          <w:spacing w:val="-2"/>
          <w:sz w:val="20"/>
          <w:szCs w:val="20"/>
          <w:vertAlign w:val="superscript"/>
          <w:lang w:val="es-ES"/>
        </w:rPr>
        <w:footnoteReference w:id="50"/>
      </w:r>
      <w:r w:rsidRPr="00975C02">
        <w:rPr>
          <w:spacing w:val="-2"/>
          <w:sz w:val="20"/>
          <w:szCs w:val="20"/>
          <w:lang w:val="es-ES"/>
        </w:rPr>
        <w:t>. E</w:t>
      </w:r>
      <w:r w:rsidRPr="00975C02">
        <w:rPr>
          <w:sz w:val="20"/>
          <w:szCs w:val="20"/>
          <w:lang w:val="es-ES"/>
        </w:rPr>
        <w:t>n atención al cuadro clínico que presentaba, el médico pediatra decidió derivarla al Hospital Victoria Mo</w:t>
      </w:r>
      <w:r w:rsidR="008A4CF8" w:rsidRPr="00975C02">
        <w:rPr>
          <w:sz w:val="20"/>
          <w:szCs w:val="20"/>
          <w:lang w:val="es-ES"/>
        </w:rPr>
        <w:t>t</w:t>
      </w:r>
      <w:r w:rsidRPr="00975C02">
        <w:rPr>
          <w:sz w:val="20"/>
          <w:szCs w:val="20"/>
          <w:lang w:val="es-ES"/>
        </w:rPr>
        <w:t>ta. E</w:t>
      </w:r>
      <w:r w:rsidRPr="00975C02">
        <w:rPr>
          <w:spacing w:val="-2"/>
          <w:sz w:val="20"/>
          <w:szCs w:val="20"/>
          <w:lang w:val="es-ES"/>
        </w:rPr>
        <w:t>l 17 de octubre de 2001 acudi</w:t>
      </w:r>
      <w:r w:rsidR="00F25F01">
        <w:rPr>
          <w:spacing w:val="-2"/>
          <w:sz w:val="20"/>
          <w:szCs w:val="20"/>
          <w:lang w:val="es-ES"/>
        </w:rPr>
        <w:t>eron</w:t>
      </w:r>
      <w:r w:rsidRPr="00975C02">
        <w:rPr>
          <w:spacing w:val="-2"/>
          <w:sz w:val="20"/>
          <w:szCs w:val="20"/>
          <w:lang w:val="es-ES"/>
        </w:rPr>
        <w:t xml:space="preserve"> a un médico gineco-obstetra</w:t>
      </w:r>
      <w:r w:rsidR="008A4CF8" w:rsidRPr="00975C02">
        <w:rPr>
          <w:spacing w:val="-2"/>
          <w:sz w:val="20"/>
          <w:szCs w:val="20"/>
          <w:lang w:val="es-ES"/>
        </w:rPr>
        <w:t xml:space="preserve"> </w:t>
      </w:r>
      <w:r w:rsidRPr="00975C02">
        <w:rPr>
          <w:spacing w:val="-2"/>
          <w:sz w:val="20"/>
          <w:szCs w:val="20"/>
          <w:lang w:val="es-ES"/>
        </w:rPr>
        <w:t xml:space="preserve">para una valoración más especializada. Dicho médico, luego de inspección ginecológica bajo anestesia, confirmó el diagnóstico de himen </w:t>
      </w:r>
      <w:r w:rsidR="00975C02" w:rsidRPr="00975C02">
        <w:rPr>
          <w:spacing w:val="-2"/>
          <w:sz w:val="20"/>
          <w:szCs w:val="20"/>
          <w:lang w:val="es-ES"/>
        </w:rPr>
        <w:t>desflorado</w:t>
      </w:r>
      <w:r w:rsidRPr="00975C02">
        <w:rPr>
          <w:spacing w:val="-2"/>
          <w:sz w:val="20"/>
          <w:szCs w:val="20"/>
          <w:lang w:val="es-ES"/>
        </w:rPr>
        <w:t xml:space="preserve"> de vieja data, presencia de úlceras en el ano, desgarros de la mucosa de la región anal, lesiones en el cuello uterino y se detectó la presencia del virus del papiloma humano y condilomas en la región perianal</w:t>
      </w:r>
      <w:r w:rsidRPr="00975C02">
        <w:rPr>
          <w:spacing w:val="-2"/>
          <w:sz w:val="20"/>
          <w:szCs w:val="20"/>
          <w:vertAlign w:val="superscript"/>
          <w:lang w:val="es-ES"/>
        </w:rPr>
        <w:footnoteReference w:id="51"/>
      </w:r>
      <w:r w:rsidRPr="00975C02">
        <w:rPr>
          <w:spacing w:val="-2"/>
          <w:sz w:val="20"/>
          <w:szCs w:val="20"/>
          <w:lang w:val="es-ES"/>
        </w:rPr>
        <w:t>. Debido a estas lesiones, V.R.P. fue sometida a crioterapia para los condilomas en el cuello uterino y una anoplastia en toda la circunferencia perianal</w:t>
      </w:r>
      <w:r w:rsidRPr="00975C02">
        <w:rPr>
          <w:spacing w:val="-2"/>
          <w:sz w:val="20"/>
          <w:szCs w:val="20"/>
          <w:vertAlign w:val="superscript"/>
          <w:lang w:val="es-ES"/>
        </w:rPr>
        <w:footnoteReference w:id="52"/>
      </w:r>
      <w:r w:rsidRPr="00975C02">
        <w:rPr>
          <w:spacing w:val="-2"/>
          <w:sz w:val="20"/>
          <w:szCs w:val="20"/>
          <w:lang w:val="es-ES"/>
        </w:rPr>
        <w:t>. Ambos médicos concluyeron y declararon en el proceso a nivel interno que</w:t>
      </w:r>
      <w:r w:rsidR="00501708">
        <w:rPr>
          <w:spacing w:val="-2"/>
          <w:sz w:val="20"/>
          <w:szCs w:val="20"/>
          <w:lang w:val="es-ES"/>
        </w:rPr>
        <w:t>,</w:t>
      </w:r>
      <w:r w:rsidRPr="00975C02">
        <w:rPr>
          <w:spacing w:val="-2"/>
          <w:sz w:val="20"/>
          <w:szCs w:val="20"/>
          <w:lang w:val="es-ES"/>
        </w:rPr>
        <w:t xml:space="preserve"> conforme a los hallazgos médicos</w:t>
      </w:r>
      <w:r w:rsidR="00501708">
        <w:rPr>
          <w:spacing w:val="-2"/>
          <w:sz w:val="20"/>
          <w:szCs w:val="20"/>
          <w:lang w:val="es-ES"/>
        </w:rPr>
        <w:t>,</w:t>
      </w:r>
      <w:r w:rsidRPr="00975C02">
        <w:rPr>
          <w:spacing w:val="-2"/>
          <w:sz w:val="20"/>
          <w:szCs w:val="20"/>
          <w:lang w:val="es-ES"/>
        </w:rPr>
        <w:t xml:space="preserve"> V.R.P. era víctima de abuso sexual y había sufrido penetración anal</w:t>
      </w:r>
      <w:r w:rsidRPr="00975C02">
        <w:rPr>
          <w:spacing w:val="-2"/>
          <w:sz w:val="20"/>
          <w:szCs w:val="20"/>
          <w:vertAlign w:val="superscript"/>
          <w:lang w:val="es-ES"/>
        </w:rPr>
        <w:footnoteReference w:id="53"/>
      </w:r>
      <w:r w:rsidR="00342199" w:rsidRPr="00975C02">
        <w:rPr>
          <w:spacing w:val="-2"/>
          <w:sz w:val="20"/>
          <w:szCs w:val="20"/>
          <w:lang w:val="es-ES"/>
        </w:rPr>
        <w:t>.</w:t>
      </w:r>
    </w:p>
    <w:p w14:paraId="727E052D" w14:textId="77777777" w:rsidR="00B5625C" w:rsidRPr="00975C02" w:rsidRDefault="00B5625C" w:rsidP="00B5625C">
      <w:pPr>
        <w:spacing w:line="240" w:lineRule="auto"/>
        <w:rPr>
          <w:sz w:val="20"/>
          <w:szCs w:val="20"/>
          <w:lang w:val="es-ES"/>
        </w:rPr>
      </w:pPr>
    </w:p>
    <w:p w14:paraId="67998CA0" w14:textId="77777777" w:rsidR="00B5625C" w:rsidRPr="00975C02" w:rsidRDefault="00B5625C"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virtud de estos hallazgos y del relato efectuado por V.R.P., el 20 de noviembre de 2001 la señora V.P.C. denunció ante el Juzgado de Distrito del Crimen de Jinotega al señor H.R.A. por el delito de violación sexual en contra de su hija</w:t>
      </w:r>
      <w:r w:rsidRPr="00975C02">
        <w:rPr>
          <w:sz w:val="20"/>
          <w:szCs w:val="20"/>
          <w:vertAlign w:val="superscript"/>
          <w:lang w:val="es-ES"/>
        </w:rPr>
        <w:footnoteReference w:id="54"/>
      </w:r>
      <w:r w:rsidRPr="00975C02">
        <w:rPr>
          <w:sz w:val="20"/>
          <w:szCs w:val="20"/>
          <w:lang w:val="es-ES"/>
        </w:rPr>
        <w:t>.</w:t>
      </w:r>
    </w:p>
    <w:p w14:paraId="08B4CAF1" w14:textId="77777777" w:rsidR="00B5625C" w:rsidRPr="00975C02" w:rsidRDefault="00B5625C" w:rsidP="00B5625C">
      <w:pPr>
        <w:spacing w:line="240" w:lineRule="auto"/>
        <w:rPr>
          <w:sz w:val="20"/>
          <w:szCs w:val="20"/>
          <w:lang w:val="es-ES"/>
        </w:rPr>
      </w:pPr>
    </w:p>
    <w:p w14:paraId="1ADA39D9" w14:textId="1ECDB223" w:rsidR="00B5625C" w:rsidRPr="00975C02" w:rsidRDefault="00B5625C"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21 de noviembre de 2001 se recibió la declaración </w:t>
      </w:r>
      <w:r w:rsidRPr="00975C02">
        <w:rPr>
          <w:i/>
          <w:sz w:val="20"/>
          <w:szCs w:val="20"/>
          <w:lang w:val="es-ES"/>
        </w:rPr>
        <w:t>ad-inquirendum</w:t>
      </w:r>
      <w:r w:rsidR="007E36B7" w:rsidRPr="00975C02">
        <w:rPr>
          <w:sz w:val="20"/>
          <w:szCs w:val="20"/>
          <w:vertAlign w:val="superscript"/>
          <w:lang w:val="es-ES"/>
        </w:rPr>
        <w:footnoteReference w:id="55"/>
      </w:r>
      <w:r w:rsidRPr="00975C02">
        <w:rPr>
          <w:sz w:val="20"/>
          <w:szCs w:val="20"/>
          <w:lang w:val="es-ES"/>
        </w:rPr>
        <w:t xml:space="preserve"> de V.R.P.</w:t>
      </w:r>
      <w:r w:rsidRPr="00975C02">
        <w:rPr>
          <w:sz w:val="20"/>
          <w:szCs w:val="20"/>
          <w:vertAlign w:val="superscript"/>
          <w:lang w:val="es-ES"/>
        </w:rPr>
        <w:footnoteReference w:id="56"/>
      </w:r>
      <w:r w:rsidRPr="00975C02">
        <w:rPr>
          <w:sz w:val="20"/>
          <w:szCs w:val="20"/>
          <w:lang w:val="es-ES"/>
        </w:rPr>
        <w:t xml:space="preserve"> y la de V.P.C.</w:t>
      </w:r>
      <w:r w:rsidR="00753479" w:rsidRPr="00975C02">
        <w:rPr>
          <w:sz w:val="20"/>
          <w:szCs w:val="20"/>
          <w:vertAlign w:val="superscript"/>
          <w:lang w:val="es-ES"/>
        </w:rPr>
        <w:footnoteReference w:id="57"/>
      </w:r>
      <w:r w:rsidRPr="00975C02">
        <w:rPr>
          <w:sz w:val="20"/>
          <w:szCs w:val="20"/>
          <w:lang w:val="es-ES"/>
        </w:rPr>
        <w:t>, mediante la cual ésta última ratificó la denuncia contra el señor H.R.A. En esa misma fecha, se dictó orden de allanamiento y se procedió a la detención del ciudadano H.R.A.</w:t>
      </w:r>
      <w:r w:rsidRPr="00975C02">
        <w:rPr>
          <w:sz w:val="20"/>
          <w:szCs w:val="20"/>
          <w:vertAlign w:val="superscript"/>
          <w:lang w:val="es-ES"/>
        </w:rPr>
        <w:footnoteReference w:id="58"/>
      </w:r>
      <w:r w:rsidRPr="00975C02">
        <w:rPr>
          <w:sz w:val="20"/>
          <w:szCs w:val="20"/>
          <w:lang w:val="es-ES"/>
        </w:rPr>
        <w:t xml:space="preserve">, quien prestó declaración indagatoria ante la </w:t>
      </w:r>
      <w:r w:rsidR="009E07E7" w:rsidRPr="00975C02">
        <w:rPr>
          <w:sz w:val="20"/>
          <w:szCs w:val="20"/>
          <w:lang w:val="es-ES"/>
        </w:rPr>
        <w:t>j</w:t>
      </w:r>
      <w:r w:rsidRPr="00975C02">
        <w:rPr>
          <w:sz w:val="20"/>
          <w:szCs w:val="20"/>
          <w:lang w:val="es-ES"/>
        </w:rPr>
        <w:t xml:space="preserve">ueza de </w:t>
      </w:r>
      <w:r w:rsidR="009E07E7" w:rsidRPr="00975C02">
        <w:rPr>
          <w:sz w:val="20"/>
          <w:szCs w:val="20"/>
          <w:lang w:val="es-ES"/>
        </w:rPr>
        <w:t>d</w:t>
      </w:r>
      <w:r w:rsidRPr="00975C02">
        <w:rPr>
          <w:sz w:val="20"/>
          <w:szCs w:val="20"/>
          <w:lang w:val="es-ES"/>
        </w:rPr>
        <w:t xml:space="preserve">istrito </w:t>
      </w:r>
      <w:r w:rsidR="009E07E7" w:rsidRPr="00975C02">
        <w:rPr>
          <w:sz w:val="20"/>
          <w:szCs w:val="20"/>
          <w:lang w:val="es-ES"/>
        </w:rPr>
        <w:t>p</w:t>
      </w:r>
      <w:r w:rsidRPr="00975C02">
        <w:rPr>
          <w:sz w:val="20"/>
          <w:szCs w:val="20"/>
          <w:lang w:val="es-ES"/>
        </w:rPr>
        <w:t xml:space="preserve">enal. En dicha oportunidad, desconoció los cargos que le fueron formulados y solicitó que se investigara el vínculo de los miembros de la </w:t>
      </w:r>
      <w:r w:rsidRPr="00975C02">
        <w:rPr>
          <w:sz w:val="20"/>
          <w:szCs w:val="20"/>
          <w:lang w:val="es-ES"/>
        </w:rPr>
        <w:lastRenderedPageBreak/>
        <w:t>“se</w:t>
      </w:r>
      <w:r w:rsidR="00DF289C" w:rsidRPr="00975C02">
        <w:rPr>
          <w:sz w:val="20"/>
          <w:szCs w:val="20"/>
          <w:lang w:val="es-ES"/>
        </w:rPr>
        <w:t>c</w:t>
      </w:r>
      <w:r w:rsidRPr="00975C02">
        <w:rPr>
          <w:sz w:val="20"/>
          <w:szCs w:val="20"/>
          <w:lang w:val="es-ES"/>
        </w:rPr>
        <w:t>ta Mormón” con el acto de violación de su hija, debido a que la señora V.P.C., formaba parte de la misma y</w:t>
      </w:r>
      <w:r w:rsidR="008F7087">
        <w:rPr>
          <w:sz w:val="20"/>
          <w:szCs w:val="20"/>
          <w:lang w:val="es-ES"/>
        </w:rPr>
        <w:t>,</w:t>
      </w:r>
      <w:r w:rsidR="0096280D" w:rsidRPr="00975C02">
        <w:rPr>
          <w:sz w:val="20"/>
          <w:szCs w:val="20"/>
          <w:lang w:val="es-ES"/>
        </w:rPr>
        <w:t xml:space="preserve"> supuestamente</w:t>
      </w:r>
      <w:r w:rsidR="008F7087">
        <w:rPr>
          <w:sz w:val="20"/>
          <w:szCs w:val="20"/>
          <w:lang w:val="es-ES"/>
        </w:rPr>
        <w:t>,</w:t>
      </w:r>
      <w:r w:rsidRPr="00975C02">
        <w:rPr>
          <w:sz w:val="20"/>
          <w:szCs w:val="20"/>
          <w:lang w:val="es-ES"/>
        </w:rPr>
        <w:t xml:space="preserve"> tenía conocimiento de que uno de sus máximos representantes habría sido acusado de abuso sexual de personas menores de edad</w:t>
      </w:r>
      <w:r w:rsidRPr="00975C02">
        <w:rPr>
          <w:sz w:val="20"/>
          <w:szCs w:val="20"/>
          <w:vertAlign w:val="superscript"/>
          <w:lang w:val="es-ES"/>
        </w:rPr>
        <w:footnoteReference w:id="59"/>
      </w:r>
      <w:r w:rsidRPr="00975C02">
        <w:rPr>
          <w:sz w:val="20"/>
          <w:szCs w:val="20"/>
          <w:lang w:val="es-ES"/>
        </w:rPr>
        <w:t>.</w:t>
      </w:r>
    </w:p>
    <w:p w14:paraId="40E9F972" w14:textId="77777777" w:rsidR="00B5625C" w:rsidRPr="00975C02" w:rsidRDefault="00B5625C" w:rsidP="00B5625C">
      <w:pPr>
        <w:spacing w:line="240" w:lineRule="auto"/>
        <w:rPr>
          <w:sz w:val="20"/>
          <w:szCs w:val="20"/>
          <w:lang w:val="es-ES"/>
        </w:rPr>
      </w:pPr>
    </w:p>
    <w:p w14:paraId="6B136C6B" w14:textId="577F2042" w:rsidR="00B5625C" w:rsidRPr="00975C02" w:rsidRDefault="00B5625C"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A raíz de lo sucedido</w:t>
      </w:r>
      <w:r w:rsidR="00F02478">
        <w:rPr>
          <w:sz w:val="20"/>
          <w:szCs w:val="20"/>
          <w:lang w:val="es-ES"/>
        </w:rPr>
        <w:t>,</w:t>
      </w:r>
      <w:r w:rsidRPr="00975C02">
        <w:rPr>
          <w:sz w:val="20"/>
          <w:szCs w:val="20"/>
          <w:lang w:val="es-ES"/>
        </w:rPr>
        <w:t xml:space="preserve"> la niña V.R.P. dejó de asistir a clases</w:t>
      </w:r>
      <w:r w:rsidRPr="00975C02">
        <w:rPr>
          <w:sz w:val="20"/>
          <w:szCs w:val="20"/>
          <w:vertAlign w:val="superscript"/>
          <w:lang w:val="es-ES"/>
        </w:rPr>
        <w:footnoteReference w:id="60"/>
      </w:r>
      <w:r w:rsidRPr="00975C02">
        <w:rPr>
          <w:sz w:val="20"/>
          <w:szCs w:val="20"/>
          <w:lang w:val="es-ES"/>
        </w:rPr>
        <w:t>, por cuanto sentía vergüenza y miedo del rechazo de las personas, debido a que el proceso se había hecho público</w:t>
      </w:r>
      <w:r w:rsidRPr="00975C02">
        <w:rPr>
          <w:sz w:val="20"/>
          <w:szCs w:val="20"/>
          <w:vertAlign w:val="superscript"/>
          <w:lang w:val="es-ES"/>
        </w:rPr>
        <w:footnoteReference w:id="61"/>
      </w:r>
      <w:r w:rsidRPr="00975C02">
        <w:rPr>
          <w:sz w:val="20"/>
          <w:szCs w:val="20"/>
          <w:lang w:val="es-ES"/>
        </w:rPr>
        <w:t>. Al respecto, cabe mencionar que, mediante el auto del 21 de noviembre de 2001, el Juzgado del Distrito Penal de Jinotega dispuso que “[p]or estar solicitado restrínjase el acceso a la Prensa[</w:t>
      </w:r>
      <w:r w:rsidR="003F167A" w:rsidRPr="00975C02">
        <w:rPr>
          <w:sz w:val="20"/>
          <w:szCs w:val="20"/>
          <w:lang w:val="es-ES"/>
        </w:rPr>
        <w:t>, a</w:t>
      </w:r>
      <w:r w:rsidRPr="00975C02">
        <w:rPr>
          <w:sz w:val="20"/>
          <w:szCs w:val="20"/>
          <w:lang w:val="es-ES"/>
        </w:rPr>
        <w:t xml:space="preserve">]sí como al Público en General, debiendo llevarse en </w:t>
      </w:r>
      <w:r w:rsidR="003F167A" w:rsidRPr="00975C02">
        <w:rPr>
          <w:sz w:val="20"/>
          <w:szCs w:val="20"/>
          <w:lang w:val="es-ES"/>
        </w:rPr>
        <w:t>[</w:t>
      </w:r>
      <w:r w:rsidRPr="00975C02">
        <w:rPr>
          <w:sz w:val="20"/>
          <w:szCs w:val="20"/>
          <w:lang w:val="es-ES"/>
        </w:rPr>
        <w:t>p</w:t>
      </w:r>
      <w:r w:rsidR="003F167A" w:rsidRPr="00975C02">
        <w:rPr>
          <w:sz w:val="20"/>
          <w:szCs w:val="20"/>
          <w:lang w:val="es-ES"/>
        </w:rPr>
        <w:t>]</w:t>
      </w:r>
      <w:r w:rsidRPr="00975C02">
        <w:rPr>
          <w:sz w:val="20"/>
          <w:szCs w:val="20"/>
          <w:lang w:val="es-ES"/>
        </w:rPr>
        <w:t xml:space="preserve">rivado la presente </w:t>
      </w:r>
      <w:r w:rsidR="003F167A" w:rsidRPr="00975C02">
        <w:rPr>
          <w:sz w:val="20"/>
          <w:szCs w:val="20"/>
          <w:lang w:val="es-ES"/>
        </w:rPr>
        <w:t>I</w:t>
      </w:r>
      <w:r w:rsidRPr="00975C02">
        <w:rPr>
          <w:sz w:val="20"/>
          <w:szCs w:val="20"/>
          <w:lang w:val="es-ES"/>
        </w:rPr>
        <w:t>nstructiva del proceso”</w:t>
      </w:r>
      <w:r w:rsidRPr="00975C02">
        <w:rPr>
          <w:sz w:val="20"/>
          <w:szCs w:val="20"/>
          <w:vertAlign w:val="superscript"/>
          <w:lang w:val="es-ES"/>
        </w:rPr>
        <w:footnoteReference w:id="62"/>
      </w:r>
      <w:r w:rsidRPr="00975C02">
        <w:rPr>
          <w:sz w:val="20"/>
          <w:szCs w:val="20"/>
          <w:lang w:val="es-ES"/>
        </w:rPr>
        <w:t xml:space="preserve">. </w:t>
      </w:r>
      <w:r w:rsidR="00695768" w:rsidRPr="00975C02">
        <w:rPr>
          <w:sz w:val="20"/>
          <w:szCs w:val="20"/>
          <w:lang w:val="es-ES"/>
        </w:rPr>
        <w:t>A pesar de ello</w:t>
      </w:r>
      <w:r w:rsidRPr="00975C02">
        <w:rPr>
          <w:sz w:val="20"/>
          <w:szCs w:val="20"/>
          <w:lang w:val="es-ES"/>
        </w:rPr>
        <w:t xml:space="preserve">, </w:t>
      </w:r>
      <w:r w:rsidR="00695768" w:rsidRPr="00975C02">
        <w:rPr>
          <w:sz w:val="20"/>
          <w:szCs w:val="20"/>
          <w:lang w:val="es-ES"/>
        </w:rPr>
        <w:t xml:space="preserve">la emisora </w:t>
      </w:r>
      <w:r w:rsidRPr="00975C02">
        <w:rPr>
          <w:sz w:val="20"/>
          <w:szCs w:val="20"/>
          <w:lang w:val="es-ES"/>
        </w:rPr>
        <w:t xml:space="preserve">Radio Stereo Libre, 95.3 FM, </w:t>
      </w:r>
      <w:r w:rsidR="00695768" w:rsidRPr="00975C02">
        <w:rPr>
          <w:sz w:val="20"/>
          <w:szCs w:val="20"/>
          <w:lang w:val="es-ES"/>
        </w:rPr>
        <w:t xml:space="preserve">la cual estaba relacionada con el abogado de la parte acusadora, </w:t>
      </w:r>
      <w:r w:rsidRPr="00975C02">
        <w:rPr>
          <w:sz w:val="20"/>
          <w:szCs w:val="20"/>
          <w:lang w:val="es-ES"/>
        </w:rPr>
        <w:t xml:space="preserve">cubrió cada una de las etapas del proceso penal seguido contra el señor </w:t>
      </w:r>
      <w:r w:rsidR="00695768" w:rsidRPr="00975C02">
        <w:rPr>
          <w:sz w:val="20"/>
          <w:szCs w:val="20"/>
          <w:lang w:val="es-ES"/>
        </w:rPr>
        <w:t>H.R.A.</w:t>
      </w:r>
      <w:r w:rsidRPr="00975C02">
        <w:rPr>
          <w:sz w:val="20"/>
          <w:szCs w:val="20"/>
          <w:lang w:val="es-ES"/>
        </w:rPr>
        <w:t xml:space="preserve"> durante el año 2002</w:t>
      </w:r>
      <w:r w:rsidRPr="00975C02">
        <w:rPr>
          <w:sz w:val="20"/>
          <w:szCs w:val="20"/>
          <w:vertAlign w:val="superscript"/>
          <w:lang w:val="es-ES"/>
        </w:rPr>
        <w:footnoteReference w:id="63"/>
      </w:r>
      <w:r w:rsidRPr="00975C02">
        <w:rPr>
          <w:sz w:val="20"/>
          <w:szCs w:val="20"/>
          <w:lang w:val="es-ES"/>
        </w:rPr>
        <w:t>.</w:t>
      </w:r>
    </w:p>
    <w:p w14:paraId="3E8C5711" w14:textId="77777777" w:rsidR="00B5625C" w:rsidRPr="00975C02" w:rsidRDefault="00B5625C" w:rsidP="00B5625C">
      <w:pPr>
        <w:spacing w:line="240" w:lineRule="auto"/>
        <w:rPr>
          <w:sz w:val="20"/>
          <w:szCs w:val="20"/>
          <w:lang w:val="es-ES"/>
        </w:rPr>
      </w:pPr>
    </w:p>
    <w:p w14:paraId="28F4FED8"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09" w:name="_Toc514172619"/>
      <w:r w:rsidRPr="00975C02">
        <w:rPr>
          <w:rFonts w:eastAsia="MS Mincho"/>
          <w:b/>
          <w:bCs/>
          <w:i/>
          <w:sz w:val="20"/>
          <w:szCs w:val="20"/>
          <w:lang w:val="es-ES"/>
        </w:rPr>
        <w:t>Las medidas de prueba ordenadas</w:t>
      </w:r>
      <w:bookmarkEnd w:id="109"/>
    </w:p>
    <w:p w14:paraId="59E16BE0" w14:textId="77777777" w:rsidR="00B5625C" w:rsidRPr="00975C02" w:rsidRDefault="00B5625C" w:rsidP="00B5625C">
      <w:pPr>
        <w:spacing w:line="240" w:lineRule="auto"/>
        <w:ind w:left="1418"/>
        <w:rPr>
          <w:sz w:val="20"/>
          <w:szCs w:val="20"/>
          <w:lang w:val="es-ES"/>
        </w:rPr>
      </w:pPr>
    </w:p>
    <w:p w14:paraId="37F44E30" w14:textId="45B14A94" w:rsidR="00B5625C" w:rsidRPr="00975C02" w:rsidRDefault="00B5625C"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el marco de </w:t>
      </w:r>
      <w:r w:rsidR="001D35A0">
        <w:rPr>
          <w:sz w:val="20"/>
          <w:szCs w:val="20"/>
          <w:lang w:val="es-ES"/>
        </w:rPr>
        <w:t>la</w:t>
      </w:r>
      <w:r w:rsidRPr="00975C02">
        <w:rPr>
          <w:sz w:val="20"/>
          <w:szCs w:val="20"/>
          <w:lang w:val="es-ES"/>
        </w:rPr>
        <w:t xml:space="preserve"> instrucción se ordenó </w:t>
      </w:r>
      <w:r w:rsidR="009E49EB" w:rsidRPr="00975C02">
        <w:rPr>
          <w:sz w:val="20"/>
          <w:szCs w:val="20"/>
          <w:lang w:val="es-ES"/>
        </w:rPr>
        <w:t>recibir</w:t>
      </w:r>
      <w:r w:rsidRPr="00975C02">
        <w:rPr>
          <w:sz w:val="20"/>
          <w:szCs w:val="20"/>
          <w:lang w:val="es-ES"/>
        </w:rPr>
        <w:t xml:space="preserve"> 21 declaraciones testimoniales</w:t>
      </w:r>
      <w:r w:rsidRPr="00975C02">
        <w:rPr>
          <w:sz w:val="20"/>
          <w:szCs w:val="20"/>
          <w:vertAlign w:val="superscript"/>
          <w:lang w:val="es-ES"/>
        </w:rPr>
        <w:footnoteReference w:id="64"/>
      </w:r>
      <w:r w:rsidRPr="00975C02">
        <w:rPr>
          <w:sz w:val="20"/>
          <w:szCs w:val="20"/>
          <w:lang w:val="es-ES"/>
        </w:rPr>
        <w:t xml:space="preserve"> y se dispuso la realización de otras medidas de prueba que se detallan a continuación:</w:t>
      </w:r>
    </w:p>
    <w:p w14:paraId="32684ACD" w14:textId="77777777" w:rsidR="00B5625C" w:rsidRPr="00975C02" w:rsidRDefault="00B5625C" w:rsidP="00B5625C">
      <w:pPr>
        <w:spacing w:line="240" w:lineRule="auto"/>
        <w:rPr>
          <w:sz w:val="20"/>
          <w:szCs w:val="20"/>
          <w:lang w:val="es-ES"/>
        </w:rPr>
      </w:pPr>
    </w:p>
    <w:p w14:paraId="660A5943" w14:textId="77777777" w:rsidR="00B5625C" w:rsidRPr="00975C02" w:rsidRDefault="00B5625C" w:rsidP="002C415B">
      <w:pPr>
        <w:widowControl/>
        <w:numPr>
          <w:ilvl w:val="0"/>
          <w:numId w:val="6"/>
        </w:numPr>
        <w:adjustRightInd/>
        <w:spacing w:line="240" w:lineRule="auto"/>
        <w:ind w:left="1701"/>
        <w:jc w:val="left"/>
        <w:textAlignment w:val="auto"/>
        <w:rPr>
          <w:i/>
          <w:sz w:val="20"/>
          <w:szCs w:val="20"/>
          <w:lang w:val="es-ES"/>
        </w:rPr>
      </w:pPr>
      <w:r w:rsidRPr="00975C02">
        <w:rPr>
          <w:i/>
          <w:sz w:val="20"/>
          <w:szCs w:val="20"/>
          <w:lang w:val="es-ES"/>
        </w:rPr>
        <w:t>Examen médico de V.R.P.</w:t>
      </w:r>
    </w:p>
    <w:p w14:paraId="360F416C" w14:textId="77777777" w:rsidR="00B5625C" w:rsidRPr="00975C02" w:rsidRDefault="00B5625C" w:rsidP="00B5625C">
      <w:pPr>
        <w:spacing w:line="240" w:lineRule="auto"/>
        <w:ind w:left="1701"/>
        <w:rPr>
          <w:i/>
          <w:sz w:val="20"/>
          <w:szCs w:val="20"/>
          <w:lang w:val="es-ES"/>
        </w:rPr>
      </w:pPr>
    </w:p>
    <w:p w14:paraId="024D9D29" w14:textId="579EFFF4" w:rsidR="00D2788D" w:rsidRPr="00975C02" w:rsidRDefault="00B5625C" w:rsidP="00D2788D">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sz w:val="20"/>
          <w:szCs w:val="20"/>
          <w:lang w:val="es-ES"/>
        </w:rPr>
        <w:t>Se ordenó la realización de un e</w:t>
      </w:r>
      <w:r w:rsidR="00CB1096" w:rsidRPr="00975C02">
        <w:rPr>
          <w:sz w:val="20"/>
          <w:szCs w:val="20"/>
          <w:lang w:val="es-ES"/>
        </w:rPr>
        <w:t>xamen médico respecto de V.R.P.</w:t>
      </w:r>
      <w:r w:rsidRPr="00975C02">
        <w:rPr>
          <w:sz w:val="20"/>
          <w:szCs w:val="20"/>
          <w:lang w:val="es-ES"/>
        </w:rPr>
        <w:t xml:space="preserve"> </w:t>
      </w:r>
      <w:r w:rsidR="00D2788D" w:rsidRPr="00975C02">
        <w:rPr>
          <w:sz w:val="20"/>
          <w:szCs w:val="20"/>
          <w:lang w:val="es-ES"/>
        </w:rPr>
        <w:t xml:space="preserve">Para ello, </w:t>
      </w:r>
      <w:r w:rsidR="00D2788D" w:rsidRPr="00975C02">
        <w:rPr>
          <w:kern w:val="2"/>
          <w:sz w:val="20"/>
          <w:szCs w:val="20"/>
          <w:lang w:val="es-ES" w:eastAsia="en-US"/>
        </w:rPr>
        <w:t xml:space="preserve">la jueza de distrito penal a cargo del proceso solicitó al Director del Hospital Victoria </w:t>
      </w:r>
      <w:r w:rsidR="00301DCB" w:rsidRPr="00975C02">
        <w:rPr>
          <w:kern w:val="2"/>
          <w:sz w:val="20"/>
          <w:szCs w:val="20"/>
          <w:lang w:val="es-ES" w:eastAsia="en-US"/>
        </w:rPr>
        <w:t>Mo</w:t>
      </w:r>
      <w:r w:rsidR="008A4CF8" w:rsidRPr="00975C02">
        <w:rPr>
          <w:kern w:val="2"/>
          <w:sz w:val="20"/>
          <w:szCs w:val="20"/>
          <w:lang w:val="es-ES" w:eastAsia="en-US"/>
        </w:rPr>
        <w:t>t</w:t>
      </w:r>
      <w:r w:rsidR="00301DCB" w:rsidRPr="00975C02">
        <w:rPr>
          <w:kern w:val="2"/>
          <w:sz w:val="20"/>
          <w:szCs w:val="20"/>
          <w:lang w:val="es-ES" w:eastAsia="en-US"/>
        </w:rPr>
        <w:t xml:space="preserve">ta </w:t>
      </w:r>
      <w:r w:rsidR="00D2788D" w:rsidRPr="00975C02">
        <w:rPr>
          <w:kern w:val="2"/>
          <w:sz w:val="20"/>
          <w:szCs w:val="20"/>
          <w:lang w:val="es-ES" w:eastAsia="en-US"/>
        </w:rPr>
        <w:t>que conformara una junta médica compuesta por un pediatra, un cirujano, y un ginecólogo, para que asociados al médico forense practiquen la valoración médico legal de V.R.P</w:t>
      </w:r>
      <w:r w:rsidR="00D2788D" w:rsidRPr="00975C02">
        <w:rPr>
          <w:kern w:val="2"/>
          <w:sz w:val="20"/>
          <w:szCs w:val="20"/>
          <w:vertAlign w:val="superscript"/>
          <w:lang w:val="es-ES" w:eastAsia="en-US"/>
        </w:rPr>
        <w:footnoteReference w:id="65"/>
      </w:r>
      <w:r w:rsidR="00D2788D" w:rsidRPr="00975C02">
        <w:rPr>
          <w:kern w:val="2"/>
          <w:sz w:val="20"/>
          <w:szCs w:val="20"/>
          <w:lang w:val="es-ES" w:eastAsia="en-US"/>
        </w:rPr>
        <w:t>. Dicha junta médica fue conformada por el Director del Hospital, con base en lo requerido</w:t>
      </w:r>
      <w:r w:rsidR="00D2788D" w:rsidRPr="00975C02">
        <w:rPr>
          <w:kern w:val="2"/>
          <w:sz w:val="20"/>
          <w:szCs w:val="20"/>
          <w:vertAlign w:val="superscript"/>
          <w:lang w:val="es-ES" w:eastAsia="en-US"/>
        </w:rPr>
        <w:footnoteReference w:id="66"/>
      </w:r>
      <w:r w:rsidR="00D2788D" w:rsidRPr="00975C02">
        <w:rPr>
          <w:kern w:val="2"/>
          <w:sz w:val="20"/>
          <w:szCs w:val="20"/>
          <w:lang w:val="es-ES" w:eastAsia="en-US"/>
        </w:rPr>
        <w:t xml:space="preserve"> y el 22 de noviembre de 2001 el médico forense intentó realizar la diligencia, en la cual participaron no sólo tres médicos (el forense, el ginecólogo y el pediatra), sino que estuvo presente una psiquiatra, la jueza y la secretaria del despacho judicial</w:t>
      </w:r>
      <w:r w:rsidR="00D2788D" w:rsidRPr="00975C02">
        <w:rPr>
          <w:kern w:val="2"/>
          <w:sz w:val="20"/>
          <w:szCs w:val="20"/>
          <w:vertAlign w:val="superscript"/>
          <w:lang w:val="es-ES" w:eastAsia="en-US"/>
        </w:rPr>
        <w:footnoteReference w:id="67"/>
      </w:r>
      <w:r w:rsidR="00D2788D" w:rsidRPr="00975C02">
        <w:rPr>
          <w:kern w:val="2"/>
          <w:sz w:val="20"/>
          <w:szCs w:val="20"/>
          <w:lang w:val="es-ES" w:eastAsia="en-US"/>
        </w:rPr>
        <w:t>.</w:t>
      </w:r>
    </w:p>
    <w:p w14:paraId="7692E7F6" w14:textId="77777777" w:rsidR="00D2788D" w:rsidRPr="00975C02" w:rsidRDefault="00D2788D" w:rsidP="00D2788D">
      <w:pPr>
        <w:tabs>
          <w:tab w:val="left" w:pos="567"/>
        </w:tabs>
        <w:spacing w:line="240" w:lineRule="auto"/>
        <w:rPr>
          <w:sz w:val="20"/>
          <w:szCs w:val="20"/>
          <w:lang w:val="es-ES"/>
        </w:rPr>
      </w:pPr>
    </w:p>
    <w:p w14:paraId="7CD9BFCD" w14:textId="5D416BEE" w:rsidR="00B5625C" w:rsidRPr="00975C02" w:rsidRDefault="00CB1096" w:rsidP="00390277">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el Acta Judicial de 22 de noviembre de 2001 se consignó que el médico legista, acompañado de un ginecólogo, un pediatra y una psiquiatra, inició el examen médico legal a V.R.P., describiéndose ciertos hallazgos, pero que “se suspendió todo procedimiento por negatividad de la menor”</w:t>
      </w:r>
      <w:r w:rsidRPr="00975C02">
        <w:rPr>
          <w:sz w:val="20"/>
          <w:szCs w:val="20"/>
          <w:vertAlign w:val="superscript"/>
          <w:lang w:val="es-ES"/>
        </w:rPr>
        <w:footnoteReference w:id="68"/>
      </w:r>
      <w:r w:rsidRPr="00975C02">
        <w:rPr>
          <w:sz w:val="20"/>
          <w:szCs w:val="20"/>
          <w:lang w:val="es-ES"/>
        </w:rPr>
        <w:t xml:space="preserve">. </w:t>
      </w:r>
      <w:r w:rsidR="00C37DAE" w:rsidRPr="00975C02">
        <w:rPr>
          <w:sz w:val="20"/>
          <w:szCs w:val="20"/>
          <w:lang w:val="es-ES"/>
        </w:rPr>
        <w:t xml:space="preserve">La señora V.P.C., en un escrito presentado ante el Director del Sistema </w:t>
      </w:r>
      <w:r w:rsidR="00C37DAE" w:rsidRPr="00975C02">
        <w:rPr>
          <w:sz w:val="20"/>
          <w:szCs w:val="20"/>
          <w:lang w:val="es-ES"/>
        </w:rPr>
        <w:lastRenderedPageBreak/>
        <w:t>Local de Atención Integral en Salud (SILAIS) del Departamento de Jinotega, expuso que lo que sucedió fue que el profesional médico interviniente tuvo un “comportamiento antiético, grotesco y vulgar” al momento de examinar a su hija</w:t>
      </w:r>
      <w:r w:rsidR="00C37DAE" w:rsidRPr="00975C02">
        <w:rPr>
          <w:sz w:val="20"/>
          <w:szCs w:val="20"/>
          <w:vertAlign w:val="superscript"/>
          <w:lang w:val="es-ES"/>
        </w:rPr>
        <w:footnoteReference w:id="69"/>
      </w:r>
      <w:r w:rsidR="00C37DAE" w:rsidRPr="00975C02">
        <w:rPr>
          <w:sz w:val="20"/>
          <w:szCs w:val="20"/>
          <w:lang w:val="es-ES"/>
        </w:rPr>
        <w:t xml:space="preserve"> (</w:t>
      </w:r>
      <w:r w:rsidR="00C37DAE" w:rsidRPr="00975C02">
        <w:rPr>
          <w:i/>
          <w:sz w:val="20"/>
          <w:szCs w:val="20"/>
          <w:lang w:val="es-ES"/>
        </w:rPr>
        <w:t>infra</w:t>
      </w:r>
      <w:r w:rsidR="00C37DAE" w:rsidRPr="00975C02">
        <w:rPr>
          <w:sz w:val="20"/>
          <w:szCs w:val="20"/>
          <w:lang w:val="es-ES"/>
        </w:rPr>
        <w:t xml:space="preserve"> párr. </w:t>
      </w:r>
      <w:r w:rsidR="0016280F" w:rsidRPr="00975C02">
        <w:rPr>
          <w:sz w:val="20"/>
          <w:szCs w:val="20"/>
          <w:lang w:val="es-ES"/>
        </w:rPr>
        <w:t>177</w:t>
      </w:r>
      <w:r w:rsidR="00C37DAE" w:rsidRPr="00975C02">
        <w:rPr>
          <w:sz w:val="20"/>
          <w:szCs w:val="20"/>
          <w:lang w:val="es-ES"/>
        </w:rPr>
        <w:t xml:space="preserve">). </w:t>
      </w:r>
      <w:r w:rsidRPr="00975C02">
        <w:rPr>
          <w:sz w:val="20"/>
          <w:szCs w:val="20"/>
          <w:lang w:val="es-ES"/>
        </w:rPr>
        <w:t>Por su parte, V.R.P. relató ante esta Corte las circunstancias en las cuales se desarrolló la diligencia y las razones por las que se negó a continuar con el examen</w:t>
      </w:r>
      <w:r w:rsidRPr="00975C02">
        <w:rPr>
          <w:sz w:val="20"/>
          <w:szCs w:val="20"/>
          <w:vertAlign w:val="superscript"/>
          <w:lang w:val="es-ES"/>
        </w:rPr>
        <w:footnoteReference w:id="70"/>
      </w:r>
      <w:r w:rsidRPr="00975C02">
        <w:rPr>
          <w:sz w:val="20"/>
          <w:szCs w:val="20"/>
          <w:lang w:val="es-ES"/>
        </w:rPr>
        <w:t>.</w:t>
      </w:r>
    </w:p>
    <w:p w14:paraId="48A020EB" w14:textId="77777777" w:rsidR="00B5625C" w:rsidRPr="00975C02" w:rsidRDefault="00B5625C" w:rsidP="00B5625C">
      <w:pPr>
        <w:spacing w:line="240" w:lineRule="auto"/>
        <w:rPr>
          <w:sz w:val="20"/>
          <w:szCs w:val="20"/>
          <w:lang w:val="es-ES"/>
        </w:rPr>
      </w:pPr>
    </w:p>
    <w:p w14:paraId="421BC48B" w14:textId="4853C19A" w:rsidR="00BA1DFE" w:rsidRPr="00975C02" w:rsidRDefault="002E5257" w:rsidP="00BA1DFE">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Según surge de las declaraciones recibidas ante esta Corte, durante el primer examen médico forense, el médico olía a alcohol, no le permitió a </w:t>
      </w:r>
      <w:r w:rsidR="00C37DAE" w:rsidRPr="00975C02">
        <w:rPr>
          <w:sz w:val="20"/>
          <w:szCs w:val="20"/>
          <w:lang w:val="es-ES"/>
        </w:rPr>
        <w:t>la</w:t>
      </w:r>
      <w:r w:rsidRPr="00975C02">
        <w:rPr>
          <w:sz w:val="20"/>
          <w:szCs w:val="20"/>
          <w:lang w:val="es-ES"/>
        </w:rPr>
        <w:t xml:space="preserve"> madre</w:t>
      </w:r>
      <w:r w:rsidR="00C37DAE" w:rsidRPr="00975C02">
        <w:rPr>
          <w:sz w:val="20"/>
          <w:szCs w:val="20"/>
          <w:lang w:val="es-ES"/>
        </w:rPr>
        <w:t xml:space="preserve"> de V.R.P.</w:t>
      </w:r>
      <w:r w:rsidRPr="00975C02">
        <w:rPr>
          <w:sz w:val="20"/>
          <w:szCs w:val="20"/>
          <w:lang w:val="es-ES"/>
        </w:rPr>
        <w:t xml:space="preserve"> poner una colcha y un cojín para que la niña se acostara sobre ellos</w:t>
      </w:r>
      <w:r w:rsidR="00C37DAE" w:rsidRPr="00975C02">
        <w:rPr>
          <w:sz w:val="20"/>
          <w:szCs w:val="20"/>
          <w:lang w:val="es-ES"/>
        </w:rPr>
        <w:t>,</w:t>
      </w:r>
      <w:r w:rsidRPr="00975C02">
        <w:rPr>
          <w:sz w:val="20"/>
          <w:szCs w:val="20"/>
          <w:lang w:val="es-ES"/>
        </w:rPr>
        <w:t xml:space="preserve"> teniendo en cuenta que estaba dolorida y tenía llagas puesto que había tenido operaciones quirúrgicas recientes</w:t>
      </w:r>
      <w:r w:rsidR="00C37DAE" w:rsidRPr="00975C02">
        <w:rPr>
          <w:sz w:val="20"/>
          <w:szCs w:val="20"/>
          <w:lang w:val="es-ES"/>
        </w:rPr>
        <w:t>,</w:t>
      </w:r>
      <w:r w:rsidRPr="00975C02">
        <w:rPr>
          <w:sz w:val="20"/>
          <w:szCs w:val="20"/>
          <w:lang w:val="es-ES"/>
        </w:rPr>
        <w:t xml:space="preserve"> y le indicó que se acostara sobre la camilla de metal. </w:t>
      </w:r>
      <w:r w:rsidR="00BA1DFE" w:rsidRPr="00975C02">
        <w:rPr>
          <w:sz w:val="20"/>
          <w:szCs w:val="20"/>
          <w:lang w:val="es-ES"/>
        </w:rPr>
        <w:t>Las pruebas recibidas ante esta Corte evidencian que, durante el examen médico, la niña V.R.P. manifestó su negativa a realizárselo por el dolor que sentía ante el tacto ejercido de forma violenta por el galeno. En efecto, las declaraciones de V.R.P., V.P.C. y la abuela de V.R.P. son coincidentes en señalar que el médico “abría las piernas” de V.R.P., “usó mucha fuerza” durante el examen, por lo que la niña tendía a cerrar las piernas</w:t>
      </w:r>
      <w:r w:rsidR="00EA51B7" w:rsidRPr="00975C02">
        <w:rPr>
          <w:sz w:val="20"/>
          <w:szCs w:val="20"/>
          <w:lang w:val="es-ES"/>
        </w:rPr>
        <w:t xml:space="preserve"> ya que sentía ardor y mucho dolor en las zonas afectadas</w:t>
      </w:r>
      <w:r w:rsidR="00BA1DFE" w:rsidRPr="00975C02">
        <w:rPr>
          <w:rStyle w:val="FootnoteReference"/>
          <w:rFonts w:eastAsia="MS ????"/>
          <w:sz w:val="20"/>
          <w:szCs w:val="20"/>
          <w:lang w:val="es-ES"/>
        </w:rPr>
        <w:footnoteReference w:id="71"/>
      </w:r>
      <w:r w:rsidR="00BA1DFE" w:rsidRPr="00975C02">
        <w:rPr>
          <w:sz w:val="20"/>
          <w:szCs w:val="20"/>
          <w:lang w:val="es-ES"/>
        </w:rPr>
        <w:t>. Debido al actuar violento del médico, algunos de los miembros presentes del personal de salud decidieron no continuar participando en la diligencia</w:t>
      </w:r>
      <w:r w:rsidR="00BA1DFE" w:rsidRPr="00975C02">
        <w:rPr>
          <w:rStyle w:val="FootnoteReference"/>
          <w:rFonts w:eastAsia="MS ????"/>
          <w:sz w:val="20"/>
          <w:szCs w:val="20"/>
          <w:lang w:val="es-ES"/>
        </w:rPr>
        <w:footnoteReference w:id="72"/>
      </w:r>
      <w:r w:rsidR="00BA1DFE" w:rsidRPr="00975C02">
        <w:rPr>
          <w:sz w:val="20"/>
          <w:szCs w:val="20"/>
          <w:lang w:val="es-ES"/>
        </w:rPr>
        <w:t>.</w:t>
      </w:r>
    </w:p>
    <w:p w14:paraId="3E4FD4EC" w14:textId="77777777" w:rsidR="00B5625C" w:rsidRPr="00975C02" w:rsidRDefault="00B5625C" w:rsidP="009651A9">
      <w:pPr>
        <w:tabs>
          <w:tab w:val="left" w:pos="567"/>
        </w:tabs>
        <w:spacing w:line="240" w:lineRule="auto"/>
        <w:rPr>
          <w:sz w:val="20"/>
          <w:szCs w:val="20"/>
          <w:lang w:val="es-ES"/>
        </w:rPr>
      </w:pPr>
    </w:p>
    <w:p w14:paraId="17A84611" w14:textId="77777777" w:rsidR="00B5625C" w:rsidRPr="00975C02" w:rsidRDefault="00B5625C" w:rsidP="009651A9">
      <w:pPr>
        <w:numPr>
          <w:ilvl w:val="0"/>
          <w:numId w:val="2"/>
        </w:numPr>
        <w:tabs>
          <w:tab w:val="left" w:pos="567"/>
          <w:tab w:val="num" w:pos="12305"/>
        </w:tabs>
        <w:spacing w:line="240" w:lineRule="auto"/>
        <w:ind w:left="0" w:firstLine="0"/>
        <w:rPr>
          <w:sz w:val="16"/>
          <w:szCs w:val="16"/>
          <w:lang w:val="es-ES"/>
        </w:rPr>
      </w:pPr>
      <w:r w:rsidRPr="00975C02">
        <w:rPr>
          <w:sz w:val="20"/>
          <w:szCs w:val="20"/>
          <w:lang w:val="es-ES"/>
        </w:rPr>
        <w:t xml:space="preserve">Posteriormente, la señora V.P.C. </w:t>
      </w:r>
      <w:r w:rsidR="00C003A2" w:rsidRPr="00975C02">
        <w:rPr>
          <w:sz w:val="20"/>
          <w:szCs w:val="20"/>
          <w:lang w:val="es-ES"/>
        </w:rPr>
        <w:t>instó</w:t>
      </w:r>
      <w:r w:rsidRPr="00975C02">
        <w:rPr>
          <w:sz w:val="20"/>
          <w:szCs w:val="20"/>
          <w:lang w:val="es-ES"/>
        </w:rPr>
        <w:t xml:space="preserve"> que se ordenara que sea la suplente del médico forense</w:t>
      </w:r>
      <w:r w:rsidR="004E6A9B" w:rsidRPr="00975C02">
        <w:rPr>
          <w:sz w:val="20"/>
          <w:szCs w:val="20"/>
          <w:lang w:val="es-ES"/>
        </w:rPr>
        <w:t xml:space="preserve">, asociada del médico pediatra, y el </w:t>
      </w:r>
      <w:r w:rsidRPr="00975C02">
        <w:rPr>
          <w:sz w:val="20"/>
          <w:szCs w:val="20"/>
          <w:lang w:val="es-ES"/>
        </w:rPr>
        <w:t xml:space="preserve">ginecólogo </w:t>
      </w:r>
      <w:r w:rsidR="004E6A9B" w:rsidRPr="00975C02">
        <w:rPr>
          <w:sz w:val="20"/>
          <w:szCs w:val="20"/>
          <w:lang w:val="es-ES"/>
        </w:rPr>
        <w:t>nombrado por el hospital</w:t>
      </w:r>
      <w:r w:rsidR="005133A3" w:rsidRPr="00975C02">
        <w:rPr>
          <w:sz w:val="20"/>
          <w:szCs w:val="20"/>
          <w:lang w:val="es-ES"/>
        </w:rPr>
        <w:t>, quien</w:t>
      </w:r>
      <w:r w:rsidR="004E6A9B" w:rsidRPr="00975C02">
        <w:rPr>
          <w:sz w:val="20"/>
          <w:szCs w:val="20"/>
          <w:lang w:val="es-ES"/>
        </w:rPr>
        <w:t>es</w:t>
      </w:r>
      <w:r w:rsidR="005133A3" w:rsidRPr="00975C02">
        <w:rPr>
          <w:sz w:val="20"/>
          <w:szCs w:val="20"/>
          <w:lang w:val="es-ES"/>
        </w:rPr>
        <w:t xml:space="preserve"> practique</w:t>
      </w:r>
      <w:r w:rsidR="004E6A9B" w:rsidRPr="00975C02">
        <w:rPr>
          <w:sz w:val="20"/>
          <w:szCs w:val="20"/>
          <w:lang w:val="es-ES"/>
        </w:rPr>
        <w:t>n</w:t>
      </w:r>
      <w:r w:rsidR="005133A3" w:rsidRPr="00975C02">
        <w:rPr>
          <w:sz w:val="20"/>
          <w:szCs w:val="20"/>
          <w:lang w:val="es-ES"/>
        </w:rPr>
        <w:t xml:space="preserve"> el examen médico a V.R.P.</w:t>
      </w:r>
      <w:r w:rsidRPr="00975C02">
        <w:rPr>
          <w:sz w:val="20"/>
          <w:szCs w:val="20"/>
          <w:vertAlign w:val="superscript"/>
          <w:lang w:val="es-ES"/>
        </w:rPr>
        <w:footnoteReference w:id="73"/>
      </w:r>
      <w:r w:rsidRPr="00975C02">
        <w:rPr>
          <w:sz w:val="20"/>
          <w:szCs w:val="20"/>
          <w:lang w:val="es-ES"/>
        </w:rPr>
        <w:t>.</w:t>
      </w:r>
      <w:r w:rsidR="00CF4D1B" w:rsidRPr="00975C02">
        <w:rPr>
          <w:sz w:val="20"/>
          <w:szCs w:val="20"/>
          <w:lang w:val="es-ES"/>
        </w:rPr>
        <w:t xml:space="preserve"> Asimismo, solicitó que se hiciera una valoración psiquiátrica de su hija.</w:t>
      </w:r>
    </w:p>
    <w:p w14:paraId="2D94B5F8" w14:textId="77777777" w:rsidR="00B5625C" w:rsidRPr="00975C02" w:rsidRDefault="00B5625C" w:rsidP="00B5625C">
      <w:pPr>
        <w:spacing w:line="240" w:lineRule="auto"/>
        <w:rPr>
          <w:sz w:val="20"/>
          <w:szCs w:val="20"/>
          <w:lang w:val="es-ES"/>
        </w:rPr>
      </w:pPr>
    </w:p>
    <w:p w14:paraId="3D15C2FC" w14:textId="09CE0EC2" w:rsidR="005262C3" w:rsidRPr="00975C02" w:rsidRDefault="005262C3" w:rsidP="005262C3">
      <w:pPr>
        <w:numPr>
          <w:ilvl w:val="0"/>
          <w:numId w:val="2"/>
        </w:numPr>
        <w:tabs>
          <w:tab w:val="left" w:pos="567"/>
          <w:tab w:val="num" w:pos="12305"/>
        </w:tabs>
        <w:spacing w:line="240" w:lineRule="auto"/>
        <w:ind w:left="0" w:firstLine="0"/>
        <w:rPr>
          <w:sz w:val="16"/>
          <w:szCs w:val="16"/>
          <w:lang w:val="es-ES"/>
        </w:rPr>
      </w:pPr>
      <w:r w:rsidRPr="00975C02">
        <w:rPr>
          <w:sz w:val="20"/>
          <w:szCs w:val="20"/>
          <w:lang w:val="es-ES"/>
        </w:rPr>
        <w:t xml:space="preserve">El 23 de noviembre de 2001 el Juzgado de Distrito para lo Penal de Jinotega dispuso que se solicitara al director del </w:t>
      </w:r>
      <w:r w:rsidR="00301DCB" w:rsidRPr="00975C02">
        <w:rPr>
          <w:sz w:val="20"/>
          <w:szCs w:val="20"/>
          <w:lang w:val="es-ES"/>
        </w:rPr>
        <w:t>H</w:t>
      </w:r>
      <w:r w:rsidRPr="00975C02">
        <w:rPr>
          <w:sz w:val="20"/>
          <w:szCs w:val="20"/>
          <w:lang w:val="es-ES"/>
        </w:rPr>
        <w:t>ospital Victoria</w:t>
      </w:r>
      <w:r w:rsidR="00301DCB" w:rsidRPr="00975C02">
        <w:rPr>
          <w:sz w:val="20"/>
          <w:szCs w:val="20"/>
          <w:lang w:val="es-ES"/>
        </w:rPr>
        <w:t xml:space="preserve"> Mo</w:t>
      </w:r>
      <w:r w:rsidR="008A4CF8" w:rsidRPr="00975C02">
        <w:rPr>
          <w:sz w:val="20"/>
          <w:szCs w:val="20"/>
          <w:lang w:val="es-ES"/>
        </w:rPr>
        <w:t>t</w:t>
      </w:r>
      <w:r w:rsidR="00301DCB" w:rsidRPr="00975C02">
        <w:rPr>
          <w:sz w:val="20"/>
          <w:szCs w:val="20"/>
          <w:lang w:val="es-ES"/>
        </w:rPr>
        <w:t>ta</w:t>
      </w:r>
      <w:r w:rsidRPr="00975C02">
        <w:rPr>
          <w:sz w:val="20"/>
          <w:szCs w:val="20"/>
          <w:lang w:val="es-ES"/>
        </w:rPr>
        <w:t xml:space="preserve"> que autorice a una psiquiatra, a fin </w:t>
      </w:r>
      <w:r w:rsidR="00972E6B" w:rsidRPr="00975C02">
        <w:rPr>
          <w:sz w:val="20"/>
          <w:szCs w:val="20"/>
          <w:lang w:val="es-ES"/>
        </w:rPr>
        <w:t xml:space="preserve">de </w:t>
      </w:r>
      <w:r w:rsidRPr="00975C02">
        <w:rPr>
          <w:sz w:val="20"/>
          <w:szCs w:val="20"/>
          <w:lang w:val="es-ES"/>
        </w:rPr>
        <w:t>que dé seguimiento a la niña V.R.P., para que en su momento se evacúe un informe del estado emocional de la niña</w:t>
      </w:r>
      <w:r w:rsidRPr="00975C02">
        <w:rPr>
          <w:sz w:val="20"/>
          <w:szCs w:val="20"/>
          <w:vertAlign w:val="superscript"/>
          <w:lang w:val="es-ES"/>
        </w:rPr>
        <w:footnoteReference w:id="74"/>
      </w:r>
      <w:r w:rsidRPr="00975C02">
        <w:rPr>
          <w:sz w:val="20"/>
          <w:szCs w:val="20"/>
          <w:lang w:val="es-ES"/>
        </w:rPr>
        <w:t>.</w:t>
      </w:r>
    </w:p>
    <w:p w14:paraId="06E619DD" w14:textId="77777777" w:rsidR="005262C3" w:rsidRPr="00975C02" w:rsidRDefault="005262C3" w:rsidP="00B5625C">
      <w:pPr>
        <w:spacing w:line="240" w:lineRule="auto"/>
        <w:rPr>
          <w:sz w:val="20"/>
          <w:szCs w:val="20"/>
          <w:lang w:val="es-ES"/>
        </w:rPr>
      </w:pPr>
    </w:p>
    <w:p w14:paraId="447ADE5E" w14:textId="77777777" w:rsidR="00B5625C" w:rsidRPr="00975C02" w:rsidRDefault="00253891" w:rsidP="009651A9">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Se</w:t>
      </w:r>
      <w:r w:rsidR="00B5625C" w:rsidRPr="00975C02">
        <w:rPr>
          <w:sz w:val="20"/>
          <w:szCs w:val="20"/>
          <w:lang w:val="es-ES"/>
        </w:rPr>
        <w:t xml:space="preserve"> programó otro</w:t>
      </w:r>
      <w:r w:rsidRPr="00975C02">
        <w:rPr>
          <w:sz w:val="20"/>
          <w:szCs w:val="20"/>
          <w:lang w:val="es-ES"/>
        </w:rPr>
        <w:t xml:space="preserve"> examen</w:t>
      </w:r>
      <w:r w:rsidR="00B5625C" w:rsidRPr="00975C02">
        <w:rPr>
          <w:sz w:val="20"/>
          <w:szCs w:val="20"/>
          <w:lang w:val="es-ES"/>
        </w:rPr>
        <w:t xml:space="preserve"> para el 24 de noviembre de 2001 en la Casa de la Mujer. </w:t>
      </w:r>
      <w:r w:rsidR="002655BC" w:rsidRPr="00975C02">
        <w:rPr>
          <w:sz w:val="20"/>
          <w:szCs w:val="20"/>
          <w:lang w:val="es-ES"/>
        </w:rPr>
        <w:t xml:space="preserve">En dicha oportunidad, </w:t>
      </w:r>
      <w:r w:rsidR="00B5625C" w:rsidRPr="00975C02">
        <w:rPr>
          <w:sz w:val="20"/>
          <w:szCs w:val="20"/>
          <w:lang w:val="es-ES"/>
        </w:rPr>
        <w:t xml:space="preserve">V.R.P. </w:t>
      </w:r>
      <w:r w:rsidR="0074653A" w:rsidRPr="00975C02">
        <w:rPr>
          <w:sz w:val="20"/>
          <w:szCs w:val="20"/>
          <w:lang w:val="es-ES"/>
        </w:rPr>
        <w:t>también expresó su negativa a someterse al examen</w:t>
      </w:r>
      <w:r w:rsidR="00B5625C" w:rsidRPr="00975C02">
        <w:rPr>
          <w:sz w:val="20"/>
          <w:szCs w:val="20"/>
          <w:lang w:val="es-ES"/>
        </w:rPr>
        <w:t xml:space="preserve">, por encontrarse </w:t>
      </w:r>
      <w:r w:rsidR="00B5625C" w:rsidRPr="00975C02">
        <w:rPr>
          <w:sz w:val="20"/>
          <w:szCs w:val="20"/>
          <w:lang w:val="es-ES"/>
        </w:rPr>
        <w:lastRenderedPageBreak/>
        <w:t xml:space="preserve">emocionalmente afectada por el trato que habría recibido por parte del </w:t>
      </w:r>
      <w:r w:rsidR="0074653A" w:rsidRPr="00975C02">
        <w:rPr>
          <w:sz w:val="20"/>
          <w:szCs w:val="20"/>
          <w:lang w:val="es-ES"/>
        </w:rPr>
        <w:t>médico forense</w:t>
      </w:r>
      <w:r w:rsidR="00B5625C" w:rsidRPr="00975C02">
        <w:rPr>
          <w:sz w:val="20"/>
          <w:szCs w:val="20"/>
          <w:vertAlign w:val="superscript"/>
          <w:lang w:val="es-ES"/>
        </w:rPr>
        <w:footnoteReference w:id="75"/>
      </w:r>
      <w:r w:rsidR="00B5625C" w:rsidRPr="00975C02">
        <w:rPr>
          <w:sz w:val="20"/>
          <w:szCs w:val="20"/>
          <w:lang w:val="es-ES"/>
        </w:rPr>
        <w:t>.</w:t>
      </w:r>
    </w:p>
    <w:p w14:paraId="38B1A6FF" w14:textId="77777777" w:rsidR="00B5625C" w:rsidRPr="00975C02" w:rsidRDefault="00B5625C" w:rsidP="00B5625C">
      <w:pPr>
        <w:spacing w:line="240" w:lineRule="auto"/>
        <w:rPr>
          <w:sz w:val="20"/>
          <w:szCs w:val="20"/>
          <w:lang w:val="es-ES"/>
        </w:rPr>
      </w:pPr>
    </w:p>
    <w:p w14:paraId="12605F3A" w14:textId="4118D728"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26 de noviembre de 2001 se realizó una consulta externa de psiquiatría en el Hospital Victoria </w:t>
      </w:r>
      <w:r w:rsidR="00301DCB" w:rsidRPr="00975C02">
        <w:rPr>
          <w:sz w:val="20"/>
          <w:szCs w:val="20"/>
          <w:lang w:val="es-ES"/>
        </w:rPr>
        <w:t>Mo</w:t>
      </w:r>
      <w:r w:rsidR="008A4CF8" w:rsidRPr="00975C02">
        <w:rPr>
          <w:sz w:val="20"/>
          <w:szCs w:val="20"/>
          <w:lang w:val="es-ES"/>
        </w:rPr>
        <w:t>t</w:t>
      </w:r>
      <w:r w:rsidR="00301DCB" w:rsidRPr="00975C02">
        <w:rPr>
          <w:sz w:val="20"/>
          <w:szCs w:val="20"/>
          <w:lang w:val="es-ES"/>
        </w:rPr>
        <w:t xml:space="preserve">ta </w:t>
      </w:r>
      <w:r w:rsidRPr="00975C02">
        <w:rPr>
          <w:sz w:val="20"/>
          <w:szCs w:val="20"/>
          <w:lang w:val="es-ES"/>
        </w:rPr>
        <w:t>de Jinotega. El informe indicó que V.R.P. “señala con claridad al actor de lo sucedido en su cuerpo, identificándolo como su papá, especificando que la enfermedad que está padeciendo actualmente la tiene su papá también” y que “su relato es confiable, muy claro y veraz”</w:t>
      </w:r>
      <w:r w:rsidRPr="00975C02">
        <w:rPr>
          <w:sz w:val="20"/>
          <w:szCs w:val="20"/>
          <w:vertAlign w:val="superscript"/>
          <w:lang w:val="es-ES"/>
        </w:rPr>
        <w:footnoteReference w:id="76"/>
      </w:r>
      <w:r w:rsidRPr="00975C02">
        <w:rPr>
          <w:sz w:val="20"/>
          <w:szCs w:val="20"/>
          <w:lang w:val="es-ES"/>
        </w:rPr>
        <w:t>.</w:t>
      </w:r>
    </w:p>
    <w:p w14:paraId="1631FEB4" w14:textId="77777777" w:rsidR="00B5625C" w:rsidRPr="00975C02" w:rsidRDefault="00B5625C" w:rsidP="00B5625C">
      <w:pPr>
        <w:spacing w:line="240" w:lineRule="auto"/>
        <w:rPr>
          <w:sz w:val="20"/>
          <w:szCs w:val="20"/>
          <w:lang w:val="es-ES"/>
        </w:rPr>
      </w:pPr>
    </w:p>
    <w:p w14:paraId="1704EF93" w14:textId="40BC2A83" w:rsidR="00B5625C" w:rsidRPr="00975C02" w:rsidRDefault="00E83E4F"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27 de noviembre de 2001 </w:t>
      </w:r>
      <w:r w:rsidR="00B5625C" w:rsidRPr="00975C02">
        <w:rPr>
          <w:sz w:val="20"/>
          <w:szCs w:val="20"/>
          <w:lang w:val="es-ES"/>
        </w:rPr>
        <w:t>se practic</w:t>
      </w:r>
      <w:r w:rsidRPr="00975C02">
        <w:rPr>
          <w:sz w:val="20"/>
          <w:szCs w:val="20"/>
          <w:lang w:val="es-ES"/>
        </w:rPr>
        <w:t>ó</w:t>
      </w:r>
      <w:r w:rsidR="00B5625C" w:rsidRPr="00975C02">
        <w:rPr>
          <w:sz w:val="20"/>
          <w:szCs w:val="20"/>
          <w:lang w:val="es-ES"/>
        </w:rPr>
        <w:t xml:space="preserve"> el examen médico</w:t>
      </w:r>
      <w:r w:rsidRPr="00975C02">
        <w:rPr>
          <w:sz w:val="20"/>
          <w:szCs w:val="20"/>
          <w:lang w:val="es-ES"/>
        </w:rPr>
        <w:t xml:space="preserve"> </w:t>
      </w:r>
      <w:r w:rsidR="00B5625C" w:rsidRPr="00975C02">
        <w:rPr>
          <w:sz w:val="20"/>
          <w:szCs w:val="20"/>
          <w:lang w:val="es-ES"/>
        </w:rPr>
        <w:t>en el Instituto de Medicina Legal de la Corte Suprema de Justicia en Managua. Allí, se lograron constatar las lesiones que padecía la niña V.R.P</w:t>
      </w:r>
      <w:r w:rsidR="00B5625C" w:rsidRPr="00975C02">
        <w:rPr>
          <w:sz w:val="20"/>
          <w:szCs w:val="20"/>
          <w:vertAlign w:val="superscript"/>
          <w:lang w:val="es-ES"/>
        </w:rPr>
        <w:footnoteReference w:id="77"/>
      </w:r>
      <w:r w:rsidR="00B5625C" w:rsidRPr="00975C02">
        <w:rPr>
          <w:sz w:val="20"/>
          <w:szCs w:val="20"/>
          <w:lang w:val="es-ES"/>
        </w:rPr>
        <w:t>. En dicha oportunidad se le practicó una exploración de zona genital bajo anestesia</w:t>
      </w:r>
      <w:r w:rsidR="00B5625C" w:rsidRPr="00975C02">
        <w:rPr>
          <w:sz w:val="20"/>
          <w:szCs w:val="20"/>
          <w:vertAlign w:val="superscript"/>
          <w:lang w:val="es-ES"/>
        </w:rPr>
        <w:footnoteReference w:id="78"/>
      </w:r>
      <w:r w:rsidRPr="00975C02">
        <w:rPr>
          <w:sz w:val="20"/>
          <w:szCs w:val="20"/>
          <w:lang w:val="es-ES"/>
        </w:rPr>
        <w:t>, según fuera solicitado</w:t>
      </w:r>
      <w:r w:rsidRPr="00975C02">
        <w:rPr>
          <w:sz w:val="20"/>
          <w:szCs w:val="20"/>
          <w:vertAlign w:val="superscript"/>
          <w:lang w:val="es-ES"/>
        </w:rPr>
        <w:footnoteReference w:id="79"/>
      </w:r>
      <w:r w:rsidRPr="00975C02">
        <w:rPr>
          <w:sz w:val="20"/>
          <w:szCs w:val="20"/>
          <w:lang w:val="es-ES"/>
        </w:rPr>
        <w:t>,</w:t>
      </w:r>
      <w:r w:rsidR="00B5625C" w:rsidRPr="00975C02">
        <w:rPr>
          <w:sz w:val="20"/>
          <w:szCs w:val="20"/>
          <w:lang w:val="es-ES"/>
        </w:rPr>
        <w:t xml:space="preserve"> y se encontró que la niña V.R.P. tenía el “himen de</w:t>
      </w:r>
      <w:r w:rsidR="00975C02">
        <w:rPr>
          <w:sz w:val="20"/>
          <w:szCs w:val="20"/>
          <w:lang w:val="es-ES"/>
        </w:rPr>
        <w:t>s</w:t>
      </w:r>
      <w:r w:rsidR="00B5625C" w:rsidRPr="00975C02">
        <w:rPr>
          <w:sz w:val="20"/>
          <w:szCs w:val="20"/>
          <w:lang w:val="es-ES"/>
        </w:rPr>
        <w:t>florado de vieja data[</w:t>
      </w:r>
      <w:r w:rsidR="004A5A98" w:rsidRPr="00975C02">
        <w:rPr>
          <w:sz w:val="20"/>
          <w:szCs w:val="20"/>
          <w:lang w:val="es-ES"/>
        </w:rPr>
        <w:t>; a</w:t>
      </w:r>
      <w:r w:rsidR="00B5625C" w:rsidRPr="00975C02">
        <w:rPr>
          <w:sz w:val="20"/>
          <w:szCs w:val="20"/>
          <w:lang w:val="es-ES"/>
        </w:rPr>
        <w:t>] nivel del cuello uterino 3 lesiones de color blancas[</w:t>
      </w:r>
      <w:r w:rsidR="004A5A98" w:rsidRPr="00975C02">
        <w:rPr>
          <w:sz w:val="20"/>
          <w:szCs w:val="20"/>
          <w:lang w:val="es-ES"/>
        </w:rPr>
        <w:t>; p</w:t>
      </w:r>
      <w:r w:rsidR="00B5625C" w:rsidRPr="00975C02">
        <w:rPr>
          <w:sz w:val="20"/>
          <w:szCs w:val="20"/>
          <w:lang w:val="es-ES"/>
        </w:rPr>
        <w:t>]aredes vaginales muy dolorosas a la inspección[</w:t>
      </w:r>
      <w:r w:rsidR="004A5A98" w:rsidRPr="00975C02">
        <w:rPr>
          <w:sz w:val="20"/>
          <w:szCs w:val="20"/>
          <w:lang w:val="es-ES"/>
        </w:rPr>
        <w:t>, y a</w:t>
      </w:r>
      <w:r w:rsidR="00B5625C" w:rsidRPr="00975C02">
        <w:rPr>
          <w:sz w:val="20"/>
          <w:szCs w:val="20"/>
          <w:lang w:val="es-ES"/>
        </w:rPr>
        <w:t>]no</w:t>
      </w:r>
      <w:r w:rsidR="004A5A98" w:rsidRPr="00975C02">
        <w:rPr>
          <w:sz w:val="20"/>
          <w:szCs w:val="20"/>
          <w:lang w:val="es-ES"/>
        </w:rPr>
        <w:t xml:space="preserve"> [con]</w:t>
      </w:r>
      <w:r w:rsidR="00B5625C" w:rsidRPr="00975C02">
        <w:rPr>
          <w:sz w:val="20"/>
          <w:szCs w:val="20"/>
          <w:lang w:val="es-ES"/>
        </w:rPr>
        <w:t xml:space="preserve"> presencia de zona ulcerada”. Además, se </w:t>
      </w:r>
      <w:r w:rsidR="004A5A98" w:rsidRPr="00975C02">
        <w:rPr>
          <w:sz w:val="20"/>
          <w:szCs w:val="20"/>
          <w:lang w:val="es-ES"/>
        </w:rPr>
        <w:t xml:space="preserve">constató </w:t>
      </w:r>
      <w:r w:rsidR="00B5625C" w:rsidRPr="00975C02">
        <w:rPr>
          <w:sz w:val="20"/>
          <w:szCs w:val="20"/>
          <w:lang w:val="es-ES"/>
        </w:rPr>
        <w:t xml:space="preserve">la presencia del virus </w:t>
      </w:r>
      <w:r w:rsidR="004A5A98" w:rsidRPr="00975C02">
        <w:rPr>
          <w:sz w:val="20"/>
          <w:szCs w:val="20"/>
          <w:lang w:val="es-ES"/>
        </w:rPr>
        <w:t xml:space="preserve">del papiloma </w:t>
      </w:r>
      <w:r w:rsidR="00B5625C" w:rsidRPr="00975C02">
        <w:rPr>
          <w:sz w:val="20"/>
          <w:szCs w:val="20"/>
          <w:lang w:val="es-ES"/>
        </w:rPr>
        <w:t>humano</w:t>
      </w:r>
      <w:r w:rsidR="004A5A98" w:rsidRPr="00975C02">
        <w:rPr>
          <w:sz w:val="20"/>
          <w:szCs w:val="20"/>
          <w:lang w:val="es-ES"/>
        </w:rPr>
        <w:t xml:space="preserve"> y </w:t>
      </w:r>
      <w:r w:rsidR="00B5625C" w:rsidRPr="00975C02">
        <w:rPr>
          <w:sz w:val="20"/>
          <w:szCs w:val="20"/>
          <w:lang w:val="es-ES"/>
        </w:rPr>
        <w:t xml:space="preserve">condiloma acuminado, enfermedades de transmisión por vía sexual. Todo ello permitió concluir que la </w:t>
      </w:r>
      <w:r w:rsidR="004A5A98" w:rsidRPr="00975C02">
        <w:rPr>
          <w:sz w:val="20"/>
          <w:szCs w:val="20"/>
          <w:lang w:val="es-ES"/>
        </w:rPr>
        <w:t xml:space="preserve">niña </w:t>
      </w:r>
      <w:r w:rsidR="00B5625C" w:rsidRPr="00975C02">
        <w:rPr>
          <w:sz w:val="20"/>
          <w:szCs w:val="20"/>
          <w:lang w:val="es-ES"/>
        </w:rPr>
        <w:t>fue víctima de agresión sexual</w:t>
      </w:r>
      <w:r w:rsidR="00B5625C" w:rsidRPr="00975C02">
        <w:rPr>
          <w:sz w:val="20"/>
          <w:szCs w:val="20"/>
          <w:vertAlign w:val="superscript"/>
          <w:lang w:val="es-ES"/>
        </w:rPr>
        <w:footnoteReference w:id="80"/>
      </w:r>
      <w:r w:rsidR="00B5625C" w:rsidRPr="00975C02">
        <w:rPr>
          <w:sz w:val="20"/>
          <w:szCs w:val="20"/>
          <w:lang w:val="es-ES"/>
        </w:rPr>
        <w:t>.</w:t>
      </w:r>
    </w:p>
    <w:p w14:paraId="33678603" w14:textId="77777777" w:rsidR="00B5625C" w:rsidRPr="00975C02" w:rsidRDefault="00B5625C" w:rsidP="00B5625C">
      <w:pPr>
        <w:tabs>
          <w:tab w:val="left" w:pos="567"/>
        </w:tabs>
        <w:spacing w:line="240" w:lineRule="auto"/>
        <w:rPr>
          <w:sz w:val="20"/>
          <w:szCs w:val="20"/>
          <w:lang w:val="es-ES"/>
        </w:rPr>
      </w:pPr>
    </w:p>
    <w:p w14:paraId="258CEFFE"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esa misma fecha, se practicó también una evaluación psicológica de V.R.P. que concluyó que la </w:t>
      </w:r>
      <w:r w:rsidR="009E649E" w:rsidRPr="00975C02">
        <w:rPr>
          <w:sz w:val="20"/>
          <w:szCs w:val="20"/>
          <w:lang w:val="es-ES"/>
        </w:rPr>
        <w:t>niña</w:t>
      </w:r>
      <w:r w:rsidRPr="00975C02">
        <w:rPr>
          <w:sz w:val="20"/>
          <w:szCs w:val="20"/>
          <w:lang w:val="es-ES"/>
        </w:rPr>
        <w:t xml:space="preserve"> padecía afectación psíquica de un trastorno de estrés post-traumático, acompañado de un cuadro significativo de depresión, y que existían indicadores emocionales de vergüenza, miedo, sentimientos de culpa, relacionados a la vivencia estresante, compatible con agresión sexual crónica. Además, se especificó que su testimonio fue muy coherente, claro y fundamentado. Por ello se indicó que requería tratamiento terapéutico a largo plazo</w:t>
      </w:r>
      <w:r w:rsidRPr="00975C02">
        <w:rPr>
          <w:sz w:val="20"/>
          <w:szCs w:val="20"/>
          <w:vertAlign w:val="superscript"/>
          <w:lang w:val="es-ES"/>
        </w:rPr>
        <w:footnoteReference w:id="81"/>
      </w:r>
      <w:r w:rsidRPr="00975C02">
        <w:rPr>
          <w:sz w:val="20"/>
          <w:szCs w:val="20"/>
          <w:lang w:val="es-ES"/>
        </w:rPr>
        <w:t>.</w:t>
      </w:r>
    </w:p>
    <w:p w14:paraId="2ADFA104" w14:textId="77777777" w:rsidR="00B5625C" w:rsidRPr="00975C02" w:rsidRDefault="00B5625C" w:rsidP="00B5625C">
      <w:pPr>
        <w:tabs>
          <w:tab w:val="left" w:pos="567"/>
        </w:tabs>
        <w:spacing w:line="240" w:lineRule="auto"/>
        <w:rPr>
          <w:sz w:val="20"/>
          <w:szCs w:val="20"/>
          <w:lang w:val="es-ES"/>
        </w:rPr>
      </w:pPr>
    </w:p>
    <w:p w14:paraId="6030E3B4" w14:textId="77777777" w:rsidR="00DA305A" w:rsidRPr="00975C02" w:rsidRDefault="00DA305A" w:rsidP="00DA305A">
      <w:pPr>
        <w:numPr>
          <w:ilvl w:val="0"/>
          <w:numId w:val="2"/>
        </w:numPr>
        <w:tabs>
          <w:tab w:val="left" w:pos="567"/>
          <w:tab w:val="num" w:pos="12305"/>
        </w:tabs>
        <w:spacing w:line="240" w:lineRule="auto"/>
        <w:ind w:left="0" w:firstLine="0"/>
        <w:rPr>
          <w:kern w:val="2"/>
          <w:sz w:val="20"/>
          <w:szCs w:val="20"/>
          <w:lang w:val="es-ES" w:eastAsia="en-US"/>
        </w:rPr>
      </w:pPr>
      <w:r w:rsidRPr="00975C02">
        <w:rPr>
          <w:kern w:val="2"/>
          <w:sz w:val="20"/>
          <w:szCs w:val="20"/>
          <w:lang w:val="es-ES" w:eastAsia="en-US"/>
        </w:rPr>
        <w:t xml:space="preserve">El mismo día en el que V.R.P. se sometió a dicho examen en el Instituto de Medicina Legal de la Corte </w:t>
      </w:r>
      <w:r w:rsidRPr="00975C02">
        <w:rPr>
          <w:kern w:val="2"/>
          <w:sz w:val="20"/>
          <w:szCs w:val="20"/>
          <w:lang w:val="es-ES"/>
        </w:rPr>
        <w:t>Suprema</w:t>
      </w:r>
      <w:r w:rsidRPr="00975C02">
        <w:rPr>
          <w:kern w:val="2"/>
          <w:sz w:val="20"/>
          <w:szCs w:val="20"/>
          <w:lang w:val="es-ES" w:eastAsia="en-US"/>
        </w:rPr>
        <w:t xml:space="preserve"> de Justicia, su padre y presunto agresor, el señor H.R.A., fue citado con el fin de someterse a una examinación médica ante la misma entidad, conforme lo demuestra el Dictamen de Medicina Legal No.16271-2001</w:t>
      </w:r>
      <w:r w:rsidRPr="00975C02">
        <w:rPr>
          <w:kern w:val="2"/>
          <w:sz w:val="20"/>
          <w:szCs w:val="20"/>
          <w:vertAlign w:val="superscript"/>
          <w:lang w:val="es-ES" w:eastAsia="en-US"/>
        </w:rPr>
        <w:footnoteReference w:id="82"/>
      </w:r>
      <w:r w:rsidRPr="00975C02">
        <w:rPr>
          <w:kern w:val="2"/>
          <w:sz w:val="20"/>
          <w:szCs w:val="20"/>
          <w:lang w:val="es-ES" w:eastAsia="en-US"/>
        </w:rPr>
        <w:t>.</w:t>
      </w:r>
    </w:p>
    <w:p w14:paraId="4E9C54A5" w14:textId="77777777" w:rsidR="00DA305A" w:rsidRPr="00975C02" w:rsidRDefault="00DA305A" w:rsidP="00B5625C">
      <w:pPr>
        <w:tabs>
          <w:tab w:val="left" w:pos="567"/>
        </w:tabs>
        <w:spacing w:line="240" w:lineRule="auto"/>
        <w:rPr>
          <w:sz w:val="20"/>
          <w:szCs w:val="20"/>
          <w:lang w:val="es-ES"/>
        </w:rPr>
      </w:pPr>
    </w:p>
    <w:p w14:paraId="5E681921" w14:textId="1B52BE94"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kern w:val="2"/>
          <w:sz w:val="20"/>
          <w:szCs w:val="20"/>
          <w:lang w:val="es-ES"/>
        </w:rPr>
        <w:t xml:space="preserve">El 21 de febrero de 2002 la psiquiatra asignada emitió un último informe de seguimiento de V.R.P. donde recomendó que la niña “necesitará, casi siempre, hasta alcanzar su madurez </w:t>
      </w:r>
      <w:r w:rsidRPr="00975C02">
        <w:rPr>
          <w:sz w:val="20"/>
          <w:szCs w:val="20"/>
          <w:lang w:val="es-ES"/>
        </w:rPr>
        <w:t>biológica</w:t>
      </w:r>
      <w:r w:rsidRPr="00975C02">
        <w:rPr>
          <w:kern w:val="2"/>
          <w:sz w:val="20"/>
          <w:szCs w:val="20"/>
          <w:lang w:val="es-ES"/>
        </w:rPr>
        <w:t xml:space="preserve"> y emocional, ayuda de </w:t>
      </w:r>
      <w:r w:rsidR="0009524D" w:rsidRPr="00975C02">
        <w:rPr>
          <w:kern w:val="2"/>
          <w:sz w:val="20"/>
          <w:szCs w:val="20"/>
          <w:lang w:val="es-ES"/>
        </w:rPr>
        <w:t>[p]</w:t>
      </w:r>
      <w:r w:rsidRPr="00975C02">
        <w:rPr>
          <w:kern w:val="2"/>
          <w:sz w:val="20"/>
          <w:szCs w:val="20"/>
          <w:lang w:val="es-ES"/>
        </w:rPr>
        <w:t xml:space="preserve">sicoterapeuta, ya que el daño recibido en su esfera física y </w:t>
      </w:r>
      <w:r w:rsidR="00C235EA" w:rsidRPr="00975C02">
        <w:rPr>
          <w:kern w:val="2"/>
          <w:sz w:val="20"/>
          <w:szCs w:val="20"/>
          <w:lang w:val="es-ES"/>
        </w:rPr>
        <w:t>[p]</w:t>
      </w:r>
      <w:r w:rsidRPr="00975C02">
        <w:rPr>
          <w:kern w:val="2"/>
          <w:sz w:val="20"/>
          <w:szCs w:val="20"/>
          <w:lang w:val="es-ES"/>
        </w:rPr>
        <w:t xml:space="preserve">síquica, es de secuelas y lesiones duraderas […]. Si no se atiende terapéuticamente, puede llegar a desarrollar ideación suicida o hundirse en la depresión endógena. Por lo tanto, por precaución a no hacer más daño en su persona, se indica evitar la revictimización de la paciente, no permitiendo que ella siga </w:t>
      </w:r>
      <w:r w:rsidRPr="00975C02">
        <w:rPr>
          <w:kern w:val="2"/>
          <w:sz w:val="20"/>
          <w:szCs w:val="20"/>
          <w:lang w:val="es-ES"/>
        </w:rPr>
        <w:lastRenderedPageBreak/>
        <w:t>estando presente en los recuerdos del hecho acaecido o de perjuicio que le haya sucedido o interrogándosele al respecto”</w:t>
      </w:r>
      <w:r w:rsidRPr="00975C02">
        <w:rPr>
          <w:kern w:val="2"/>
          <w:sz w:val="20"/>
          <w:szCs w:val="20"/>
          <w:vertAlign w:val="superscript"/>
          <w:lang w:val="es-ES"/>
        </w:rPr>
        <w:footnoteReference w:id="83"/>
      </w:r>
      <w:r w:rsidRPr="00975C02">
        <w:rPr>
          <w:kern w:val="2"/>
          <w:sz w:val="20"/>
          <w:szCs w:val="20"/>
          <w:lang w:val="es-ES"/>
        </w:rPr>
        <w:t>.</w:t>
      </w:r>
    </w:p>
    <w:p w14:paraId="5A98E300" w14:textId="77777777" w:rsidR="00B5625C" w:rsidRPr="00975C02" w:rsidRDefault="00B5625C" w:rsidP="00B5625C">
      <w:pPr>
        <w:tabs>
          <w:tab w:val="left" w:pos="567"/>
        </w:tabs>
        <w:spacing w:line="240" w:lineRule="auto"/>
        <w:rPr>
          <w:sz w:val="20"/>
          <w:szCs w:val="20"/>
          <w:lang w:val="es-ES"/>
        </w:rPr>
      </w:pPr>
    </w:p>
    <w:p w14:paraId="364952F0"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kern w:val="2"/>
          <w:sz w:val="20"/>
          <w:szCs w:val="20"/>
          <w:lang w:val="es-ES"/>
        </w:rPr>
        <w:t xml:space="preserve">El 22 de abril de 2002 la psiquiatra </w:t>
      </w:r>
      <w:r w:rsidR="00AA69E8" w:rsidRPr="00975C02">
        <w:rPr>
          <w:kern w:val="2"/>
          <w:sz w:val="20"/>
          <w:szCs w:val="20"/>
          <w:lang w:val="es-ES"/>
        </w:rPr>
        <w:t>de</w:t>
      </w:r>
      <w:r w:rsidRPr="00975C02">
        <w:rPr>
          <w:kern w:val="2"/>
          <w:sz w:val="20"/>
          <w:szCs w:val="20"/>
          <w:lang w:val="es-ES"/>
        </w:rPr>
        <w:t xml:space="preserve">signada emitió una epicrisis en la cual concluyó que V.R.P. sufría de estrés post-traumático a nivel psicológico, por lo que derivó su tratamiento a psicología </w:t>
      </w:r>
      <w:r w:rsidRPr="00975C02">
        <w:rPr>
          <w:sz w:val="20"/>
          <w:szCs w:val="20"/>
          <w:lang w:val="es-ES"/>
        </w:rPr>
        <w:t>por</w:t>
      </w:r>
      <w:r w:rsidRPr="00975C02">
        <w:rPr>
          <w:kern w:val="2"/>
          <w:sz w:val="20"/>
          <w:szCs w:val="20"/>
          <w:lang w:val="es-ES"/>
        </w:rPr>
        <w:t xml:space="preserve"> “prevención de secuelas por abuso sexual que podrían interferir en su conducta futura a nivel de comunicación y relación de su entorno”</w:t>
      </w:r>
      <w:r w:rsidRPr="00975C02">
        <w:rPr>
          <w:kern w:val="2"/>
          <w:sz w:val="20"/>
          <w:szCs w:val="20"/>
          <w:vertAlign w:val="superscript"/>
          <w:lang w:val="es-ES"/>
        </w:rPr>
        <w:footnoteReference w:id="84"/>
      </w:r>
      <w:r w:rsidRPr="00975C02">
        <w:rPr>
          <w:kern w:val="2"/>
          <w:sz w:val="20"/>
          <w:szCs w:val="20"/>
          <w:lang w:val="es-ES"/>
        </w:rPr>
        <w:t>.</w:t>
      </w:r>
      <w:r w:rsidR="00763EAC" w:rsidRPr="00975C02">
        <w:rPr>
          <w:kern w:val="2"/>
          <w:sz w:val="20"/>
          <w:szCs w:val="20"/>
          <w:lang w:val="es-ES"/>
        </w:rPr>
        <w:t xml:space="preserve"> No hay constancia de que esta terapia se haya llevado a cabo.</w:t>
      </w:r>
    </w:p>
    <w:p w14:paraId="35FF9628" w14:textId="77777777" w:rsidR="00B5625C" w:rsidRPr="00975C02" w:rsidRDefault="00B5625C" w:rsidP="00B5625C">
      <w:pPr>
        <w:tabs>
          <w:tab w:val="left" w:pos="567"/>
        </w:tabs>
        <w:spacing w:line="240" w:lineRule="auto"/>
        <w:rPr>
          <w:sz w:val="20"/>
          <w:szCs w:val="20"/>
          <w:lang w:val="es-ES"/>
        </w:rPr>
      </w:pPr>
    </w:p>
    <w:p w14:paraId="2930559F" w14:textId="635502AA" w:rsidR="00B5625C" w:rsidRPr="00975C02" w:rsidRDefault="00B5625C" w:rsidP="002C415B">
      <w:pPr>
        <w:widowControl/>
        <w:numPr>
          <w:ilvl w:val="0"/>
          <w:numId w:val="6"/>
        </w:numPr>
        <w:adjustRightInd/>
        <w:spacing w:line="240" w:lineRule="auto"/>
        <w:ind w:left="1701"/>
        <w:jc w:val="left"/>
        <w:textAlignment w:val="auto"/>
        <w:rPr>
          <w:i/>
          <w:sz w:val="20"/>
          <w:szCs w:val="20"/>
          <w:lang w:val="es-ES"/>
        </w:rPr>
      </w:pPr>
      <w:r w:rsidRPr="00975C02">
        <w:rPr>
          <w:i/>
          <w:sz w:val="20"/>
          <w:szCs w:val="20"/>
          <w:lang w:val="es-ES"/>
        </w:rPr>
        <w:t>Inspección ocular y reconstrucción de</w:t>
      </w:r>
      <w:r w:rsidR="001D35A0">
        <w:rPr>
          <w:i/>
          <w:sz w:val="20"/>
          <w:szCs w:val="20"/>
          <w:lang w:val="es-ES"/>
        </w:rPr>
        <w:t xml:space="preserve"> </w:t>
      </w:r>
      <w:r w:rsidRPr="00975C02">
        <w:rPr>
          <w:i/>
          <w:sz w:val="20"/>
          <w:szCs w:val="20"/>
          <w:lang w:val="es-ES"/>
        </w:rPr>
        <w:t>l</w:t>
      </w:r>
      <w:r w:rsidR="001D35A0">
        <w:rPr>
          <w:i/>
          <w:sz w:val="20"/>
          <w:szCs w:val="20"/>
          <w:lang w:val="es-ES"/>
        </w:rPr>
        <w:t>os</w:t>
      </w:r>
      <w:r w:rsidRPr="00975C02">
        <w:rPr>
          <w:i/>
          <w:sz w:val="20"/>
          <w:szCs w:val="20"/>
          <w:lang w:val="es-ES"/>
        </w:rPr>
        <w:t xml:space="preserve"> hecho</w:t>
      </w:r>
      <w:r w:rsidR="001D35A0">
        <w:rPr>
          <w:i/>
          <w:sz w:val="20"/>
          <w:szCs w:val="20"/>
          <w:lang w:val="es-ES"/>
        </w:rPr>
        <w:t>s</w:t>
      </w:r>
    </w:p>
    <w:p w14:paraId="3E518D7A" w14:textId="77777777" w:rsidR="00B5625C" w:rsidRPr="00975C02" w:rsidRDefault="00B5625C" w:rsidP="00B5625C">
      <w:pPr>
        <w:spacing w:line="240" w:lineRule="auto"/>
        <w:rPr>
          <w:sz w:val="20"/>
          <w:szCs w:val="20"/>
          <w:lang w:val="es-ES"/>
        </w:rPr>
      </w:pPr>
    </w:p>
    <w:p w14:paraId="59AD5D8E"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29 de noviembre de 2001 se realizó la inspección ocular judicial y reconstrucción de los hechos</w:t>
      </w:r>
      <w:r w:rsidRPr="00975C02">
        <w:rPr>
          <w:sz w:val="20"/>
          <w:szCs w:val="20"/>
          <w:vertAlign w:val="superscript"/>
          <w:lang w:val="es-ES"/>
        </w:rPr>
        <w:footnoteReference w:id="85"/>
      </w:r>
      <w:r w:rsidRPr="00975C02">
        <w:rPr>
          <w:sz w:val="20"/>
          <w:szCs w:val="20"/>
          <w:lang w:val="es-ES"/>
        </w:rPr>
        <w:t xml:space="preserve">. </w:t>
      </w:r>
      <w:r w:rsidRPr="00975C02">
        <w:rPr>
          <w:spacing w:val="-2"/>
          <w:sz w:val="20"/>
          <w:szCs w:val="20"/>
          <w:lang w:val="es-ES"/>
        </w:rPr>
        <w:t xml:space="preserve">Del acta de </w:t>
      </w:r>
      <w:r w:rsidR="008917CC" w:rsidRPr="00975C02">
        <w:rPr>
          <w:spacing w:val="-2"/>
          <w:sz w:val="20"/>
          <w:szCs w:val="20"/>
          <w:lang w:val="es-ES"/>
        </w:rPr>
        <w:t>la diligencia</w:t>
      </w:r>
      <w:r w:rsidRPr="00975C02">
        <w:rPr>
          <w:spacing w:val="-2"/>
          <w:sz w:val="20"/>
          <w:szCs w:val="20"/>
          <w:lang w:val="es-ES"/>
        </w:rPr>
        <w:t xml:space="preserve"> se comprueba la participación de la defensa del acusado, la defensa legal de la señora V.P.C., la jueza y el secretario del despacho, </w:t>
      </w:r>
      <w:r w:rsidR="008917CC" w:rsidRPr="00975C02">
        <w:rPr>
          <w:spacing w:val="-2"/>
          <w:sz w:val="20"/>
          <w:szCs w:val="20"/>
          <w:lang w:val="es-ES"/>
        </w:rPr>
        <w:t xml:space="preserve">así como </w:t>
      </w:r>
      <w:r w:rsidRPr="00975C02">
        <w:rPr>
          <w:spacing w:val="-2"/>
          <w:sz w:val="20"/>
          <w:szCs w:val="20"/>
          <w:lang w:val="es-ES"/>
        </w:rPr>
        <w:t>la psiquiatra asignada</w:t>
      </w:r>
      <w:r w:rsidR="008917CC" w:rsidRPr="00975C02">
        <w:rPr>
          <w:spacing w:val="-2"/>
          <w:sz w:val="20"/>
          <w:szCs w:val="20"/>
          <w:lang w:val="es-ES"/>
        </w:rPr>
        <w:t>. S</w:t>
      </w:r>
      <w:r w:rsidRPr="00975C02">
        <w:rPr>
          <w:spacing w:val="-2"/>
          <w:sz w:val="20"/>
          <w:szCs w:val="20"/>
          <w:lang w:val="es-ES"/>
        </w:rPr>
        <w:t>in embargo, no se deduce la participación de</w:t>
      </w:r>
      <w:r w:rsidR="008917CC" w:rsidRPr="00975C02">
        <w:rPr>
          <w:spacing w:val="-2"/>
          <w:sz w:val="20"/>
          <w:szCs w:val="20"/>
          <w:lang w:val="es-ES"/>
        </w:rPr>
        <w:t xml:space="preserve"> </w:t>
      </w:r>
      <w:r w:rsidRPr="00975C02">
        <w:rPr>
          <w:spacing w:val="-2"/>
          <w:sz w:val="20"/>
          <w:szCs w:val="20"/>
          <w:lang w:val="es-ES"/>
        </w:rPr>
        <w:t>l</w:t>
      </w:r>
      <w:r w:rsidR="008917CC" w:rsidRPr="00975C02">
        <w:rPr>
          <w:spacing w:val="-2"/>
          <w:sz w:val="20"/>
          <w:szCs w:val="20"/>
          <w:lang w:val="es-ES"/>
        </w:rPr>
        <w:t>a</w:t>
      </w:r>
      <w:r w:rsidRPr="00975C02">
        <w:rPr>
          <w:spacing w:val="-2"/>
          <w:sz w:val="20"/>
          <w:szCs w:val="20"/>
          <w:lang w:val="es-ES"/>
        </w:rPr>
        <w:t xml:space="preserve"> Fiscal a cargo</w:t>
      </w:r>
      <w:r w:rsidRPr="00975C02">
        <w:rPr>
          <w:spacing w:val="-2"/>
          <w:sz w:val="20"/>
          <w:szCs w:val="20"/>
          <w:vertAlign w:val="superscript"/>
          <w:lang w:val="es-ES"/>
        </w:rPr>
        <w:footnoteReference w:id="86"/>
      </w:r>
      <w:r w:rsidRPr="00975C02">
        <w:rPr>
          <w:spacing w:val="-2"/>
          <w:sz w:val="20"/>
          <w:szCs w:val="20"/>
          <w:lang w:val="es-ES"/>
        </w:rPr>
        <w:t xml:space="preserve">. De la descripción de la diligencia </w:t>
      </w:r>
      <w:r w:rsidR="008917CC" w:rsidRPr="00975C02">
        <w:rPr>
          <w:spacing w:val="-2"/>
          <w:sz w:val="20"/>
          <w:szCs w:val="20"/>
          <w:lang w:val="es-ES"/>
        </w:rPr>
        <w:t xml:space="preserve">contenida </w:t>
      </w:r>
      <w:r w:rsidRPr="00975C02">
        <w:rPr>
          <w:spacing w:val="-2"/>
          <w:sz w:val="20"/>
          <w:szCs w:val="20"/>
          <w:lang w:val="es-ES"/>
        </w:rPr>
        <w:t>en el acta, la Corte constata que se solicitó a V.R.P., una niña de nueve años de edad, que relatara lo ocurrido con su padre, se le pidió que recorriera y reconociera los mismos lugares a los que habría sido llevada por su progenitor para recrear nuevamente lo ocurrido, así como que vistiera las mismas prendas que llevaba puestas cuando sucedieron los hechos, e incluso se le solicitó que se pusiera en “la misma posición en que se encontraba en el momento que se despertó”</w:t>
      </w:r>
      <w:r w:rsidRPr="00975C02">
        <w:rPr>
          <w:spacing w:val="-2"/>
          <w:sz w:val="20"/>
          <w:szCs w:val="20"/>
          <w:vertAlign w:val="superscript"/>
          <w:lang w:val="es-ES"/>
        </w:rPr>
        <w:footnoteReference w:id="87"/>
      </w:r>
      <w:r w:rsidRPr="00975C02">
        <w:rPr>
          <w:spacing w:val="-2"/>
          <w:sz w:val="20"/>
          <w:szCs w:val="20"/>
          <w:lang w:val="es-ES"/>
        </w:rPr>
        <w:t xml:space="preserve">. Asimismo, se tomaron fotografías del lugar y de la niña en la posición en la que la jueza del caso le </w:t>
      </w:r>
      <w:r w:rsidR="00C003A2" w:rsidRPr="00975C02">
        <w:rPr>
          <w:spacing w:val="-2"/>
          <w:sz w:val="20"/>
          <w:szCs w:val="20"/>
          <w:lang w:val="es-ES"/>
        </w:rPr>
        <w:t>requirió</w:t>
      </w:r>
      <w:r w:rsidRPr="00975C02">
        <w:rPr>
          <w:spacing w:val="-2"/>
          <w:sz w:val="20"/>
          <w:szCs w:val="20"/>
          <w:lang w:val="es-ES"/>
        </w:rPr>
        <w:t xml:space="preserve"> que se pusiera. La Corte nota que, si bien el padre de la niña no estuvo presente junto con ella en la diligencia, se encontraba en las inmediaciones del lugar y participó en la reconstrucción el mismo día e inmediatamente después de que la participación de V.R.P. concluyera</w:t>
      </w:r>
      <w:r w:rsidRPr="00975C02">
        <w:rPr>
          <w:spacing w:val="-2"/>
          <w:sz w:val="20"/>
          <w:szCs w:val="20"/>
          <w:vertAlign w:val="superscript"/>
          <w:lang w:val="es-ES"/>
        </w:rPr>
        <w:footnoteReference w:id="88"/>
      </w:r>
      <w:r w:rsidRPr="00975C02">
        <w:rPr>
          <w:spacing w:val="-2"/>
          <w:sz w:val="20"/>
          <w:szCs w:val="20"/>
          <w:lang w:val="es-ES"/>
        </w:rPr>
        <w:t>.</w:t>
      </w:r>
    </w:p>
    <w:p w14:paraId="6AEB016D" w14:textId="77777777" w:rsidR="00B5625C" w:rsidRPr="00975C02" w:rsidRDefault="00B5625C" w:rsidP="00B5625C">
      <w:pPr>
        <w:spacing w:line="240" w:lineRule="auto"/>
        <w:rPr>
          <w:sz w:val="20"/>
          <w:szCs w:val="20"/>
          <w:lang w:val="es-ES"/>
        </w:rPr>
      </w:pPr>
    </w:p>
    <w:p w14:paraId="54A2A191" w14:textId="77777777" w:rsidR="00B5625C" w:rsidRPr="00975C02" w:rsidRDefault="00B5625C" w:rsidP="002C415B">
      <w:pPr>
        <w:widowControl/>
        <w:numPr>
          <w:ilvl w:val="0"/>
          <w:numId w:val="6"/>
        </w:numPr>
        <w:adjustRightInd/>
        <w:spacing w:line="240" w:lineRule="auto"/>
        <w:ind w:left="1701"/>
        <w:jc w:val="left"/>
        <w:textAlignment w:val="auto"/>
        <w:rPr>
          <w:i/>
          <w:sz w:val="20"/>
          <w:szCs w:val="20"/>
          <w:lang w:val="es-ES"/>
        </w:rPr>
      </w:pPr>
      <w:r w:rsidRPr="00975C02">
        <w:rPr>
          <w:i/>
          <w:sz w:val="20"/>
          <w:szCs w:val="20"/>
          <w:lang w:val="es-ES"/>
        </w:rPr>
        <w:t>Examen médico practicado al acusado</w:t>
      </w:r>
    </w:p>
    <w:p w14:paraId="7E1D11F6" w14:textId="77777777" w:rsidR="00B5625C" w:rsidRPr="00975C02" w:rsidRDefault="00B5625C" w:rsidP="00B5625C">
      <w:pPr>
        <w:spacing w:line="240" w:lineRule="auto"/>
        <w:ind w:left="1701"/>
        <w:rPr>
          <w:sz w:val="20"/>
          <w:szCs w:val="20"/>
          <w:lang w:val="es-ES"/>
        </w:rPr>
      </w:pPr>
    </w:p>
    <w:p w14:paraId="3C4705D9"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Al acusado le fueron practicados dos exámenes médicos con el objeto de determinar si era portador de la enfermedad venérea detectada en la niña.</w:t>
      </w:r>
    </w:p>
    <w:p w14:paraId="0BB83CDD" w14:textId="77777777" w:rsidR="00B5625C" w:rsidRPr="00975C02" w:rsidRDefault="00B5625C" w:rsidP="00B5625C">
      <w:pPr>
        <w:spacing w:line="240" w:lineRule="auto"/>
        <w:rPr>
          <w:sz w:val="20"/>
          <w:szCs w:val="20"/>
          <w:lang w:val="es-ES"/>
        </w:rPr>
      </w:pPr>
    </w:p>
    <w:p w14:paraId="36039465"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primero de ellos tuvo lugar el 23 de noviembre de 2001. Fue practicado por</w:t>
      </w:r>
      <w:r w:rsidR="00172FDA" w:rsidRPr="00975C02">
        <w:rPr>
          <w:sz w:val="16"/>
          <w:szCs w:val="16"/>
          <w:lang w:val="es-ES"/>
        </w:rPr>
        <w:t xml:space="preserve"> </w:t>
      </w:r>
      <w:r w:rsidR="00172FDA" w:rsidRPr="00975C02">
        <w:rPr>
          <w:sz w:val="20"/>
          <w:szCs w:val="20"/>
          <w:lang w:val="es-ES"/>
        </w:rPr>
        <w:t>el mismo médico que trató de evaluar a la niña en una primera oportunidad.</w:t>
      </w:r>
      <w:r w:rsidRPr="00975C02">
        <w:rPr>
          <w:sz w:val="20"/>
          <w:szCs w:val="20"/>
          <w:lang w:val="es-ES"/>
        </w:rPr>
        <w:t xml:space="preserve"> </w:t>
      </w:r>
      <w:r w:rsidR="00172FDA" w:rsidRPr="00975C02">
        <w:rPr>
          <w:sz w:val="20"/>
          <w:szCs w:val="20"/>
          <w:lang w:val="es-ES"/>
        </w:rPr>
        <w:t>C</w:t>
      </w:r>
      <w:r w:rsidRPr="00975C02">
        <w:rPr>
          <w:sz w:val="20"/>
          <w:szCs w:val="20"/>
          <w:lang w:val="es-ES"/>
        </w:rPr>
        <w:t>oncluyó que “[a]ctualmente el procesado no padece de papiloma humano o condilomas acuminados y no se puede determinar que el procesado haya padecido de tal enfermedad”</w:t>
      </w:r>
      <w:r w:rsidRPr="00975C02">
        <w:rPr>
          <w:sz w:val="20"/>
          <w:szCs w:val="20"/>
          <w:vertAlign w:val="superscript"/>
          <w:lang w:val="es-ES"/>
        </w:rPr>
        <w:footnoteReference w:id="89"/>
      </w:r>
      <w:r w:rsidRPr="00975C02">
        <w:rPr>
          <w:sz w:val="20"/>
          <w:szCs w:val="20"/>
          <w:lang w:val="es-ES"/>
        </w:rPr>
        <w:t>.</w:t>
      </w:r>
    </w:p>
    <w:p w14:paraId="4260C3AD" w14:textId="77777777" w:rsidR="00B5625C" w:rsidRPr="00975C02" w:rsidRDefault="00B5625C" w:rsidP="00B5625C">
      <w:pPr>
        <w:spacing w:line="240" w:lineRule="auto"/>
        <w:rPr>
          <w:sz w:val="20"/>
          <w:szCs w:val="20"/>
          <w:lang w:val="es-ES"/>
        </w:rPr>
      </w:pPr>
    </w:p>
    <w:p w14:paraId="153FADA6" w14:textId="12884B5E"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segundo examen le fue practicado por </w:t>
      </w:r>
      <w:r w:rsidR="00941984" w:rsidRPr="00975C02">
        <w:rPr>
          <w:sz w:val="20"/>
          <w:szCs w:val="20"/>
          <w:lang w:val="es-ES"/>
        </w:rPr>
        <w:t xml:space="preserve">un </w:t>
      </w:r>
      <w:r w:rsidRPr="00975C02">
        <w:rPr>
          <w:sz w:val="20"/>
          <w:szCs w:val="20"/>
          <w:lang w:val="es-ES"/>
        </w:rPr>
        <w:t>médico forense del Instituto de Medicina Legal, quien indicó que</w:t>
      </w:r>
      <w:r w:rsidR="00585CB9">
        <w:rPr>
          <w:sz w:val="20"/>
          <w:szCs w:val="20"/>
          <w:lang w:val="es-ES"/>
        </w:rPr>
        <w:t>,</w:t>
      </w:r>
      <w:r w:rsidRPr="00975C02">
        <w:rPr>
          <w:sz w:val="20"/>
          <w:szCs w:val="20"/>
          <w:lang w:val="es-ES"/>
        </w:rPr>
        <w:t xml:space="preserve"> “al momento de su reconocimiento médico legal, no se observa en región geni[tal] y paragenital, patología alguna concordante con enfermedad venérea</w:t>
      </w:r>
      <w:r w:rsidR="00585CB9">
        <w:rPr>
          <w:sz w:val="20"/>
          <w:szCs w:val="20"/>
          <w:lang w:val="es-ES"/>
        </w:rPr>
        <w:t>”</w:t>
      </w:r>
      <w:r w:rsidR="0074764E" w:rsidRPr="00975C02">
        <w:rPr>
          <w:sz w:val="20"/>
          <w:szCs w:val="20"/>
          <w:vertAlign w:val="superscript"/>
          <w:lang w:val="es-ES"/>
        </w:rPr>
        <w:footnoteReference w:id="90"/>
      </w:r>
      <w:r w:rsidRPr="00975C02">
        <w:rPr>
          <w:sz w:val="20"/>
          <w:szCs w:val="20"/>
          <w:lang w:val="es-ES"/>
        </w:rPr>
        <w:t>.</w:t>
      </w:r>
      <w:r w:rsidR="00585CB9">
        <w:rPr>
          <w:sz w:val="20"/>
          <w:szCs w:val="20"/>
          <w:lang w:val="es-ES"/>
        </w:rPr>
        <w:t xml:space="preserve"> Asimismo,</w:t>
      </w:r>
      <w:r w:rsidRPr="00975C02">
        <w:rPr>
          <w:sz w:val="20"/>
          <w:szCs w:val="20"/>
          <w:lang w:val="es-ES"/>
        </w:rPr>
        <w:t xml:space="preserve"> recomend</w:t>
      </w:r>
      <w:r w:rsidR="00585CB9">
        <w:rPr>
          <w:sz w:val="20"/>
          <w:szCs w:val="20"/>
          <w:lang w:val="es-ES"/>
        </w:rPr>
        <w:t>ó</w:t>
      </w:r>
      <w:r w:rsidRPr="00975C02">
        <w:rPr>
          <w:sz w:val="20"/>
          <w:szCs w:val="20"/>
          <w:lang w:val="es-ES"/>
        </w:rPr>
        <w:t xml:space="preserve"> </w:t>
      </w:r>
      <w:r w:rsidR="00585CB9">
        <w:rPr>
          <w:sz w:val="20"/>
          <w:szCs w:val="20"/>
          <w:lang w:val="es-ES"/>
        </w:rPr>
        <w:t>un “</w:t>
      </w:r>
      <w:r w:rsidRPr="00975C02">
        <w:rPr>
          <w:sz w:val="20"/>
          <w:szCs w:val="20"/>
          <w:lang w:val="es-ES"/>
        </w:rPr>
        <w:t>estudio de laboratorio para determinar virus de papiloma venéreo en muestras de semen y frotis de la piel de órganos genitales, para descartar posible patología de ser un portador sano de virus de papiloma venéreo”</w:t>
      </w:r>
      <w:r w:rsidRPr="00975C02">
        <w:rPr>
          <w:sz w:val="20"/>
          <w:szCs w:val="20"/>
          <w:vertAlign w:val="superscript"/>
          <w:lang w:val="es-ES"/>
        </w:rPr>
        <w:footnoteReference w:id="91"/>
      </w:r>
      <w:r w:rsidRPr="00975C02">
        <w:rPr>
          <w:sz w:val="20"/>
          <w:szCs w:val="20"/>
          <w:lang w:val="es-ES"/>
        </w:rPr>
        <w:t>. El estudio de laboratorio indicado en esta segunda oportunidad nunca fue ordenado.</w:t>
      </w:r>
    </w:p>
    <w:p w14:paraId="46F57F10" w14:textId="77777777" w:rsidR="00B5625C" w:rsidRPr="00975C02" w:rsidRDefault="00B5625C" w:rsidP="00B5625C">
      <w:pPr>
        <w:spacing w:line="240" w:lineRule="auto"/>
        <w:rPr>
          <w:sz w:val="20"/>
          <w:szCs w:val="20"/>
          <w:lang w:val="es-ES"/>
        </w:rPr>
      </w:pPr>
    </w:p>
    <w:p w14:paraId="531866C6"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10" w:name="_Toc514172620"/>
      <w:r w:rsidRPr="00975C02">
        <w:rPr>
          <w:rFonts w:eastAsia="MS Mincho"/>
          <w:b/>
          <w:bCs/>
          <w:i/>
          <w:sz w:val="20"/>
          <w:szCs w:val="20"/>
          <w:lang w:val="es-ES"/>
        </w:rPr>
        <w:t>La detención preventiva del acusado</w:t>
      </w:r>
      <w:bookmarkEnd w:id="110"/>
    </w:p>
    <w:p w14:paraId="6A2B8B3A" w14:textId="77777777" w:rsidR="00B5625C" w:rsidRPr="00975C02" w:rsidRDefault="00B5625C" w:rsidP="00B5625C">
      <w:pPr>
        <w:spacing w:line="240" w:lineRule="auto"/>
        <w:rPr>
          <w:sz w:val="20"/>
          <w:szCs w:val="20"/>
          <w:lang w:val="es-ES"/>
        </w:rPr>
      </w:pPr>
    </w:p>
    <w:p w14:paraId="23890CFC"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30 de noviembre de 2001 el Juzgado de Distrito Penal de Jinotega dictó la sentencia interlocutoria N° 714, mediante la cual se dispuso la segura y formal prisión del señor H.R.A.</w:t>
      </w:r>
      <w:r w:rsidRPr="00975C02">
        <w:rPr>
          <w:sz w:val="20"/>
          <w:szCs w:val="20"/>
          <w:vertAlign w:val="superscript"/>
          <w:lang w:val="es-ES"/>
        </w:rPr>
        <w:footnoteReference w:id="92"/>
      </w:r>
      <w:r w:rsidRPr="00975C02">
        <w:rPr>
          <w:sz w:val="20"/>
          <w:szCs w:val="20"/>
          <w:lang w:val="es-ES"/>
        </w:rPr>
        <w:t>. Para así decidir, la magistrada consideró que el delito de violación sexual estaba “plenamente demostrado” mediante el dictamen médico legal; que el testimonio de la víctima era “muy coherente, claro y fundament[ad]o, que se corrobora con el estado emocional intenso de la víctima” y que “la presencia del papiloma virus humano [</w:t>
      </w:r>
      <w:r w:rsidRPr="00975C02">
        <w:rPr>
          <w:i/>
          <w:sz w:val="20"/>
          <w:szCs w:val="20"/>
          <w:lang w:val="es-ES"/>
        </w:rPr>
        <w:t>sic</w:t>
      </w:r>
      <w:r w:rsidRPr="00975C02">
        <w:rPr>
          <w:sz w:val="20"/>
          <w:szCs w:val="20"/>
          <w:lang w:val="es-ES"/>
        </w:rPr>
        <w:t>] más condilomatosis acumulado indican enfermedades de transmisión por vía sexual, en las cuales el sujeto portador puede ser asintomático y la persona receptora la que desarrolle la enfermedad, en este caso la menor”</w:t>
      </w:r>
      <w:r w:rsidRPr="00975C02">
        <w:rPr>
          <w:sz w:val="20"/>
          <w:szCs w:val="20"/>
          <w:vertAlign w:val="superscript"/>
          <w:lang w:val="es-ES"/>
        </w:rPr>
        <w:footnoteReference w:id="93"/>
      </w:r>
      <w:r w:rsidRPr="00975C02">
        <w:rPr>
          <w:sz w:val="20"/>
          <w:szCs w:val="20"/>
          <w:lang w:val="es-ES"/>
        </w:rPr>
        <w:t>.</w:t>
      </w:r>
    </w:p>
    <w:p w14:paraId="5BC3DC03" w14:textId="77777777" w:rsidR="00B5625C" w:rsidRPr="00975C02" w:rsidRDefault="00B5625C" w:rsidP="00B5625C">
      <w:pPr>
        <w:spacing w:line="240" w:lineRule="auto"/>
        <w:rPr>
          <w:sz w:val="20"/>
          <w:szCs w:val="20"/>
          <w:lang w:val="es-ES"/>
        </w:rPr>
      </w:pPr>
    </w:p>
    <w:p w14:paraId="03DC4F5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6 de diciembre de ese mismo año se elevó a plenario la causa</w:t>
      </w:r>
      <w:r w:rsidRPr="00975C02">
        <w:rPr>
          <w:sz w:val="20"/>
          <w:szCs w:val="20"/>
          <w:vertAlign w:val="superscript"/>
          <w:lang w:val="es-ES"/>
        </w:rPr>
        <w:footnoteReference w:id="94"/>
      </w:r>
      <w:r w:rsidRPr="00975C02">
        <w:rPr>
          <w:sz w:val="20"/>
          <w:szCs w:val="20"/>
          <w:lang w:val="es-ES"/>
        </w:rPr>
        <w:t>.</w:t>
      </w:r>
    </w:p>
    <w:p w14:paraId="35DC4D77" w14:textId="77777777" w:rsidR="00B5625C" w:rsidRPr="00975C02" w:rsidRDefault="00B5625C" w:rsidP="00B5625C">
      <w:pPr>
        <w:spacing w:line="240" w:lineRule="auto"/>
        <w:rPr>
          <w:sz w:val="20"/>
          <w:szCs w:val="20"/>
          <w:lang w:val="es-ES"/>
        </w:rPr>
      </w:pPr>
    </w:p>
    <w:p w14:paraId="5F94A30C" w14:textId="6242880E" w:rsidR="00B5625C" w:rsidRPr="00975C02" w:rsidRDefault="00D05EE6"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r w:rsidRPr="00975C02">
        <w:rPr>
          <w:rFonts w:eastAsia="MS Mincho"/>
          <w:b/>
          <w:bCs/>
          <w:i/>
          <w:sz w:val="20"/>
          <w:szCs w:val="20"/>
          <w:lang w:val="es-ES"/>
        </w:rPr>
        <w:t xml:space="preserve"> </w:t>
      </w:r>
      <w:r w:rsidRPr="00975C02">
        <w:rPr>
          <w:rFonts w:eastAsia="MS Mincho"/>
          <w:b/>
          <w:bCs/>
          <w:i/>
          <w:sz w:val="20"/>
          <w:szCs w:val="20"/>
          <w:lang w:val="es-ES"/>
        </w:rPr>
        <w:tab/>
      </w:r>
      <w:bookmarkStart w:id="111" w:name="_Toc514172621"/>
      <w:r w:rsidR="00B5625C" w:rsidRPr="00975C02">
        <w:rPr>
          <w:rFonts w:eastAsia="MS Mincho"/>
          <w:b/>
          <w:bCs/>
          <w:i/>
          <w:sz w:val="20"/>
          <w:szCs w:val="20"/>
          <w:lang w:val="es-ES"/>
        </w:rPr>
        <w:t>El juicio por</w:t>
      </w:r>
      <w:r w:rsidR="0084352D" w:rsidRPr="00975C02">
        <w:rPr>
          <w:rFonts w:eastAsia="MS Mincho"/>
          <w:b/>
          <w:bCs/>
          <w:i/>
          <w:sz w:val="20"/>
          <w:szCs w:val="20"/>
          <w:lang w:val="es-ES"/>
        </w:rPr>
        <w:t xml:space="preserve"> un Tribunal de</w:t>
      </w:r>
      <w:r w:rsidR="00B5625C" w:rsidRPr="00975C02">
        <w:rPr>
          <w:rFonts w:eastAsia="MS Mincho"/>
          <w:b/>
          <w:bCs/>
          <w:i/>
          <w:sz w:val="20"/>
          <w:szCs w:val="20"/>
          <w:lang w:val="es-ES"/>
        </w:rPr>
        <w:t xml:space="preserve"> </w:t>
      </w:r>
      <w:r w:rsidR="0084352D" w:rsidRPr="00975C02">
        <w:rPr>
          <w:rFonts w:eastAsia="MS Mincho"/>
          <w:b/>
          <w:bCs/>
          <w:i/>
          <w:sz w:val="20"/>
          <w:szCs w:val="20"/>
          <w:lang w:val="es-ES"/>
        </w:rPr>
        <w:t>J</w:t>
      </w:r>
      <w:r w:rsidR="00B5625C" w:rsidRPr="00975C02">
        <w:rPr>
          <w:rFonts w:eastAsia="MS Mincho"/>
          <w:b/>
          <w:bCs/>
          <w:i/>
          <w:sz w:val="20"/>
          <w:szCs w:val="20"/>
          <w:lang w:val="es-ES"/>
        </w:rPr>
        <w:t>urados y la absolución del acusado</w:t>
      </w:r>
      <w:bookmarkEnd w:id="111"/>
    </w:p>
    <w:p w14:paraId="643FF4E0" w14:textId="77777777" w:rsidR="00B5625C" w:rsidRPr="00975C02" w:rsidRDefault="00B5625C" w:rsidP="00B5625C">
      <w:pPr>
        <w:spacing w:line="240" w:lineRule="auto"/>
        <w:rPr>
          <w:sz w:val="20"/>
          <w:szCs w:val="20"/>
          <w:lang w:val="es-ES"/>
        </w:rPr>
      </w:pPr>
    </w:p>
    <w:p w14:paraId="04A2165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9 de abril de 2002 se realizó la desinsaculación de los diez miembros del jurado</w:t>
      </w:r>
      <w:r w:rsidRPr="00975C02">
        <w:rPr>
          <w:sz w:val="20"/>
          <w:szCs w:val="20"/>
          <w:vertAlign w:val="superscript"/>
          <w:lang w:val="es-ES"/>
        </w:rPr>
        <w:footnoteReference w:id="95"/>
      </w:r>
      <w:r w:rsidRPr="00975C02">
        <w:rPr>
          <w:sz w:val="20"/>
          <w:szCs w:val="20"/>
          <w:lang w:val="es-ES"/>
        </w:rPr>
        <w:t>. Tanto la defensa como la acusación privada recusaron, cada uno, sin causa a un jurado. El Juzgado de Distrito de lo Penal de Jinotega programó la audiencia de integración de jurado para el 10 de abril de 2002.</w:t>
      </w:r>
    </w:p>
    <w:p w14:paraId="593F965D" w14:textId="77777777" w:rsidR="00B5625C" w:rsidRPr="00975C02" w:rsidRDefault="00B5625C" w:rsidP="00B5625C">
      <w:pPr>
        <w:tabs>
          <w:tab w:val="left" w:pos="567"/>
        </w:tabs>
        <w:spacing w:line="240" w:lineRule="auto"/>
        <w:rPr>
          <w:sz w:val="20"/>
          <w:szCs w:val="20"/>
          <w:lang w:val="es-ES"/>
        </w:rPr>
      </w:pPr>
    </w:p>
    <w:p w14:paraId="777865AB" w14:textId="1A0E61D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10 de abril de 2002 se suspendió la sesión de jurados programada debido “a la presión del público que se encuentra fuera de las instalaciones judiciales, por prudencia”</w:t>
      </w:r>
      <w:r w:rsidRPr="00975C02">
        <w:rPr>
          <w:sz w:val="20"/>
          <w:szCs w:val="20"/>
          <w:vertAlign w:val="superscript"/>
          <w:lang w:val="es-ES"/>
        </w:rPr>
        <w:footnoteReference w:id="96"/>
      </w:r>
      <w:r w:rsidRPr="00975C02">
        <w:rPr>
          <w:sz w:val="20"/>
          <w:szCs w:val="20"/>
          <w:lang w:val="es-ES"/>
        </w:rPr>
        <w:t>. Más tarde ese mismo día se realizó nuevamente la desinsaculación de los diez miembros del jurado</w:t>
      </w:r>
      <w:r w:rsidRPr="00975C02">
        <w:rPr>
          <w:sz w:val="20"/>
          <w:szCs w:val="20"/>
          <w:vertAlign w:val="superscript"/>
          <w:lang w:val="es-ES"/>
        </w:rPr>
        <w:footnoteReference w:id="97"/>
      </w:r>
      <w:r w:rsidRPr="00975C02">
        <w:rPr>
          <w:sz w:val="20"/>
          <w:szCs w:val="20"/>
          <w:lang w:val="es-ES"/>
        </w:rPr>
        <w:t>. Consta que el procesado se encontraba presente en dicha diligencia, pero que se retiró espontáneamente. La audiencia fue programada para las tres de la tarde de ese mismo día pero, en atención a un certificado médico presentado por</w:t>
      </w:r>
      <w:r w:rsidR="00182629">
        <w:rPr>
          <w:sz w:val="20"/>
          <w:szCs w:val="20"/>
          <w:lang w:val="es-ES"/>
        </w:rPr>
        <w:t xml:space="preserve"> el abogado</w:t>
      </w:r>
      <w:r w:rsidRPr="00975C02">
        <w:rPr>
          <w:sz w:val="20"/>
          <w:szCs w:val="20"/>
          <w:lang w:val="es-ES"/>
        </w:rPr>
        <w:t xml:space="preserve"> defens</w:t>
      </w:r>
      <w:r w:rsidR="00182629">
        <w:rPr>
          <w:sz w:val="20"/>
          <w:szCs w:val="20"/>
          <w:lang w:val="es-ES"/>
        </w:rPr>
        <w:t>or</w:t>
      </w:r>
      <w:r w:rsidRPr="00975C02">
        <w:rPr>
          <w:sz w:val="20"/>
          <w:szCs w:val="20"/>
          <w:lang w:val="es-ES"/>
        </w:rPr>
        <w:t xml:space="preserve">, quien presentaba cefalea tensional, se </w:t>
      </w:r>
      <w:r w:rsidRPr="00975C02">
        <w:rPr>
          <w:sz w:val="20"/>
          <w:szCs w:val="20"/>
          <w:lang w:val="es-ES"/>
        </w:rPr>
        <w:lastRenderedPageBreak/>
        <w:t>suspendió hasta la fijación de una nueva fecha</w:t>
      </w:r>
      <w:r w:rsidRPr="00975C02">
        <w:rPr>
          <w:sz w:val="20"/>
          <w:szCs w:val="20"/>
          <w:vertAlign w:val="superscript"/>
          <w:lang w:val="es-ES"/>
        </w:rPr>
        <w:footnoteReference w:id="98"/>
      </w:r>
      <w:r w:rsidRPr="00975C02">
        <w:rPr>
          <w:sz w:val="20"/>
          <w:szCs w:val="20"/>
          <w:lang w:val="es-ES"/>
        </w:rPr>
        <w:t>.</w:t>
      </w:r>
    </w:p>
    <w:p w14:paraId="60E142EF" w14:textId="77777777" w:rsidR="00B5625C" w:rsidRPr="00975C02" w:rsidRDefault="00B5625C" w:rsidP="00B5625C">
      <w:pPr>
        <w:spacing w:line="240" w:lineRule="auto"/>
        <w:rPr>
          <w:sz w:val="20"/>
          <w:szCs w:val="20"/>
          <w:lang w:val="es-ES"/>
        </w:rPr>
      </w:pPr>
    </w:p>
    <w:p w14:paraId="3CD1C7BB" w14:textId="5DDBB93D"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11 de abril de 2002 se realizó nuevamente la desinsaculación de los diez miembros del jurado</w:t>
      </w:r>
      <w:r w:rsidRPr="00975C02">
        <w:rPr>
          <w:sz w:val="20"/>
          <w:szCs w:val="20"/>
          <w:vertAlign w:val="superscript"/>
          <w:lang w:val="es-ES"/>
        </w:rPr>
        <w:footnoteReference w:id="99"/>
      </w:r>
      <w:r w:rsidRPr="00975C02">
        <w:rPr>
          <w:sz w:val="20"/>
          <w:szCs w:val="20"/>
          <w:lang w:val="es-ES"/>
        </w:rPr>
        <w:t>, con la presencia del abogado defensor, del imputado y del abogado por la acusación privada. Tanto la defensa como la acusación privada recusaron, cada uno, sin causa a un</w:t>
      </w:r>
      <w:r w:rsidR="00B94C6B" w:rsidRPr="00975C02">
        <w:rPr>
          <w:sz w:val="20"/>
          <w:szCs w:val="20"/>
          <w:lang w:val="es-ES"/>
        </w:rPr>
        <w:t>a</w:t>
      </w:r>
      <w:r w:rsidRPr="00975C02">
        <w:rPr>
          <w:sz w:val="20"/>
          <w:szCs w:val="20"/>
          <w:lang w:val="es-ES"/>
        </w:rPr>
        <w:t xml:space="preserve"> jurado. El Juzgado de Distrito de lo Penal de Jinotega programó la audiencia de integración de jurado para el 12 de abril de 2002</w:t>
      </w:r>
      <w:r w:rsidRPr="00975C02">
        <w:rPr>
          <w:sz w:val="20"/>
          <w:szCs w:val="20"/>
          <w:vertAlign w:val="superscript"/>
          <w:lang w:val="es-ES"/>
        </w:rPr>
        <w:footnoteReference w:id="100"/>
      </w:r>
      <w:r w:rsidRPr="00975C02">
        <w:rPr>
          <w:sz w:val="20"/>
          <w:szCs w:val="20"/>
          <w:lang w:val="es-ES"/>
        </w:rPr>
        <w:t>.</w:t>
      </w:r>
    </w:p>
    <w:p w14:paraId="56E822E7" w14:textId="77777777" w:rsidR="00B5625C" w:rsidRPr="00975C02" w:rsidRDefault="00B5625C" w:rsidP="00B5625C">
      <w:pPr>
        <w:tabs>
          <w:tab w:val="left" w:pos="567"/>
        </w:tabs>
        <w:spacing w:line="240" w:lineRule="auto"/>
        <w:rPr>
          <w:sz w:val="20"/>
          <w:szCs w:val="20"/>
          <w:lang w:val="es-ES"/>
        </w:rPr>
      </w:pPr>
    </w:p>
    <w:p w14:paraId="228FED2F" w14:textId="439BBE98"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esa misma fecha el abogado del acusado solicitó que coadyuven en la defensa otros dos letrados</w:t>
      </w:r>
      <w:r w:rsidRPr="00975C02">
        <w:rPr>
          <w:sz w:val="20"/>
          <w:szCs w:val="20"/>
          <w:vertAlign w:val="superscript"/>
          <w:lang w:val="es-ES"/>
        </w:rPr>
        <w:footnoteReference w:id="101"/>
      </w:r>
      <w:r w:rsidRPr="00975C02">
        <w:rPr>
          <w:sz w:val="20"/>
          <w:szCs w:val="20"/>
          <w:lang w:val="es-ES"/>
        </w:rPr>
        <w:t xml:space="preserve">. Al día siguiente, el abogado de </w:t>
      </w:r>
      <w:r w:rsidR="00A53474" w:rsidRPr="00975C02">
        <w:rPr>
          <w:sz w:val="20"/>
          <w:szCs w:val="20"/>
          <w:lang w:val="es-ES"/>
        </w:rPr>
        <w:t>la parte acusadora</w:t>
      </w:r>
      <w:r w:rsidRPr="00975C02">
        <w:rPr>
          <w:sz w:val="20"/>
          <w:szCs w:val="20"/>
          <w:lang w:val="es-ES"/>
        </w:rPr>
        <w:t xml:space="preserve"> se opuso por escrito a ese pedido y presentó una solicitud igual en el sentido de ser asistido por otro abogado con base en el principio de igualdad</w:t>
      </w:r>
      <w:r w:rsidRPr="00975C02">
        <w:rPr>
          <w:sz w:val="20"/>
          <w:szCs w:val="20"/>
          <w:vertAlign w:val="superscript"/>
          <w:lang w:val="es-ES"/>
        </w:rPr>
        <w:footnoteReference w:id="102"/>
      </w:r>
      <w:r w:rsidRPr="00975C02">
        <w:rPr>
          <w:sz w:val="20"/>
          <w:szCs w:val="20"/>
          <w:lang w:val="es-ES"/>
        </w:rPr>
        <w:t>. El mismo 12 de abril, la solicitud de la defensa fue concedida</w:t>
      </w:r>
      <w:r w:rsidRPr="00975C02">
        <w:rPr>
          <w:sz w:val="20"/>
          <w:szCs w:val="20"/>
          <w:vertAlign w:val="superscript"/>
          <w:lang w:val="es-ES"/>
        </w:rPr>
        <w:footnoteReference w:id="103"/>
      </w:r>
      <w:r w:rsidRPr="00975C02">
        <w:rPr>
          <w:sz w:val="20"/>
          <w:szCs w:val="20"/>
          <w:lang w:val="es-ES"/>
        </w:rPr>
        <w:t>, bajo el argumento de que el abogado de la acusación había prestado su anuencia verbalmente. Sin embargo, no consta que se haya resuelto la solicitud similar presentada por la parte acusadora</w:t>
      </w:r>
      <w:r w:rsidRPr="00975C02">
        <w:rPr>
          <w:sz w:val="20"/>
          <w:szCs w:val="20"/>
          <w:vertAlign w:val="superscript"/>
          <w:lang w:val="es-ES"/>
        </w:rPr>
        <w:footnoteReference w:id="104"/>
      </w:r>
      <w:r w:rsidRPr="00975C02">
        <w:rPr>
          <w:sz w:val="20"/>
          <w:szCs w:val="20"/>
          <w:lang w:val="es-ES"/>
        </w:rPr>
        <w:t>.</w:t>
      </w:r>
    </w:p>
    <w:p w14:paraId="068AE1D2" w14:textId="250397DE" w:rsidR="00B5625C" w:rsidRPr="00975C02" w:rsidRDefault="00B5625C" w:rsidP="00B31B77">
      <w:pPr>
        <w:tabs>
          <w:tab w:val="left" w:pos="2419"/>
        </w:tabs>
        <w:spacing w:line="240" w:lineRule="auto"/>
        <w:rPr>
          <w:sz w:val="20"/>
          <w:szCs w:val="20"/>
          <w:lang w:val="es-ES"/>
        </w:rPr>
      </w:pPr>
    </w:p>
    <w:p w14:paraId="1905DC2E" w14:textId="48EBB1FF"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esa fecha se constituyó el </w:t>
      </w:r>
      <w:r w:rsidR="005929E6" w:rsidRPr="00975C02">
        <w:rPr>
          <w:sz w:val="20"/>
          <w:szCs w:val="20"/>
          <w:lang w:val="es-ES"/>
        </w:rPr>
        <w:t>jurado, que quedó integrado por cuatro personas</w:t>
      </w:r>
      <w:r w:rsidRPr="00975C02">
        <w:rPr>
          <w:sz w:val="20"/>
          <w:szCs w:val="20"/>
          <w:lang w:val="es-ES"/>
        </w:rPr>
        <w:t xml:space="preserve">. Asimismo, se designó </w:t>
      </w:r>
      <w:r w:rsidR="005929E6" w:rsidRPr="00975C02">
        <w:rPr>
          <w:sz w:val="20"/>
          <w:szCs w:val="20"/>
          <w:lang w:val="es-ES"/>
        </w:rPr>
        <w:t>como</w:t>
      </w:r>
      <w:r w:rsidRPr="00975C02">
        <w:rPr>
          <w:sz w:val="20"/>
          <w:szCs w:val="20"/>
          <w:lang w:val="es-ES"/>
        </w:rPr>
        <w:t xml:space="preserve"> presidenta a la </w:t>
      </w:r>
      <w:r w:rsidR="009E07E7" w:rsidRPr="00975C02">
        <w:rPr>
          <w:sz w:val="20"/>
          <w:szCs w:val="20"/>
          <w:lang w:val="es-ES"/>
        </w:rPr>
        <w:t>j</w:t>
      </w:r>
      <w:r w:rsidRPr="00975C02">
        <w:rPr>
          <w:sz w:val="20"/>
          <w:szCs w:val="20"/>
          <w:lang w:val="es-ES"/>
        </w:rPr>
        <w:t>ueza de derecho designada</w:t>
      </w:r>
      <w:r w:rsidR="005929E6" w:rsidRPr="00975C02">
        <w:rPr>
          <w:sz w:val="20"/>
          <w:szCs w:val="20"/>
          <w:lang w:val="es-ES"/>
        </w:rPr>
        <w:t xml:space="preserve"> </w:t>
      </w:r>
      <w:r w:rsidRPr="00975C02">
        <w:rPr>
          <w:sz w:val="20"/>
          <w:szCs w:val="20"/>
          <w:lang w:val="es-ES"/>
        </w:rPr>
        <w:t>y</w:t>
      </w:r>
      <w:r w:rsidR="00A53474" w:rsidRPr="00975C02">
        <w:rPr>
          <w:sz w:val="20"/>
          <w:szCs w:val="20"/>
          <w:lang w:val="es-ES"/>
        </w:rPr>
        <w:t xml:space="preserve"> a</w:t>
      </w:r>
      <w:r w:rsidRPr="00975C02">
        <w:rPr>
          <w:sz w:val="20"/>
          <w:szCs w:val="20"/>
          <w:lang w:val="es-ES"/>
        </w:rPr>
        <w:t xml:space="preserve"> </w:t>
      </w:r>
      <w:r w:rsidR="008D6791" w:rsidRPr="00975C02">
        <w:rPr>
          <w:sz w:val="20"/>
          <w:szCs w:val="20"/>
          <w:lang w:val="es-ES"/>
        </w:rPr>
        <w:t>un</w:t>
      </w:r>
      <w:r w:rsidR="005929E6" w:rsidRPr="00975C02">
        <w:rPr>
          <w:sz w:val="20"/>
          <w:szCs w:val="20"/>
          <w:lang w:val="es-ES"/>
        </w:rPr>
        <w:t xml:space="preserve"> </w:t>
      </w:r>
      <w:r w:rsidRPr="00975C02">
        <w:rPr>
          <w:sz w:val="20"/>
          <w:szCs w:val="20"/>
          <w:lang w:val="es-ES"/>
        </w:rPr>
        <w:t>secretario. En el acta de integración del jurado consta que en ese acto se encontraba presente el abogado de V.P.C. y que no formuló observación ni recusación alguna</w:t>
      </w:r>
      <w:r w:rsidRPr="00975C02">
        <w:rPr>
          <w:sz w:val="20"/>
          <w:szCs w:val="20"/>
          <w:vertAlign w:val="superscript"/>
          <w:lang w:val="es-ES"/>
        </w:rPr>
        <w:footnoteReference w:id="105"/>
      </w:r>
      <w:r w:rsidRPr="00975C02">
        <w:rPr>
          <w:sz w:val="20"/>
          <w:szCs w:val="20"/>
          <w:lang w:val="es-ES"/>
        </w:rPr>
        <w:t>.</w:t>
      </w:r>
    </w:p>
    <w:p w14:paraId="10DC8E9B" w14:textId="77777777" w:rsidR="005929E6" w:rsidRPr="00975C02" w:rsidRDefault="005929E6" w:rsidP="005929E6">
      <w:pPr>
        <w:tabs>
          <w:tab w:val="left" w:pos="567"/>
        </w:tabs>
        <w:spacing w:line="240" w:lineRule="auto"/>
        <w:rPr>
          <w:sz w:val="20"/>
          <w:szCs w:val="20"/>
          <w:lang w:val="es-ES"/>
        </w:rPr>
      </w:pPr>
    </w:p>
    <w:p w14:paraId="78578521" w14:textId="3E8522D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La señora V.P.C. ha afirmado reiteradamente que, al finalizar la audiencia</w:t>
      </w:r>
      <w:r w:rsidR="003D581C">
        <w:rPr>
          <w:sz w:val="20"/>
          <w:szCs w:val="20"/>
          <w:lang w:val="es-ES"/>
        </w:rPr>
        <w:t xml:space="preserve"> de vista</w:t>
      </w:r>
      <w:r w:rsidRPr="00975C02">
        <w:rPr>
          <w:sz w:val="20"/>
          <w:szCs w:val="20"/>
          <w:lang w:val="es-ES"/>
        </w:rPr>
        <w:t xml:space="preserve"> pública</w:t>
      </w:r>
      <w:r w:rsidR="004F460C">
        <w:rPr>
          <w:sz w:val="20"/>
          <w:szCs w:val="20"/>
          <w:lang w:val="es-ES"/>
        </w:rPr>
        <w:t>,</w:t>
      </w:r>
      <w:r w:rsidRPr="00975C02">
        <w:rPr>
          <w:sz w:val="20"/>
          <w:szCs w:val="20"/>
          <w:lang w:val="es-ES"/>
        </w:rPr>
        <w:t xml:space="preserve"> y antes de que el jurado se reuniera a deliberar en sesión secreta, uno de los abogados de la defensa entregó un paquete en una bolsa gris a la presidenta del </w:t>
      </w:r>
      <w:r w:rsidR="00540556">
        <w:rPr>
          <w:sz w:val="20"/>
          <w:szCs w:val="20"/>
          <w:lang w:val="es-ES"/>
        </w:rPr>
        <w:t>jurado</w:t>
      </w:r>
      <w:r w:rsidRPr="00975C02">
        <w:rPr>
          <w:sz w:val="20"/>
          <w:szCs w:val="20"/>
          <w:lang w:val="es-ES"/>
        </w:rPr>
        <w:t xml:space="preserve">, </w:t>
      </w:r>
      <w:r w:rsidR="00A30577">
        <w:rPr>
          <w:sz w:val="20"/>
          <w:szCs w:val="20"/>
          <w:lang w:val="es-ES"/>
        </w:rPr>
        <w:t>así como</w:t>
      </w:r>
      <w:r w:rsidRPr="00975C02">
        <w:rPr>
          <w:sz w:val="20"/>
          <w:szCs w:val="20"/>
          <w:lang w:val="es-ES"/>
        </w:rPr>
        <w:t xml:space="preserve"> </w:t>
      </w:r>
      <w:r w:rsidR="00E21A75" w:rsidRPr="00975C02">
        <w:rPr>
          <w:sz w:val="20"/>
          <w:szCs w:val="20"/>
          <w:lang w:val="es-ES"/>
        </w:rPr>
        <w:t xml:space="preserve">dos hojas de </w:t>
      </w:r>
      <w:r w:rsidRPr="00975C02">
        <w:rPr>
          <w:sz w:val="20"/>
          <w:szCs w:val="20"/>
          <w:lang w:val="es-ES"/>
        </w:rPr>
        <w:t>papel rosado</w:t>
      </w:r>
      <w:r w:rsidR="00A30577">
        <w:rPr>
          <w:sz w:val="20"/>
          <w:szCs w:val="20"/>
          <w:lang w:val="es-ES" w:eastAsia="en-US"/>
        </w:rPr>
        <w:t>,</w:t>
      </w:r>
      <w:r w:rsidRPr="00975C02">
        <w:rPr>
          <w:sz w:val="20"/>
          <w:szCs w:val="20"/>
          <w:lang w:val="es-ES"/>
        </w:rPr>
        <w:t xml:space="preserve"> que el imputado solicitó que leyeran en la sesión privada</w:t>
      </w:r>
      <w:r w:rsidRPr="00975C02">
        <w:rPr>
          <w:sz w:val="20"/>
          <w:szCs w:val="20"/>
          <w:vertAlign w:val="superscript"/>
          <w:lang w:val="es-ES"/>
        </w:rPr>
        <w:footnoteReference w:id="106"/>
      </w:r>
      <w:r w:rsidRPr="00975C02">
        <w:rPr>
          <w:sz w:val="20"/>
          <w:szCs w:val="20"/>
          <w:lang w:val="es-ES"/>
        </w:rPr>
        <w:t xml:space="preserve">. Ello fue corroborado a nivel </w:t>
      </w:r>
      <w:r w:rsidRPr="00975C02">
        <w:rPr>
          <w:sz w:val="20"/>
          <w:szCs w:val="20"/>
          <w:lang w:val="es-ES"/>
        </w:rPr>
        <w:lastRenderedPageBreak/>
        <w:t>interno mediante acta de inspección del expediente (</w:t>
      </w:r>
      <w:r w:rsidRPr="00975C02">
        <w:rPr>
          <w:i/>
          <w:sz w:val="20"/>
          <w:szCs w:val="20"/>
          <w:lang w:val="es-ES"/>
        </w:rPr>
        <w:t xml:space="preserve">infra </w:t>
      </w:r>
      <w:r w:rsidR="000C7392" w:rsidRPr="00975C02">
        <w:rPr>
          <w:sz w:val="20"/>
          <w:szCs w:val="20"/>
          <w:lang w:val="es-ES"/>
        </w:rPr>
        <w:t>párr. 117</w:t>
      </w:r>
      <w:r w:rsidRPr="00975C02">
        <w:rPr>
          <w:sz w:val="20"/>
          <w:szCs w:val="20"/>
          <w:lang w:val="es-ES"/>
        </w:rPr>
        <w:t>) y del video (</w:t>
      </w:r>
      <w:r w:rsidRPr="00975C02">
        <w:rPr>
          <w:i/>
          <w:sz w:val="20"/>
          <w:szCs w:val="20"/>
          <w:lang w:val="es-ES"/>
        </w:rPr>
        <w:t xml:space="preserve">infra </w:t>
      </w:r>
      <w:r w:rsidR="000C7392" w:rsidRPr="00975C02">
        <w:rPr>
          <w:sz w:val="20"/>
          <w:szCs w:val="20"/>
          <w:lang w:val="es-ES"/>
        </w:rPr>
        <w:t>párr. 118</w:t>
      </w:r>
      <w:r w:rsidRPr="00975C02">
        <w:rPr>
          <w:sz w:val="20"/>
          <w:szCs w:val="20"/>
          <w:lang w:val="es-ES"/>
        </w:rPr>
        <w:t>). La Corte no cuenta con el video de la vista pública, a pesar de haber sido solicitado.</w:t>
      </w:r>
    </w:p>
    <w:p w14:paraId="509B455D" w14:textId="77777777" w:rsidR="00B5625C" w:rsidRPr="00975C02" w:rsidRDefault="00B5625C" w:rsidP="00B5625C">
      <w:pPr>
        <w:tabs>
          <w:tab w:val="left" w:pos="567"/>
        </w:tabs>
        <w:spacing w:line="240" w:lineRule="auto"/>
        <w:rPr>
          <w:sz w:val="20"/>
          <w:szCs w:val="20"/>
          <w:lang w:val="es-ES"/>
        </w:rPr>
      </w:pPr>
    </w:p>
    <w:p w14:paraId="6FC0DCB8" w14:textId="3192A14B"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Sobre el desarrollo del jurado, la Procuraduría para la Defensa de los Derechos Humanos, en la tarea de fiscalización desarrollada durante el transcurso del juicio por parte de sus funcionarios, </w:t>
      </w:r>
      <w:r w:rsidR="00E25113" w:rsidRPr="00975C02">
        <w:rPr>
          <w:sz w:val="20"/>
          <w:szCs w:val="20"/>
          <w:lang w:val="es-ES"/>
        </w:rPr>
        <w:t>consideró que se habían presentado las</w:t>
      </w:r>
      <w:r w:rsidR="00251879" w:rsidRPr="00975C02">
        <w:rPr>
          <w:sz w:val="20"/>
          <w:szCs w:val="20"/>
          <w:lang w:val="es-ES"/>
        </w:rPr>
        <w:t xml:space="preserve"> siguientes supuestas</w:t>
      </w:r>
      <w:r w:rsidRPr="00975C02">
        <w:rPr>
          <w:sz w:val="20"/>
          <w:szCs w:val="20"/>
          <w:lang w:val="es-ES"/>
        </w:rPr>
        <w:t xml:space="preserve"> anomalías:</w:t>
      </w:r>
    </w:p>
    <w:p w14:paraId="54E07A2D" w14:textId="77777777" w:rsidR="00B5625C" w:rsidRPr="00975C02" w:rsidRDefault="00B5625C" w:rsidP="00B5625C">
      <w:pPr>
        <w:spacing w:line="240" w:lineRule="auto"/>
        <w:rPr>
          <w:sz w:val="20"/>
          <w:szCs w:val="20"/>
          <w:lang w:val="es-ES"/>
        </w:rPr>
      </w:pPr>
    </w:p>
    <w:p w14:paraId="42BBE996" w14:textId="12098ED2" w:rsidR="00B5625C" w:rsidRPr="00975C02" w:rsidRDefault="00B5625C" w:rsidP="00B5625C">
      <w:pPr>
        <w:spacing w:line="240" w:lineRule="auto"/>
        <w:ind w:left="567" w:right="616"/>
        <w:rPr>
          <w:sz w:val="16"/>
          <w:szCs w:val="16"/>
          <w:lang w:val="es-ES"/>
        </w:rPr>
      </w:pPr>
      <w:r w:rsidRPr="00975C02">
        <w:rPr>
          <w:sz w:val="16"/>
          <w:szCs w:val="16"/>
          <w:lang w:val="es-ES"/>
        </w:rPr>
        <w:t xml:space="preserve">a) el procesado tuvo tres abogados defensores, incluyéndose el procesado que hizo uso de su propia defensa, mientras la víctima solamente tuvo un acusador, aunque se tiene conocimiento que el </w:t>
      </w:r>
      <w:r w:rsidR="007A52C2" w:rsidRPr="00975C02">
        <w:rPr>
          <w:sz w:val="16"/>
          <w:szCs w:val="16"/>
          <w:lang w:val="es-ES"/>
        </w:rPr>
        <w:t xml:space="preserve">[abogado de la parte acusadora] </w:t>
      </w:r>
      <w:r w:rsidRPr="00975C02">
        <w:rPr>
          <w:sz w:val="16"/>
          <w:szCs w:val="16"/>
          <w:lang w:val="es-ES"/>
        </w:rPr>
        <w:t>solicitó estuviera presente otro abogado asesor, pero este derecho le fue denegado;</w:t>
      </w:r>
      <w:r w:rsidR="007A52C2" w:rsidRPr="00975C02">
        <w:rPr>
          <w:sz w:val="16"/>
          <w:szCs w:val="16"/>
          <w:lang w:val="es-ES"/>
        </w:rPr>
        <w:t xml:space="preserve"> [b]) algunos de los miembros del jurado recibieron paquetes en varias ocasiones, a través de los abogados defensores del procesado;</w:t>
      </w:r>
      <w:r w:rsidRPr="00975C02">
        <w:rPr>
          <w:sz w:val="16"/>
          <w:szCs w:val="16"/>
          <w:lang w:val="es-ES"/>
        </w:rPr>
        <w:t xml:space="preserve"> </w:t>
      </w:r>
      <w:r w:rsidR="007A52C2" w:rsidRPr="00975C02">
        <w:rPr>
          <w:sz w:val="16"/>
          <w:szCs w:val="16"/>
          <w:lang w:val="es-ES"/>
        </w:rPr>
        <w:t>c</w:t>
      </w:r>
      <w:r w:rsidRPr="00975C02">
        <w:rPr>
          <w:sz w:val="16"/>
          <w:szCs w:val="16"/>
          <w:lang w:val="es-ES"/>
        </w:rPr>
        <w:t xml:space="preserve">) el Presidente del Tribunal de Jurados, recibió un sobre cerrado que fue ofrecido en público por uno de los abogados defensores del proceso y pidió su contenido fuese leído en privado por los jurados, lo que así se hizo; </w:t>
      </w:r>
      <w:r w:rsidR="007A52C2" w:rsidRPr="00975C02">
        <w:rPr>
          <w:sz w:val="16"/>
          <w:szCs w:val="16"/>
          <w:lang w:val="es-ES"/>
        </w:rPr>
        <w:t>d</w:t>
      </w:r>
      <w:r w:rsidRPr="00975C02">
        <w:rPr>
          <w:sz w:val="16"/>
          <w:szCs w:val="16"/>
          <w:lang w:val="es-ES"/>
        </w:rPr>
        <w:t>) la presencia del Procurador Especial de la Niñez y la Adolescencia y demás miembros del despacho, fue cuestionada por uno de los defensores del procesado, desconociendo la labor [de] la institución, es decir, la Misión que por ley le ha sido encomendada</w:t>
      </w:r>
      <w:r w:rsidRPr="00975C02">
        <w:rPr>
          <w:sz w:val="16"/>
          <w:szCs w:val="16"/>
          <w:vertAlign w:val="superscript"/>
          <w:lang w:val="es-ES"/>
        </w:rPr>
        <w:footnoteReference w:id="107"/>
      </w:r>
      <w:r w:rsidRPr="00975C02">
        <w:rPr>
          <w:sz w:val="16"/>
          <w:szCs w:val="16"/>
          <w:lang w:val="es-ES"/>
        </w:rPr>
        <w:t>.</w:t>
      </w:r>
    </w:p>
    <w:p w14:paraId="3DFD0625" w14:textId="77777777" w:rsidR="00B5625C" w:rsidRPr="00975C02" w:rsidRDefault="00B5625C" w:rsidP="00B5625C">
      <w:pPr>
        <w:spacing w:line="240" w:lineRule="auto"/>
        <w:rPr>
          <w:sz w:val="20"/>
          <w:szCs w:val="20"/>
          <w:lang w:val="es-ES"/>
        </w:rPr>
      </w:pPr>
    </w:p>
    <w:p w14:paraId="2EE18D70" w14:textId="78071EE1"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13 de abril de 2002 el </w:t>
      </w:r>
      <w:r w:rsidR="005B36BF" w:rsidRPr="00975C02">
        <w:rPr>
          <w:sz w:val="20"/>
          <w:szCs w:val="20"/>
          <w:lang w:val="es-ES"/>
        </w:rPr>
        <w:t>Tribunal de J</w:t>
      </w:r>
      <w:r w:rsidRPr="00975C02">
        <w:rPr>
          <w:sz w:val="20"/>
          <w:szCs w:val="20"/>
          <w:lang w:val="es-ES"/>
        </w:rPr>
        <w:t>urado</w:t>
      </w:r>
      <w:r w:rsidR="005B36BF" w:rsidRPr="00975C02">
        <w:rPr>
          <w:sz w:val="20"/>
          <w:szCs w:val="20"/>
          <w:lang w:val="es-ES"/>
        </w:rPr>
        <w:t>s</w:t>
      </w:r>
      <w:r w:rsidRPr="00975C02">
        <w:rPr>
          <w:sz w:val="20"/>
          <w:szCs w:val="20"/>
          <w:lang w:val="es-ES"/>
        </w:rPr>
        <w:t xml:space="preserve"> emitió su veredicto</w:t>
      </w:r>
      <w:r w:rsidR="00CD2035">
        <w:rPr>
          <w:sz w:val="20"/>
          <w:szCs w:val="20"/>
          <w:lang w:val="es-ES"/>
        </w:rPr>
        <w:t>,</w:t>
      </w:r>
      <w:r w:rsidRPr="00975C02">
        <w:rPr>
          <w:sz w:val="20"/>
          <w:szCs w:val="20"/>
          <w:lang w:val="es-ES"/>
        </w:rPr>
        <w:t xml:space="preserve"> de acuerdo a su íntima convicción, declarando al procesado inocente del delito de violación en perjuicio de V.R.P.</w:t>
      </w:r>
      <w:r w:rsidRPr="00975C02">
        <w:rPr>
          <w:sz w:val="20"/>
          <w:szCs w:val="20"/>
          <w:vertAlign w:val="superscript"/>
          <w:lang w:val="es-ES"/>
        </w:rPr>
        <w:footnoteReference w:id="108"/>
      </w:r>
      <w:r w:rsidRPr="00975C02">
        <w:rPr>
          <w:sz w:val="20"/>
          <w:szCs w:val="20"/>
          <w:lang w:val="es-ES"/>
        </w:rPr>
        <w:t>. En la misma fecha, el Juzgado de Distrito para lo Penal de Jinotega ordenó la libertad del señor H.R.A.</w:t>
      </w:r>
      <w:r w:rsidRPr="00975C02">
        <w:rPr>
          <w:sz w:val="20"/>
          <w:szCs w:val="20"/>
          <w:vertAlign w:val="superscript"/>
          <w:lang w:val="es-ES"/>
        </w:rPr>
        <w:footnoteReference w:id="109"/>
      </w:r>
      <w:r w:rsidRPr="00975C02">
        <w:rPr>
          <w:sz w:val="20"/>
          <w:szCs w:val="20"/>
          <w:lang w:val="es-ES"/>
        </w:rPr>
        <w:t>.</w:t>
      </w:r>
    </w:p>
    <w:p w14:paraId="1DFBCCEB" w14:textId="77777777" w:rsidR="00B5625C" w:rsidRPr="00975C02" w:rsidRDefault="00B5625C" w:rsidP="00B5625C">
      <w:pPr>
        <w:spacing w:line="240" w:lineRule="auto"/>
        <w:rPr>
          <w:sz w:val="20"/>
          <w:szCs w:val="20"/>
          <w:lang w:val="es-ES"/>
        </w:rPr>
      </w:pPr>
    </w:p>
    <w:p w14:paraId="5FF114EF" w14:textId="33D98756"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La señora V.P.C. y su hermana presentaron denuncia ante el Juzgado Local del Crimen de Jinotega contra H.R.A. por amenazas que habrían sufrido la noche del 13 de abril de 2002, fecha del veredicto de absolución</w:t>
      </w:r>
      <w:r w:rsidRPr="00975C02">
        <w:rPr>
          <w:sz w:val="20"/>
          <w:szCs w:val="20"/>
          <w:vertAlign w:val="superscript"/>
          <w:lang w:val="es-ES"/>
        </w:rPr>
        <w:footnoteReference w:id="110"/>
      </w:r>
      <w:r w:rsidRPr="00975C02">
        <w:rPr>
          <w:sz w:val="20"/>
          <w:szCs w:val="20"/>
          <w:lang w:val="es-ES"/>
        </w:rPr>
        <w:t>.</w:t>
      </w:r>
    </w:p>
    <w:p w14:paraId="3EBCEC31" w14:textId="77777777" w:rsidR="00B5625C" w:rsidRPr="00975C02" w:rsidRDefault="00B5625C" w:rsidP="00B5625C">
      <w:pPr>
        <w:spacing w:line="240" w:lineRule="auto"/>
        <w:rPr>
          <w:sz w:val="20"/>
          <w:szCs w:val="20"/>
          <w:lang w:val="es-ES"/>
        </w:rPr>
      </w:pPr>
    </w:p>
    <w:p w14:paraId="70BDE5B2" w14:textId="77777777" w:rsidR="00B5625C" w:rsidRPr="00975C02" w:rsidRDefault="00B5625C"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12" w:name="_Toc514172622"/>
      <w:r w:rsidRPr="00975C02">
        <w:rPr>
          <w:rFonts w:eastAsia="MS Mincho"/>
          <w:b/>
          <w:bCs/>
          <w:i/>
          <w:sz w:val="20"/>
          <w:szCs w:val="20"/>
          <w:lang w:val="es-ES"/>
        </w:rPr>
        <w:t>La continuación del proceso y la confirmación de la sentencia absolutoria</w:t>
      </w:r>
      <w:bookmarkEnd w:id="112"/>
    </w:p>
    <w:p w14:paraId="4021CBF5" w14:textId="77777777" w:rsidR="00B5625C" w:rsidRPr="00975C02" w:rsidRDefault="00B5625C" w:rsidP="00B5625C">
      <w:pPr>
        <w:spacing w:line="240" w:lineRule="auto"/>
        <w:rPr>
          <w:sz w:val="20"/>
          <w:szCs w:val="20"/>
          <w:lang w:val="es-ES"/>
        </w:rPr>
      </w:pPr>
    </w:p>
    <w:p w14:paraId="6B9A5E3A" w14:textId="0CB650FD"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Ante la </w:t>
      </w:r>
      <w:r w:rsidR="00D67F52">
        <w:rPr>
          <w:sz w:val="20"/>
          <w:szCs w:val="20"/>
          <w:lang w:val="es-ES"/>
        </w:rPr>
        <w:t>decisión</w:t>
      </w:r>
      <w:r w:rsidRPr="00975C02">
        <w:rPr>
          <w:sz w:val="20"/>
          <w:szCs w:val="20"/>
          <w:lang w:val="es-ES"/>
        </w:rPr>
        <w:t xml:space="preserve"> del</w:t>
      </w:r>
      <w:r w:rsidR="005B36BF" w:rsidRPr="00975C02">
        <w:rPr>
          <w:sz w:val="20"/>
          <w:szCs w:val="20"/>
          <w:lang w:val="es-ES"/>
        </w:rPr>
        <w:t xml:space="preserve"> Tribunal de</w:t>
      </w:r>
      <w:r w:rsidRPr="00975C02">
        <w:rPr>
          <w:sz w:val="20"/>
          <w:szCs w:val="20"/>
          <w:lang w:val="es-ES"/>
        </w:rPr>
        <w:t xml:space="preserve"> </w:t>
      </w:r>
      <w:r w:rsidR="005B36BF" w:rsidRPr="00975C02">
        <w:rPr>
          <w:sz w:val="20"/>
          <w:szCs w:val="20"/>
          <w:lang w:val="es-ES"/>
        </w:rPr>
        <w:t>J</w:t>
      </w:r>
      <w:r w:rsidRPr="00975C02">
        <w:rPr>
          <w:sz w:val="20"/>
          <w:szCs w:val="20"/>
          <w:lang w:val="es-ES"/>
        </w:rPr>
        <w:t>urado</w:t>
      </w:r>
      <w:r w:rsidR="005B36BF" w:rsidRPr="00975C02">
        <w:rPr>
          <w:sz w:val="20"/>
          <w:szCs w:val="20"/>
          <w:lang w:val="es-ES"/>
        </w:rPr>
        <w:t>s</w:t>
      </w:r>
      <w:r w:rsidRPr="00975C02">
        <w:rPr>
          <w:sz w:val="20"/>
          <w:szCs w:val="20"/>
          <w:lang w:val="es-ES"/>
        </w:rPr>
        <w:t xml:space="preserve">, la acusación privada </w:t>
      </w:r>
      <w:r w:rsidR="005E7304" w:rsidRPr="00975C02">
        <w:rPr>
          <w:sz w:val="20"/>
          <w:szCs w:val="20"/>
          <w:lang w:val="es-ES"/>
        </w:rPr>
        <w:t xml:space="preserve">interpuso </w:t>
      </w:r>
      <w:r w:rsidRPr="00975C02">
        <w:rPr>
          <w:sz w:val="20"/>
          <w:szCs w:val="20"/>
          <w:lang w:val="es-ES"/>
        </w:rPr>
        <w:t>incidente de nulidad</w:t>
      </w:r>
      <w:r w:rsidR="009C75A6" w:rsidRPr="00975C02">
        <w:rPr>
          <w:sz w:val="20"/>
          <w:szCs w:val="20"/>
          <w:lang w:val="es-ES"/>
        </w:rPr>
        <w:t>, por el supuesto</w:t>
      </w:r>
      <w:r w:rsidRPr="00975C02">
        <w:rPr>
          <w:sz w:val="20"/>
          <w:szCs w:val="20"/>
          <w:lang w:val="es-ES"/>
        </w:rPr>
        <w:t xml:space="preserve"> cohecho de los miembros del jurado. En el mismo escrito</w:t>
      </w:r>
      <w:r w:rsidR="009C75A6" w:rsidRPr="00975C02">
        <w:rPr>
          <w:sz w:val="20"/>
          <w:szCs w:val="20"/>
          <w:lang w:val="es-ES"/>
        </w:rPr>
        <w:t>, se</w:t>
      </w:r>
      <w:r w:rsidRPr="00975C02">
        <w:rPr>
          <w:sz w:val="20"/>
          <w:szCs w:val="20"/>
          <w:lang w:val="es-ES"/>
        </w:rPr>
        <w:t xml:space="preserve"> solicitó que la </w:t>
      </w:r>
      <w:r w:rsidR="009E07E7" w:rsidRPr="00975C02">
        <w:rPr>
          <w:sz w:val="20"/>
          <w:szCs w:val="20"/>
          <w:lang w:val="es-ES"/>
        </w:rPr>
        <w:t>j</w:t>
      </w:r>
      <w:r w:rsidRPr="00975C02">
        <w:rPr>
          <w:sz w:val="20"/>
          <w:szCs w:val="20"/>
          <w:lang w:val="es-ES"/>
        </w:rPr>
        <w:t xml:space="preserve">ueza se excusara de seguir conociendo la causa por transparencia judicial, ello con base en las siguientes irregularidades </w:t>
      </w:r>
      <w:r w:rsidR="009C75A6" w:rsidRPr="00975C02">
        <w:rPr>
          <w:sz w:val="20"/>
          <w:szCs w:val="20"/>
          <w:lang w:val="es-ES"/>
        </w:rPr>
        <w:t>ocurridas</w:t>
      </w:r>
      <w:r w:rsidRPr="00975C02">
        <w:rPr>
          <w:sz w:val="20"/>
          <w:szCs w:val="20"/>
          <w:lang w:val="es-ES"/>
        </w:rPr>
        <w:t xml:space="preserve"> en el proceso: a) permitir la presencia de ocho personas en el </w:t>
      </w:r>
      <w:r w:rsidR="009C75A6" w:rsidRPr="00975C02">
        <w:rPr>
          <w:sz w:val="20"/>
          <w:szCs w:val="20"/>
          <w:lang w:val="es-ES"/>
        </w:rPr>
        <w:t xml:space="preserve">primer </w:t>
      </w:r>
      <w:r w:rsidRPr="00975C02">
        <w:rPr>
          <w:sz w:val="20"/>
          <w:szCs w:val="20"/>
          <w:lang w:val="es-ES"/>
        </w:rPr>
        <w:t>examen médico; b) permitir que la defensa del señor H.R.A. utilice lenguaje que descalificara a la señora V.P.C.; c) cancelar la audiencia a ser realizada en la mañana del 10 de abril de 2002 alegando razones legales, cuando en realidad ello aconteció porque había un grupo de niños/as afuera del tribunal reclamando justicia en el caso</w:t>
      </w:r>
      <w:r w:rsidR="00F87CC7" w:rsidRPr="00975C02">
        <w:rPr>
          <w:sz w:val="20"/>
          <w:szCs w:val="20"/>
          <w:lang w:val="es-ES"/>
        </w:rPr>
        <w:t>,</w:t>
      </w:r>
      <w:r w:rsidRPr="00975C02">
        <w:rPr>
          <w:sz w:val="20"/>
          <w:szCs w:val="20"/>
          <w:lang w:val="es-ES"/>
        </w:rPr>
        <w:t xml:space="preserve"> y d) no permitir la presencia de todas las partes involucradas en la designación del jurado</w:t>
      </w:r>
      <w:r w:rsidRPr="00975C02">
        <w:rPr>
          <w:sz w:val="20"/>
          <w:szCs w:val="20"/>
          <w:vertAlign w:val="superscript"/>
          <w:lang w:val="es-ES"/>
        </w:rPr>
        <w:footnoteReference w:id="111"/>
      </w:r>
      <w:r w:rsidRPr="00975C02">
        <w:rPr>
          <w:sz w:val="20"/>
          <w:szCs w:val="20"/>
          <w:lang w:val="es-ES"/>
        </w:rPr>
        <w:t>.</w:t>
      </w:r>
    </w:p>
    <w:p w14:paraId="1C1DCA50" w14:textId="77777777" w:rsidR="00B5625C" w:rsidRPr="00975C02" w:rsidRDefault="00B5625C" w:rsidP="00B5625C">
      <w:pPr>
        <w:spacing w:line="240" w:lineRule="auto"/>
        <w:rPr>
          <w:sz w:val="20"/>
          <w:szCs w:val="20"/>
          <w:lang w:val="es-ES"/>
        </w:rPr>
      </w:pPr>
    </w:p>
    <w:p w14:paraId="3DE720A0" w14:textId="77777777" w:rsidR="00B5625C" w:rsidRPr="00975C02" w:rsidRDefault="009C75A6"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w:t>
      </w:r>
      <w:r w:rsidR="00B5625C" w:rsidRPr="00975C02">
        <w:rPr>
          <w:sz w:val="20"/>
          <w:szCs w:val="20"/>
          <w:lang w:val="es-ES"/>
        </w:rPr>
        <w:t>l 14 de abril de 2002 el abogado de V.P.C. reiteró su solicitud de nulidad y señaló que “[…] el expediente ha sido cerrado con seiscientos diecisiete folios, no constando en ellos un documento color rosado, manuscrito, entregado por la defensa del procesado al honorable Tribunal de Jurados […]”</w:t>
      </w:r>
      <w:r w:rsidR="00B5625C" w:rsidRPr="00975C02">
        <w:rPr>
          <w:sz w:val="20"/>
          <w:szCs w:val="20"/>
          <w:vertAlign w:val="superscript"/>
          <w:lang w:val="es-ES"/>
        </w:rPr>
        <w:footnoteReference w:id="112"/>
      </w:r>
      <w:r w:rsidR="00B5625C" w:rsidRPr="00975C02">
        <w:rPr>
          <w:sz w:val="20"/>
          <w:szCs w:val="20"/>
          <w:lang w:val="es-ES"/>
        </w:rPr>
        <w:t>.</w:t>
      </w:r>
    </w:p>
    <w:p w14:paraId="66DB717D" w14:textId="77777777" w:rsidR="00B5625C" w:rsidRPr="00975C02" w:rsidRDefault="00B5625C" w:rsidP="00B5625C">
      <w:pPr>
        <w:spacing w:line="240" w:lineRule="auto"/>
        <w:rPr>
          <w:sz w:val="20"/>
          <w:szCs w:val="20"/>
          <w:lang w:val="es-ES"/>
        </w:rPr>
      </w:pPr>
    </w:p>
    <w:p w14:paraId="0B9DC0AC" w14:textId="2D930095"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Mediante auto de 15 de abril de 2002</w:t>
      </w:r>
      <w:r w:rsidRPr="00975C02">
        <w:rPr>
          <w:sz w:val="20"/>
          <w:szCs w:val="20"/>
          <w:vertAlign w:val="superscript"/>
          <w:lang w:val="es-ES"/>
        </w:rPr>
        <w:footnoteReference w:id="113"/>
      </w:r>
      <w:r w:rsidRPr="00975C02">
        <w:rPr>
          <w:sz w:val="20"/>
          <w:szCs w:val="20"/>
          <w:lang w:val="es-ES"/>
        </w:rPr>
        <w:t>, la Jueza de Distrito de lo Penal de Jinotega realizó aclaraciones sobre las irregularidades aducidas (</w:t>
      </w:r>
      <w:r w:rsidRPr="00975C02">
        <w:rPr>
          <w:i/>
          <w:sz w:val="20"/>
          <w:szCs w:val="20"/>
          <w:lang w:val="es-ES"/>
        </w:rPr>
        <w:t>supra</w:t>
      </w:r>
      <w:r w:rsidR="000C7392" w:rsidRPr="00975C02">
        <w:rPr>
          <w:sz w:val="20"/>
          <w:szCs w:val="20"/>
          <w:lang w:val="es-ES"/>
        </w:rPr>
        <w:t xml:space="preserve"> párr. 103</w:t>
      </w:r>
      <w:r w:rsidRPr="00975C02">
        <w:rPr>
          <w:sz w:val="20"/>
          <w:szCs w:val="20"/>
          <w:lang w:val="es-ES"/>
        </w:rPr>
        <w:t>) y con base en la solicitud de excusación interpuesta, remitió el expediente al Juez Suplente</w:t>
      </w:r>
      <w:r w:rsidR="009E07E7" w:rsidRPr="00975C02">
        <w:rPr>
          <w:sz w:val="20"/>
          <w:szCs w:val="20"/>
          <w:lang w:val="es-ES"/>
        </w:rPr>
        <w:t xml:space="preserve"> de </w:t>
      </w:r>
      <w:r w:rsidR="00EB6EA2" w:rsidRPr="00975C02">
        <w:rPr>
          <w:sz w:val="20"/>
          <w:szCs w:val="20"/>
          <w:lang w:val="es-ES"/>
        </w:rPr>
        <w:t xml:space="preserve">Distrito </w:t>
      </w:r>
      <w:r w:rsidR="009E07E7" w:rsidRPr="00975C02">
        <w:rPr>
          <w:sz w:val="20"/>
          <w:szCs w:val="20"/>
          <w:lang w:val="es-ES"/>
        </w:rPr>
        <w:t xml:space="preserve">de lo </w:t>
      </w:r>
      <w:r w:rsidR="00EB6EA2" w:rsidRPr="00975C02">
        <w:rPr>
          <w:sz w:val="20"/>
          <w:szCs w:val="20"/>
          <w:lang w:val="es-ES"/>
        </w:rPr>
        <w:t>P</w:t>
      </w:r>
      <w:r w:rsidR="009E07E7" w:rsidRPr="00975C02">
        <w:rPr>
          <w:sz w:val="20"/>
          <w:szCs w:val="20"/>
          <w:lang w:val="es-ES"/>
        </w:rPr>
        <w:t>enal de Jinotega</w:t>
      </w:r>
      <w:r w:rsidRPr="00975C02">
        <w:rPr>
          <w:sz w:val="20"/>
          <w:szCs w:val="20"/>
          <w:lang w:val="es-ES"/>
        </w:rPr>
        <w:t xml:space="preserve">. Al día siguiente, el abogado defensor solicitó al </w:t>
      </w:r>
      <w:r w:rsidR="009E07E7" w:rsidRPr="00975C02">
        <w:rPr>
          <w:sz w:val="20"/>
          <w:szCs w:val="20"/>
          <w:lang w:val="es-ES"/>
        </w:rPr>
        <w:t>j</w:t>
      </w:r>
      <w:r w:rsidRPr="00975C02">
        <w:rPr>
          <w:sz w:val="20"/>
          <w:szCs w:val="20"/>
          <w:lang w:val="es-ES"/>
        </w:rPr>
        <w:t xml:space="preserve">uez </w:t>
      </w:r>
      <w:r w:rsidR="009E07E7" w:rsidRPr="00975C02">
        <w:rPr>
          <w:sz w:val="20"/>
          <w:szCs w:val="20"/>
          <w:lang w:val="es-ES"/>
        </w:rPr>
        <w:t>s</w:t>
      </w:r>
      <w:r w:rsidRPr="00975C02">
        <w:rPr>
          <w:sz w:val="20"/>
          <w:szCs w:val="20"/>
          <w:lang w:val="es-ES"/>
        </w:rPr>
        <w:t>uplente que se excusara de conocer el proceso por estar supuestamente parcializado a favor de una de las partes</w:t>
      </w:r>
      <w:r w:rsidRPr="00975C02">
        <w:rPr>
          <w:sz w:val="20"/>
          <w:szCs w:val="20"/>
          <w:vertAlign w:val="superscript"/>
          <w:lang w:val="es-ES"/>
        </w:rPr>
        <w:footnoteReference w:id="114"/>
      </w:r>
      <w:r w:rsidRPr="00975C02">
        <w:rPr>
          <w:sz w:val="20"/>
          <w:szCs w:val="20"/>
          <w:lang w:val="es-ES"/>
        </w:rPr>
        <w:t xml:space="preserve">. El 17 de abril de 2002 el </w:t>
      </w:r>
      <w:r w:rsidR="009E07E7" w:rsidRPr="00975C02">
        <w:rPr>
          <w:sz w:val="20"/>
          <w:szCs w:val="20"/>
          <w:lang w:val="es-ES"/>
        </w:rPr>
        <w:t>j</w:t>
      </w:r>
      <w:r w:rsidRPr="00975C02">
        <w:rPr>
          <w:sz w:val="20"/>
          <w:szCs w:val="20"/>
          <w:lang w:val="es-ES"/>
        </w:rPr>
        <w:t xml:space="preserve">uez </w:t>
      </w:r>
      <w:r w:rsidR="009E07E7" w:rsidRPr="00975C02">
        <w:rPr>
          <w:sz w:val="20"/>
          <w:szCs w:val="20"/>
          <w:lang w:val="es-ES"/>
        </w:rPr>
        <w:t>s</w:t>
      </w:r>
      <w:r w:rsidRPr="00975C02">
        <w:rPr>
          <w:sz w:val="20"/>
          <w:szCs w:val="20"/>
          <w:lang w:val="es-ES"/>
        </w:rPr>
        <w:t xml:space="preserve">uplente negó los motivos invocados por el defensor y envió el expediente al Juez de </w:t>
      </w:r>
      <w:r w:rsidR="00F87CC7" w:rsidRPr="00975C02">
        <w:rPr>
          <w:sz w:val="20"/>
          <w:szCs w:val="20"/>
          <w:lang w:val="es-ES"/>
        </w:rPr>
        <w:t xml:space="preserve">Distrito </w:t>
      </w:r>
      <w:r w:rsidRPr="00975C02">
        <w:rPr>
          <w:sz w:val="20"/>
          <w:szCs w:val="20"/>
          <w:lang w:val="es-ES"/>
        </w:rPr>
        <w:t>Civil de Jinotega</w:t>
      </w:r>
      <w:r w:rsidRPr="00975C02">
        <w:rPr>
          <w:sz w:val="20"/>
          <w:szCs w:val="20"/>
          <w:vertAlign w:val="superscript"/>
          <w:lang w:val="es-ES"/>
        </w:rPr>
        <w:footnoteReference w:id="115"/>
      </w:r>
      <w:r w:rsidRPr="00975C02">
        <w:rPr>
          <w:sz w:val="20"/>
          <w:szCs w:val="20"/>
          <w:lang w:val="es-ES"/>
        </w:rPr>
        <w:t>.</w:t>
      </w:r>
      <w:r w:rsidRPr="00975C02">
        <w:rPr>
          <w:bCs/>
          <w:sz w:val="20"/>
          <w:szCs w:val="20"/>
          <w:lang w:val="es-ES"/>
        </w:rPr>
        <w:t xml:space="preserve"> Ese mismo día </w:t>
      </w:r>
      <w:r w:rsidRPr="00975C02">
        <w:rPr>
          <w:sz w:val="20"/>
          <w:szCs w:val="20"/>
          <w:lang w:val="es-ES"/>
        </w:rPr>
        <w:t xml:space="preserve">el abogado de la parte acusadora solicitó que el caso fuera enviado al Tribunal de Apelaciones para que decidiera sobre la excusa legal promovida por la </w:t>
      </w:r>
      <w:r w:rsidR="00381E1F" w:rsidRPr="00975C02">
        <w:rPr>
          <w:sz w:val="20"/>
          <w:szCs w:val="20"/>
          <w:lang w:val="es-ES"/>
        </w:rPr>
        <w:t>j</w:t>
      </w:r>
      <w:r w:rsidRPr="00975C02">
        <w:rPr>
          <w:sz w:val="20"/>
          <w:szCs w:val="20"/>
          <w:lang w:val="es-ES"/>
        </w:rPr>
        <w:t>ueza originaria</w:t>
      </w:r>
      <w:r w:rsidRPr="00975C02">
        <w:rPr>
          <w:sz w:val="20"/>
          <w:szCs w:val="20"/>
          <w:vertAlign w:val="superscript"/>
          <w:lang w:val="es-ES"/>
        </w:rPr>
        <w:footnoteReference w:id="116"/>
      </w:r>
      <w:r w:rsidRPr="00975C02">
        <w:rPr>
          <w:sz w:val="20"/>
          <w:szCs w:val="20"/>
          <w:lang w:val="es-ES"/>
        </w:rPr>
        <w:t xml:space="preserve">. El 22 de abril de 2002 el abogado acusador remitió una nueva comunicación al </w:t>
      </w:r>
      <w:r w:rsidR="00381E1F" w:rsidRPr="00975C02">
        <w:rPr>
          <w:sz w:val="20"/>
          <w:szCs w:val="20"/>
          <w:lang w:val="es-ES"/>
        </w:rPr>
        <w:t>Juez de Distrito de lo Civil y Criminal</w:t>
      </w:r>
      <w:r w:rsidR="009E07E7" w:rsidRPr="00975C02">
        <w:rPr>
          <w:sz w:val="20"/>
          <w:szCs w:val="20"/>
          <w:lang w:val="es-ES"/>
        </w:rPr>
        <w:t xml:space="preserve"> </w:t>
      </w:r>
      <w:r w:rsidRPr="00975C02">
        <w:rPr>
          <w:sz w:val="20"/>
          <w:szCs w:val="20"/>
          <w:lang w:val="es-ES"/>
        </w:rPr>
        <w:t>de Jinotega y solicitó que se envíen al Tribunal de Apelaciones para que decida sobre quién debe conocer sobre la excusa legal promovida por la Juez</w:t>
      </w:r>
      <w:r w:rsidR="00EB6EA2" w:rsidRPr="00975C02">
        <w:rPr>
          <w:sz w:val="20"/>
          <w:szCs w:val="20"/>
          <w:lang w:val="es-ES"/>
        </w:rPr>
        <w:t>a de Distrito de lo Penal de Jinotega</w:t>
      </w:r>
      <w:r w:rsidRPr="00975C02">
        <w:rPr>
          <w:sz w:val="20"/>
          <w:szCs w:val="20"/>
          <w:vertAlign w:val="superscript"/>
          <w:lang w:val="es-ES"/>
        </w:rPr>
        <w:footnoteReference w:id="117"/>
      </w:r>
      <w:r w:rsidRPr="00975C02">
        <w:rPr>
          <w:sz w:val="20"/>
          <w:szCs w:val="20"/>
          <w:lang w:val="es-ES"/>
        </w:rPr>
        <w:t xml:space="preserve">. El 26 de abril de 2002 el abogado defensor solicitó al </w:t>
      </w:r>
      <w:r w:rsidR="00EB6EA2" w:rsidRPr="00975C02">
        <w:rPr>
          <w:sz w:val="20"/>
          <w:szCs w:val="20"/>
          <w:lang w:val="es-ES"/>
        </w:rPr>
        <w:t>j</w:t>
      </w:r>
      <w:r w:rsidRPr="00975C02">
        <w:rPr>
          <w:sz w:val="20"/>
          <w:szCs w:val="20"/>
          <w:lang w:val="es-ES"/>
        </w:rPr>
        <w:t>uez acceder a lo solicitado por el abogado de la señora V.P.C., en el sentido de enviar el asunto ante el Tribunal de Apelaciones</w:t>
      </w:r>
      <w:r w:rsidRPr="00975C02">
        <w:rPr>
          <w:sz w:val="20"/>
          <w:szCs w:val="20"/>
          <w:vertAlign w:val="superscript"/>
          <w:lang w:val="es-ES"/>
        </w:rPr>
        <w:footnoteReference w:id="118"/>
      </w:r>
      <w:r w:rsidRPr="00975C02">
        <w:rPr>
          <w:sz w:val="20"/>
          <w:szCs w:val="20"/>
          <w:lang w:val="es-ES"/>
        </w:rPr>
        <w:t xml:space="preserve">. El 29 de abril del año 2002 se </w:t>
      </w:r>
      <w:r w:rsidRPr="00975C02">
        <w:rPr>
          <w:bCs/>
          <w:sz w:val="20"/>
          <w:szCs w:val="20"/>
          <w:lang w:val="es-ES"/>
        </w:rPr>
        <w:t xml:space="preserve">declaró improcedente la excusa realizada por la </w:t>
      </w:r>
      <w:r w:rsidR="00381E1F" w:rsidRPr="00975C02">
        <w:rPr>
          <w:bCs/>
          <w:sz w:val="20"/>
          <w:szCs w:val="20"/>
          <w:lang w:val="es-ES"/>
        </w:rPr>
        <w:t>j</w:t>
      </w:r>
      <w:r w:rsidRPr="00975C02">
        <w:rPr>
          <w:bCs/>
          <w:sz w:val="20"/>
          <w:szCs w:val="20"/>
          <w:lang w:val="es-ES"/>
        </w:rPr>
        <w:t>uez</w:t>
      </w:r>
      <w:r w:rsidR="00381E1F" w:rsidRPr="00975C02">
        <w:rPr>
          <w:bCs/>
          <w:sz w:val="20"/>
          <w:szCs w:val="20"/>
          <w:lang w:val="es-ES"/>
        </w:rPr>
        <w:t>a de Distrito de lo Penal</w:t>
      </w:r>
      <w:r w:rsidRPr="00975C02">
        <w:rPr>
          <w:sz w:val="20"/>
          <w:szCs w:val="20"/>
          <w:lang w:val="es-ES"/>
        </w:rPr>
        <w:t xml:space="preserve">, así como la recusación realizada por el abogado defensor, por lo que se ordenó regresar el expediente al </w:t>
      </w:r>
      <w:r w:rsidR="00381E1F" w:rsidRPr="00975C02">
        <w:rPr>
          <w:sz w:val="20"/>
          <w:szCs w:val="20"/>
          <w:lang w:val="es-ES"/>
        </w:rPr>
        <w:t>referido j</w:t>
      </w:r>
      <w:r w:rsidRPr="00975C02">
        <w:rPr>
          <w:sz w:val="20"/>
          <w:szCs w:val="20"/>
          <w:lang w:val="es-ES"/>
        </w:rPr>
        <w:t>uzgado</w:t>
      </w:r>
      <w:r w:rsidRPr="00975C02">
        <w:rPr>
          <w:sz w:val="20"/>
          <w:szCs w:val="20"/>
          <w:vertAlign w:val="superscript"/>
          <w:lang w:val="es-ES"/>
        </w:rPr>
        <w:footnoteReference w:id="119"/>
      </w:r>
      <w:r w:rsidRPr="00975C02">
        <w:rPr>
          <w:sz w:val="20"/>
          <w:szCs w:val="20"/>
          <w:lang w:val="es-ES"/>
        </w:rPr>
        <w:t>.</w:t>
      </w:r>
      <w:r w:rsidR="008A4CF8" w:rsidRPr="00975C02">
        <w:rPr>
          <w:sz w:val="20"/>
          <w:szCs w:val="20"/>
          <w:lang w:val="es-ES"/>
        </w:rPr>
        <w:t xml:space="preserve"> </w:t>
      </w:r>
      <w:r w:rsidRPr="00975C02">
        <w:rPr>
          <w:sz w:val="20"/>
          <w:szCs w:val="20"/>
          <w:lang w:val="es-ES"/>
        </w:rPr>
        <w:t>El 2 de mayo de 2002 el abogado de la parte acusadora apeló contra dicho auto</w:t>
      </w:r>
      <w:r w:rsidRPr="00975C02">
        <w:rPr>
          <w:sz w:val="20"/>
          <w:szCs w:val="20"/>
          <w:vertAlign w:val="superscript"/>
          <w:lang w:val="es-ES"/>
        </w:rPr>
        <w:footnoteReference w:id="120"/>
      </w:r>
      <w:r w:rsidRPr="00975C02">
        <w:rPr>
          <w:sz w:val="20"/>
          <w:szCs w:val="20"/>
          <w:lang w:val="es-ES"/>
        </w:rPr>
        <w:t xml:space="preserve">. El 6 de mayo de 2002 el Juzgado de Distrito </w:t>
      </w:r>
      <w:r w:rsidR="00381E1F" w:rsidRPr="00975C02">
        <w:rPr>
          <w:sz w:val="20"/>
          <w:szCs w:val="20"/>
          <w:lang w:val="es-ES"/>
        </w:rPr>
        <w:t xml:space="preserve">de </w:t>
      </w:r>
      <w:r w:rsidRPr="00975C02">
        <w:rPr>
          <w:sz w:val="20"/>
          <w:szCs w:val="20"/>
          <w:lang w:val="es-ES"/>
        </w:rPr>
        <w:t>lo Penal de Jinotega declaró improcedente la solicitud de envío del expediente al Tribunal de Apelaciones, asumió competencia y ordenó la apertura a prueba del incidente de nulidad de la parte acusadora</w:t>
      </w:r>
      <w:r w:rsidRPr="00975C02">
        <w:rPr>
          <w:sz w:val="20"/>
          <w:szCs w:val="20"/>
          <w:vertAlign w:val="superscript"/>
          <w:lang w:val="es-ES"/>
        </w:rPr>
        <w:footnoteReference w:id="121"/>
      </w:r>
      <w:r w:rsidRPr="00975C02">
        <w:rPr>
          <w:sz w:val="20"/>
          <w:szCs w:val="20"/>
          <w:lang w:val="es-ES"/>
        </w:rPr>
        <w:t>. Ese mismo día, el abogado defensor presentó recurso de reposición contra dicho auto</w:t>
      </w:r>
      <w:r w:rsidRPr="00975C02">
        <w:rPr>
          <w:sz w:val="20"/>
          <w:szCs w:val="20"/>
          <w:vertAlign w:val="superscript"/>
          <w:lang w:val="es-ES"/>
        </w:rPr>
        <w:footnoteReference w:id="122"/>
      </w:r>
      <w:r w:rsidRPr="00975C02">
        <w:rPr>
          <w:sz w:val="20"/>
          <w:szCs w:val="20"/>
          <w:lang w:val="es-ES"/>
        </w:rPr>
        <w:t>, lo cual también habría hecho el abogado de la acusación. El 7 de mayo de 2002 la Juez</w:t>
      </w:r>
      <w:r w:rsidR="00000AE7" w:rsidRPr="00975C02">
        <w:rPr>
          <w:sz w:val="20"/>
          <w:szCs w:val="20"/>
          <w:lang w:val="es-ES"/>
        </w:rPr>
        <w:t>a</w:t>
      </w:r>
      <w:r w:rsidRPr="00975C02">
        <w:rPr>
          <w:sz w:val="20"/>
          <w:szCs w:val="20"/>
          <w:lang w:val="es-ES"/>
        </w:rPr>
        <w:t xml:space="preserve"> de Distrito de lo </w:t>
      </w:r>
      <w:r w:rsidR="00700CB0" w:rsidRPr="00975C02">
        <w:rPr>
          <w:sz w:val="20"/>
          <w:szCs w:val="20"/>
          <w:lang w:val="es-ES"/>
        </w:rPr>
        <w:t xml:space="preserve">Penal </w:t>
      </w:r>
      <w:r w:rsidRPr="00975C02">
        <w:rPr>
          <w:sz w:val="20"/>
          <w:szCs w:val="20"/>
          <w:lang w:val="es-ES"/>
        </w:rPr>
        <w:t>de Jinotega dispuso notificar a las partes y al ministerio público para que se pronuncien sobre los recursos de reposición, lo cual realizaron el 8 de mayo</w:t>
      </w:r>
      <w:r w:rsidRPr="00975C02">
        <w:rPr>
          <w:sz w:val="20"/>
          <w:szCs w:val="20"/>
          <w:vertAlign w:val="superscript"/>
          <w:lang w:val="es-ES"/>
        </w:rPr>
        <w:footnoteReference w:id="123"/>
      </w:r>
      <w:r w:rsidRPr="00975C02">
        <w:rPr>
          <w:sz w:val="20"/>
          <w:szCs w:val="20"/>
          <w:lang w:val="es-ES"/>
        </w:rPr>
        <w:t xml:space="preserve">. En su escrito, el abogado </w:t>
      </w:r>
      <w:r w:rsidR="00AE3ACB" w:rsidRPr="00975C02">
        <w:rPr>
          <w:sz w:val="20"/>
          <w:szCs w:val="20"/>
          <w:lang w:val="es-ES"/>
        </w:rPr>
        <w:t xml:space="preserve">acusador </w:t>
      </w:r>
      <w:r w:rsidRPr="00975C02">
        <w:rPr>
          <w:sz w:val="20"/>
          <w:szCs w:val="20"/>
          <w:lang w:val="es-ES"/>
        </w:rPr>
        <w:t>manifestó que los miembros del Tribunal de Jurados se habían estado reuniendo junto con la jueza de derecho y que habrían sido visitados por familiares y amigos del procesado</w:t>
      </w:r>
      <w:r w:rsidR="00AE3ACB" w:rsidRPr="00975C02">
        <w:rPr>
          <w:rStyle w:val="FootnoteReference"/>
          <w:sz w:val="20"/>
          <w:szCs w:val="20"/>
          <w:lang w:val="es-ES"/>
        </w:rPr>
        <w:footnoteReference w:id="124"/>
      </w:r>
      <w:r w:rsidRPr="00975C02">
        <w:rPr>
          <w:sz w:val="20"/>
          <w:szCs w:val="20"/>
          <w:lang w:val="es-ES"/>
        </w:rPr>
        <w:t>.</w:t>
      </w:r>
    </w:p>
    <w:p w14:paraId="3DF54E6A" w14:textId="77777777" w:rsidR="00B5625C" w:rsidRPr="00975C02" w:rsidRDefault="00B5625C" w:rsidP="00B5625C">
      <w:pPr>
        <w:spacing w:line="240" w:lineRule="auto"/>
        <w:rPr>
          <w:sz w:val="20"/>
          <w:szCs w:val="20"/>
          <w:lang w:val="es-ES"/>
        </w:rPr>
      </w:pPr>
    </w:p>
    <w:p w14:paraId="06CE20BD" w14:textId="359D557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8 de mayo de 2002 la </w:t>
      </w:r>
      <w:r w:rsidR="00700CB0" w:rsidRPr="00975C02">
        <w:rPr>
          <w:sz w:val="20"/>
          <w:szCs w:val="20"/>
          <w:lang w:val="es-ES"/>
        </w:rPr>
        <w:t>f</w:t>
      </w:r>
      <w:r w:rsidRPr="00975C02">
        <w:rPr>
          <w:sz w:val="20"/>
          <w:szCs w:val="20"/>
          <w:lang w:val="es-ES"/>
        </w:rPr>
        <w:t xml:space="preserve">iscal de Jinotega envió una comunicación al </w:t>
      </w:r>
      <w:r w:rsidR="00700CB0" w:rsidRPr="00975C02">
        <w:rPr>
          <w:sz w:val="20"/>
          <w:szCs w:val="20"/>
          <w:lang w:val="es-ES"/>
        </w:rPr>
        <w:t>j</w:t>
      </w:r>
      <w:r w:rsidRPr="00975C02">
        <w:rPr>
          <w:sz w:val="20"/>
          <w:szCs w:val="20"/>
          <w:lang w:val="es-ES"/>
        </w:rPr>
        <w:t>uzgado en la que manifestó que consideraba necesario que el recurso de nulidad se abra a prueba y que se mande a citar a los miembros del jurado que participaron en el veredicto</w:t>
      </w:r>
      <w:r w:rsidRPr="00975C02">
        <w:rPr>
          <w:sz w:val="20"/>
          <w:szCs w:val="20"/>
          <w:vertAlign w:val="superscript"/>
          <w:lang w:val="es-ES"/>
        </w:rPr>
        <w:footnoteReference w:id="125"/>
      </w:r>
      <w:r w:rsidRPr="00975C02">
        <w:rPr>
          <w:sz w:val="20"/>
          <w:szCs w:val="20"/>
          <w:lang w:val="es-ES"/>
        </w:rPr>
        <w:t>. El 10 de mayo de 2002 el abogado defensor se pronunció sobre el incidente de nulidad interpuesto por la acusación</w:t>
      </w:r>
      <w:r w:rsidRPr="00975C02">
        <w:rPr>
          <w:sz w:val="20"/>
          <w:szCs w:val="20"/>
          <w:vertAlign w:val="superscript"/>
          <w:lang w:val="es-ES"/>
        </w:rPr>
        <w:footnoteReference w:id="126"/>
      </w:r>
      <w:r w:rsidRPr="00975C02">
        <w:rPr>
          <w:sz w:val="20"/>
          <w:szCs w:val="20"/>
          <w:lang w:val="es-ES"/>
        </w:rPr>
        <w:t>.</w:t>
      </w:r>
    </w:p>
    <w:p w14:paraId="2CCA992D" w14:textId="77777777" w:rsidR="00B5625C" w:rsidRPr="00975C02" w:rsidRDefault="00B5625C" w:rsidP="00B5625C">
      <w:pPr>
        <w:spacing w:line="240" w:lineRule="auto"/>
        <w:rPr>
          <w:sz w:val="20"/>
          <w:szCs w:val="20"/>
          <w:lang w:val="es-ES"/>
        </w:rPr>
      </w:pPr>
    </w:p>
    <w:p w14:paraId="736314C2" w14:textId="6FE3E02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13 de mayo de 2002 el Juzgado de Distrito </w:t>
      </w:r>
      <w:r w:rsidR="00EB57B3" w:rsidRPr="00975C02">
        <w:rPr>
          <w:sz w:val="20"/>
          <w:szCs w:val="20"/>
          <w:lang w:val="es-ES"/>
        </w:rPr>
        <w:t xml:space="preserve">de </w:t>
      </w:r>
      <w:r w:rsidRPr="00975C02">
        <w:rPr>
          <w:sz w:val="20"/>
          <w:szCs w:val="20"/>
          <w:lang w:val="es-ES"/>
        </w:rPr>
        <w:t>lo Penal</w:t>
      </w:r>
      <w:r w:rsidR="00EB57B3" w:rsidRPr="00975C02">
        <w:rPr>
          <w:sz w:val="20"/>
          <w:szCs w:val="20"/>
          <w:lang w:val="es-ES"/>
        </w:rPr>
        <w:t xml:space="preserve"> de Jinotega</w:t>
      </w:r>
      <w:r w:rsidRPr="00975C02">
        <w:rPr>
          <w:sz w:val="20"/>
          <w:szCs w:val="20"/>
          <w:lang w:val="es-ES"/>
        </w:rPr>
        <w:t xml:space="preserve"> declaró la nulidad del veredicto en lo que hace al inciso 8° del artículo 444 del Código de Instrucción Criminal. En relación con la acusación de cohecho de los miembros del jurado se basó en que “exist[e] la duda de la parte acusadora”. En virtud de ello, se requirió que se lleve a cabo una nueva selección de jurados y se realice una vista pública</w:t>
      </w:r>
      <w:r w:rsidRPr="00975C02">
        <w:rPr>
          <w:sz w:val="20"/>
          <w:szCs w:val="20"/>
          <w:vertAlign w:val="superscript"/>
          <w:lang w:val="es-ES"/>
        </w:rPr>
        <w:footnoteReference w:id="127"/>
      </w:r>
      <w:r w:rsidRPr="00975C02">
        <w:rPr>
          <w:sz w:val="20"/>
          <w:szCs w:val="20"/>
          <w:lang w:val="es-ES"/>
        </w:rPr>
        <w:t>. Asimismo, se ordenó la captura del acusado, que se materializó en esa misma fecha</w:t>
      </w:r>
      <w:r w:rsidRPr="00975C02">
        <w:rPr>
          <w:sz w:val="20"/>
          <w:szCs w:val="20"/>
          <w:vertAlign w:val="superscript"/>
          <w:lang w:val="es-ES"/>
        </w:rPr>
        <w:footnoteReference w:id="128"/>
      </w:r>
      <w:r w:rsidRPr="00975C02">
        <w:rPr>
          <w:sz w:val="20"/>
          <w:szCs w:val="20"/>
          <w:lang w:val="es-ES"/>
        </w:rPr>
        <w:t>.</w:t>
      </w:r>
    </w:p>
    <w:p w14:paraId="3B204645" w14:textId="77777777" w:rsidR="00B5625C" w:rsidRPr="00975C02" w:rsidRDefault="00B5625C" w:rsidP="00B5625C">
      <w:pPr>
        <w:spacing w:line="240" w:lineRule="auto"/>
        <w:rPr>
          <w:sz w:val="20"/>
          <w:szCs w:val="20"/>
          <w:lang w:val="es-ES"/>
        </w:rPr>
      </w:pPr>
    </w:p>
    <w:p w14:paraId="60349F34" w14:textId="1DADC0E6"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La decisión fue recurrida en apelación por la defensa el 14 de mayo de 2002</w:t>
      </w:r>
      <w:r w:rsidRPr="00975C02">
        <w:rPr>
          <w:sz w:val="20"/>
          <w:szCs w:val="20"/>
          <w:vertAlign w:val="superscript"/>
          <w:lang w:val="es-ES"/>
        </w:rPr>
        <w:footnoteReference w:id="129"/>
      </w:r>
      <w:r w:rsidRPr="00975C02">
        <w:rPr>
          <w:sz w:val="20"/>
          <w:szCs w:val="20"/>
          <w:lang w:val="es-ES"/>
        </w:rPr>
        <w:t>. Contra el auto admitiendo la apelación, el abogado d</w:t>
      </w:r>
      <w:r w:rsidR="005852AD">
        <w:rPr>
          <w:sz w:val="20"/>
          <w:szCs w:val="20"/>
          <w:lang w:val="es-ES"/>
        </w:rPr>
        <w:t>e la acusación presentó recurso</w:t>
      </w:r>
      <w:r w:rsidRPr="00975C02">
        <w:rPr>
          <w:sz w:val="20"/>
          <w:szCs w:val="20"/>
          <w:lang w:val="es-ES"/>
        </w:rPr>
        <w:t xml:space="preserve"> de reposición, el cual fue declarado no ha lugar el 15 de mayo de 2002</w:t>
      </w:r>
      <w:r w:rsidRPr="00975C02">
        <w:rPr>
          <w:sz w:val="20"/>
          <w:szCs w:val="20"/>
          <w:vertAlign w:val="superscript"/>
          <w:lang w:val="es-ES"/>
        </w:rPr>
        <w:footnoteReference w:id="130"/>
      </w:r>
      <w:r w:rsidRPr="00975C02">
        <w:rPr>
          <w:sz w:val="20"/>
          <w:szCs w:val="20"/>
          <w:lang w:val="es-ES"/>
        </w:rPr>
        <w:t xml:space="preserve"> y la causa remitida al Tribunal de Apelaciones</w:t>
      </w:r>
      <w:r w:rsidRPr="00975C02">
        <w:rPr>
          <w:sz w:val="20"/>
          <w:szCs w:val="20"/>
          <w:vertAlign w:val="superscript"/>
          <w:lang w:val="es-ES"/>
        </w:rPr>
        <w:footnoteReference w:id="131"/>
      </w:r>
      <w:r w:rsidRPr="00975C02">
        <w:rPr>
          <w:sz w:val="20"/>
          <w:szCs w:val="20"/>
          <w:lang w:val="es-ES"/>
        </w:rPr>
        <w:t>.</w:t>
      </w:r>
    </w:p>
    <w:p w14:paraId="5DCC7B6F" w14:textId="77777777" w:rsidR="00B5625C" w:rsidRPr="00975C02" w:rsidRDefault="00B5625C" w:rsidP="00B5625C">
      <w:pPr>
        <w:spacing w:line="240" w:lineRule="auto"/>
        <w:rPr>
          <w:sz w:val="20"/>
          <w:szCs w:val="20"/>
          <w:lang w:val="es-ES"/>
        </w:rPr>
      </w:pPr>
    </w:p>
    <w:p w14:paraId="08A84099" w14:textId="1D3E2F36" w:rsidR="00B5625C" w:rsidRPr="00975C02" w:rsidRDefault="00B5625C" w:rsidP="005C77A8">
      <w:pPr>
        <w:numPr>
          <w:ilvl w:val="0"/>
          <w:numId w:val="2"/>
        </w:numPr>
        <w:tabs>
          <w:tab w:val="left" w:pos="567"/>
          <w:tab w:val="num" w:pos="12305"/>
        </w:tabs>
        <w:spacing w:line="240" w:lineRule="auto"/>
        <w:ind w:left="0" w:firstLine="0"/>
        <w:rPr>
          <w:sz w:val="16"/>
          <w:szCs w:val="16"/>
          <w:lang w:val="es-ES"/>
        </w:rPr>
      </w:pPr>
      <w:r w:rsidRPr="00975C02">
        <w:rPr>
          <w:rFonts w:cs="Arial"/>
          <w:sz w:val="20"/>
          <w:szCs w:val="20"/>
          <w:lang w:val="es-ES"/>
        </w:rPr>
        <w:t xml:space="preserve">El 23 de mayo de 2002 </w:t>
      </w:r>
      <w:r w:rsidR="00EB57B3" w:rsidRPr="00975C02">
        <w:rPr>
          <w:rFonts w:cs="Arial"/>
          <w:sz w:val="20"/>
          <w:szCs w:val="20"/>
          <w:lang w:val="es-ES"/>
        </w:rPr>
        <w:t>tres</w:t>
      </w:r>
      <w:r w:rsidRPr="00975C02">
        <w:rPr>
          <w:rFonts w:cs="Arial"/>
          <w:sz w:val="20"/>
          <w:szCs w:val="20"/>
          <w:lang w:val="es-ES"/>
        </w:rPr>
        <w:t xml:space="preserve"> miembros del Tribunal de Jurado</w:t>
      </w:r>
      <w:r w:rsidR="00EB57B3" w:rsidRPr="00975C02">
        <w:rPr>
          <w:rFonts w:cs="Arial"/>
          <w:sz w:val="20"/>
          <w:szCs w:val="20"/>
          <w:lang w:val="es-ES"/>
        </w:rPr>
        <w:t>s</w:t>
      </w:r>
      <w:r w:rsidRPr="00975C02">
        <w:rPr>
          <w:rFonts w:cs="Arial"/>
          <w:sz w:val="20"/>
          <w:szCs w:val="20"/>
          <w:lang w:val="es-ES"/>
        </w:rPr>
        <w:t xml:space="preserve"> presentaron un escrito ante el Tribunal de Apelaciones de la Circunscripción Norte, Sala de lo Penal, Matagalpa, manifestando su rechazo a las denuncias de la parte acusadora sobre el cohecho y a la decisión </w:t>
      </w:r>
      <w:r w:rsidRPr="00975C02">
        <w:rPr>
          <w:sz w:val="20"/>
          <w:szCs w:val="20"/>
          <w:lang w:val="es-ES"/>
        </w:rPr>
        <w:t>de</w:t>
      </w:r>
      <w:r w:rsidRPr="00975C02">
        <w:rPr>
          <w:rFonts w:cs="Arial"/>
          <w:sz w:val="20"/>
          <w:szCs w:val="20"/>
          <w:lang w:val="es-ES"/>
        </w:rPr>
        <w:t>l Juz</w:t>
      </w:r>
      <w:r w:rsidR="00EB57B3" w:rsidRPr="00975C02">
        <w:rPr>
          <w:rFonts w:cs="Arial"/>
          <w:sz w:val="20"/>
          <w:szCs w:val="20"/>
          <w:lang w:val="es-ES"/>
        </w:rPr>
        <w:t>gado</w:t>
      </w:r>
      <w:r w:rsidRPr="00975C02">
        <w:rPr>
          <w:rFonts w:cs="Arial"/>
          <w:sz w:val="20"/>
          <w:szCs w:val="20"/>
          <w:lang w:val="es-ES"/>
        </w:rPr>
        <w:t xml:space="preserve"> de Distrito para lo Penal de Jinotega que declaró la nulidad del veredicto del jurado, por lo que solicitaron que “se [abra] una investigación y que se nos pruebe semejante calumnia y que se nos reciba nuestra declaración”</w:t>
      </w:r>
      <w:r w:rsidRPr="00975C02">
        <w:rPr>
          <w:rFonts w:cs="Arial"/>
          <w:sz w:val="20"/>
          <w:szCs w:val="20"/>
          <w:vertAlign w:val="superscript"/>
          <w:lang w:val="es-ES"/>
        </w:rPr>
        <w:footnoteReference w:id="132"/>
      </w:r>
      <w:r w:rsidRPr="00975C02">
        <w:rPr>
          <w:rFonts w:cs="Arial"/>
          <w:sz w:val="20"/>
          <w:szCs w:val="20"/>
          <w:lang w:val="es-ES"/>
        </w:rPr>
        <w:t xml:space="preserve">. El abogado que presentó dicho escrito se desempeñó como abogado defensor de H.R.A. </w:t>
      </w:r>
    </w:p>
    <w:p w14:paraId="39C2D6F1" w14:textId="77777777" w:rsidR="00B5625C" w:rsidRPr="00975C02" w:rsidRDefault="00B5625C" w:rsidP="00B5625C">
      <w:pPr>
        <w:spacing w:line="240" w:lineRule="auto"/>
        <w:rPr>
          <w:sz w:val="20"/>
          <w:szCs w:val="20"/>
          <w:lang w:val="es-ES"/>
        </w:rPr>
      </w:pPr>
    </w:p>
    <w:p w14:paraId="02BCBF9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29 de julio </w:t>
      </w:r>
      <w:r w:rsidRPr="00975C02">
        <w:rPr>
          <w:rFonts w:cs="Arial"/>
          <w:sz w:val="20"/>
          <w:szCs w:val="20"/>
          <w:lang w:val="es-ES"/>
        </w:rPr>
        <w:t>de</w:t>
      </w:r>
      <w:r w:rsidRPr="00975C02">
        <w:rPr>
          <w:sz w:val="20"/>
          <w:szCs w:val="20"/>
          <w:lang w:val="es-ES"/>
        </w:rPr>
        <w:t xml:space="preserve"> 2002 la señora V.P.C. solicitó al Fiscal General de la República que designara a un fiscal especializado para que tutelara y garantizara los derechos de su hija en el proceso</w:t>
      </w:r>
      <w:r w:rsidRPr="00975C02">
        <w:rPr>
          <w:sz w:val="20"/>
          <w:szCs w:val="20"/>
          <w:vertAlign w:val="superscript"/>
          <w:lang w:val="es-ES"/>
        </w:rPr>
        <w:footnoteReference w:id="133"/>
      </w:r>
      <w:r w:rsidRPr="00975C02">
        <w:rPr>
          <w:sz w:val="20"/>
          <w:szCs w:val="20"/>
          <w:lang w:val="es-ES"/>
        </w:rPr>
        <w:t>.</w:t>
      </w:r>
    </w:p>
    <w:p w14:paraId="1E0E7D6A" w14:textId="77777777" w:rsidR="00B5625C" w:rsidRPr="00975C02" w:rsidRDefault="00B5625C" w:rsidP="00B5625C">
      <w:pPr>
        <w:spacing w:line="240" w:lineRule="auto"/>
        <w:rPr>
          <w:sz w:val="20"/>
          <w:szCs w:val="20"/>
          <w:lang w:val="es-ES"/>
        </w:rPr>
      </w:pPr>
    </w:p>
    <w:p w14:paraId="2CEE0D86" w14:textId="69658B5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13 de enero de 2003 la Sala Penal del Tribunal de Apelaciones de la Circunscripción Norte de Matagalpa declaró la nulidad sustancial y absoluta del proceso a partir, inclusive, del auto dict</w:t>
      </w:r>
      <w:r w:rsidR="00EB57B3" w:rsidRPr="00975C02">
        <w:rPr>
          <w:sz w:val="20"/>
          <w:szCs w:val="20"/>
          <w:lang w:val="es-ES"/>
        </w:rPr>
        <w:t>ado</w:t>
      </w:r>
      <w:r w:rsidRPr="00975C02">
        <w:rPr>
          <w:sz w:val="20"/>
          <w:szCs w:val="20"/>
          <w:lang w:val="es-ES"/>
        </w:rPr>
        <w:t xml:space="preserve"> el 13 de mayo de 2002. Ello, con fundamento en que la “duda razonable” sólo podía operar en favor del imputado. Asimismo, en esa oportunidad, el Tribunal de alzada efectuó un llamado de </w:t>
      </w:r>
      <w:r w:rsidRPr="00975C02">
        <w:rPr>
          <w:sz w:val="20"/>
          <w:szCs w:val="20"/>
          <w:lang w:val="es-ES"/>
        </w:rPr>
        <w:lastRenderedPageBreak/>
        <w:t xml:space="preserve">atención a la </w:t>
      </w:r>
      <w:r w:rsidR="00EB57B3" w:rsidRPr="00975C02">
        <w:rPr>
          <w:sz w:val="20"/>
          <w:szCs w:val="20"/>
          <w:lang w:val="es-ES"/>
        </w:rPr>
        <w:t>j</w:t>
      </w:r>
      <w:r w:rsidRPr="00975C02">
        <w:rPr>
          <w:sz w:val="20"/>
          <w:szCs w:val="20"/>
          <w:lang w:val="es-ES"/>
        </w:rPr>
        <w:t>ueza por haber actuado en forma notoriamente anómala y entendió que como ya había emitido opinión, correspondía remitir las actuaciones al juez subrogante y disponer la inmediata libertad del acusado y que se abra a prueba el incidente de nulidad</w:t>
      </w:r>
      <w:r w:rsidRPr="00975C02">
        <w:rPr>
          <w:sz w:val="20"/>
          <w:szCs w:val="20"/>
          <w:vertAlign w:val="superscript"/>
          <w:lang w:val="es-ES"/>
        </w:rPr>
        <w:footnoteReference w:id="134"/>
      </w:r>
      <w:r w:rsidRPr="00975C02">
        <w:rPr>
          <w:sz w:val="20"/>
          <w:szCs w:val="20"/>
          <w:lang w:val="es-ES"/>
        </w:rPr>
        <w:t xml:space="preserve">. Cabe señalar que la citada Sala Penal dejó constancia que la fiscal auxiliar </w:t>
      </w:r>
      <w:r w:rsidR="002D499C" w:rsidRPr="00975C02">
        <w:rPr>
          <w:sz w:val="20"/>
          <w:szCs w:val="20"/>
          <w:lang w:val="es-ES"/>
        </w:rPr>
        <w:t xml:space="preserve">departamental </w:t>
      </w:r>
      <w:r w:rsidRPr="00975C02">
        <w:rPr>
          <w:sz w:val="20"/>
          <w:szCs w:val="20"/>
          <w:lang w:val="es-ES"/>
        </w:rPr>
        <w:t>“no se apersonó a la instancia”</w:t>
      </w:r>
      <w:r w:rsidRPr="00975C02">
        <w:rPr>
          <w:sz w:val="20"/>
          <w:szCs w:val="20"/>
          <w:vertAlign w:val="superscript"/>
          <w:lang w:val="es-ES"/>
        </w:rPr>
        <w:footnoteReference w:id="135"/>
      </w:r>
      <w:r w:rsidRPr="00975C02">
        <w:rPr>
          <w:sz w:val="20"/>
          <w:szCs w:val="20"/>
          <w:lang w:val="es-ES"/>
        </w:rPr>
        <w:t>.</w:t>
      </w:r>
    </w:p>
    <w:p w14:paraId="43899922" w14:textId="77777777" w:rsidR="00B5625C" w:rsidRPr="00975C02" w:rsidRDefault="00B5625C" w:rsidP="00B5625C">
      <w:pPr>
        <w:spacing w:line="240" w:lineRule="auto"/>
        <w:rPr>
          <w:sz w:val="20"/>
          <w:szCs w:val="20"/>
          <w:lang w:val="es-ES"/>
        </w:rPr>
      </w:pPr>
    </w:p>
    <w:p w14:paraId="10C483D2" w14:textId="52B9916E"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Luego de ello, se remitió la causa a la </w:t>
      </w:r>
      <w:r w:rsidR="00EB57B3" w:rsidRPr="00975C02">
        <w:rPr>
          <w:sz w:val="20"/>
          <w:szCs w:val="20"/>
          <w:lang w:val="es-ES"/>
        </w:rPr>
        <w:t>j</w:t>
      </w:r>
      <w:r w:rsidRPr="00975C02">
        <w:rPr>
          <w:sz w:val="20"/>
          <w:szCs w:val="20"/>
          <w:lang w:val="es-ES"/>
        </w:rPr>
        <w:t>ueza subrogante.</w:t>
      </w:r>
      <w:r w:rsidRPr="00975C02">
        <w:rPr>
          <w:sz w:val="16"/>
          <w:szCs w:val="16"/>
          <w:lang w:val="es-ES"/>
        </w:rPr>
        <w:t xml:space="preserve"> </w:t>
      </w:r>
      <w:r w:rsidRPr="00975C02">
        <w:rPr>
          <w:sz w:val="20"/>
          <w:szCs w:val="20"/>
          <w:lang w:val="es-ES"/>
        </w:rPr>
        <w:t>El 12 de mayo de 2003 el abogado acusador presentó un escrito a</w:t>
      </w:r>
      <w:r w:rsidR="00EB57B3" w:rsidRPr="00975C02">
        <w:rPr>
          <w:sz w:val="20"/>
          <w:szCs w:val="20"/>
          <w:lang w:val="es-ES"/>
        </w:rPr>
        <w:t>nte e</w:t>
      </w:r>
      <w:r w:rsidRPr="00975C02">
        <w:rPr>
          <w:sz w:val="20"/>
          <w:szCs w:val="20"/>
          <w:lang w:val="es-ES"/>
        </w:rPr>
        <w:t>l Juez Suplente de Distrito de lo Civil y del Crimen, por la cual solicitó dictar auto a la mayor brevedad posible para pronunciarse</w:t>
      </w:r>
      <w:r w:rsidRPr="00975C02">
        <w:rPr>
          <w:sz w:val="20"/>
          <w:szCs w:val="20"/>
          <w:vertAlign w:val="superscript"/>
          <w:lang w:val="es-ES"/>
        </w:rPr>
        <w:footnoteReference w:id="136"/>
      </w:r>
      <w:r w:rsidRPr="00975C02">
        <w:rPr>
          <w:sz w:val="20"/>
          <w:szCs w:val="20"/>
          <w:lang w:val="es-ES"/>
        </w:rPr>
        <w:t xml:space="preserve">. El 19 de mayo de 2003 el abogado de V.P.C. solicitó que la </w:t>
      </w:r>
      <w:r w:rsidR="00EB57B3" w:rsidRPr="00975C02">
        <w:rPr>
          <w:sz w:val="20"/>
          <w:szCs w:val="20"/>
          <w:lang w:val="es-ES"/>
        </w:rPr>
        <w:t>j</w:t>
      </w:r>
      <w:r w:rsidRPr="00975C02">
        <w:rPr>
          <w:sz w:val="20"/>
          <w:szCs w:val="20"/>
          <w:lang w:val="es-ES"/>
        </w:rPr>
        <w:t>ueza se excusara de seguir conociendo la causa en razón de “las múltiples ocupaciones” y de su estado de salud</w:t>
      </w:r>
      <w:r w:rsidRPr="00975C02">
        <w:rPr>
          <w:sz w:val="20"/>
          <w:szCs w:val="20"/>
          <w:vertAlign w:val="superscript"/>
          <w:lang w:val="es-ES"/>
        </w:rPr>
        <w:footnoteReference w:id="137"/>
      </w:r>
      <w:r w:rsidRPr="00975C02">
        <w:rPr>
          <w:sz w:val="20"/>
          <w:szCs w:val="20"/>
          <w:lang w:val="es-ES"/>
        </w:rPr>
        <w:t>, la cual efectivamente se excusó y pasó el expediente al Juez Suplente de Distrito Penal, quien asumió jurisdicción</w:t>
      </w:r>
      <w:r w:rsidRPr="00975C02">
        <w:rPr>
          <w:sz w:val="20"/>
          <w:szCs w:val="20"/>
          <w:vertAlign w:val="superscript"/>
          <w:lang w:val="es-ES"/>
        </w:rPr>
        <w:footnoteReference w:id="138"/>
      </w:r>
      <w:r w:rsidRPr="00975C02">
        <w:rPr>
          <w:sz w:val="20"/>
          <w:szCs w:val="20"/>
          <w:lang w:val="es-ES"/>
        </w:rPr>
        <w:t xml:space="preserve">. El 11 de julio de 2003 el abogado defensor solicitó al </w:t>
      </w:r>
      <w:r w:rsidR="00EB57B3" w:rsidRPr="00975C02">
        <w:rPr>
          <w:sz w:val="20"/>
          <w:szCs w:val="20"/>
          <w:lang w:val="es-ES"/>
        </w:rPr>
        <w:t xml:space="preserve">juez suplente </w:t>
      </w:r>
      <w:r w:rsidRPr="00975C02">
        <w:rPr>
          <w:sz w:val="20"/>
          <w:szCs w:val="20"/>
          <w:lang w:val="es-ES"/>
        </w:rPr>
        <w:t>que se excusara de conocer el proceso, quien ya se había excusado en oportunidad anterior (</w:t>
      </w:r>
      <w:r w:rsidRPr="00975C02">
        <w:rPr>
          <w:i/>
          <w:sz w:val="20"/>
          <w:szCs w:val="20"/>
          <w:lang w:val="es-ES"/>
        </w:rPr>
        <w:t>supra</w:t>
      </w:r>
      <w:r w:rsidRPr="00975C02">
        <w:rPr>
          <w:sz w:val="20"/>
          <w:szCs w:val="20"/>
          <w:lang w:val="es-ES"/>
        </w:rPr>
        <w:t xml:space="preserve"> párr. </w:t>
      </w:r>
      <w:r w:rsidR="000C7392" w:rsidRPr="00975C02">
        <w:rPr>
          <w:sz w:val="20"/>
          <w:szCs w:val="20"/>
          <w:lang w:val="es-ES"/>
        </w:rPr>
        <w:t>105</w:t>
      </w:r>
      <w:r w:rsidRPr="00975C02">
        <w:rPr>
          <w:sz w:val="20"/>
          <w:szCs w:val="20"/>
          <w:lang w:val="es-ES"/>
        </w:rPr>
        <w:t>)</w:t>
      </w:r>
      <w:r w:rsidRPr="00975C02">
        <w:rPr>
          <w:sz w:val="20"/>
          <w:szCs w:val="20"/>
          <w:vertAlign w:val="superscript"/>
          <w:lang w:val="es-ES"/>
        </w:rPr>
        <w:footnoteReference w:id="139"/>
      </w:r>
      <w:r w:rsidRPr="00975C02">
        <w:rPr>
          <w:sz w:val="20"/>
          <w:szCs w:val="20"/>
          <w:lang w:val="es-ES"/>
        </w:rPr>
        <w:t>. El 12 de agosto de 2003 el Juez suplente no hizo ha lugar a la solicitud de excusación presentada</w:t>
      </w:r>
      <w:r w:rsidRPr="00975C02">
        <w:rPr>
          <w:sz w:val="20"/>
          <w:szCs w:val="20"/>
          <w:vertAlign w:val="superscript"/>
          <w:lang w:val="es-ES"/>
        </w:rPr>
        <w:footnoteReference w:id="140"/>
      </w:r>
      <w:r w:rsidRPr="00975C02">
        <w:rPr>
          <w:sz w:val="20"/>
          <w:szCs w:val="20"/>
          <w:lang w:val="es-ES"/>
        </w:rPr>
        <w:t>.</w:t>
      </w:r>
    </w:p>
    <w:p w14:paraId="5E01DA4A" w14:textId="77777777" w:rsidR="00B5625C" w:rsidRPr="00975C02" w:rsidRDefault="00B5625C" w:rsidP="00B5625C">
      <w:pPr>
        <w:tabs>
          <w:tab w:val="left" w:pos="567"/>
        </w:tabs>
        <w:spacing w:line="240" w:lineRule="auto"/>
        <w:rPr>
          <w:sz w:val="20"/>
          <w:szCs w:val="20"/>
          <w:highlight w:val="yellow"/>
          <w:lang w:val="es-ES"/>
        </w:rPr>
      </w:pPr>
    </w:p>
    <w:p w14:paraId="08204245" w14:textId="04314F9D"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16 de octubre</w:t>
      </w:r>
      <w:r w:rsidRPr="00975C02">
        <w:rPr>
          <w:sz w:val="20"/>
          <w:szCs w:val="20"/>
          <w:vertAlign w:val="superscript"/>
          <w:lang w:val="es-ES"/>
        </w:rPr>
        <w:footnoteReference w:id="141"/>
      </w:r>
      <w:r w:rsidRPr="00975C02">
        <w:rPr>
          <w:sz w:val="20"/>
          <w:szCs w:val="20"/>
          <w:lang w:val="es-ES"/>
        </w:rPr>
        <w:t xml:space="preserve"> y 26 de noviembre de 2003</w:t>
      </w:r>
      <w:r w:rsidRPr="00975C02">
        <w:rPr>
          <w:sz w:val="20"/>
          <w:szCs w:val="20"/>
          <w:vertAlign w:val="superscript"/>
          <w:lang w:val="es-ES"/>
        </w:rPr>
        <w:footnoteReference w:id="142"/>
      </w:r>
      <w:r w:rsidRPr="00975C02">
        <w:rPr>
          <w:sz w:val="20"/>
          <w:szCs w:val="20"/>
          <w:lang w:val="es-ES"/>
        </w:rPr>
        <w:t xml:space="preserve"> el abogado de V.P.C. remitió sendos escritos al</w:t>
      </w:r>
      <w:r w:rsidR="00EB57B3" w:rsidRPr="00975C02">
        <w:rPr>
          <w:sz w:val="20"/>
          <w:szCs w:val="20"/>
          <w:lang w:val="es-ES"/>
        </w:rPr>
        <w:t xml:space="preserve"> juez suplente</w:t>
      </w:r>
      <w:r w:rsidRPr="00975C02">
        <w:rPr>
          <w:sz w:val="20"/>
          <w:szCs w:val="20"/>
          <w:lang w:val="es-ES"/>
        </w:rPr>
        <w:t xml:space="preserve"> a fin de que asumiera jurisdicción y así evitar la “retardación de justicia en este proceso”, de modo tal que se tramitara el recurso de nulidad del veredicto.</w:t>
      </w:r>
    </w:p>
    <w:p w14:paraId="589B0E6E" w14:textId="77777777" w:rsidR="00B5625C" w:rsidRPr="00975C02" w:rsidRDefault="00B5625C" w:rsidP="00B5625C">
      <w:pPr>
        <w:tabs>
          <w:tab w:val="left" w:pos="567"/>
        </w:tabs>
        <w:spacing w:line="240" w:lineRule="auto"/>
        <w:rPr>
          <w:sz w:val="20"/>
          <w:szCs w:val="20"/>
          <w:lang w:val="es-ES"/>
        </w:rPr>
      </w:pPr>
    </w:p>
    <w:p w14:paraId="4F858919" w14:textId="4E2957D4"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No obstante, el 21 de enero de 2004 se remitieron las diligencias al Juzgado de Distrito Civil y Penal para su conocimiento. El 23 de febrero de 2004 ese </w:t>
      </w:r>
      <w:r w:rsidR="005F5242" w:rsidRPr="00975C02">
        <w:rPr>
          <w:sz w:val="20"/>
          <w:szCs w:val="20"/>
          <w:lang w:val="es-ES"/>
        </w:rPr>
        <w:t>j</w:t>
      </w:r>
      <w:r w:rsidRPr="00975C02">
        <w:rPr>
          <w:sz w:val="20"/>
          <w:szCs w:val="20"/>
          <w:lang w:val="es-ES"/>
        </w:rPr>
        <w:t xml:space="preserve">uez se excusó “sin ningún motivo” de conocer la causa y la remitió al Juzgado </w:t>
      </w:r>
      <w:r w:rsidR="00EB57B3" w:rsidRPr="00975C02">
        <w:rPr>
          <w:sz w:val="20"/>
          <w:szCs w:val="20"/>
          <w:lang w:val="es-ES"/>
        </w:rPr>
        <w:t>S</w:t>
      </w:r>
      <w:r w:rsidRPr="00975C02">
        <w:rPr>
          <w:sz w:val="20"/>
          <w:szCs w:val="20"/>
          <w:lang w:val="es-ES"/>
        </w:rPr>
        <w:t>uplente de Distrito Civil. Este último también se excusó de intervenir el 1 de marzo de 2004 y derivó las actuaciones al Juzgado de Distrito Penal de Jinotega</w:t>
      </w:r>
      <w:r w:rsidRPr="00975C02">
        <w:rPr>
          <w:sz w:val="20"/>
          <w:szCs w:val="20"/>
          <w:vertAlign w:val="superscript"/>
          <w:lang w:val="es-ES"/>
        </w:rPr>
        <w:footnoteReference w:id="143"/>
      </w:r>
      <w:r w:rsidR="00622073" w:rsidRPr="00975C02">
        <w:rPr>
          <w:sz w:val="20"/>
          <w:szCs w:val="20"/>
          <w:lang w:val="es-ES"/>
        </w:rPr>
        <w:t>.</w:t>
      </w:r>
    </w:p>
    <w:p w14:paraId="50E95694" w14:textId="77777777" w:rsidR="00B5625C" w:rsidRPr="00975C02" w:rsidRDefault="00B5625C" w:rsidP="00B5625C">
      <w:pPr>
        <w:tabs>
          <w:tab w:val="left" w:pos="567"/>
        </w:tabs>
        <w:spacing w:line="240" w:lineRule="auto"/>
        <w:rPr>
          <w:sz w:val="20"/>
          <w:szCs w:val="20"/>
          <w:lang w:val="es-ES"/>
        </w:rPr>
      </w:pPr>
    </w:p>
    <w:p w14:paraId="22AB4515" w14:textId="235BE385"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23 de septiembre de 2004 la señora V.P.C. presentó una solicitud a la </w:t>
      </w:r>
      <w:r w:rsidR="00EB57B3" w:rsidRPr="00975C02">
        <w:rPr>
          <w:sz w:val="20"/>
          <w:szCs w:val="20"/>
          <w:lang w:val="es-ES"/>
        </w:rPr>
        <w:t>p</w:t>
      </w:r>
      <w:r w:rsidRPr="00975C02">
        <w:rPr>
          <w:sz w:val="20"/>
          <w:szCs w:val="20"/>
          <w:lang w:val="es-ES"/>
        </w:rPr>
        <w:t>residenta de la Corte Suprema de Justicia cuestionando la demora en el proceso y solicitando que se agilizara el caso</w:t>
      </w:r>
      <w:r w:rsidRPr="00975C02">
        <w:rPr>
          <w:sz w:val="20"/>
          <w:szCs w:val="20"/>
          <w:vertAlign w:val="superscript"/>
          <w:lang w:val="es-ES"/>
        </w:rPr>
        <w:footnoteReference w:id="144"/>
      </w:r>
      <w:r w:rsidRPr="00975C02">
        <w:rPr>
          <w:sz w:val="20"/>
          <w:szCs w:val="20"/>
          <w:lang w:val="es-ES"/>
        </w:rPr>
        <w:t xml:space="preserve">. El 4 de octubre de 2004 la señora V.P.C. presentó otra solicitud ante la Corte Suprema de </w:t>
      </w:r>
      <w:r w:rsidRPr="00975C02">
        <w:rPr>
          <w:sz w:val="20"/>
          <w:szCs w:val="20"/>
          <w:lang w:val="es-ES"/>
        </w:rPr>
        <w:lastRenderedPageBreak/>
        <w:t>Justicia por la retardación de justicia</w:t>
      </w:r>
      <w:r w:rsidRPr="00975C02">
        <w:rPr>
          <w:sz w:val="20"/>
          <w:szCs w:val="20"/>
          <w:vertAlign w:val="superscript"/>
          <w:lang w:val="es-ES"/>
        </w:rPr>
        <w:footnoteReference w:id="145"/>
      </w:r>
      <w:r w:rsidRPr="00975C02">
        <w:rPr>
          <w:sz w:val="20"/>
          <w:szCs w:val="20"/>
          <w:lang w:val="es-ES"/>
        </w:rPr>
        <w:t xml:space="preserve">. El 9 y 30 de noviembre de 2004 la señora V.P.C. presentó escritos ante el </w:t>
      </w:r>
      <w:r w:rsidR="00EB57B3" w:rsidRPr="00975C02">
        <w:rPr>
          <w:sz w:val="20"/>
          <w:szCs w:val="20"/>
          <w:lang w:val="es-ES"/>
        </w:rPr>
        <w:t xml:space="preserve">Juzgado de Distrito </w:t>
      </w:r>
      <w:r w:rsidR="0036426D" w:rsidRPr="00975C02">
        <w:rPr>
          <w:sz w:val="20"/>
          <w:szCs w:val="20"/>
          <w:lang w:val="es-ES"/>
        </w:rPr>
        <w:t xml:space="preserve">del Crimen </w:t>
      </w:r>
      <w:r w:rsidRPr="00975C02">
        <w:rPr>
          <w:sz w:val="20"/>
          <w:szCs w:val="20"/>
          <w:lang w:val="es-ES"/>
        </w:rPr>
        <w:t>en el cual refirió que habían pasado 23 meses desde que el Tribunal de Apelaciones resolvió sin que se proveyera, por lo que existía un “estado de retardación de justicia”</w:t>
      </w:r>
      <w:r w:rsidRPr="00975C02">
        <w:rPr>
          <w:sz w:val="20"/>
          <w:szCs w:val="20"/>
          <w:vertAlign w:val="superscript"/>
          <w:lang w:val="es-ES"/>
        </w:rPr>
        <w:footnoteReference w:id="146"/>
      </w:r>
      <w:r w:rsidRPr="00975C02">
        <w:rPr>
          <w:sz w:val="20"/>
          <w:szCs w:val="20"/>
          <w:lang w:val="es-ES"/>
        </w:rPr>
        <w:t>.</w:t>
      </w:r>
    </w:p>
    <w:p w14:paraId="1F85FDE3" w14:textId="77777777" w:rsidR="00B5625C" w:rsidRPr="00975C02" w:rsidRDefault="00B5625C" w:rsidP="00B5625C">
      <w:pPr>
        <w:tabs>
          <w:tab w:val="left" w:pos="567"/>
        </w:tabs>
        <w:spacing w:line="240" w:lineRule="auto"/>
        <w:rPr>
          <w:sz w:val="20"/>
          <w:szCs w:val="20"/>
          <w:lang w:val="es-ES"/>
        </w:rPr>
      </w:pPr>
    </w:p>
    <w:p w14:paraId="7269BD5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Finalmente, el 13 de enero de 2005 el Juzgado de Distrito Penal de Juicio asumió jurisdicción y competencia para tramitar la causa y ordenó la apertura a pruebas del incidente de nulidad del veredicto</w:t>
      </w:r>
      <w:r w:rsidRPr="00975C02">
        <w:rPr>
          <w:sz w:val="20"/>
          <w:szCs w:val="20"/>
          <w:vertAlign w:val="superscript"/>
          <w:lang w:val="es-ES"/>
        </w:rPr>
        <w:footnoteReference w:id="147"/>
      </w:r>
      <w:r w:rsidRPr="00975C02">
        <w:rPr>
          <w:sz w:val="20"/>
          <w:szCs w:val="20"/>
          <w:lang w:val="es-ES"/>
        </w:rPr>
        <w:t>.</w:t>
      </w:r>
    </w:p>
    <w:p w14:paraId="5D917E35" w14:textId="77777777" w:rsidR="00B5625C" w:rsidRPr="00975C02" w:rsidRDefault="00B5625C" w:rsidP="00B5625C">
      <w:pPr>
        <w:spacing w:line="240" w:lineRule="auto"/>
        <w:rPr>
          <w:sz w:val="20"/>
          <w:szCs w:val="20"/>
          <w:lang w:val="es-ES"/>
        </w:rPr>
      </w:pPr>
    </w:p>
    <w:p w14:paraId="31A39BBC"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En ese marco, el 4 de febrero de 2005 se realizó una inspección ocular. En dicha diligencia se verificó que “[…] se procede a revisar el expediente Judicial por el señor Juez y las partes, y se logra corroborar que no existe ningún documento manuscrito color rosado […]”</w:t>
      </w:r>
      <w:r w:rsidRPr="00975C02">
        <w:rPr>
          <w:sz w:val="20"/>
          <w:szCs w:val="20"/>
          <w:vertAlign w:val="superscript"/>
          <w:lang w:val="es-ES"/>
        </w:rPr>
        <w:footnoteReference w:id="148"/>
      </w:r>
      <w:r w:rsidRPr="00975C02">
        <w:rPr>
          <w:sz w:val="20"/>
          <w:szCs w:val="20"/>
          <w:lang w:val="es-ES"/>
        </w:rPr>
        <w:t>.</w:t>
      </w:r>
    </w:p>
    <w:p w14:paraId="6C9A4506" w14:textId="77777777" w:rsidR="00B5625C" w:rsidRPr="00975C02" w:rsidRDefault="00B5625C" w:rsidP="00B5625C">
      <w:pPr>
        <w:spacing w:line="240" w:lineRule="auto"/>
        <w:rPr>
          <w:sz w:val="20"/>
          <w:szCs w:val="20"/>
          <w:lang w:val="es-ES"/>
        </w:rPr>
      </w:pPr>
    </w:p>
    <w:p w14:paraId="7556ED30"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Por otra parte, se realizó una inspección ocular en video el 9 de febrero de 2005. En el acta de dicha diligencia se dejó constancia que:</w:t>
      </w:r>
    </w:p>
    <w:p w14:paraId="22D64DF0" w14:textId="77777777" w:rsidR="00B5625C" w:rsidRPr="00975C02" w:rsidRDefault="00B5625C" w:rsidP="00B5625C">
      <w:pPr>
        <w:spacing w:line="240" w:lineRule="auto"/>
        <w:rPr>
          <w:sz w:val="20"/>
          <w:szCs w:val="20"/>
          <w:lang w:val="es-ES"/>
        </w:rPr>
      </w:pPr>
    </w:p>
    <w:p w14:paraId="1278C1A3" w14:textId="5138365E" w:rsidR="00B5625C" w:rsidRPr="00975C02" w:rsidRDefault="00B5625C" w:rsidP="00B5625C">
      <w:pPr>
        <w:spacing w:line="240" w:lineRule="auto"/>
        <w:ind w:left="567" w:right="567"/>
        <w:rPr>
          <w:sz w:val="16"/>
          <w:szCs w:val="16"/>
          <w:lang w:val="es-ES"/>
        </w:rPr>
      </w:pPr>
      <w:r w:rsidRPr="00975C02">
        <w:rPr>
          <w:sz w:val="16"/>
          <w:szCs w:val="16"/>
          <w:lang w:val="es-ES"/>
        </w:rPr>
        <w:t xml:space="preserve">[…] el [abogado defensor] tomó una bolsa de color plateado y se </w:t>
      </w:r>
      <w:r w:rsidR="009B198A" w:rsidRPr="00975C02">
        <w:rPr>
          <w:sz w:val="16"/>
          <w:szCs w:val="16"/>
          <w:lang w:val="es-ES"/>
        </w:rPr>
        <w:t>[</w:t>
      </w:r>
      <w:r w:rsidRPr="00975C02">
        <w:rPr>
          <w:sz w:val="16"/>
          <w:szCs w:val="16"/>
          <w:lang w:val="es-ES"/>
        </w:rPr>
        <w:t>la</w:t>
      </w:r>
      <w:r w:rsidR="009B198A" w:rsidRPr="00975C02">
        <w:rPr>
          <w:sz w:val="16"/>
          <w:szCs w:val="16"/>
          <w:lang w:val="es-ES"/>
        </w:rPr>
        <w:t>]</w:t>
      </w:r>
      <w:r w:rsidRPr="00975C02">
        <w:rPr>
          <w:sz w:val="16"/>
          <w:szCs w:val="16"/>
          <w:lang w:val="es-ES"/>
        </w:rPr>
        <w:t xml:space="preserve"> entregó a presencia del resto de miembros del Jurado y de las partes presentes, la Juez de Derecho la puso a su lado izquierdo, abriéndola a vista del [secretario].</w:t>
      </w:r>
    </w:p>
    <w:p w14:paraId="3DA94EB3" w14:textId="77777777" w:rsidR="00B5625C" w:rsidRPr="00975C02" w:rsidRDefault="00B5625C" w:rsidP="00B5625C">
      <w:pPr>
        <w:spacing w:line="240" w:lineRule="auto"/>
        <w:ind w:left="567" w:right="567"/>
        <w:rPr>
          <w:sz w:val="16"/>
          <w:szCs w:val="16"/>
          <w:lang w:val="es-ES"/>
        </w:rPr>
      </w:pPr>
    </w:p>
    <w:p w14:paraId="233D039E" w14:textId="779F6C68" w:rsidR="00B5625C" w:rsidRPr="00975C02" w:rsidRDefault="00B5625C" w:rsidP="00B5625C">
      <w:pPr>
        <w:spacing w:line="240" w:lineRule="auto"/>
        <w:ind w:left="567" w:right="567"/>
        <w:rPr>
          <w:sz w:val="20"/>
          <w:szCs w:val="20"/>
          <w:lang w:val="es-ES"/>
        </w:rPr>
      </w:pPr>
      <w:r w:rsidRPr="00975C02">
        <w:rPr>
          <w:sz w:val="16"/>
          <w:szCs w:val="16"/>
          <w:lang w:val="es-ES"/>
        </w:rPr>
        <w:t xml:space="preserve">[…] se observa que el abogado defensor </w:t>
      </w:r>
      <w:r w:rsidR="005F5242" w:rsidRPr="00975C02">
        <w:rPr>
          <w:sz w:val="16"/>
          <w:szCs w:val="16"/>
          <w:lang w:val="es-ES"/>
        </w:rPr>
        <w:t xml:space="preserve">[…] </w:t>
      </w:r>
      <w:r w:rsidRPr="00975C02">
        <w:rPr>
          <w:sz w:val="16"/>
          <w:szCs w:val="16"/>
          <w:lang w:val="es-ES"/>
        </w:rPr>
        <w:t xml:space="preserve">una de las hojas que tiene en su mano una de ellas es de color rosada, se retrocede el vídeo para constatar y se logra verificar que efectivamente es rosada, al efecto manifiesta el </w:t>
      </w:r>
      <w:r w:rsidR="005F5242" w:rsidRPr="00975C02">
        <w:rPr>
          <w:sz w:val="16"/>
          <w:szCs w:val="16"/>
          <w:lang w:val="es-ES"/>
        </w:rPr>
        <w:t>[abogado defensor]</w:t>
      </w:r>
      <w:r w:rsidRPr="00975C02">
        <w:rPr>
          <w:sz w:val="16"/>
          <w:szCs w:val="16"/>
          <w:lang w:val="es-ES"/>
        </w:rPr>
        <w:t xml:space="preserve"> y dice: Que el defensor de oficio manifestó que su defendido pretende que vosotros recibáis la presente carta y la enseña y es de color rosado, se la entrega a la Jueza de Derecho y le dice: QUE LA LEA EN SU SESION PRIVADA, en este acto el </w:t>
      </w:r>
      <w:r w:rsidR="005F5242" w:rsidRPr="00975C02">
        <w:rPr>
          <w:sz w:val="16"/>
          <w:szCs w:val="16"/>
          <w:lang w:val="es-ES"/>
        </w:rPr>
        <w:t>[abogado defensor]</w:t>
      </w:r>
      <w:r w:rsidRPr="00975C02">
        <w:rPr>
          <w:sz w:val="16"/>
          <w:szCs w:val="16"/>
          <w:lang w:val="es-ES"/>
        </w:rPr>
        <w:t xml:space="preserve"> dice que quiere que quede sentado en acta que la carta fue entrada de manera abierta sin sobre y se le extendió a los miembros del Jurado en presencia de todos; al efecto dice el </w:t>
      </w:r>
      <w:r w:rsidR="005F5242" w:rsidRPr="00975C02">
        <w:rPr>
          <w:sz w:val="16"/>
          <w:szCs w:val="16"/>
          <w:lang w:val="es-ES"/>
        </w:rPr>
        <w:t>[abogado de la parte acusadora]</w:t>
      </w:r>
      <w:r w:rsidRPr="00975C02">
        <w:rPr>
          <w:sz w:val="16"/>
          <w:szCs w:val="16"/>
          <w:lang w:val="es-ES"/>
        </w:rPr>
        <w:t xml:space="preserve">, pero la misma carta no fue leída públicamente, porque ya escuchamos que la recomendación </w:t>
      </w:r>
      <w:r w:rsidR="009B198A" w:rsidRPr="00975C02">
        <w:rPr>
          <w:sz w:val="16"/>
          <w:szCs w:val="16"/>
          <w:lang w:val="es-ES"/>
        </w:rPr>
        <w:t xml:space="preserve">era </w:t>
      </w:r>
      <w:r w:rsidRPr="00975C02">
        <w:rPr>
          <w:sz w:val="16"/>
          <w:szCs w:val="16"/>
          <w:lang w:val="es-ES"/>
        </w:rPr>
        <w:t>leerla en sesión privada; se observa que son dos hojas de papel rosado y la tiene la presidenta del jurado[…]</w:t>
      </w:r>
      <w:r w:rsidRPr="00975C02">
        <w:rPr>
          <w:sz w:val="16"/>
          <w:szCs w:val="16"/>
          <w:vertAlign w:val="superscript"/>
          <w:lang w:val="es-ES"/>
        </w:rPr>
        <w:footnoteReference w:id="149"/>
      </w:r>
      <w:r w:rsidRPr="00975C02">
        <w:rPr>
          <w:sz w:val="16"/>
          <w:szCs w:val="16"/>
          <w:lang w:val="es-ES"/>
        </w:rPr>
        <w:t>.</w:t>
      </w:r>
    </w:p>
    <w:p w14:paraId="76C08F06" w14:textId="77777777" w:rsidR="00B5625C" w:rsidRPr="00975C02" w:rsidRDefault="00B5625C" w:rsidP="00B5625C">
      <w:pPr>
        <w:spacing w:line="240" w:lineRule="auto"/>
        <w:rPr>
          <w:sz w:val="20"/>
          <w:szCs w:val="20"/>
          <w:lang w:val="es-ES"/>
        </w:rPr>
      </w:pPr>
    </w:p>
    <w:p w14:paraId="543BD616" w14:textId="278E6E1F"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9 de agosto de 2005 el Juez de Distrito para lo Penal de Juicio de Jinotega dictó una nueva sentencia en la que declaró no ha lugar al incidente de nulidad sustancial del Veredicto N° 33 del Tribunal de Jurado</w:t>
      </w:r>
      <w:r w:rsidR="005F5242" w:rsidRPr="00975C02">
        <w:rPr>
          <w:sz w:val="20"/>
          <w:szCs w:val="20"/>
          <w:lang w:val="es-ES"/>
        </w:rPr>
        <w:t>s</w:t>
      </w:r>
      <w:r w:rsidRPr="00975C02">
        <w:rPr>
          <w:sz w:val="20"/>
          <w:szCs w:val="20"/>
          <w:lang w:val="es-ES"/>
        </w:rPr>
        <w:t xml:space="preserve"> y, en consecuencia, que el mismo era firme y con todos sus efectos jurídicos en cuanto declaró la inocencia del señor H.R.A. </w:t>
      </w:r>
      <w:r w:rsidR="009B198A" w:rsidRPr="00975C02">
        <w:rPr>
          <w:sz w:val="20"/>
          <w:szCs w:val="20"/>
          <w:lang w:val="es-ES"/>
        </w:rPr>
        <w:t>C</w:t>
      </w:r>
      <w:r w:rsidRPr="00975C02">
        <w:rPr>
          <w:sz w:val="20"/>
          <w:szCs w:val="20"/>
          <w:lang w:val="es-ES"/>
        </w:rPr>
        <w:t xml:space="preserve">onsideró, en relación con el alegato de cohecho de los jurados previsto en el artículo 444 inciso 8, que ello había sido resuelto y descartado mediante la Sentencia N° 001 de la Sala de lo Penal del Tribunal de Apelaciones de la Circunscripción Norte de Matagalpa, de 13 de enero de 2003, según la cual dicha causal no fue interpuesta oportunamente ni probada de modo explícito. Además, concluyó que se cumplieron los requisitos legales en la conformación del jurado y en la emisión de la sentencia de primera instancia. Asimismo, sostuvo que no existió acción u omisión alguna que diera lugar a la nulidad del veredicto. Finalmente, el juzgado valoró un </w:t>
      </w:r>
      <w:r w:rsidR="001701D3" w:rsidRPr="00975C02">
        <w:rPr>
          <w:sz w:val="20"/>
          <w:szCs w:val="20"/>
          <w:lang w:val="es-ES"/>
        </w:rPr>
        <w:t>pronunciamiento</w:t>
      </w:r>
      <w:r w:rsidRPr="00975C02">
        <w:rPr>
          <w:sz w:val="20"/>
          <w:szCs w:val="20"/>
          <w:lang w:val="es-ES"/>
        </w:rPr>
        <w:t xml:space="preserve"> del Procurador Especial de la Niñez y </w:t>
      </w:r>
      <w:r w:rsidRPr="00975C02">
        <w:rPr>
          <w:sz w:val="20"/>
          <w:szCs w:val="20"/>
          <w:lang w:val="es-ES"/>
        </w:rPr>
        <w:lastRenderedPageBreak/>
        <w:t>Adolescencia en el que se habría indicado que no se presentaron anomalías en el proceso</w:t>
      </w:r>
      <w:r w:rsidRPr="00975C02">
        <w:rPr>
          <w:sz w:val="20"/>
          <w:szCs w:val="20"/>
          <w:vertAlign w:val="superscript"/>
          <w:lang w:val="es-ES"/>
        </w:rPr>
        <w:footnoteReference w:id="150"/>
      </w:r>
      <w:r w:rsidRPr="00975C02">
        <w:rPr>
          <w:sz w:val="20"/>
          <w:szCs w:val="20"/>
          <w:lang w:val="es-ES"/>
        </w:rPr>
        <w:t>.</w:t>
      </w:r>
    </w:p>
    <w:p w14:paraId="1690DC0B" w14:textId="77777777" w:rsidR="00B5625C" w:rsidRPr="00975C02" w:rsidRDefault="00B5625C" w:rsidP="00B5625C">
      <w:pPr>
        <w:spacing w:line="240" w:lineRule="auto"/>
        <w:rPr>
          <w:sz w:val="20"/>
          <w:szCs w:val="20"/>
          <w:lang w:val="es-ES"/>
        </w:rPr>
      </w:pPr>
    </w:p>
    <w:p w14:paraId="4E564180" w14:textId="094D67EB"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25 de agosto de 2005 el </w:t>
      </w:r>
      <w:r w:rsidR="002D499C" w:rsidRPr="00975C02">
        <w:rPr>
          <w:sz w:val="20"/>
          <w:szCs w:val="20"/>
          <w:lang w:val="es-ES"/>
        </w:rPr>
        <w:t>fiscal auxiliar</w:t>
      </w:r>
      <w:r w:rsidRPr="00975C02">
        <w:rPr>
          <w:sz w:val="20"/>
          <w:szCs w:val="20"/>
          <w:lang w:val="es-ES"/>
        </w:rPr>
        <w:t xml:space="preserve"> del Ministerio Público apeló la sentencia</w:t>
      </w:r>
      <w:r w:rsidRPr="00975C02">
        <w:rPr>
          <w:sz w:val="20"/>
          <w:szCs w:val="20"/>
          <w:vertAlign w:val="superscript"/>
          <w:lang w:val="es-ES"/>
        </w:rPr>
        <w:footnoteReference w:id="151"/>
      </w:r>
      <w:r w:rsidRPr="00975C02">
        <w:rPr>
          <w:sz w:val="20"/>
          <w:szCs w:val="20"/>
          <w:lang w:val="es-ES"/>
        </w:rPr>
        <w:t>. Lo mismo hizo la representación legal de la señora V.P.C.</w:t>
      </w:r>
      <w:r w:rsidRPr="00975C02">
        <w:rPr>
          <w:sz w:val="20"/>
          <w:szCs w:val="20"/>
          <w:vertAlign w:val="superscript"/>
          <w:lang w:val="es-ES"/>
        </w:rPr>
        <w:footnoteReference w:id="152"/>
      </w:r>
      <w:r w:rsidRPr="00975C02">
        <w:rPr>
          <w:sz w:val="20"/>
          <w:szCs w:val="20"/>
          <w:lang w:val="es-ES"/>
        </w:rPr>
        <w:t>.</w:t>
      </w:r>
    </w:p>
    <w:p w14:paraId="5E1BAB7B" w14:textId="77777777" w:rsidR="00B5625C" w:rsidRPr="00975C02" w:rsidRDefault="00B5625C" w:rsidP="00B5625C">
      <w:pPr>
        <w:spacing w:line="240" w:lineRule="auto"/>
        <w:rPr>
          <w:sz w:val="20"/>
          <w:szCs w:val="20"/>
          <w:lang w:val="es-ES"/>
        </w:rPr>
      </w:pPr>
    </w:p>
    <w:p w14:paraId="668E81AC" w14:textId="66725CDC"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24 de enero de 2007 la </w:t>
      </w:r>
      <w:r w:rsidR="00EB57B3" w:rsidRPr="00975C02">
        <w:rPr>
          <w:sz w:val="20"/>
          <w:szCs w:val="20"/>
          <w:lang w:val="es-ES"/>
        </w:rPr>
        <w:t>s</w:t>
      </w:r>
      <w:r w:rsidRPr="00975C02">
        <w:rPr>
          <w:sz w:val="20"/>
          <w:szCs w:val="20"/>
          <w:lang w:val="es-ES"/>
        </w:rPr>
        <w:t xml:space="preserve">ecretaría de la Sala Penal de Apelaciones Circunscripción Norte dejó constancia que el proceso se encontraba en estado de fallo y, además, que mediante auto del 3 de noviembre de 2005 se corrió traslado al </w:t>
      </w:r>
      <w:r w:rsidR="002D499C" w:rsidRPr="00975C02">
        <w:rPr>
          <w:sz w:val="20"/>
          <w:szCs w:val="20"/>
          <w:lang w:val="es-ES"/>
        </w:rPr>
        <w:t>fiscal auxiliar</w:t>
      </w:r>
      <w:r w:rsidRPr="00975C02">
        <w:rPr>
          <w:sz w:val="20"/>
          <w:szCs w:val="20"/>
          <w:lang w:val="es-ES"/>
        </w:rPr>
        <w:t xml:space="preserve"> del Ministerio Público y que éste “no hizo uso de sus derechos por no haber saco</w:t>
      </w:r>
      <w:r w:rsidR="00B97EA2" w:rsidRPr="00975C02">
        <w:rPr>
          <w:sz w:val="20"/>
          <w:szCs w:val="20"/>
          <w:lang w:val="es-ES"/>
        </w:rPr>
        <w:t xml:space="preserve"> [</w:t>
      </w:r>
      <w:r w:rsidR="00B97EA2" w:rsidRPr="00975C02">
        <w:rPr>
          <w:i/>
          <w:sz w:val="20"/>
          <w:szCs w:val="20"/>
          <w:lang w:val="es-ES"/>
        </w:rPr>
        <w:t>sic</w:t>
      </w:r>
      <w:r w:rsidR="00B97EA2" w:rsidRPr="00975C02">
        <w:rPr>
          <w:sz w:val="20"/>
          <w:szCs w:val="20"/>
          <w:lang w:val="es-ES"/>
        </w:rPr>
        <w:t>]</w:t>
      </w:r>
      <w:r w:rsidRPr="00975C02">
        <w:rPr>
          <w:sz w:val="20"/>
          <w:szCs w:val="20"/>
          <w:lang w:val="es-ES"/>
        </w:rPr>
        <w:t xml:space="preserve"> el traslado ni expresado agravios”</w:t>
      </w:r>
      <w:r w:rsidRPr="00975C02">
        <w:rPr>
          <w:sz w:val="20"/>
          <w:szCs w:val="20"/>
          <w:vertAlign w:val="superscript"/>
          <w:lang w:val="es-ES"/>
        </w:rPr>
        <w:footnoteReference w:id="153"/>
      </w:r>
      <w:r w:rsidRPr="00975C02">
        <w:rPr>
          <w:sz w:val="20"/>
          <w:szCs w:val="20"/>
          <w:lang w:val="es-ES"/>
        </w:rPr>
        <w:t>.</w:t>
      </w:r>
    </w:p>
    <w:p w14:paraId="04118439" w14:textId="77777777" w:rsidR="00B5625C" w:rsidRPr="00975C02" w:rsidRDefault="00B5625C" w:rsidP="00B5625C">
      <w:pPr>
        <w:spacing w:line="240" w:lineRule="auto"/>
        <w:rPr>
          <w:sz w:val="20"/>
          <w:szCs w:val="20"/>
          <w:lang w:val="es-ES"/>
        </w:rPr>
      </w:pPr>
    </w:p>
    <w:p w14:paraId="2F0A1EED" w14:textId="6281DB11"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24 de octubre de 2007 la Sala de lo Penal del Tribunal de Apelaciones de la Circunscripción Norte de Matagalpa dictó sentencia rechazando los recursos de apelación. En consecuencia, declaró firme el Veredicto N° 33 y la inocencia del señor H.R.A. Además, agregó que contra dicha decisión no cabía ulterior recurso. Respecto al cohecho alegado, en la citada resolución se consideró, entre </w:t>
      </w:r>
      <w:r w:rsidR="00345370" w:rsidRPr="00975C02">
        <w:rPr>
          <w:sz w:val="20"/>
          <w:szCs w:val="20"/>
          <w:lang w:val="es-ES"/>
        </w:rPr>
        <w:t xml:space="preserve">otras </w:t>
      </w:r>
      <w:r w:rsidRPr="00975C02">
        <w:rPr>
          <w:sz w:val="20"/>
          <w:szCs w:val="20"/>
          <w:lang w:val="es-ES"/>
        </w:rPr>
        <w:t xml:space="preserve">cosas, que del acta de la inspección realizada en la cinta de video de la audiencia cuestionada se desprende que: </w:t>
      </w:r>
    </w:p>
    <w:p w14:paraId="325147FC" w14:textId="77777777" w:rsidR="00B5625C" w:rsidRPr="00975C02" w:rsidRDefault="00B5625C" w:rsidP="00B5625C">
      <w:pPr>
        <w:spacing w:line="240" w:lineRule="auto"/>
        <w:rPr>
          <w:sz w:val="20"/>
          <w:szCs w:val="20"/>
          <w:lang w:val="es-ES"/>
        </w:rPr>
      </w:pPr>
    </w:p>
    <w:p w14:paraId="734358DF" w14:textId="7DCEF02E" w:rsidR="00B5625C" w:rsidRPr="00975C02" w:rsidRDefault="00B5625C" w:rsidP="00B5625C">
      <w:pPr>
        <w:spacing w:line="240" w:lineRule="auto"/>
        <w:ind w:left="567" w:right="624"/>
        <w:rPr>
          <w:sz w:val="20"/>
          <w:szCs w:val="20"/>
          <w:lang w:val="es-ES"/>
        </w:rPr>
      </w:pPr>
      <w:r w:rsidRPr="00975C02">
        <w:rPr>
          <w:sz w:val="16"/>
          <w:szCs w:val="16"/>
          <w:lang w:val="es-ES"/>
        </w:rPr>
        <w:t xml:space="preserve">[…] a la juez de derecho, quien fungía como presidenta del tribunal de jurado, le fue entregado un papel rosado, a vista de las partes, que la representante del Ministerio </w:t>
      </w:r>
      <w:r w:rsidR="006406C9">
        <w:rPr>
          <w:sz w:val="16"/>
          <w:szCs w:val="16"/>
          <w:lang w:val="es-ES"/>
        </w:rPr>
        <w:t>[Público]</w:t>
      </w:r>
      <w:r w:rsidRPr="00975C02">
        <w:rPr>
          <w:sz w:val="16"/>
          <w:szCs w:val="16"/>
          <w:lang w:val="es-ES"/>
        </w:rPr>
        <w:t xml:space="preserve">, refirió renunciar a su intervención si no se le estaba poniendo atención, que se entrega un paquete color plateado del cual dos miembros del jurado ponen atención; sin embargo con esta inspección no se evidencia prueba que demuestre el cohecho a los miembros del jurado, por cuanto […] en la cinta que aporta debió observarse tanto la protesta del acusador como por la señora Procuradora actuante durante la audiencia del jurado […] situación inexistente en la audiencia descrita por Juez A-quo […] con cada una de las pruebas relacionadas al incidente no logra demostrar la causal de cohecho […] por cuanto las pruebas aportadas relatan incidencias que sucedieron a lo largo de la audiencia del jurado; sin embargo, tales incidencias son insuficientes para que esta </w:t>
      </w:r>
      <w:r w:rsidR="001301C4" w:rsidRPr="00975C02">
        <w:rPr>
          <w:sz w:val="16"/>
          <w:szCs w:val="16"/>
          <w:lang w:val="es-ES"/>
        </w:rPr>
        <w:t>S</w:t>
      </w:r>
      <w:r w:rsidRPr="00975C02">
        <w:rPr>
          <w:sz w:val="16"/>
          <w:szCs w:val="16"/>
          <w:lang w:val="es-ES"/>
        </w:rPr>
        <w:t>ala tenga por acreditado que el jurado recibió dádiva, promesa o recompensa por el veredicto dictado a favor del procesado, debiendo la parte incidentista acreditar en que consiste la dádiva, recompensa, quien la entregó, en qué lugar, a quien se le entregó, de qué manera la recibió el tribunal de jurado […]</w:t>
      </w:r>
      <w:r w:rsidRPr="00975C02">
        <w:rPr>
          <w:sz w:val="16"/>
          <w:szCs w:val="16"/>
          <w:vertAlign w:val="superscript"/>
          <w:lang w:val="es-ES"/>
        </w:rPr>
        <w:footnoteReference w:id="154"/>
      </w:r>
      <w:r w:rsidRPr="00975C02">
        <w:rPr>
          <w:sz w:val="16"/>
          <w:szCs w:val="16"/>
          <w:lang w:val="es-ES"/>
        </w:rPr>
        <w:t>.</w:t>
      </w:r>
    </w:p>
    <w:p w14:paraId="79B56A67" w14:textId="77777777" w:rsidR="00B5625C" w:rsidRPr="00975C02" w:rsidRDefault="00B5625C" w:rsidP="00D644BC">
      <w:pPr>
        <w:tabs>
          <w:tab w:val="left" w:pos="567"/>
        </w:tabs>
        <w:spacing w:line="240" w:lineRule="auto"/>
        <w:rPr>
          <w:sz w:val="20"/>
          <w:szCs w:val="20"/>
          <w:lang w:val="es-ES"/>
        </w:rPr>
      </w:pPr>
    </w:p>
    <w:p w14:paraId="3FBFFA50" w14:textId="31F298E0" w:rsidR="00B5625C" w:rsidRPr="00975C02" w:rsidRDefault="00B5625C" w:rsidP="00D644BC">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La Sala </w:t>
      </w:r>
      <w:r w:rsidR="00345370" w:rsidRPr="00975C02">
        <w:rPr>
          <w:sz w:val="20"/>
          <w:szCs w:val="20"/>
          <w:lang w:val="es-ES"/>
        </w:rPr>
        <w:t xml:space="preserve">de lo Penal </w:t>
      </w:r>
      <w:r w:rsidRPr="00975C02">
        <w:rPr>
          <w:sz w:val="20"/>
          <w:szCs w:val="20"/>
          <w:lang w:val="es-ES"/>
        </w:rPr>
        <w:t xml:space="preserve">no </w:t>
      </w:r>
      <w:r w:rsidR="000C7392" w:rsidRPr="00975C02">
        <w:rPr>
          <w:sz w:val="20"/>
          <w:szCs w:val="20"/>
          <w:lang w:val="es-ES"/>
        </w:rPr>
        <w:t>habría visualizado el vi</w:t>
      </w:r>
      <w:r w:rsidRPr="00975C02">
        <w:rPr>
          <w:sz w:val="20"/>
          <w:szCs w:val="20"/>
          <w:lang w:val="es-ES"/>
        </w:rPr>
        <w:t>deo</w:t>
      </w:r>
      <w:r w:rsidR="00345370" w:rsidRPr="00975C02">
        <w:rPr>
          <w:sz w:val="20"/>
          <w:szCs w:val="20"/>
          <w:lang w:val="es-ES"/>
        </w:rPr>
        <w:t>, sino que sus afirmaciones se basaron en el acta (</w:t>
      </w:r>
      <w:r w:rsidR="00345370" w:rsidRPr="00975C02">
        <w:rPr>
          <w:i/>
          <w:sz w:val="20"/>
          <w:szCs w:val="20"/>
          <w:lang w:val="es-ES"/>
        </w:rPr>
        <w:t>supra</w:t>
      </w:r>
      <w:r w:rsidR="00345370" w:rsidRPr="00975C02">
        <w:rPr>
          <w:sz w:val="20"/>
          <w:szCs w:val="20"/>
          <w:lang w:val="es-ES"/>
        </w:rPr>
        <w:t xml:space="preserve"> párr. </w:t>
      </w:r>
      <w:r w:rsidR="000C7392" w:rsidRPr="00975C02">
        <w:rPr>
          <w:sz w:val="20"/>
          <w:szCs w:val="20"/>
          <w:lang w:val="es-ES"/>
        </w:rPr>
        <w:t>118</w:t>
      </w:r>
      <w:r w:rsidR="00345370" w:rsidRPr="00975C02">
        <w:rPr>
          <w:sz w:val="20"/>
          <w:szCs w:val="20"/>
          <w:lang w:val="es-ES"/>
        </w:rPr>
        <w:t xml:space="preserve">). </w:t>
      </w:r>
      <w:r w:rsidRPr="00975C02">
        <w:rPr>
          <w:sz w:val="20"/>
          <w:szCs w:val="20"/>
          <w:lang w:val="es-ES"/>
        </w:rPr>
        <w:t xml:space="preserve">El </w:t>
      </w:r>
      <w:r w:rsidR="00345370" w:rsidRPr="00975C02">
        <w:rPr>
          <w:sz w:val="20"/>
          <w:szCs w:val="20"/>
          <w:lang w:val="es-ES"/>
        </w:rPr>
        <w:t xml:space="preserve">referido </w:t>
      </w:r>
      <w:r w:rsidRPr="00975C02">
        <w:rPr>
          <w:sz w:val="20"/>
          <w:szCs w:val="20"/>
          <w:lang w:val="es-ES"/>
        </w:rPr>
        <w:t>v</w:t>
      </w:r>
      <w:r w:rsidR="000C7392" w:rsidRPr="00975C02">
        <w:rPr>
          <w:sz w:val="20"/>
          <w:szCs w:val="20"/>
          <w:lang w:val="es-ES"/>
        </w:rPr>
        <w:t>i</w:t>
      </w:r>
      <w:r w:rsidRPr="00975C02">
        <w:rPr>
          <w:sz w:val="20"/>
          <w:szCs w:val="20"/>
          <w:lang w:val="es-ES"/>
        </w:rPr>
        <w:t xml:space="preserve">deo no fue aportado </w:t>
      </w:r>
      <w:r w:rsidR="00345370" w:rsidRPr="00975C02">
        <w:rPr>
          <w:sz w:val="20"/>
          <w:szCs w:val="20"/>
          <w:lang w:val="es-ES"/>
        </w:rPr>
        <w:t xml:space="preserve">a esta Corte, </w:t>
      </w:r>
      <w:r w:rsidRPr="00975C02">
        <w:rPr>
          <w:sz w:val="20"/>
          <w:szCs w:val="20"/>
          <w:lang w:val="es-ES"/>
        </w:rPr>
        <w:t>a pesar de la solicitud de prueba para mejor resolver</w:t>
      </w:r>
      <w:r w:rsidR="00345370" w:rsidRPr="00975C02">
        <w:rPr>
          <w:sz w:val="20"/>
          <w:szCs w:val="20"/>
          <w:lang w:val="es-ES"/>
        </w:rPr>
        <w:t xml:space="preserve"> (</w:t>
      </w:r>
      <w:r w:rsidR="00345370" w:rsidRPr="00975C02">
        <w:rPr>
          <w:i/>
          <w:sz w:val="20"/>
          <w:szCs w:val="20"/>
          <w:lang w:val="es-ES"/>
        </w:rPr>
        <w:t>supra</w:t>
      </w:r>
      <w:r w:rsidR="000C7392" w:rsidRPr="00975C02">
        <w:rPr>
          <w:sz w:val="20"/>
          <w:szCs w:val="20"/>
          <w:lang w:val="es-ES"/>
        </w:rPr>
        <w:t xml:space="preserve"> párr. 12</w:t>
      </w:r>
      <w:r w:rsidR="00345370" w:rsidRPr="00975C02">
        <w:rPr>
          <w:sz w:val="20"/>
          <w:szCs w:val="20"/>
          <w:lang w:val="es-ES"/>
        </w:rPr>
        <w:t>)</w:t>
      </w:r>
      <w:r w:rsidRPr="00975C02">
        <w:rPr>
          <w:sz w:val="20"/>
          <w:szCs w:val="20"/>
          <w:lang w:val="es-ES"/>
        </w:rPr>
        <w:t>.</w:t>
      </w:r>
    </w:p>
    <w:p w14:paraId="42F2A382" w14:textId="77777777" w:rsidR="00B5625C" w:rsidRPr="00975C02" w:rsidRDefault="00B5625C" w:rsidP="00D644BC">
      <w:pPr>
        <w:tabs>
          <w:tab w:val="left" w:pos="567"/>
        </w:tabs>
        <w:spacing w:line="240" w:lineRule="auto"/>
        <w:rPr>
          <w:sz w:val="20"/>
          <w:szCs w:val="20"/>
          <w:lang w:val="es-ES"/>
        </w:rPr>
      </w:pPr>
    </w:p>
    <w:p w14:paraId="717780E6"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señor H.R.A. falleció el 29 de agosto del año 2008</w:t>
      </w:r>
      <w:r w:rsidRPr="00975C02">
        <w:rPr>
          <w:sz w:val="20"/>
          <w:szCs w:val="20"/>
          <w:vertAlign w:val="superscript"/>
          <w:lang w:val="es-ES"/>
        </w:rPr>
        <w:footnoteReference w:id="155"/>
      </w:r>
      <w:r w:rsidRPr="00975C02">
        <w:rPr>
          <w:sz w:val="20"/>
          <w:szCs w:val="20"/>
          <w:lang w:val="es-ES"/>
        </w:rPr>
        <w:t>.</w:t>
      </w:r>
    </w:p>
    <w:p w14:paraId="1098ED1F" w14:textId="77777777" w:rsidR="00B5625C" w:rsidRPr="00975C02" w:rsidRDefault="00B5625C" w:rsidP="00B5625C">
      <w:pPr>
        <w:spacing w:line="240" w:lineRule="auto"/>
        <w:rPr>
          <w:sz w:val="20"/>
          <w:szCs w:val="20"/>
          <w:lang w:val="es-ES"/>
        </w:rPr>
      </w:pPr>
    </w:p>
    <w:p w14:paraId="55CD7196" w14:textId="6F9F0F2B" w:rsidR="00B5625C" w:rsidRPr="00975C02" w:rsidRDefault="00194A45" w:rsidP="002C415B">
      <w:pPr>
        <w:pStyle w:val="ListParagraph"/>
        <w:keepNext/>
        <w:keepLines/>
        <w:numPr>
          <w:ilvl w:val="0"/>
          <w:numId w:val="15"/>
        </w:numPr>
        <w:tabs>
          <w:tab w:val="left" w:pos="1134"/>
        </w:tabs>
        <w:spacing w:line="240" w:lineRule="auto"/>
        <w:outlineLvl w:val="1"/>
        <w:rPr>
          <w:rFonts w:eastAsia="MS Mincho"/>
          <w:b/>
          <w:bCs/>
          <w:i/>
          <w:sz w:val="20"/>
          <w:szCs w:val="20"/>
          <w:lang w:val="es-ES"/>
        </w:rPr>
      </w:pPr>
      <w:bookmarkStart w:id="113" w:name="_Toc514172623"/>
      <w:r>
        <w:rPr>
          <w:rFonts w:eastAsia="MS Mincho"/>
          <w:b/>
          <w:bCs/>
          <w:i/>
          <w:sz w:val="20"/>
          <w:szCs w:val="20"/>
          <w:lang w:val="es-ES"/>
        </w:rPr>
        <w:t>Las q</w:t>
      </w:r>
      <w:r w:rsidR="00B5625C" w:rsidRPr="00975C02">
        <w:rPr>
          <w:rFonts w:eastAsia="MS Mincho"/>
          <w:b/>
          <w:bCs/>
          <w:i/>
          <w:sz w:val="20"/>
          <w:szCs w:val="20"/>
          <w:lang w:val="es-ES"/>
        </w:rPr>
        <w:t xml:space="preserve">uejas presentadas por la señora V.P.C. por irregularidades en el transcurso de la investigación y </w:t>
      </w:r>
      <w:r w:rsidR="005145E9" w:rsidRPr="00975C02">
        <w:rPr>
          <w:rFonts w:eastAsia="MS Mincho"/>
          <w:b/>
          <w:bCs/>
          <w:i/>
          <w:sz w:val="20"/>
          <w:szCs w:val="20"/>
          <w:lang w:val="es-ES"/>
        </w:rPr>
        <w:t>d</w:t>
      </w:r>
      <w:r w:rsidR="00B5625C" w:rsidRPr="00975C02">
        <w:rPr>
          <w:rFonts w:eastAsia="MS Mincho"/>
          <w:b/>
          <w:bCs/>
          <w:i/>
          <w:sz w:val="20"/>
          <w:szCs w:val="20"/>
          <w:lang w:val="es-ES"/>
        </w:rPr>
        <w:t>el proceso</w:t>
      </w:r>
      <w:bookmarkEnd w:id="113"/>
    </w:p>
    <w:p w14:paraId="458B7197" w14:textId="77777777" w:rsidR="00B5625C" w:rsidRPr="00975C02" w:rsidRDefault="00B5625C" w:rsidP="00B5625C">
      <w:pPr>
        <w:spacing w:line="240" w:lineRule="auto"/>
        <w:rPr>
          <w:sz w:val="20"/>
          <w:szCs w:val="20"/>
          <w:lang w:val="es-ES"/>
        </w:rPr>
      </w:pPr>
    </w:p>
    <w:p w14:paraId="11918F7D"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Además de promover, a través de sus representantes legales, la acusación contra el señor H.R.A. durante el transcurso del proceso, la señora V.P.C. realizó otras gestiones con el objetivo de denunciar presuntas irregularidades en el transcurso de la investigación y del proceso.</w:t>
      </w:r>
    </w:p>
    <w:p w14:paraId="183A7BE4" w14:textId="77777777" w:rsidR="00B5625C" w:rsidRPr="00975C02" w:rsidRDefault="00B5625C" w:rsidP="00B5625C">
      <w:pPr>
        <w:tabs>
          <w:tab w:val="left" w:pos="567"/>
        </w:tabs>
        <w:spacing w:line="240" w:lineRule="auto"/>
        <w:rPr>
          <w:sz w:val="20"/>
          <w:szCs w:val="20"/>
          <w:lang w:val="es-ES"/>
        </w:rPr>
      </w:pPr>
    </w:p>
    <w:p w14:paraId="16AF8643" w14:textId="539455A4" w:rsidR="00B5625C" w:rsidRPr="00975C02" w:rsidRDefault="00B5625C" w:rsidP="002C415B">
      <w:pPr>
        <w:widowControl/>
        <w:numPr>
          <w:ilvl w:val="0"/>
          <w:numId w:val="9"/>
        </w:numPr>
        <w:adjustRightInd/>
        <w:spacing w:line="240" w:lineRule="auto"/>
        <w:jc w:val="left"/>
        <w:textAlignment w:val="auto"/>
        <w:rPr>
          <w:i/>
          <w:sz w:val="20"/>
          <w:szCs w:val="20"/>
          <w:lang w:val="es-ES"/>
        </w:rPr>
      </w:pPr>
      <w:r w:rsidRPr="00975C02">
        <w:rPr>
          <w:i/>
          <w:sz w:val="20"/>
          <w:szCs w:val="20"/>
          <w:lang w:val="es-ES"/>
        </w:rPr>
        <w:lastRenderedPageBreak/>
        <w:t>Quejas de V.P.C. contra el médico forense</w:t>
      </w:r>
    </w:p>
    <w:p w14:paraId="66BE872A" w14:textId="77777777" w:rsidR="00B5625C" w:rsidRPr="00975C02" w:rsidRDefault="00B5625C" w:rsidP="00B5625C">
      <w:pPr>
        <w:tabs>
          <w:tab w:val="left" w:pos="567"/>
        </w:tabs>
        <w:spacing w:line="240" w:lineRule="auto"/>
        <w:rPr>
          <w:sz w:val="20"/>
          <w:szCs w:val="20"/>
          <w:lang w:val="es-ES"/>
        </w:rPr>
      </w:pPr>
    </w:p>
    <w:p w14:paraId="36543365"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22 de noviembre de 2001 la señora V.P.C. presentó un escrito al Director del Sistema Local de Atención Integral en Salud (SILAIS) del departamento de Jinotega, mediante el cual denunció el comportamiento del </w:t>
      </w:r>
      <w:r w:rsidR="00A55D8D" w:rsidRPr="00975C02">
        <w:rPr>
          <w:sz w:val="20"/>
          <w:szCs w:val="20"/>
          <w:lang w:val="es-ES"/>
        </w:rPr>
        <w:t>médico forense</w:t>
      </w:r>
      <w:r w:rsidRPr="00975C02">
        <w:rPr>
          <w:sz w:val="20"/>
          <w:szCs w:val="20"/>
          <w:lang w:val="es-ES"/>
        </w:rPr>
        <w:t xml:space="preserve"> cuando realizó el examen médico a V.R.P.</w:t>
      </w:r>
      <w:r w:rsidRPr="00975C02">
        <w:rPr>
          <w:sz w:val="20"/>
          <w:szCs w:val="20"/>
          <w:vertAlign w:val="superscript"/>
          <w:lang w:val="es-ES"/>
        </w:rPr>
        <w:footnoteReference w:id="156"/>
      </w:r>
      <w:r w:rsidRPr="00975C02">
        <w:rPr>
          <w:sz w:val="20"/>
          <w:szCs w:val="20"/>
          <w:lang w:val="es-ES"/>
        </w:rPr>
        <w:t>. El 26 de noviembre de 2001 el SILAIS de Jinotega le informó que no podía tramitar la misma, toda vez que al ser médico forense nombrado por la Corte Suprema de Justicia no dependía del Ministerio de Salud, por lo que la queja debía interponerse ante la Corte Suprema de Justicia</w:t>
      </w:r>
      <w:r w:rsidRPr="00975C02">
        <w:rPr>
          <w:sz w:val="20"/>
          <w:szCs w:val="20"/>
          <w:vertAlign w:val="superscript"/>
          <w:lang w:val="es-ES"/>
        </w:rPr>
        <w:footnoteReference w:id="157"/>
      </w:r>
      <w:r w:rsidRPr="00975C02">
        <w:rPr>
          <w:sz w:val="20"/>
          <w:szCs w:val="20"/>
          <w:lang w:val="es-ES"/>
        </w:rPr>
        <w:t>.</w:t>
      </w:r>
    </w:p>
    <w:p w14:paraId="57447B10" w14:textId="77777777" w:rsidR="00B5625C" w:rsidRPr="00975C02" w:rsidRDefault="00B5625C" w:rsidP="00B5625C">
      <w:pPr>
        <w:tabs>
          <w:tab w:val="left" w:pos="567"/>
        </w:tabs>
        <w:spacing w:line="240" w:lineRule="auto"/>
        <w:rPr>
          <w:sz w:val="20"/>
          <w:szCs w:val="20"/>
          <w:lang w:val="es-ES"/>
        </w:rPr>
      </w:pPr>
    </w:p>
    <w:p w14:paraId="7931F8B0" w14:textId="3B057F3E"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30 de abril de 2002 la señora V.P.C. presentó una queja ante la Comisión Disciplinaria de la Corte Suprema de Justicia contra el médico forense</w:t>
      </w:r>
      <w:r w:rsidRPr="00975C02">
        <w:rPr>
          <w:sz w:val="20"/>
          <w:szCs w:val="20"/>
          <w:vertAlign w:val="superscript"/>
          <w:lang w:val="es-ES"/>
        </w:rPr>
        <w:footnoteReference w:id="158"/>
      </w:r>
      <w:r w:rsidRPr="00975C02">
        <w:rPr>
          <w:sz w:val="20"/>
          <w:szCs w:val="20"/>
          <w:lang w:val="es-ES"/>
        </w:rPr>
        <w:t>, lo cual fue reiterado el 22 de julio del mismo año</w:t>
      </w:r>
      <w:r w:rsidRPr="00975C02">
        <w:rPr>
          <w:sz w:val="20"/>
          <w:szCs w:val="20"/>
          <w:vertAlign w:val="superscript"/>
          <w:lang w:val="es-ES"/>
        </w:rPr>
        <w:footnoteReference w:id="159"/>
      </w:r>
      <w:r w:rsidRPr="00975C02">
        <w:rPr>
          <w:sz w:val="20"/>
          <w:szCs w:val="20"/>
          <w:lang w:val="es-ES"/>
        </w:rPr>
        <w:t xml:space="preserve">. El 1 de julio de 2003 la abogada de la señora V.P.C. presentó un oficio a la Comisión Disciplinaria de la Corte Suprema de Justicia, en el cual arguyó la parcialidad con que habría actuado el médico forense. Además, indicó que el hermano del citado médico participó en el proceso penal como testigo a favor del acusado y que interpuso </w:t>
      </w:r>
      <w:r w:rsidR="0079154A">
        <w:rPr>
          <w:sz w:val="20"/>
          <w:szCs w:val="20"/>
          <w:lang w:val="es-ES"/>
        </w:rPr>
        <w:t>una acción</w:t>
      </w:r>
      <w:r w:rsidRPr="00975C02">
        <w:rPr>
          <w:sz w:val="20"/>
          <w:szCs w:val="20"/>
          <w:lang w:val="es-ES"/>
        </w:rPr>
        <w:t xml:space="preserve"> penal por injuria</w:t>
      </w:r>
      <w:r w:rsidR="001301C4" w:rsidRPr="00975C02">
        <w:rPr>
          <w:sz w:val="20"/>
          <w:szCs w:val="20"/>
          <w:lang w:val="es-ES"/>
        </w:rPr>
        <w:t xml:space="preserve">s y </w:t>
      </w:r>
      <w:r w:rsidR="00D66702" w:rsidRPr="00975C02">
        <w:rPr>
          <w:sz w:val="20"/>
          <w:szCs w:val="20"/>
          <w:lang w:val="es-ES"/>
        </w:rPr>
        <w:t>calumnias</w:t>
      </w:r>
      <w:r w:rsidRPr="00975C02">
        <w:rPr>
          <w:sz w:val="20"/>
          <w:szCs w:val="20"/>
          <w:lang w:val="es-ES"/>
        </w:rPr>
        <w:t xml:space="preserve"> contra V.P.C.</w:t>
      </w:r>
      <w:r w:rsidRPr="00975C02">
        <w:rPr>
          <w:sz w:val="20"/>
          <w:szCs w:val="20"/>
          <w:vertAlign w:val="superscript"/>
          <w:lang w:val="es-ES"/>
        </w:rPr>
        <w:footnoteReference w:id="160"/>
      </w:r>
      <w:r w:rsidRPr="00975C02">
        <w:rPr>
          <w:sz w:val="20"/>
          <w:szCs w:val="20"/>
          <w:lang w:val="es-ES"/>
        </w:rPr>
        <w:t xml:space="preserve"> Según indicó el Estado, dicha queja no se habría tramitado por falta de pruebas y, por ende, se ordenó su archivo.</w:t>
      </w:r>
    </w:p>
    <w:p w14:paraId="0D1E7D03" w14:textId="77777777" w:rsidR="00B5625C" w:rsidRPr="00975C02" w:rsidRDefault="00B5625C" w:rsidP="00B5625C">
      <w:pPr>
        <w:widowControl/>
        <w:adjustRightInd/>
        <w:spacing w:line="240" w:lineRule="auto"/>
        <w:textAlignment w:val="auto"/>
        <w:rPr>
          <w:sz w:val="20"/>
          <w:szCs w:val="20"/>
          <w:lang w:val="es-ES"/>
        </w:rPr>
      </w:pPr>
    </w:p>
    <w:p w14:paraId="65AEA658" w14:textId="53335E0A" w:rsidR="00B5625C" w:rsidRPr="00975C02" w:rsidRDefault="00B5625C" w:rsidP="002C415B">
      <w:pPr>
        <w:widowControl/>
        <w:numPr>
          <w:ilvl w:val="0"/>
          <w:numId w:val="9"/>
        </w:numPr>
        <w:adjustRightInd/>
        <w:spacing w:line="240" w:lineRule="auto"/>
        <w:jc w:val="left"/>
        <w:textAlignment w:val="auto"/>
        <w:rPr>
          <w:i/>
          <w:sz w:val="20"/>
          <w:szCs w:val="20"/>
          <w:lang w:val="es-ES"/>
        </w:rPr>
      </w:pPr>
      <w:r w:rsidRPr="00975C02">
        <w:rPr>
          <w:i/>
          <w:sz w:val="20"/>
          <w:szCs w:val="20"/>
          <w:lang w:val="es-ES"/>
        </w:rPr>
        <w:t>Quejas de V.P.C. contra la fiscal auxiliar</w:t>
      </w:r>
      <w:r w:rsidR="00C929CA" w:rsidRPr="00975C02">
        <w:rPr>
          <w:i/>
          <w:sz w:val="20"/>
          <w:szCs w:val="20"/>
          <w:lang w:val="es-ES"/>
        </w:rPr>
        <w:t xml:space="preserve"> departamental</w:t>
      </w:r>
    </w:p>
    <w:p w14:paraId="78305808" w14:textId="77777777" w:rsidR="00B5625C" w:rsidRPr="00975C02" w:rsidRDefault="00B5625C" w:rsidP="00B5625C">
      <w:pPr>
        <w:tabs>
          <w:tab w:val="left" w:pos="567"/>
        </w:tabs>
        <w:spacing w:line="240" w:lineRule="auto"/>
        <w:rPr>
          <w:i/>
          <w:sz w:val="20"/>
          <w:szCs w:val="20"/>
          <w:lang w:val="es-ES"/>
        </w:rPr>
      </w:pPr>
    </w:p>
    <w:p w14:paraId="71AE117B" w14:textId="5002F14A"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17 de julio de 2002 la señora V.P.C. dirigió escrito al Fiscal General de la República, presentando queja contra la fiscal auxiliar</w:t>
      </w:r>
      <w:r w:rsidR="00C929CA" w:rsidRPr="00975C02">
        <w:rPr>
          <w:sz w:val="20"/>
          <w:szCs w:val="20"/>
          <w:lang w:val="es-ES"/>
        </w:rPr>
        <w:t xml:space="preserve"> departamental</w:t>
      </w:r>
      <w:r w:rsidRPr="00975C02">
        <w:rPr>
          <w:sz w:val="20"/>
          <w:szCs w:val="20"/>
          <w:lang w:val="es-ES"/>
        </w:rPr>
        <w:t>, denunciando actuación negligente por parte de la funcionaria durante el proceso penal por violación sexual</w:t>
      </w:r>
      <w:r w:rsidR="00AD523C" w:rsidRPr="00975C02">
        <w:rPr>
          <w:sz w:val="20"/>
          <w:szCs w:val="20"/>
          <w:vertAlign w:val="superscript"/>
          <w:lang w:val="es-ES"/>
        </w:rPr>
        <w:footnoteReference w:id="161"/>
      </w:r>
      <w:r w:rsidRPr="00975C02">
        <w:rPr>
          <w:sz w:val="20"/>
          <w:szCs w:val="20"/>
          <w:lang w:val="es-ES"/>
        </w:rPr>
        <w:t>. La queja fue reiterada posteriormente, el 29 de julio</w:t>
      </w:r>
      <w:r w:rsidRPr="00975C02">
        <w:rPr>
          <w:sz w:val="20"/>
          <w:szCs w:val="20"/>
          <w:vertAlign w:val="superscript"/>
          <w:lang w:val="es-ES"/>
        </w:rPr>
        <w:footnoteReference w:id="162"/>
      </w:r>
      <w:r w:rsidRPr="00975C02">
        <w:rPr>
          <w:sz w:val="20"/>
          <w:szCs w:val="20"/>
          <w:lang w:val="es-ES"/>
        </w:rPr>
        <w:t xml:space="preserve"> y el 26 de agosto de 2002</w:t>
      </w:r>
      <w:r w:rsidRPr="00975C02">
        <w:rPr>
          <w:sz w:val="20"/>
          <w:szCs w:val="20"/>
          <w:vertAlign w:val="superscript"/>
          <w:lang w:val="es-ES"/>
        </w:rPr>
        <w:footnoteReference w:id="163"/>
      </w:r>
      <w:r w:rsidRPr="00975C02">
        <w:rPr>
          <w:sz w:val="20"/>
          <w:szCs w:val="20"/>
          <w:lang w:val="es-ES"/>
        </w:rPr>
        <w:t>, ante de la falta de respuesta de la primera.</w:t>
      </w:r>
    </w:p>
    <w:p w14:paraId="3DE18F26" w14:textId="77777777" w:rsidR="00B5625C" w:rsidRPr="00975C02" w:rsidRDefault="00B5625C" w:rsidP="00B5625C">
      <w:pPr>
        <w:tabs>
          <w:tab w:val="left" w:pos="567"/>
        </w:tabs>
        <w:spacing w:line="240" w:lineRule="auto"/>
        <w:rPr>
          <w:sz w:val="20"/>
          <w:szCs w:val="20"/>
          <w:lang w:val="es-ES"/>
        </w:rPr>
      </w:pPr>
    </w:p>
    <w:p w14:paraId="113D7B33" w14:textId="1BEF93F1"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21 de octubre de 2002 la señora V.P.C. presentó una queja contra la fiscal auxiliar del Departamento de Jinotega ante la Inspectoría de la Fiscalía General de la República aduciendo que la fiscal del caso no se apersonó al proceso en segunda instancia</w:t>
      </w:r>
      <w:r w:rsidR="009B7559" w:rsidRPr="00975C02">
        <w:rPr>
          <w:sz w:val="20"/>
          <w:szCs w:val="20"/>
          <w:vertAlign w:val="superscript"/>
          <w:lang w:val="es-ES"/>
        </w:rPr>
        <w:footnoteReference w:id="164"/>
      </w:r>
      <w:r w:rsidRPr="00975C02">
        <w:rPr>
          <w:sz w:val="20"/>
          <w:szCs w:val="20"/>
          <w:lang w:val="es-ES"/>
        </w:rPr>
        <w:t>. En esta línea, sostuvo que la fiscal no garantizó los derechos de su hija. No obstante ello, el Estado informó que no se habría presentado ninguna queja por la señora V.P.C. contra la referida fiscal en el año 2002</w:t>
      </w:r>
      <w:r w:rsidRPr="00975C02">
        <w:rPr>
          <w:sz w:val="20"/>
          <w:szCs w:val="20"/>
          <w:vertAlign w:val="superscript"/>
          <w:lang w:val="es-ES"/>
        </w:rPr>
        <w:footnoteReference w:id="165"/>
      </w:r>
      <w:r w:rsidRPr="00975C02">
        <w:rPr>
          <w:sz w:val="20"/>
          <w:szCs w:val="20"/>
          <w:lang w:val="es-ES"/>
        </w:rPr>
        <w:t>. No hay constancia sobre</w:t>
      </w:r>
      <w:r w:rsidR="00B5341A" w:rsidRPr="00975C02">
        <w:rPr>
          <w:sz w:val="20"/>
          <w:szCs w:val="20"/>
          <w:lang w:val="es-ES"/>
        </w:rPr>
        <w:t xml:space="preserve"> el trámite de</w:t>
      </w:r>
      <w:r w:rsidRPr="00975C02">
        <w:rPr>
          <w:sz w:val="20"/>
          <w:szCs w:val="20"/>
          <w:lang w:val="es-ES"/>
        </w:rPr>
        <w:t xml:space="preserve"> este proceso.</w:t>
      </w:r>
    </w:p>
    <w:p w14:paraId="7EAC178F" w14:textId="77777777" w:rsidR="00B5625C" w:rsidRPr="00975C02" w:rsidRDefault="00B5625C" w:rsidP="00B5625C">
      <w:pPr>
        <w:tabs>
          <w:tab w:val="left" w:pos="567"/>
        </w:tabs>
        <w:spacing w:line="240" w:lineRule="auto"/>
        <w:rPr>
          <w:sz w:val="20"/>
          <w:szCs w:val="20"/>
          <w:lang w:val="es-ES"/>
        </w:rPr>
      </w:pPr>
    </w:p>
    <w:p w14:paraId="2B10C675" w14:textId="510B3D92"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El 8 de noviembre de 2002 la señora V.P.C. presentó una queja contra la fiscal auxiliar </w:t>
      </w:r>
      <w:r w:rsidR="009B7559" w:rsidRPr="00975C02">
        <w:rPr>
          <w:sz w:val="20"/>
          <w:szCs w:val="20"/>
          <w:lang w:val="es-ES"/>
        </w:rPr>
        <w:t xml:space="preserve">departamental </w:t>
      </w:r>
      <w:r w:rsidRPr="00975C02">
        <w:rPr>
          <w:sz w:val="20"/>
          <w:szCs w:val="20"/>
          <w:lang w:val="es-ES"/>
        </w:rPr>
        <w:t>ante la Comisión Disciplinaria de la Corte Suprema de Justicia</w:t>
      </w:r>
      <w:r w:rsidRPr="00975C02">
        <w:rPr>
          <w:sz w:val="20"/>
          <w:szCs w:val="20"/>
          <w:vertAlign w:val="superscript"/>
          <w:lang w:val="es-ES"/>
        </w:rPr>
        <w:footnoteReference w:id="166"/>
      </w:r>
      <w:r w:rsidRPr="00975C02">
        <w:rPr>
          <w:sz w:val="20"/>
          <w:szCs w:val="20"/>
          <w:lang w:val="es-ES"/>
        </w:rPr>
        <w:t>. La referida Comisión Disciplinaria resolvió oficiar al Fiscal General de la República respecto a la queja interpuesta en contra de la misma, el cual fue recibido en dicha dependencia el 20 de enero de 2003</w:t>
      </w:r>
      <w:r w:rsidRPr="00975C02">
        <w:rPr>
          <w:sz w:val="20"/>
          <w:szCs w:val="20"/>
          <w:vertAlign w:val="superscript"/>
          <w:lang w:val="es-ES"/>
        </w:rPr>
        <w:footnoteReference w:id="167"/>
      </w:r>
      <w:r w:rsidRPr="00975C02">
        <w:rPr>
          <w:sz w:val="20"/>
          <w:szCs w:val="20"/>
          <w:lang w:val="es-ES"/>
        </w:rPr>
        <w:t>. No hay constancia sobre el trámite de este proceso.</w:t>
      </w:r>
    </w:p>
    <w:p w14:paraId="3D9A3392" w14:textId="77777777" w:rsidR="00B5625C" w:rsidRPr="00975C02" w:rsidRDefault="00B5625C" w:rsidP="00B5625C">
      <w:pPr>
        <w:tabs>
          <w:tab w:val="left" w:pos="567"/>
        </w:tabs>
        <w:spacing w:line="240" w:lineRule="auto"/>
        <w:rPr>
          <w:sz w:val="20"/>
          <w:szCs w:val="20"/>
          <w:lang w:val="es-ES"/>
        </w:rPr>
      </w:pPr>
    </w:p>
    <w:p w14:paraId="5FB9434D" w14:textId="10945148" w:rsidR="00B5625C" w:rsidRPr="00975C02" w:rsidRDefault="00B5625C" w:rsidP="00EB57B3">
      <w:pPr>
        <w:widowControl/>
        <w:numPr>
          <w:ilvl w:val="0"/>
          <w:numId w:val="9"/>
        </w:numPr>
        <w:adjustRightInd/>
        <w:spacing w:line="240" w:lineRule="auto"/>
        <w:jc w:val="left"/>
        <w:textAlignment w:val="auto"/>
        <w:rPr>
          <w:i/>
          <w:sz w:val="20"/>
          <w:szCs w:val="20"/>
          <w:lang w:val="es-ES"/>
        </w:rPr>
      </w:pPr>
      <w:r w:rsidRPr="00975C02">
        <w:rPr>
          <w:i/>
          <w:sz w:val="20"/>
          <w:szCs w:val="20"/>
          <w:lang w:val="es-ES"/>
        </w:rPr>
        <w:t>Queja de V.P.C. contra la jueza</w:t>
      </w:r>
      <w:r w:rsidR="00EB57B3" w:rsidRPr="00975C02">
        <w:rPr>
          <w:i/>
          <w:sz w:val="20"/>
          <w:szCs w:val="20"/>
          <w:lang w:val="es-ES"/>
        </w:rPr>
        <w:t xml:space="preserve"> a cargo del proceso y la jueza de derecho que fungió como presidenta del Tribunal de Jurados</w:t>
      </w:r>
    </w:p>
    <w:p w14:paraId="6157C3F4" w14:textId="77777777" w:rsidR="00B5625C" w:rsidRPr="00975C02" w:rsidRDefault="00B5625C" w:rsidP="00B5625C">
      <w:pPr>
        <w:widowControl/>
        <w:adjustRightInd/>
        <w:spacing w:line="240" w:lineRule="auto"/>
        <w:textAlignment w:val="auto"/>
        <w:rPr>
          <w:sz w:val="20"/>
          <w:szCs w:val="20"/>
          <w:lang w:val="es-ES"/>
        </w:rPr>
      </w:pPr>
    </w:p>
    <w:p w14:paraId="7F053F74"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8 de noviembre de 2002 la señora V.P.C. presentó una queja ante la Comisión Disciplinaria de la Corte Suprema de Justicia alegando las irregularidades presuntamente cometidas por la jueza a cargo del proceso y por la jueza de derecho que fungió como presidenta del Tribunal de Jurados. Agregó, además, que una de las magistradas permitió que la defensa del señor H.R.A. se refiriera a ella y a su hija en términos inmorales</w:t>
      </w:r>
      <w:r w:rsidRPr="00975C02">
        <w:rPr>
          <w:sz w:val="20"/>
          <w:szCs w:val="20"/>
          <w:vertAlign w:val="superscript"/>
          <w:lang w:val="es-ES"/>
        </w:rPr>
        <w:footnoteReference w:id="168"/>
      </w:r>
      <w:r w:rsidRPr="00975C02">
        <w:rPr>
          <w:sz w:val="20"/>
          <w:szCs w:val="20"/>
          <w:lang w:val="es-ES"/>
        </w:rPr>
        <w:t>.</w:t>
      </w:r>
    </w:p>
    <w:p w14:paraId="076040DA" w14:textId="77777777" w:rsidR="00B5625C" w:rsidRPr="00975C02" w:rsidRDefault="00B5625C" w:rsidP="00B5625C">
      <w:pPr>
        <w:tabs>
          <w:tab w:val="left" w:pos="567"/>
        </w:tabs>
        <w:spacing w:line="240" w:lineRule="auto"/>
        <w:rPr>
          <w:sz w:val="20"/>
          <w:szCs w:val="20"/>
          <w:lang w:val="es-ES"/>
        </w:rPr>
      </w:pPr>
    </w:p>
    <w:p w14:paraId="12A49A7A"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Luego de que ambas juezas presentaran sus descargos, el 24 de febrero de 2003 la Comisión Disciplinaria de la Corte Suprema de Justicia resolvió archivar el expediente</w:t>
      </w:r>
      <w:r w:rsidRPr="00975C02">
        <w:rPr>
          <w:sz w:val="20"/>
          <w:szCs w:val="20"/>
          <w:vertAlign w:val="superscript"/>
          <w:lang w:val="es-ES"/>
        </w:rPr>
        <w:footnoteReference w:id="169"/>
      </w:r>
      <w:r w:rsidRPr="00975C02">
        <w:rPr>
          <w:sz w:val="20"/>
          <w:szCs w:val="20"/>
          <w:lang w:val="es-ES"/>
        </w:rPr>
        <w:t>.</w:t>
      </w:r>
    </w:p>
    <w:p w14:paraId="4FC70566" w14:textId="77777777" w:rsidR="00B5625C" w:rsidRPr="00975C02" w:rsidRDefault="00B5625C" w:rsidP="00B5625C">
      <w:pPr>
        <w:spacing w:line="240" w:lineRule="auto"/>
        <w:rPr>
          <w:sz w:val="20"/>
          <w:szCs w:val="20"/>
          <w:lang w:val="es-ES"/>
        </w:rPr>
      </w:pPr>
    </w:p>
    <w:p w14:paraId="2126F40C" w14:textId="5C3D113A" w:rsidR="00B5625C" w:rsidRPr="00975C02" w:rsidRDefault="00D05EE6" w:rsidP="002C415B">
      <w:pPr>
        <w:pStyle w:val="ListParagraph"/>
        <w:keepNext/>
        <w:keepLines/>
        <w:numPr>
          <w:ilvl w:val="0"/>
          <w:numId w:val="15"/>
        </w:numPr>
        <w:tabs>
          <w:tab w:val="left" w:pos="1276"/>
        </w:tabs>
        <w:spacing w:line="240" w:lineRule="auto"/>
        <w:outlineLvl w:val="1"/>
        <w:rPr>
          <w:rFonts w:eastAsia="MS Mincho"/>
          <w:b/>
          <w:bCs/>
          <w:i/>
          <w:sz w:val="20"/>
          <w:szCs w:val="20"/>
          <w:lang w:val="es-ES"/>
        </w:rPr>
      </w:pPr>
      <w:r w:rsidRPr="00975C02">
        <w:rPr>
          <w:rFonts w:eastAsia="MS Mincho"/>
          <w:b/>
          <w:bCs/>
          <w:i/>
          <w:sz w:val="20"/>
          <w:szCs w:val="20"/>
          <w:lang w:val="es-ES"/>
        </w:rPr>
        <w:tab/>
      </w:r>
      <w:bookmarkStart w:id="114" w:name="_Toc514172624"/>
      <w:r w:rsidR="00B5625C" w:rsidRPr="00975C02">
        <w:rPr>
          <w:rFonts w:eastAsia="MS Mincho"/>
          <w:b/>
          <w:bCs/>
          <w:i/>
          <w:sz w:val="20"/>
          <w:szCs w:val="20"/>
          <w:lang w:val="es-ES"/>
        </w:rPr>
        <w:t xml:space="preserve">Las </w:t>
      </w:r>
      <w:r w:rsidR="00115986" w:rsidRPr="00975C02">
        <w:rPr>
          <w:rFonts w:eastAsia="MS Mincho"/>
          <w:b/>
          <w:bCs/>
          <w:i/>
          <w:sz w:val="20"/>
          <w:szCs w:val="20"/>
          <w:lang w:val="es-ES"/>
        </w:rPr>
        <w:t>acciones intentadas</w:t>
      </w:r>
      <w:r w:rsidR="00B5625C" w:rsidRPr="00975C02">
        <w:rPr>
          <w:rFonts w:eastAsia="MS Mincho"/>
          <w:b/>
          <w:bCs/>
          <w:i/>
          <w:sz w:val="20"/>
          <w:szCs w:val="20"/>
          <w:lang w:val="es-ES"/>
        </w:rPr>
        <w:t xml:space="preserve"> contra la señora V.P.C. y sus familiares</w:t>
      </w:r>
      <w:bookmarkEnd w:id="114"/>
    </w:p>
    <w:p w14:paraId="6E6D299A" w14:textId="77777777" w:rsidR="00B5625C" w:rsidRPr="00975C02" w:rsidRDefault="00B5625C" w:rsidP="00B5625C">
      <w:pPr>
        <w:spacing w:line="240" w:lineRule="auto"/>
        <w:rPr>
          <w:sz w:val="20"/>
          <w:szCs w:val="20"/>
          <w:lang w:val="es-ES"/>
        </w:rPr>
      </w:pPr>
    </w:p>
    <w:p w14:paraId="6CE1F074" w14:textId="4C615EBB" w:rsidR="00F63EBB" w:rsidRPr="00975C02" w:rsidRDefault="008F3B13" w:rsidP="00F63EBB">
      <w:pPr>
        <w:numPr>
          <w:ilvl w:val="0"/>
          <w:numId w:val="2"/>
        </w:numPr>
        <w:tabs>
          <w:tab w:val="left" w:pos="567"/>
          <w:tab w:val="num" w:pos="12305"/>
        </w:tabs>
        <w:spacing w:line="240" w:lineRule="auto"/>
        <w:ind w:left="0" w:firstLine="0"/>
        <w:rPr>
          <w:rFonts w:cs="Arial"/>
          <w:color w:val="000000"/>
          <w:sz w:val="20"/>
          <w:szCs w:val="20"/>
          <w:lang w:val="es-ES"/>
        </w:rPr>
      </w:pPr>
      <w:r w:rsidRPr="00975C02">
        <w:rPr>
          <w:sz w:val="20"/>
          <w:szCs w:val="20"/>
          <w:lang w:val="es-ES"/>
        </w:rPr>
        <w:t>A raíz de las quejas presentadas por V.P.C., la fiscal auxiliar</w:t>
      </w:r>
      <w:r w:rsidR="002D499C" w:rsidRPr="00975C02">
        <w:rPr>
          <w:sz w:val="20"/>
          <w:szCs w:val="20"/>
          <w:lang w:val="es-ES"/>
        </w:rPr>
        <w:t xml:space="preserve"> departamental</w:t>
      </w:r>
      <w:r w:rsidRPr="00975C02">
        <w:rPr>
          <w:sz w:val="20"/>
          <w:szCs w:val="20"/>
          <w:vertAlign w:val="superscript"/>
          <w:lang w:val="es-ES"/>
        </w:rPr>
        <w:footnoteReference w:id="170"/>
      </w:r>
      <w:r w:rsidRPr="00975C02">
        <w:rPr>
          <w:sz w:val="20"/>
          <w:szCs w:val="20"/>
          <w:lang w:val="es-ES"/>
        </w:rPr>
        <w:t>, el médico forense</w:t>
      </w:r>
      <w:r w:rsidRPr="00975C02">
        <w:rPr>
          <w:rFonts w:cs="Arial"/>
          <w:sz w:val="20"/>
          <w:szCs w:val="20"/>
          <w:vertAlign w:val="superscript"/>
          <w:lang w:val="es-ES"/>
        </w:rPr>
        <w:footnoteReference w:id="171"/>
      </w:r>
      <w:r w:rsidRPr="00975C02">
        <w:rPr>
          <w:sz w:val="20"/>
          <w:szCs w:val="20"/>
          <w:lang w:val="es-ES"/>
        </w:rPr>
        <w:t>, una integrante del Tribunal de Jurado</w:t>
      </w:r>
      <w:r w:rsidR="003C0254" w:rsidRPr="00975C02">
        <w:rPr>
          <w:sz w:val="20"/>
          <w:szCs w:val="20"/>
          <w:lang w:val="es-ES"/>
        </w:rPr>
        <w:t>s</w:t>
      </w:r>
      <w:r w:rsidRPr="00975C02">
        <w:rPr>
          <w:sz w:val="20"/>
          <w:szCs w:val="20"/>
          <w:vertAlign w:val="superscript"/>
          <w:lang w:val="es-ES"/>
        </w:rPr>
        <w:footnoteReference w:id="172"/>
      </w:r>
      <w:r w:rsidR="001E47AC" w:rsidRPr="00975C02">
        <w:rPr>
          <w:sz w:val="20"/>
          <w:szCs w:val="20"/>
          <w:lang w:val="es-ES"/>
        </w:rPr>
        <w:t xml:space="preserve"> y </w:t>
      </w:r>
      <w:r w:rsidRPr="00975C02">
        <w:rPr>
          <w:sz w:val="20"/>
          <w:szCs w:val="20"/>
          <w:lang w:val="es-ES"/>
        </w:rPr>
        <w:t xml:space="preserve">la jueza de derecho y presidenta del Tribunal </w:t>
      </w:r>
      <w:r w:rsidRPr="00975C02">
        <w:rPr>
          <w:sz w:val="20"/>
          <w:szCs w:val="20"/>
          <w:lang w:val="es-ES"/>
        </w:rPr>
        <w:lastRenderedPageBreak/>
        <w:t>de Jurado</w:t>
      </w:r>
      <w:r w:rsidR="003C0254" w:rsidRPr="00975C02">
        <w:rPr>
          <w:sz w:val="20"/>
          <w:szCs w:val="20"/>
          <w:lang w:val="es-ES"/>
        </w:rPr>
        <w:t>s</w:t>
      </w:r>
      <w:r w:rsidRPr="00975C02">
        <w:rPr>
          <w:rFonts w:cs="Arial"/>
          <w:sz w:val="20"/>
          <w:szCs w:val="20"/>
          <w:vertAlign w:val="superscript"/>
          <w:lang w:val="es-ES"/>
        </w:rPr>
        <w:footnoteReference w:id="173"/>
      </w:r>
      <w:r w:rsidRPr="00975C02">
        <w:rPr>
          <w:sz w:val="20"/>
          <w:szCs w:val="20"/>
          <w:lang w:val="es-ES"/>
        </w:rPr>
        <w:t xml:space="preserve">, </w:t>
      </w:r>
      <w:r w:rsidR="001E47AC" w:rsidRPr="00975C02">
        <w:rPr>
          <w:sz w:val="20"/>
          <w:szCs w:val="20"/>
          <w:lang w:val="es-ES"/>
        </w:rPr>
        <w:t>p</w:t>
      </w:r>
      <w:r w:rsidRPr="00975C02">
        <w:rPr>
          <w:sz w:val="20"/>
          <w:szCs w:val="20"/>
          <w:lang w:val="es-ES"/>
        </w:rPr>
        <w:t xml:space="preserve">resentaron </w:t>
      </w:r>
      <w:r w:rsidR="0048423A" w:rsidRPr="00975C02">
        <w:rPr>
          <w:sz w:val="20"/>
          <w:szCs w:val="20"/>
          <w:lang w:val="es-ES"/>
        </w:rPr>
        <w:t xml:space="preserve">acciones </w:t>
      </w:r>
      <w:r w:rsidRPr="00975C02">
        <w:rPr>
          <w:sz w:val="20"/>
          <w:szCs w:val="20"/>
          <w:lang w:val="es-ES"/>
        </w:rPr>
        <w:t xml:space="preserve">contra V.P.C. y sus familiares </w:t>
      </w:r>
      <w:r w:rsidR="00B5625C" w:rsidRPr="00975C02">
        <w:rPr>
          <w:sz w:val="20"/>
          <w:szCs w:val="20"/>
          <w:lang w:val="es-ES"/>
        </w:rPr>
        <w:t>por los delitos de injurias y calumnias</w:t>
      </w:r>
      <w:r w:rsidR="001E47AC" w:rsidRPr="00975C02">
        <w:rPr>
          <w:sz w:val="20"/>
          <w:szCs w:val="20"/>
          <w:lang w:val="es-ES"/>
        </w:rPr>
        <w:t xml:space="preserve">. Los abogados que apoyaron legalmente dichas </w:t>
      </w:r>
      <w:r w:rsidR="0048423A" w:rsidRPr="00975C02">
        <w:rPr>
          <w:sz w:val="20"/>
          <w:szCs w:val="20"/>
          <w:lang w:val="es-ES"/>
        </w:rPr>
        <w:t xml:space="preserve">acciones </w:t>
      </w:r>
      <w:r w:rsidR="001E47AC" w:rsidRPr="00975C02">
        <w:rPr>
          <w:sz w:val="20"/>
          <w:szCs w:val="20"/>
          <w:lang w:val="es-ES"/>
        </w:rPr>
        <w:t>se encontraban relacionados con el imputado.</w:t>
      </w:r>
      <w:r w:rsidR="00F63EBB" w:rsidRPr="00975C02">
        <w:rPr>
          <w:sz w:val="20"/>
          <w:szCs w:val="20"/>
          <w:lang w:val="es-ES"/>
        </w:rPr>
        <w:t xml:space="preserve"> Entre ellos, </w:t>
      </w:r>
      <w:r w:rsidR="00F63EBB" w:rsidRPr="00975C02">
        <w:rPr>
          <w:rFonts w:cs="Arial"/>
          <w:color w:val="000000"/>
          <w:sz w:val="20"/>
          <w:szCs w:val="20"/>
          <w:lang w:val="es-ES"/>
        </w:rPr>
        <w:t>el hermano del médico forense, quien era persona conocida de H.R.A. y declaró como testigo en el proceso a favor del acusado</w:t>
      </w:r>
      <w:r w:rsidR="00F63EBB" w:rsidRPr="00975C02">
        <w:rPr>
          <w:rStyle w:val="FootnoteReference"/>
          <w:rFonts w:cs="Arial"/>
          <w:color w:val="000000"/>
          <w:sz w:val="20"/>
          <w:szCs w:val="20"/>
          <w:lang w:val="es-ES"/>
        </w:rPr>
        <w:footnoteReference w:id="174"/>
      </w:r>
      <w:r w:rsidR="00F63EBB" w:rsidRPr="00975C02">
        <w:rPr>
          <w:rFonts w:cs="Arial"/>
          <w:color w:val="000000"/>
          <w:sz w:val="20"/>
          <w:szCs w:val="20"/>
          <w:lang w:val="es-ES"/>
        </w:rPr>
        <w:t>.</w:t>
      </w:r>
    </w:p>
    <w:p w14:paraId="32D2878E" w14:textId="77777777" w:rsidR="00B5625C" w:rsidRPr="00975C02" w:rsidRDefault="00B5625C" w:rsidP="00B5625C">
      <w:pPr>
        <w:spacing w:line="240" w:lineRule="auto"/>
        <w:rPr>
          <w:sz w:val="20"/>
          <w:szCs w:val="20"/>
          <w:lang w:val="es-ES"/>
        </w:rPr>
      </w:pPr>
    </w:p>
    <w:p w14:paraId="51A71E56" w14:textId="77777777" w:rsidR="00B5625C" w:rsidRPr="00975C02" w:rsidRDefault="00B5625C" w:rsidP="00963AF3">
      <w:pPr>
        <w:pStyle w:val="ListParagraph"/>
        <w:keepNext/>
        <w:keepLines/>
        <w:numPr>
          <w:ilvl w:val="0"/>
          <w:numId w:val="15"/>
        </w:numPr>
        <w:tabs>
          <w:tab w:val="left" w:pos="1276"/>
        </w:tabs>
        <w:spacing w:line="240" w:lineRule="auto"/>
        <w:outlineLvl w:val="1"/>
        <w:rPr>
          <w:rFonts w:eastAsia="MS Mincho"/>
          <w:b/>
          <w:bCs/>
          <w:i/>
          <w:sz w:val="20"/>
          <w:szCs w:val="20"/>
          <w:lang w:val="es-ES"/>
        </w:rPr>
      </w:pPr>
      <w:bookmarkStart w:id="115" w:name="_Toc514172625"/>
      <w:r w:rsidRPr="00975C02">
        <w:rPr>
          <w:rFonts w:eastAsia="MS Mincho"/>
          <w:b/>
          <w:bCs/>
          <w:i/>
          <w:sz w:val="20"/>
          <w:szCs w:val="20"/>
          <w:lang w:val="es-ES"/>
        </w:rPr>
        <w:t>La salida de la señora V.P.C. junto a sus hijas a los Estados Unidos de América</w:t>
      </w:r>
      <w:bookmarkEnd w:id="115"/>
    </w:p>
    <w:p w14:paraId="1343BB96" w14:textId="77777777" w:rsidR="00B5625C" w:rsidRPr="00975C02" w:rsidRDefault="00B5625C" w:rsidP="00B5625C">
      <w:pPr>
        <w:widowControl/>
        <w:adjustRightInd/>
        <w:spacing w:line="240" w:lineRule="auto"/>
        <w:ind w:left="1418"/>
        <w:textAlignment w:val="auto"/>
        <w:rPr>
          <w:b/>
          <w:i/>
          <w:sz w:val="20"/>
          <w:szCs w:val="20"/>
          <w:lang w:val="es-ES"/>
        </w:rPr>
      </w:pPr>
    </w:p>
    <w:p w14:paraId="28802403" w14:textId="3DCDE413"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El 6 de diciembre de 2002 la señora V.P.C. salió de Nicaragua junto con sus dos hijas V.R.P. y N.R.P.</w:t>
      </w:r>
      <w:r w:rsidRPr="00975C02">
        <w:rPr>
          <w:sz w:val="20"/>
          <w:szCs w:val="20"/>
          <w:vertAlign w:val="superscript"/>
          <w:lang w:val="es-ES"/>
        </w:rPr>
        <w:footnoteReference w:id="175"/>
      </w:r>
      <w:r w:rsidRPr="00975C02">
        <w:rPr>
          <w:sz w:val="20"/>
          <w:szCs w:val="20"/>
          <w:lang w:val="es-ES"/>
        </w:rPr>
        <w:t xml:space="preserve">, e ingresó a </w:t>
      </w:r>
      <w:r w:rsidR="00063C4E" w:rsidRPr="00975C02">
        <w:rPr>
          <w:sz w:val="20"/>
          <w:szCs w:val="20"/>
          <w:lang w:val="es-ES"/>
        </w:rPr>
        <w:t xml:space="preserve">los </w:t>
      </w:r>
      <w:r w:rsidRPr="00975C02">
        <w:rPr>
          <w:sz w:val="20"/>
          <w:szCs w:val="20"/>
          <w:lang w:val="es-ES"/>
        </w:rPr>
        <w:t>Estados Unidos donde se les concedió el asilo</w:t>
      </w:r>
      <w:r w:rsidRPr="00975C02">
        <w:rPr>
          <w:sz w:val="20"/>
          <w:szCs w:val="20"/>
          <w:vertAlign w:val="superscript"/>
          <w:lang w:val="es-ES"/>
        </w:rPr>
        <w:footnoteReference w:id="176"/>
      </w:r>
      <w:r w:rsidRPr="00975C02">
        <w:rPr>
          <w:sz w:val="20"/>
          <w:szCs w:val="20"/>
          <w:lang w:val="es-ES"/>
        </w:rPr>
        <w:t>.</w:t>
      </w:r>
    </w:p>
    <w:p w14:paraId="56F25B9C" w14:textId="77777777" w:rsidR="00B5625C" w:rsidRPr="00975C02" w:rsidRDefault="00B5625C" w:rsidP="00B5625C">
      <w:pPr>
        <w:spacing w:line="240" w:lineRule="auto"/>
        <w:rPr>
          <w:sz w:val="20"/>
          <w:szCs w:val="20"/>
          <w:lang w:val="es-ES"/>
        </w:rPr>
      </w:pPr>
    </w:p>
    <w:p w14:paraId="2AB14551"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Una vez radicadas en </w:t>
      </w:r>
      <w:r w:rsidR="005C77A8" w:rsidRPr="00975C02">
        <w:rPr>
          <w:sz w:val="20"/>
          <w:szCs w:val="20"/>
          <w:lang w:val="es-ES"/>
        </w:rPr>
        <w:t>los Estados Unidos</w:t>
      </w:r>
      <w:r w:rsidRPr="00975C02">
        <w:rPr>
          <w:sz w:val="20"/>
          <w:szCs w:val="20"/>
          <w:lang w:val="es-ES"/>
        </w:rPr>
        <w:t>, la niña V.R.P. inició un tratamiento psiquiátrico en el mes de octubre de 2003 debido a “sus severos síntomas relacionados con el abuso sexual que sufrió”</w:t>
      </w:r>
      <w:r w:rsidRPr="00975C02">
        <w:rPr>
          <w:sz w:val="20"/>
          <w:szCs w:val="20"/>
          <w:vertAlign w:val="superscript"/>
          <w:lang w:val="es-ES"/>
        </w:rPr>
        <w:footnoteReference w:id="177"/>
      </w:r>
      <w:r w:rsidRPr="00975C02">
        <w:rPr>
          <w:sz w:val="20"/>
          <w:szCs w:val="20"/>
          <w:lang w:val="es-ES"/>
        </w:rPr>
        <w:t>. Tales síntomas consistían en depresión, ansiedad, hipervigilancia, y comportamiento automutilatorio.</w:t>
      </w:r>
    </w:p>
    <w:p w14:paraId="6DBCFF80" w14:textId="77777777" w:rsidR="00B5625C" w:rsidRPr="00975C02" w:rsidRDefault="00B5625C" w:rsidP="00B5625C">
      <w:pPr>
        <w:tabs>
          <w:tab w:val="left" w:pos="567"/>
        </w:tabs>
        <w:spacing w:line="240" w:lineRule="auto"/>
        <w:rPr>
          <w:sz w:val="20"/>
          <w:szCs w:val="20"/>
          <w:lang w:val="es-ES"/>
        </w:rPr>
      </w:pPr>
    </w:p>
    <w:p w14:paraId="06A2D1DB" w14:textId="1EB38326"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el año 2003 cuando se encontraba ya instalada en </w:t>
      </w:r>
      <w:r w:rsidR="00063C4E" w:rsidRPr="00975C02">
        <w:rPr>
          <w:sz w:val="20"/>
          <w:szCs w:val="20"/>
          <w:lang w:val="es-ES"/>
        </w:rPr>
        <w:t xml:space="preserve">los </w:t>
      </w:r>
      <w:r w:rsidRPr="00975C02">
        <w:rPr>
          <w:sz w:val="20"/>
          <w:szCs w:val="20"/>
          <w:lang w:val="es-ES"/>
        </w:rPr>
        <w:t>Estados Unidos, la señora V.P.C. manifestó que “h[abía] recibido un anónimo donde una persona [le] hac[ía] ver que ya sab[ía] dónde [se] enc[ontraba] y que pronto vendrá, ha intervenido la Oficina de Inspection Service Post Office, y el Departamento de Niños y Familia a través de Child Protective investigador, para proteger a mi hija de eventuales amenazas de muerte que pudieran llegar a materializarse, y todo por el descuido y abandono generalizado a que las autoridades judiciales nicaragüenses han sometido a toda una familia”</w:t>
      </w:r>
      <w:r w:rsidRPr="00975C02">
        <w:rPr>
          <w:sz w:val="20"/>
          <w:szCs w:val="20"/>
          <w:vertAlign w:val="superscript"/>
          <w:lang w:val="es-ES"/>
        </w:rPr>
        <w:footnoteReference w:id="178"/>
      </w:r>
      <w:r w:rsidRPr="00975C02">
        <w:rPr>
          <w:sz w:val="20"/>
          <w:szCs w:val="20"/>
          <w:lang w:val="es-ES"/>
        </w:rPr>
        <w:t>.</w:t>
      </w:r>
    </w:p>
    <w:p w14:paraId="2F5977E1" w14:textId="77777777" w:rsidR="00B5625C" w:rsidRPr="00975C02" w:rsidRDefault="00B5625C" w:rsidP="00B5625C">
      <w:pPr>
        <w:tabs>
          <w:tab w:val="left" w:pos="567"/>
        </w:tabs>
        <w:spacing w:line="240" w:lineRule="auto"/>
        <w:rPr>
          <w:sz w:val="20"/>
          <w:szCs w:val="20"/>
          <w:lang w:val="es-ES"/>
        </w:rPr>
      </w:pPr>
    </w:p>
    <w:p w14:paraId="1658CADB" w14:textId="6D21F5A9"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Con posterioridad, el 1 de abril de 2008 la niña V.R.P. tuvo que ser hospitalizada en la ciudad de Miami durante</w:t>
      </w:r>
      <w:r w:rsidR="00332E34" w:rsidRPr="00975C02">
        <w:rPr>
          <w:sz w:val="20"/>
          <w:szCs w:val="20"/>
          <w:lang w:val="es-ES"/>
        </w:rPr>
        <w:t xml:space="preserve"> más de</w:t>
      </w:r>
      <w:r w:rsidRPr="00975C02">
        <w:rPr>
          <w:sz w:val="20"/>
          <w:szCs w:val="20"/>
          <w:lang w:val="es-ES"/>
        </w:rPr>
        <w:t xml:space="preserve"> quince días debido a su tratamiento frente a la depresión post-traumática</w:t>
      </w:r>
      <w:r w:rsidRPr="00975C02">
        <w:rPr>
          <w:sz w:val="20"/>
          <w:szCs w:val="20"/>
          <w:vertAlign w:val="superscript"/>
          <w:lang w:val="es-ES"/>
        </w:rPr>
        <w:footnoteReference w:id="179"/>
      </w:r>
      <w:r w:rsidRPr="00975C02">
        <w:rPr>
          <w:sz w:val="20"/>
          <w:szCs w:val="20"/>
          <w:lang w:val="es-ES"/>
        </w:rPr>
        <w:t xml:space="preserve">. La afectación psicológica de la niña ya había sido señalada mediante diagnósticos e informes psicológicos y psiquiátricos realizados en Nicaragua durante y después del proceso penal </w:t>
      </w:r>
      <w:r w:rsidRPr="00975C02">
        <w:rPr>
          <w:sz w:val="20"/>
          <w:szCs w:val="20"/>
          <w:lang w:val="es-ES"/>
        </w:rPr>
        <w:lastRenderedPageBreak/>
        <w:t>por violación sexual</w:t>
      </w:r>
      <w:r w:rsidRPr="00975C02">
        <w:rPr>
          <w:sz w:val="20"/>
          <w:szCs w:val="20"/>
          <w:vertAlign w:val="superscript"/>
          <w:lang w:val="es-ES"/>
        </w:rPr>
        <w:footnoteReference w:id="180"/>
      </w:r>
      <w:r w:rsidRPr="00975C02">
        <w:rPr>
          <w:sz w:val="20"/>
          <w:szCs w:val="20"/>
          <w:lang w:val="es-ES"/>
        </w:rPr>
        <w:t>.</w:t>
      </w:r>
    </w:p>
    <w:p w14:paraId="676AFE69" w14:textId="77777777" w:rsidR="00B5625C" w:rsidRPr="00975C02" w:rsidRDefault="00B5625C" w:rsidP="00B5625C">
      <w:pPr>
        <w:spacing w:line="240" w:lineRule="auto"/>
        <w:rPr>
          <w:sz w:val="20"/>
          <w:szCs w:val="20"/>
          <w:lang w:val="es-ES"/>
        </w:rPr>
      </w:pPr>
    </w:p>
    <w:p w14:paraId="0EAEED98" w14:textId="77777777" w:rsidR="00B5625C" w:rsidRPr="00975C02" w:rsidRDefault="00B5625C" w:rsidP="005C77A8">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Luego de su salida, la señora V.P.C. ha regresado en dos oportunidades a Nicaragua, mientras que V.R.P. nunca ha retornado</w:t>
      </w:r>
      <w:r w:rsidRPr="00975C02">
        <w:rPr>
          <w:sz w:val="20"/>
          <w:szCs w:val="20"/>
          <w:vertAlign w:val="superscript"/>
          <w:lang w:val="es-ES"/>
        </w:rPr>
        <w:footnoteReference w:id="181"/>
      </w:r>
      <w:r w:rsidRPr="00975C02">
        <w:rPr>
          <w:sz w:val="20"/>
          <w:szCs w:val="20"/>
          <w:lang w:val="es-ES"/>
        </w:rPr>
        <w:t>.</w:t>
      </w:r>
    </w:p>
    <w:p w14:paraId="67DDA5D3" w14:textId="77777777" w:rsidR="00B5625C" w:rsidRPr="00975C02" w:rsidRDefault="00B5625C" w:rsidP="00B5625C">
      <w:pPr>
        <w:widowControl/>
        <w:adjustRightInd/>
        <w:spacing w:line="240" w:lineRule="auto"/>
        <w:jc w:val="left"/>
        <w:textAlignment w:val="auto"/>
        <w:rPr>
          <w:rFonts w:cs="Verdana"/>
          <w:b/>
          <w:bCs/>
          <w:caps/>
          <w:snapToGrid w:val="0"/>
          <w:sz w:val="20"/>
          <w:szCs w:val="20"/>
          <w:lang w:val="es-ES"/>
        </w:rPr>
      </w:pPr>
    </w:p>
    <w:p w14:paraId="3D2F860A" w14:textId="77777777" w:rsidR="00B5625C" w:rsidRPr="00975C02" w:rsidRDefault="00B5625C" w:rsidP="00B5625C">
      <w:pPr>
        <w:keepNext/>
        <w:keepLines/>
        <w:tabs>
          <w:tab w:val="left" w:pos="851"/>
        </w:tabs>
        <w:spacing w:line="240" w:lineRule="auto"/>
        <w:jc w:val="center"/>
        <w:outlineLvl w:val="0"/>
        <w:rPr>
          <w:rFonts w:cs="Verdana"/>
          <w:b/>
          <w:bCs/>
          <w:caps/>
          <w:snapToGrid w:val="0"/>
          <w:sz w:val="20"/>
          <w:szCs w:val="20"/>
          <w:lang w:val="es-ES"/>
        </w:rPr>
      </w:pPr>
      <w:bookmarkStart w:id="116" w:name="_Toc514172626"/>
      <w:r w:rsidRPr="00975C02">
        <w:rPr>
          <w:rFonts w:cs="Verdana"/>
          <w:b/>
          <w:bCs/>
          <w:caps/>
          <w:snapToGrid w:val="0"/>
          <w:sz w:val="20"/>
          <w:szCs w:val="20"/>
          <w:lang w:val="es-ES"/>
        </w:rPr>
        <w:t>vIii</w:t>
      </w:r>
      <w:r w:rsidRPr="00975C02">
        <w:rPr>
          <w:rFonts w:cs="Verdana"/>
          <w:b/>
          <w:bCs/>
          <w:caps/>
          <w:snapToGrid w:val="0"/>
          <w:sz w:val="20"/>
          <w:szCs w:val="20"/>
          <w:lang w:val="es-ES"/>
        </w:rPr>
        <w:br/>
        <w:t>FONDO</w:t>
      </w:r>
      <w:bookmarkEnd w:id="100"/>
      <w:bookmarkEnd w:id="101"/>
      <w:bookmarkEnd w:id="102"/>
      <w:bookmarkEnd w:id="116"/>
    </w:p>
    <w:p w14:paraId="6336072C" w14:textId="77777777" w:rsidR="00B5625C" w:rsidRPr="00975C02" w:rsidRDefault="00B5625C" w:rsidP="00B5625C">
      <w:pPr>
        <w:spacing w:line="240" w:lineRule="auto"/>
        <w:rPr>
          <w:rFonts w:cs="Verdana"/>
          <w:bCs/>
          <w:caps/>
          <w:snapToGrid w:val="0"/>
          <w:sz w:val="20"/>
          <w:szCs w:val="20"/>
          <w:lang w:val="es-ES"/>
        </w:rPr>
      </w:pPr>
    </w:p>
    <w:p w14:paraId="2ABDFF26" w14:textId="7713BC5B" w:rsidR="007D1BE9" w:rsidRPr="00975C02" w:rsidRDefault="0027432F" w:rsidP="007D1BE9">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 xml:space="preserve">En el presente capítulo, la Corte abordará el examen de fondo del caso. </w:t>
      </w:r>
      <w:r w:rsidR="00C91DFD" w:rsidRPr="00975C02">
        <w:rPr>
          <w:kern w:val="2"/>
          <w:sz w:val="20"/>
          <w:szCs w:val="20"/>
          <w:lang w:val="es-ES" w:eastAsia="en-US"/>
        </w:rPr>
        <w:t xml:space="preserve">La Corte se encuentra llamada en el presente caso a analizar la </w:t>
      </w:r>
      <w:r w:rsidR="00F70FC2" w:rsidRPr="00975C02">
        <w:rPr>
          <w:kern w:val="2"/>
          <w:sz w:val="20"/>
          <w:szCs w:val="20"/>
          <w:lang w:val="es-ES" w:eastAsia="en-US"/>
        </w:rPr>
        <w:t xml:space="preserve">alegada </w:t>
      </w:r>
      <w:r w:rsidR="00C91DFD" w:rsidRPr="00975C02">
        <w:rPr>
          <w:kern w:val="2"/>
          <w:sz w:val="20"/>
          <w:szCs w:val="20"/>
          <w:lang w:val="es-ES" w:eastAsia="en-US"/>
        </w:rPr>
        <w:t xml:space="preserve">responsabilidad internacional del Estado con base en sus obligaciones internacionales derivadas de la Convención Americana, y de manera particular de la Convención de Belém do Pará, en el caso de una niña quien fue víctima de violación sexual </w:t>
      </w:r>
      <w:r w:rsidR="00F70FC2" w:rsidRPr="00975C02">
        <w:rPr>
          <w:kern w:val="2"/>
          <w:sz w:val="20"/>
          <w:szCs w:val="20"/>
          <w:lang w:val="es-ES" w:eastAsia="en-US"/>
        </w:rPr>
        <w:t xml:space="preserve">a la edad de ocho años, cometida </w:t>
      </w:r>
      <w:r w:rsidR="00C91DFD" w:rsidRPr="00975C02">
        <w:rPr>
          <w:kern w:val="2"/>
          <w:sz w:val="20"/>
          <w:szCs w:val="20"/>
          <w:lang w:val="es-ES" w:eastAsia="en-US"/>
        </w:rPr>
        <w:t>por</w:t>
      </w:r>
      <w:r w:rsidR="00F70FC2" w:rsidRPr="00975C02">
        <w:rPr>
          <w:kern w:val="2"/>
          <w:sz w:val="20"/>
          <w:szCs w:val="20"/>
          <w:lang w:val="es-ES" w:eastAsia="en-US"/>
        </w:rPr>
        <w:t xml:space="preserve"> parte de</w:t>
      </w:r>
      <w:r w:rsidR="00C91DFD" w:rsidRPr="00975C02">
        <w:rPr>
          <w:kern w:val="2"/>
          <w:sz w:val="20"/>
          <w:szCs w:val="20"/>
          <w:lang w:val="es-ES" w:eastAsia="en-US"/>
        </w:rPr>
        <w:t xml:space="preserve"> un actor no estatal. </w:t>
      </w:r>
      <w:r w:rsidR="00C91DFD" w:rsidRPr="00975C02">
        <w:rPr>
          <w:sz w:val="20"/>
          <w:szCs w:val="20"/>
          <w:lang w:val="es-ES"/>
        </w:rPr>
        <w:t>De acuerdo a los alegatos presentados,</w:t>
      </w:r>
      <w:r w:rsidR="007D1BE9" w:rsidRPr="00975C02">
        <w:rPr>
          <w:sz w:val="20"/>
          <w:szCs w:val="20"/>
          <w:lang w:val="es-ES"/>
        </w:rPr>
        <w:t xml:space="preserve"> la responsabilidad internacional del Estado de Nicaragua </w:t>
      </w:r>
      <w:r w:rsidR="009017A9" w:rsidRPr="00975C02">
        <w:rPr>
          <w:sz w:val="20"/>
          <w:szCs w:val="20"/>
          <w:lang w:val="es-ES"/>
        </w:rPr>
        <w:t xml:space="preserve">se habría configurado por </w:t>
      </w:r>
      <w:r w:rsidR="00C91DFD" w:rsidRPr="00975C02">
        <w:rPr>
          <w:sz w:val="20"/>
          <w:szCs w:val="20"/>
          <w:lang w:val="es-ES"/>
        </w:rPr>
        <w:t>una serie de</w:t>
      </w:r>
      <w:r w:rsidR="007D1BE9" w:rsidRPr="00975C02">
        <w:rPr>
          <w:sz w:val="20"/>
          <w:szCs w:val="20"/>
          <w:lang w:val="es-ES"/>
        </w:rPr>
        <w:t xml:space="preserve"> acciones y omisiones estatales frente a la violación sexual</w:t>
      </w:r>
      <w:r w:rsidR="00C91DFD" w:rsidRPr="00975C02">
        <w:rPr>
          <w:sz w:val="20"/>
          <w:szCs w:val="20"/>
          <w:lang w:val="es-ES"/>
        </w:rPr>
        <w:t>, que no habrían respetado el deber de debida diligencia reforzad</w:t>
      </w:r>
      <w:r w:rsidR="00F70FC2" w:rsidRPr="00975C02">
        <w:rPr>
          <w:sz w:val="20"/>
          <w:szCs w:val="20"/>
          <w:lang w:val="es-ES"/>
        </w:rPr>
        <w:t>a</w:t>
      </w:r>
      <w:r w:rsidR="00C91DFD" w:rsidRPr="00975C02">
        <w:rPr>
          <w:sz w:val="20"/>
          <w:szCs w:val="20"/>
          <w:lang w:val="es-ES"/>
        </w:rPr>
        <w:t xml:space="preserve"> y</w:t>
      </w:r>
      <w:r w:rsidR="00F70FC2" w:rsidRPr="00975C02">
        <w:rPr>
          <w:sz w:val="20"/>
          <w:szCs w:val="20"/>
          <w:lang w:val="es-ES"/>
        </w:rPr>
        <w:t xml:space="preserve"> protección especial, y</w:t>
      </w:r>
      <w:r w:rsidR="00C91DFD" w:rsidRPr="00975C02">
        <w:rPr>
          <w:sz w:val="20"/>
          <w:szCs w:val="20"/>
          <w:lang w:val="es-ES"/>
        </w:rPr>
        <w:t xml:space="preserve"> que habrían tenido tal entidad que provoca</w:t>
      </w:r>
      <w:r w:rsidR="001213BE" w:rsidRPr="00975C02">
        <w:rPr>
          <w:sz w:val="20"/>
          <w:szCs w:val="20"/>
          <w:lang w:val="es-ES"/>
        </w:rPr>
        <w:t>ron</w:t>
      </w:r>
      <w:r w:rsidR="00C91DFD" w:rsidRPr="00975C02">
        <w:rPr>
          <w:sz w:val="20"/>
          <w:szCs w:val="20"/>
          <w:lang w:val="es-ES"/>
        </w:rPr>
        <w:t xml:space="preserve"> una situación de revictimización con grave afectación a </w:t>
      </w:r>
      <w:r w:rsidR="0088117D" w:rsidRPr="00975C02">
        <w:rPr>
          <w:sz w:val="20"/>
          <w:szCs w:val="20"/>
          <w:lang w:val="es-ES"/>
        </w:rPr>
        <w:t>diversos</w:t>
      </w:r>
      <w:r w:rsidR="00C91DFD" w:rsidRPr="00975C02">
        <w:rPr>
          <w:sz w:val="20"/>
          <w:szCs w:val="20"/>
          <w:lang w:val="es-ES"/>
        </w:rPr>
        <w:t xml:space="preserve"> derechos de las presuntas víctimas</w:t>
      </w:r>
      <w:r w:rsidR="007D1BE9" w:rsidRPr="00975C02">
        <w:rPr>
          <w:sz w:val="20"/>
          <w:szCs w:val="20"/>
          <w:lang w:val="es-ES"/>
        </w:rPr>
        <w:t>.</w:t>
      </w:r>
    </w:p>
    <w:p w14:paraId="55F21850" w14:textId="77777777" w:rsidR="007D1BE9" w:rsidRPr="00975C02" w:rsidRDefault="007D1BE9" w:rsidP="007D1BE9">
      <w:pPr>
        <w:tabs>
          <w:tab w:val="left" w:pos="567"/>
        </w:tabs>
        <w:spacing w:line="240" w:lineRule="auto"/>
        <w:rPr>
          <w:sz w:val="20"/>
          <w:szCs w:val="20"/>
          <w:lang w:val="es-ES"/>
        </w:rPr>
      </w:pPr>
    </w:p>
    <w:p w14:paraId="439BA827" w14:textId="3BAB35D0" w:rsidR="00B5625C" w:rsidRPr="00975C02" w:rsidRDefault="0027432F" w:rsidP="005C77A8">
      <w:pPr>
        <w:numPr>
          <w:ilvl w:val="0"/>
          <w:numId w:val="2"/>
        </w:numPr>
        <w:tabs>
          <w:tab w:val="left" w:pos="567"/>
          <w:tab w:val="num" w:pos="12305"/>
        </w:tabs>
        <w:spacing w:line="240" w:lineRule="auto"/>
        <w:ind w:left="0" w:firstLine="0"/>
        <w:rPr>
          <w:rFonts w:cs="Verdana"/>
          <w:bCs/>
          <w:caps/>
          <w:snapToGrid w:val="0"/>
          <w:sz w:val="20"/>
          <w:szCs w:val="20"/>
          <w:lang w:val="es-ES"/>
        </w:rPr>
      </w:pPr>
      <w:r w:rsidRPr="00975C02">
        <w:rPr>
          <w:sz w:val="20"/>
          <w:szCs w:val="20"/>
          <w:lang w:val="es-ES"/>
        </w:rPr>
        <w:t>Por consiguiente</w:t>
      </w:r>
      <w:r w:rsidR="00B5625C" w:rsidRPr="00975C02">
        <w:rPr>
          <w:sz w:val="20"/>
          <w:szCs w:val="20"/>
          <w:lang w:val="es-ES"/>
        </w:rPr>
        <w:t>,</w:t>
      </w:r>
      <w:r w:rsidRPr="00975C02">
        <w:rPr>
          <w:sz w:val="20"/>
          <w:szCs w:val="20"/>
          <w:lang w:val="es-ES"/>
        </w:rPr>
        <w:t xml:space="preserve"> a fin de abordar los alegatos presentados, la </w:t>
      </w:r>
      <w:r w:rsidR="00B5625C" w:rsidRPr="00975C02">
        <w:rPr>
          <w:sz w:val="20"/>
          <w:szCs w:val="20"/>
          <w:lang w:val="es-ES"/>
        </w:rPr>
        <w:t xml:space="preserve">Corte </w:t>
      </w:r>
      <w:r w:rsidRPr="00975C02">
        <w:rPr>
          <w:sz w:val="20"/>
          <w:szCs w:val="20"/>
          <w:lang w:val="es-ES"/>
        </w:rPr>
        <w:t xml:space="preserve">procederá de la siguiente manera: en primer lugar, </w:t>
      </w:r>
      <w:r w:rsidR="00B5625C" w:rsidRPr="00975C02">
        <w:rPr>
          <w:sz w:val="20"/>
          <w:szCs w:val="20"/>
          <w:lang w:val="es-ES"/>
        </w:rPr>
        <w:t>examinará todos los alegatos referidos a la obligación de investigar y</w:t>
      </w:r>
      <w:r w:rsidRPr="00975C02">
        <w:rPr>
          <w:sz w:val="20"/>
          <w:szCs w:val="20"/>
          <w:lang w:val="es-ES"/>
        </w:rPr>
        <w:t xml:space="preserve"> el deber de debida diligencia reforzad</w:t>
      </w:r>
      <w:r w:rsidR="00941023" w:rsidRPr="00975C02">
        <w:rPr>
          <w:sz w:val="20"/>
          <w:szCs w:val="20"/>
          <w:lang w:val="es-ES"/>
        </w:rPr>
        <w:t>a y protección especial</w:t>
      </w:r>
      <w:r w:rsidRPr="00975C02">
        <w:rPr>
          <w:sz w:val="20"/>
          <w:szCs w:val="20"/>
          <w:lang w:val="es-ES"/>
        </w:rPr>
        <w:t>, así como lo referido a</w:t>
      </w:r>
      <w:r w:rsidRPr="00975C02">
        <w:rPr>
          <w:rFonts w:eastAsia="MS Mincho"/>
          <w:sz w:val="20"/>
          <w:szCs w:val="20"/>
          <w:lang w:val="es-ES"/>
        </w:rPr>
        <w:t xml:space="preserve"> las garantías judiciales en el caso de juicio por jurados y el plazo razonable, junto con las </w:t>
      </w:r>
      <w:r w:rsidRPr="00975C02">
        <w:rPr>
          <w:sz w:val="20"/>
          <w:szCs w:val="20"/>
          <w:lang w:val="es-ES"/>
        </w:rPr>
        <w:t>obligaciones previstas en el artículo 7</w:t>
      </w:r>
      <w:r w:rsidR="006347FA" w:rsidRPr="00975C02">
        <w:rPr>
          <w:sz w:val="20"/>
          <w:szCs w:val="20"/>
          <w:lang w:val="es-ES"/>
        </w:rPr>
        <w:t>.</w:t>
      </w:r>
      <w:r w:rsidRPr="00975C02">
        <w:rPr>
          <w:rFonts w:eastAsia="MS Mincho"/>
          <w:sz w:val="20"/>
          <w:szCs w:val="20"/>
          <w:lang w:val="es-ES"/>
        </w:rPr>
        <w:t xml:space="preserve">b) </w:t>
      </w:r>
      <w:r w:rsidRPr="00975C02">
        <w:rPr>
          <w:sz w:val="20"/>
          <w:szCs w:val="20"/>
          <w:lang w:val="es-ES"/>
        </w:rPr>
        <w:t>de la Convención de Belém do Pará</w:t>
      </w:r>
      <w:r w:rsidRPr="00975C02">
        <w:rPr>
          <w:rFonts w:eastAsia="MS Mincho"/>
          <w:sz w:val="20"/>
          <w:szCs w:val="20"/>
          <w:lang w:val="es-ES"/>
        </w:rPr>
        <w:t>.</w:t>
      </w:r>
      <w:r w:rsidR="00B5625C" w:rsidRPr="00975C02">
        <w:rPr>
          <w:rFonts w:eastAsia="MS Mincho"/>
          <w:sz w:val="20"/>
          <w:szCs w:val="20"/>
          <w:lang w:val="es-ES"/>
        </w:rPr>
        <w:t xml:space="preserve"> </w:t>
      </w:r>
      <w:r w:rsidRPr="00975C02">
        <w:rPr>
          <w:sz w:val="20"/>
          <w:szCs w:val="20"/>
          <w:lang w:val="es-ES"/>
        </w:rPr>
        <w:t>Posteriormente</w:t>
      </w:r>
      <w:r w:rsidR="00355ED9" w:rsidRPr="00975C02">
        <w:rPr>
          <w:sz w:val="20"/>
          <w:szCs w:val="20"/>
          <w:lang w:val="es-ES"/>
        </w:rPr>
        <w:t xml:space="preserve">, </w:t>
      </w:r>
      <w:r w:rsidRPr="00975C02">
        <w:rPr>
          <w:sz w:val="20"/>
          <w:szCs w:val="20"/>
          <w:lang w:val="es-ES"/>
        </w:rPr>
        <w:t>estudiará</w:t>
      </w:r>
      <w:r w:rsidR="00355ED9" w:rsidRPr="00975C02">
        <w:rPr>
          <w:sz w:val="20"/>
          <w:szCs w:val="20"/>
          <w:lang w:val="es-ES"/>
        </w:rPr>
        <w:t xml:space="preserve"> los alegatos relativos a la supuesta discriminación </w:t>
      </w:r>
      <w:r w:rsidR="009C2AF2" w:rsidRPr="00975C02">
        <w:rPr>
          <w:sz w:val="20"/>
          <w:szCs w:val="20"/>
          <w:lang w:val="es-ES"/>
        </w:rPr>
        <w:t xml:space="preserve">en el acceso a la justicia </w:t>
      </w:r>
      <w:r w:rsidR="00355ED9" w:rsidRPr="00975C02">
        <w:rPr>
          <w:sz w:val="20"/>
          <w:szCs w:val="20"/>
          <w:lang w:val="es-ES"/>
        </w:rPr>
        <w:t xml:space="preserve">basada en </w:t>
      </w:r>
      <w:r w:rsidR="009C2AF2" w:rsidRPr="00975C02">
        <w:rPr>
          <w:sz w:val="20"/>
          <w:szCs w:val="20"/>
          <w:lang w:val="es-ES"/>
        </w:rPr>
        <w:t xml:space="preserve">motivos de sexo y género, así como en la condición de persona en desarrollo de la </w:t>
      </w:r>
      <w:r w:rsidR="00941023" w:rsidRPr="00975C02">
        <w:rPr>
          <w:sz w:val="20"/>
          <w:szCs w:val="20"/>
          <w:lang w:val="es-ES"/>
        </w:rPr>
        <w:t xml:space="preserve">presunta </w:t>
      </w:r>
      <w:r w:rsidR="009C2AF2" w:rsidRPr="00975C02">
        <w:rPr>
          <w:sz w:val="20"/>
          <w:szCs w:val="20"/>
          <w:lang w:val="es-ES"/>
        </w:rPr>
        <w:t>víctima</w:t>
      </w:r>
      <w:r w:rsidR="00355ED9" w:rsidRPr="00975C02">
        <w:rPr>
          <w:sz w:val="20"/>
          <w:szCs w:val="20"/>
          <w:lang w:val="es-ES"/>
        </w:rPr>
        <w:t>, en los términos de</w:t>
      </w:r>
      <w:r w:rsidR="00941023" w:rsidRPr="00975C02">
        <w:rPr>
          <w:sz w:val="20"/>
          <w:szCs w:val="20"/>
          <w:lang w:val="es-ES"/>
        </w:rPr>
        <w:t xml:space="preserve"> </w:t>
      </w:r>
      <w:r w:rsidR="00355ED9" w:rsidRPr="00975C02">
        <w:rPr>
          <w:sz w:val="20"/>
          <w:szCs w:val="20"/>
          <w:lang w:val="es-ES"/>
        </w:rPr>
        <w:t>l</w:t>
      </w:r>
      <w:r w:rsidR="00941023" w:rsidRPr="00975C02">
        <w:rPr>
          <w:sz w:val="20"/>
          <w:szCs w:val="20"/>
          <w:lang w:val="es-ES"/>
        </w:rPr>
        <w:t>os</w:t>
      </w:r>
      <w:r w:rsidR="00355ED9" w:rsidRPr="00975C02">
        <w:rPr>
          <w:sz w:val="20"/>
          <w:szCs w:val="20"/>
          <w:lang w:val="es-ES"/>
        </w:rPr>
        <w:t xml:space="preserve"> artículo</w:t>
      </w:r>
      <w:r w:rsidR="00941023" w:rsidRPr="00975C02">
        <w:rPr>
          <w:sz w:val="20"/>
          <w:szCs w:val="20"/>
          <w:lang w:val="es-ES"/>
        </w:rPr>
        <w:t>s</w:t>
      </w:r>
      <w:r w:rsidR="00355ED9" w:rsidRPr="00975C02">
        <w:rPr>
          <w:sz w:val="20"/>
          <w:szCs w:val="20"/>
          <w:lang w:val="es-ES"/>
        </w:rPr>
        <w:t xml:space="preserve"> 1.1</w:t>
      </w:r>
      <w:r w:rsidR="00941023" w:rsidRPr="00975C02">
        <w:rPr>
          <w:sz w:val="20"/>
          <w:szCs w:val="20"/>
          <w:lang w:val="es-ES"/>
        </w:rPr>
        <w:t xml:space="preserve"> y 24</w:t>
      </w:r>
      <w:r w:rsidR="00355ED9" w:rsidRPr="00975C02">
        <w:rPr>
          <w:sz w:val="20"/>
          <w:szCs w:val="20"/>
          <w:lang w:val="es-ES"/>
        </w:rPr>
        <w:t xml:space="preserve"> de la Convención Americana</w:t>
      </w:r>
      <w:r w:rsidRPr="00975C02">
        <w:rPr>
          <w:sz w:val="20"/>
          <w:szCs w:val="20"/>
          <w:lang w:val="es-ES"/>
        </w:rPr>
        <w:t xml:space="preserve">, </w:t>
      </w:r>
      <w:r w:rsidR="009C2AF2" w:rsidRPr="00975C02">
        <w:rPr>
          <w:sz w:val="20"/>
          <w:szCs w:val="20"/>
          <w:lang w:val="es-ES"/>
        </w:rPr>
        <w:t xml:space="preserve">y se referirá a </w:t>
      </w:r>
      <w:r w:rsidRPr="00975C02">
        <w:rPr>
          <w:sz w:val="20"/>
          <w:szCs w:val="20"/>
          <w:lang w:val="es-ES"/>
        </w:rPr>
        <w:t>la alegada situación de revictimización en la niña y su núcleo familiar</w:t>
      </w:r>
      <w:r w:rsidR="00355ED9" w:rsidRPr="00975C02">
        <w:rPr>
          <w:sz w:val="20"/>
          <w:szCs w:val="20"/>
          <w:lang w:val="es-ES"/>
        </w:rPr>
        <w:t xml:space="preserve">. </w:t>
      </w:r>
      <w:r w:rsidRPr="00975C02">
        <w:rPr>
          <w:rFonts w:eastAsia="MS Mincho"/>
          <w:sz w:val="20"/>
          <w:szCs w:val="20"/>
          <w:lang w:val="es-ES"/>
        </w:rPr>
        <w:t>Luego</w:t>
      </w:r>
      <w:r w:rsidR="00B5625C" w:rsidRPr="00975C02">
        <w:rPr>
          <w:rFonts w:eastAsia="MS Mincho"/>
          <w:sz w:val="20"/>
          <w:szCs w:val="20"/>
          <w:lang w:val="es-ES"/>
        </w:rPr>
        <w:t xml:space="preserve">, la Corte </w:t>
      </w:r>
      <w:r w:rsidR="00B5625C" w:rsidRPr="00975C02">
        <w:rPr>
          <w:sz w:val="20"/>
          <w:szCs w:val="20"/>
          <w:lang w:val="es-ES"/>
        </w:rPr>
        <w:t>considerará los alegatos de la</w:t>
      </w:r>
      <w:r w:rsidR="00355ED9" w:rsidRPr="00975C02">
        <w:rPr>
          <w:sz w:val="20"/>
          <w:szCs w:val="20"/>
          <w:lang w:val="es-ES"/>
        </w:rPr>
        <w:t>s</w:t>
      </w:r>
      <w:r w:rsidR="00B5625C" w:rsidRPr="00975C02">
        <w:rPr>
          <w:sz w:val="20"/>
          <w:szCs w:val="20"/>
          <w:lang w:val="es-ES"/>
        </w:rPr>
        <w:t xml:space="preserve"> representante</w:t>
      </w:r>
      <w:r w:rsidR="00355ED9" w:rsidRPr="00975C02">
        <w:rPr>
          <w:sz w:val="20"/>
          <w:szCs w:val="20"/>
          <w:lang w:val="es-ES"/>
        </w:rPr>
        <w:t>s</w:t>
      </w:r>
      <w:r w:rsidR="00B5625C" w:rsidRPr="00975C02">
        <w:rPr>
          <w:sz w:val="20"/>
          <w:szCs w:val="20"/>
          <w:lang w:val="es-ES"/>
        </w:rPr>
        <w:t xml:space="preserve"> respecto de</w:t>
      </w:r>
      <w:r w:rsidR="00355ED9" w:rsidRPr="00975C02">
        <w:rPr>
          <w:sz w:val="20"/>
          <w:szCs w:val="20"/>
          <w:lang w:val="es-ES"/>
        </w:rPr>
        <w:t xml:space="preserve"> </w:t>
      </w:r>
      <w:r w:rsidR="00B5625C" w:rsidRPr="00975C02">
        <w:rPr>
          <w:sz w:val="20"/>
          <w:szCs w:val="20"/>
          <w:lang w:val="es-ES"/>
        </w:rPr>
        <w:t>l</w:t>
      </w:r>
      <w:r w:rsidR="00355ED9" w:rsidRPr="00975C02">
        <w:rPr>
          <w:sz w:val="20"/>
          <w:szCs w:val="20"/>
          <w:lang w:val="es-ES"/>
        </w:rPr>
        <w:t>os</w:t>
      </w:r>
      <w:r w:rsidR="00B5625C" w:rsidRPr="00975C02">
        <w:rPr>
          <w:sz w:val="20"/>
          <w:szCs w:val="20"/>
          <w:lang w:val="es-ES"/>
        </w:rPr>
        <w:t xml:space="preserve"> artículo</w:t>
      </w:r>
      <w:r w:rsidR="00355ED9" w:rsidRPr="00975C02">
        <w:rPr>
          <w:sz w:val="20"/>
          <w:szCs w:val="20"/>
          <w:lang w:val="es-ES"/>
        </w:rPr>
        <w:t>s</w:t>
      </w:r>
      <w:r w:rsidR="00B5625C" w:rsidRPr="00975C02">
        <w:rPr>
          <w:sz w:val="20"/>
          <w:szCs w:val="20"/>
          <w:lang w:val="es-ES"/>
        </w:rPr>
        <w:t xml:space="preserve"> </w:t>
      </w:r>
      <w:r w:rsidR="00941023" w:rsidRPr="00975C02">
        <w:rPr>
          <w:sz w:val="20"/>
          <w:szCs w:val="20"/>
          <w:lang w:val="es-ES"/>
        </w:rPr>
        <w:t xml:space="preserve">12.1, 17.1, 19 y </w:t>
      </w:r>
      <w:r w:rsidR="00B5625C" w:rsidRPr="00975C02">
        <w:rPr>
          <w:sz w:val="20"/>
          <w:szCs w:val="20"/>
          <w:lang w:val="es-ES"/>
        </w:rPr>
        <w:t>22</w:t>
      </w:r>
      <w:r w:rsidR="00941023" w:rsidRPr="00975C02">
        <w:rPr>
          <w:sz w:val="20"/>
          <w:szCs w:val="20"/>
          <w:lang w:val="es-ES"/>
        </w:rPr>
        <w:t>.1</w:t>
      </w:r>
      <w:r w:rsidR="00B5625C" w:rsidRPr="00975C02">
        <w:rPr>
          <w:sz w:val="20"/>
          <w:szCs w:val="20"/>
          <w:lang w:val="es-ES"/>
        </w:rPr>
        <w:t xml:space="preserve"> de la Convención Americana</w:t>
      </w:r>
      <w:r w:rsidR="00B5625C" w:rsidRPr="00975C02">
        <w:rPr>
          <w:rFonts w:eastAsia="MS Mincho"/>
          <w:sz w:val="20"/>
          <w:szCs w:val="20"/>
          <w:lang w:val="es-ES"/>
        </w:rPr>
        <w:t>. Finalmente, abordará las alegadas violaciones a la integridad personal de los familiares</w:t>
      </w:r>
      <w:r w:rsidRPr="00975C02">
        <w:rPr>
          <w:rFonts w:eastAsia="MS Mincho"/>
          <w:sz w:val="20"/>
          <w:szCs w:val="20"/>
          <w:lang w:val="es-ES"/>
        </w:rPr>
        <w:t xml:space="preserve"> bajo el artículo 5 de la Convención Americana</w:t>
      </w:r>
      <w:r w:rsidR="00B5625C" w:rsidRPr="00975C02">
        <w:rPr>
          <w:rFonts w:eastAsia="MS Mincho"/>
          <w:sz w:val="20"/>
          <w:szCs w:val="20"/>
          <w:lang w:val="es-ES"/>
        </w:rPr>
        <w:t>.</w:t>
      </w:r>
    </w:p>
    <w:p w14:paraId="458EBA02" w14:textId="77777777" w:rsidR="00B5625C" w:rsidRPr="00975C02" w:rsidRDefault="00B5625C" w:rsidP="00B5625C">
      <w:pPr>
        <w:spacing w:line="240" w:lineRule="auto"/>
        <w:rPr>
          <w:rFonts w:cs="Verdana"/>
          <w:bCs/>
          <w:caps/>
          <w:snapToGrid w:val="0"/>
          <w:sz w:val="20"/>
          <w:szCs w:val="20"/>
          <w:lang w:val="es-ES"/>
        </w:rPr>
      </w:pPr>
    </w:p>
    <w:p w14:paraId="0F82B067" w14:textId="728711D3" w:rsidR="005E1546" w:rsidRPr="00975C02" w:rsidRDefault="00B5625C" w:rsidP="005E1546">
      <w:pPr>
        <w:keepNext/>
        <w:keepLines/>
        <w:widowControl/>
        <w:tabs>
          <w:tab w:val="left" w:pos="851"/>
        </w:tabs>
        <w:autoSpaceDE w:val="0"/>
        <w:autoSpaceDN w:val="0"/>
        <w:adjustRightInd/>
        <w:spacing w:line="240" w:lineRule="auto"/>
        <w:jc w:val="center"/>
        <w:textAlignment w:val="auto"/>
        <w:outlineLvl w:val="0"/>
        <w:rPr>
          <w:rFonts w:cs="Arial"/>
          <w:b/>
          <w:bCs/>
          <w:caps/>
          <w:kern w:val="2"/>
          <w:sz w:val="20"/>
          <w:szCs w:val="20"/>
          <w:lang w:val="es-ES" w:eastAsia="en-US"/>
        </w:rPr>
      </w:pPr>
      <w:bookmarkStart w:id="117" w:name="_Toc438113890"/>
      <w:bookmarkStart w:id="118" w:name="_Toc495658671"/>
      <w:bookmarkStart w:id="119" w:name="_Toc514172627"/>
      <w:r w:rsidRPr="00975C02">
        <w:rPr>
          <w:rFonts w:cs="Arial"/>
          <w:b/>
          <w:bCs/>
          <w:caps/>
          <w:kern w:val="2"/>
          <w:sz w:val="20"/>
          <w:szCs w:val="20"/>
          <w:lang w:val="es-ES" w:eastAsia="en-US"/>
        </w:rPr>
        <w:lastRenderedPageBreak/>
        <w:t>VIII-1</w:t>
      </w:r>
      <w:r w:rsidRPr="00975C02">
        <w:rPr>
          <w:rFonts w:cs="Arial"/>
          <w:b/>
          <w:bCs/>
          <w:caps/>
          <w:kern w:val="2"/>
          <w:sz w:val="20"/>
          <w:szCs w:val="20"/>
          <w:lang w:val="es-ES" w:eastAsia="en-US"/>
        </w:rPr>
        <w:br/>
        <w:t>derechoS A LA INTEGRIDAD personal</w:t>
      </w:r>
      <w:r w:rsidRPr="00975C02">
        <w:rPr>
          <w:rFonts w:cs="Arial"/>
          <w:b/>
          <w:bCs/>
          <w:caps/>
          <w:kern w:val="2"/>
          <w:sz w:val="20"/>
          <w:szCs w:val="20"/>
          <w:vertAlign w:val="superscript"/>
          <w:lang w:val="es-ES" w:eastAsia="en-US"/>
        </w:rPr>
        <w:footnoteReference w:id="182"/>
      </w:r>
      <w:r w:rsidRPr="00975C02">
        <w:rPr>
          <w:rFonts w:cs="Arial"/>
          <w:b/>
          <w:bCs/>
          <w:caps/>
          <w:kern w:val="2"/>
          <w:sz w:val="20"/>
          <w:szCs w:val="20"/>
          <w:lang w:val="es-ES" w:eastAsia="en-US"/>
        </w:rPr>
        <w:t>, a la vida privada y familiar</w:t>
      </w:r>
      <w:r w:rsidRPr="00975C02">
        <w:rPr>
          <w:rFonts w:cs="Arial"/>
          <w:b/>
          <w:bCs/>
          <w:caps/>
          <w:kern w:val="2"/>
          <w:sz w:val="20"/>
          <w:szCs w:val="20"/>
          <w:vertAlign w:val="superscript"/>
          <w:lang w:val="es-ES" w:eastAsia="en-US"/>
        </w:rPr>
        <w:footnoteReference w:id="183"/>
      </w:r>
      <w:r w:rsidRPr="00975C02">
        <w:rPr>
          <w:rFonts w:cs="Arial"/>
          <w:b/>
          <w:bCs/>
          <w:caps/>
          <w:kern w:val="2"/>
          <w:sz w:val="20"/>
          <w:szCs w:val="20"/>
          <w:lang w:val="es-ES" w:eastAsia="en-US"/>
        </w:rPr>
        <w:t>, a los derechos de</w:t>
      </w:r>
      <w:r w:rsidR="00FB1497" w:rsidRPr="00975C02">
        <w:rPr>
          <w:rFonts w:cs="Arial"/>
          <w:b/>
          <w:bCs/>
          <w:caps/>
          <w:kern w:val="2"/>
          <w:sz w:val="20"/>
          <w:szCs w:val="20"/>
          <w:lang w:val="es-ES" w:eastAsia="en-US"/>
        </w:rPr>
        <w:t xml:space="preserve"> </w:t>
      </w:r>
      <w:r w:rsidRPr="00975C02">
        <w:rPr>
          <w:rFonts w:cs="Arial"/>
          <w:b/>
          <w:bCs/>
          <w:caps/>
          <w:kern w:val="2"/>
          <w:sz w:val="20"/>
          <w:szCs w:val="20"/>
          <w:lang w:val="es-ES" w:eastAsia="en-US"/>
        </w:rPr>
        <w:t>l</w:t>
      </w:r>
      <w:r w:rsidR="00FB1497" w:rsidRPr="00975C02">
        <w:rPr>
          <w:rFonts w:cs="Arial"/>
          <w:b/>
          <w:bCs/>
          <w:caps/>
          <w:kern w:val="2"/>
          <w:sz w:val="20"/>
          <w:szCs w:val="20"/>
          <w:lang w:val="es-ES" w:eastAsia="en-US"/>
        </w:rPr>
        <w:t>A</w:t>
      </w:r>
      <w:r w:rsidRPr="00975C02">
        <w:rPr>
          <w:rFonts w:cs="Arial"/>
          <w:b/>
          <w:bCs/>
          <w:caps/>
          <w:kern w:val="2"/>
          <w:sz w:val="20"/>
          <w:szCs w:val="20"/>
          <w:lang w:val="es-ES" w:eastAsia="en-US"/>
        </w:rPr>
        <w:t xml:space="preserve"> niñ</w:t>
      </w:r>
      <w:r w:rsidR="00FB1497" w:rsidRPr="00975C02">
        <w:rPr>
          <w:rFonts w:cs="Arial"/>
          <w:b/>
          <w:bCs/>
          <w:caps/>
          <w:kern w:val="2"/>
          <w:sz w:val="20"/>
          <w:szCs w:val="20"/>
          <w:lang w:val="es-ES" w:eastAsia="en-US"/>
        </w:rPr>
        <w:t>A</w:t>
      </w:r>
      <w:r w:rsidRPr="00975C02">
        <w:rPr>
          <w:rFonts w:cs="Arial"/>
          <w:b/>
          <w:bCs/>
          <w:caps/>
          <w:kern w:val="2"/>
          <w:sz w:val="20"/>
          <w:szCs w:val="20"/>
          <w:vertAlign w:val="superscript"/>
          <w:lang w:val="es-ES" w:eastAsia="en-US"/>
        </w:rPr>
        <w:footnoteReference w:id="184"/>
      </w:r>
      <w:r w:rsidR="00DD008E" w:rsidRPr="00975C02">
        <w:rPr>
          <w:rFonts w:cs="Arial"/>
          <w:b/>
          <w:bCs/>
          <w:caps/>
          <w:kern w:val="2"/>
          <w:sz w:val="20"/>
          <w:szCs w:val="20"/>
          <w:lang w:val="es-ES" w:eastAsia="en-US"/>
        </w:rPr>
        <w:t>,</w:t>
      </w:r>
      <w:r w:rsidRPr="00975C02">
        <w:rPr>
          <w:rFonts w:cs="Arial"/>
          <w:b/>
          <w:bCs/>
          <w:caps/>
          <w:kern w:val="2"/>
          <w:sz w:val="20"/>
          <w:szCs w:val="20"/>
          <w:lang w:val="es-ES" w:eastAsia="en-US"/>
        </w:rPr>
        <w:t xml:space="preserve"> </w:t>
      </w:r>
      <w:r w:rsidR="00E56062" w:rsidRPr="00975C02">
        <w:rPr>
          <w:rFonts w:cs="Arial"/>
          <w:b/>
          <w:bCs/>
          <w:caps/>
          <w:kern w:val="2"/>
          <w:sz w:val="20"/>
          <w:szCs w:val="20"/>
          <w:lang w:val="es-ES" w:eastAsia="en-US"/>
        </w:rPr>
        <w:t>A LA IGUALDAD ante LA LEY</w:t>
      </w:r>
      <w:r w:rsidR="00E56062" w:rsidRPr="00975C02">
        <w:rPr>
          <w:rStyle w:val="FootnoteReference"/>
          <w:rFonts w:cs="Arial"/>
          <w:b/>
          <w:bCs/>
          <w:caps/>
          <w:kern w:val="2"/>
          <w:sz w:val="20"/>
          <w:szCs w:val="20"/>
          <w:lang w:val="es-ES" w:eastAsia="en-US"/>
        </w:rPr>
        <w:footnoteReference w:id="185"/>
      </w:r>
      <w:r w:rsidR="00E56062" w:rsidRPr="00975C02">
        <w:rPr>
          <w:rFonts w:cs="Arial"/>
          <w:b/>
          <w:bCs/>
          <w:caps/>
          <w:kern w:val="2"/>
          <w:sz w:val="20"/>
          <w:szCs w:val="20"/>
          <w:lang w:val="es-ES" w:eastAsia="en-US"/>
        </w:rPr>
        <w:t xml:space="preserve">, </w:t>
      </w:r>
      <w:r w:rsidR="00DD008E" w:rsidRPr="00975C02">
        <w:rPr>
          <w:rFonts w:cs="Verdana"/>
          <w:b/>
          <w:bCs/>
          <w:caps/>
          <w:snapToGrid w:val="0"/>
          <w:sz w:val="20"/>
          <w:szCs w:val="20"/>
          <w:lang w:val="es-ES"/>
        </w:rPr>
        <w:t>A LAS GARANTÍAS JUDICIALES</w:t>
      </w:r>
      <w:r w:rsidR="00DD008E" w:rsidRPr="00975C02">
        <w:rPr>
          <w:rFonts w:cs="Verdana"/>
          <w:b/>
          <w:bCs/>
          <w:caps/>
          <w:snapToGrid w:val="0"/>
          <w:sz w:val="20"/>
          <w:szCs w:val="20"/>
          <w:vertAlign w:val="superscript"/>
          <w:lang w:val="es-ES"/>
        </w:rPr>
        <w:footnoteReference w:id="186"/>
      </w:r>
      <w:r w:rsidR="00DD008E" w:rsidRPr="00975C02">
        <w:rPr>
          <w:rFonts w:cs="Verdana"/>
          <w:b/>
          <w:bCs/>
          <w:caps/>
          <w:snapToGrid w:val="0"/>
          <w:sz w:val="20"/>
          <w:szCs w:val="20"/>
          <w:lang w:val="es-ES"/>
        </w:rPr>
        <w:t xml:space="preserve"> Y A LA PROTECCIÓN JUDICIAL</w:t>
      </w:r>
      <w:r w:rsidR="00DD008E" w:rsidRPr="00975C02">
        <w:rPr>
          <w:rFonts w:cs="Verdana"/>
          <w:b/>
          <w:bCs/>
          <w:caps/>
          <w:snapToGrid w:val="0"/>
          <w:sz w:val="20"/>
          <w:szCs w:val="20"/>
          <w:vertAlign w:val="superscript"/>
          <w:lang w:val="es-ES"/>
        </w:rPr>
        <w:footnoteReference w:id="187"/>
      </w:r>
      <w:r w:rsidR="00DD008E" w:rsidRPr="00975C02">
        <w:rPr>
          <w:rFonts w:cs="Verdana"/>
          <w:b/>
          <w:bCs/>
          <w:caps/>
          <w:snapToGrid w:val="0"/>
          <w:sz w:val="20"/>
          <w:szCs w:val="20"/>
          <w:lang w:val="es-ES"/>
        </w:rPr>
        <w:t>, EN RELACIÓN CON LAS OBLIGACIONES DE RESPETAR Y GARANTIZAR LOS DERECHOS y de no discriminar</w:t>
      </w:r>
      <w:r w:rsidR="00DD008E" w:rsidRPr="00975C02">
        <w:rPr>
          <w:rFonts w:cs="Verdana"/>
          <w:b/>
          <w:bCs/>
          <w:caps/>
          <w:snapToGrid w:val="0"/>
          <w:sz w:val="20"/>
          <w:szCs w:val="20"/>
          <w:vertAlign w:val="superscript"/>
          <w:lang w:val="es-ES"/>
        </w:rPr>
        <w:footnoteReference w:id="188"/>
      </w:r>
      <w:bookmarkEnd w:id="117"/>
      <w:bookmarkEnd w:id="118"/>
      <w:r w:rsidRPr="00975C02">
        <w:rPr>
          <w:rFonts w:cs="Arial"/>
          <w:b/>
          <w:bCs/>
          <w:caps/>
          <w:kern w:val="2"/>
          <w:sz w:val="20"/>
          <w:szCs w:val="20"/>
          <w:lang w:val="es-ES" w:eastAsia="en-US"/>
        </w:rPr>
        <w:t>, así como con el artículo 7</w:t>
      </w:r>
      <w:r w:rsidR="00B85083" w:rsidRPr="00975C02">
        <w:rPr>
          <w:rFonts w:cs="Arial"/>
          <w:b/>
          <w:bCs/>
          <w:caps/>
          <w:kern w:val="2"/>
          <w:sz w:val="20"/>
          <w:szCs w:val="20"/>
          <w:lang w:val="es-ES" w:eastAsia="en-US"/>
        </w:rPr>
        <w:t>.B)</w:t>
      </w:r>
      <w:r w:rsidRPr="00975C02">
        <w:rPr>
          <w:rFonts w:cs="Arial"/>
          <w:b/>
          <w:bCs/>
          <w:caps/>
          <w:kern w:val="2"/>
          <w:sz w:val="20"/>
          <w:szCs w:val="20"/>
          <w:lang w:val="es-ES" w:eastAsia="en-US"/>
        </w:rPr>
        <w:t xml:space="preserve"> de la convención de belém do pará</w:t>
      </w:r>
      <w:r w:rsidRPr="00975C02">
        <w:rPr>
          <w:rFonts w:cs="Arial"/>
          <w:b/>
          <w:bCs/>
          <w:caps/>
          <w:kern w:val="2"/>
          <w:sz w:val="20"/>
          <w:szCs w:val="20"/>
          <w:vertAlign w:val="superscript"/>
          <w:lang w:val="es-ES" w:eastAsia="en-US"/>
        </w:rPr>
        <w:footnoteReference w:id="189"/>
      </w:r>
      <w:bookmarkEnd w:id="119"/>
    </w:p>
    <w:p w14:paraId="23B61272" w14:textId="77777777" w:rsidR="00B5625C" w:rsidRPr="00975C02" w:rsidRDefault="00B5625C"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1AEE6DA4" w14:textId="78992A69" w:rsidR="002C415B" w:rsidRPr="00975C02" w:rsidRDefault="002C415B" w:rsidP="002C415B">
      <w:pPr>
        <w:numPr>
          <w:ilvl w:val="0"/>
          <w:numId w:val="2"/>
        </w:numPr>
        <w:tabs>
          <w:tab w:val="left" w:pos="567"/>
          <w:tab w:val="num" w:pos="12305"/>
        </w:tabs>
        <w:spacing w:line="240" w:lineRule="auto"/>
        <w:ind w:left="0" w:firstLine="0"/>
        <w:rPr>
          <w:rFonts w:eastAsiaTheme="minorHAnsi" w:cs="Arial"/>
          <w:kern w:val="2"/>
          <w:sz w:val="20"/>
          <w:szCs w:val="20"/>
          <w:lang w:val="es-ES" w:eastAsia="en-US"/>
        </w:rPr>
      </w:pPr>
      <w:r w:rsidRPr="00975C02">
        <w:rPr>
          <w:rFonts w:eastAsiaTheme="minorHAnsi" w:cs="Arial"/>
          <w:kern w:val="2"/>
          <w:sz w:val="20"/>
          <w:szCs w:val="20"/>
          <w:lang w:val="es-ES" w:eastAsia="en-US"/>
        </w:rPr>
        <w:t xml:space="preserve">La Corte dividirá su análisis en </w:t>
      </w:r>
      <w:r w:rsidR="00E06B26" w:rsidRPr="00975C02">
        <w:rPr>
          <w:rFonts w:eastAsiaTheme="minorHAnsi" w:cs="Arial"/>
          <w:kern w:val="2"/>
          <w:sz w:val="20"/>
          <w:szCs w:val="20"/>
          <w:lang w:val="es-ES" w:eastAsia="en-US"/>
        </w:rPr>
        <w:t xml:space="preserve">cuatro </w:t>
      </w:r>
      <w:r w:rsidRPr="00975C02">
        <w:rPr>
          <w:rFonts w:eastAsiaTheme="minorHAnsi" w:cs="Arial"/>
          <w:kern w:val="2"/>
          <w:sz w:val="20"/>
          <w:szCs w:val="20"/>
          <w:lang w:val="es-ES" w:eastAsia="en-US"/>
        </w:rPr>
        <w:t>apartados. En primer lugar, la Corte</w:t>
      </w:r>
      <w:r w:rsidR="001155C5" w:rsidRPr="00975C02">
        <w:rPr>
          <w:rFonts w:eastAsiaTheme="minorHAnsi" w:cs="Arial"/>
          <w:kern w:val="2"/>
          <w:sz w:val="20"/>
          <w:szCs w:val="20"/>
          <w:lang w:val="es-ES" w:eastAsia="en-US"/>
        </w:rPr>
        <w:t xml:space="preserve"> </w:t>
      </w:r>
      <w:r w:rsidR="001155C5" w:rsidRPr="00975C02">
        <w:rPr>
          <w:kern w:val="2"/>
          <w:sz w:val="20"/>
          <w:szCs w:val="20"/>
          <w:lang w:val="es-ES" w:eastAsia="en-US"/>
        </w:rPr>
        <w:t>centrará su análisis sobre la cuestión de si las investigaciones y el proceso penal iniciados a nivel interno por el Estado, debido a la denuncia por violación sexual interpuesta por la madre de V.R.P., cumplieron con</w:t>
      </w:r>
      <w:r w:rsidR="001155C5" w:rsidRPr="00975C02">
        <w:rPr>
          <w:rFonts w:eastAsiaTheme="minorHAnsi" w:cs="Arial"/>
          <w:kern w:val="2"/>
          <w:sz w:val="20"/>
          <w:szCs w:val="20"/>
          <w:lang w:val="es-ES" w:eastAsia="en-US"/>
        </w:rPr>
        <w:t xml:space="preserve"> el deber de debida diligencia reforzad</w:t>
      </w:r>
      <w:r w:rsidR="00B85083" w:rsidRPr="00975C02">
        <w:rPr>
          <w:rFonts w:eastAsiaTheme="minorHAnsi" w:cs="Arial"/>
          <w:kern w:val="2"/>
          <w:sz w:val="20"/>
          <w:szCs w:val="20"/>
          <w:lang w:val="es-ES" w:eastAsia="en-US"/>
        </w:rPr>
        <w:t>a y de no revictimización</w:t>
      </w:r>
      <w:r w:rsidR="001155C5" w:rsidRPr="00975C02">
        <w:rPr>
          <w:rFonts w:eastAsiaTheme="minorHAnsi" w:cs="Arial"/>
          <w:kern w:val="2"/>
          <w:sz w:val="20"/>
          <w:szCs w:val="20"/>
          <w:lang w:val="es-ES" w:eastAsia="en-US"/>
        </w:rPr>
        <w:t xml:space="preserve"> en investigaciones y procesos penales por violencia sexual en perjuicio de una niña</w:t>
      </w:r>
      <w:r w:rsidR="001155C5" w:rsidRPr="00975C02">
        <w:rPr>
          <w:kern w:val="2"/>
          <w:sz w:val="20"/>
          <w:szCs w:val="20"/>
          <w:vertAlign w:val="superscript"/>
          <w:lang w:val="es-ES" w:eastAsia="en-US"/>
        </w:rPr>
        <w:footnoteReference w:id="190"/>
      </w:r>
      <w:r w:rsidR="00B93409" w:rsidRPr="00975C02">
        <w:rPr>
          <w:rFonts w:eastAsiaTheme="minorHAnsi" w:cs="Arial"/>
          <w:kern w:val="2"/>
          <w:sz w:val="20"/>
          <w:szCs w:val="20"/>
          <w:lang w:val="es-ES" w:eastAsia="en-US"/>
        </w:rPr>
        <w:t>. Asimismo, analizará</w:t>
      </w:r>
      <w:r w:rsidR="001155C5" w:rsidRPr="00975C02">
        <w:rPr>
          <w:kern w:val="2"/>
          <w:sz w:val="20"/>
          <w:szCs w:val="20"/>
          <w:lang w:val="es-ES" w:eastAsia="en-US"/>
        </w:rPr>
        <w:t xml:space="preserve"> si Nicaragua actuó con perspectiva de género </w:t>
      </w:r>
      <w:r w:rsidR="00B85083" w:rsidRPr="00975C02">
        <w:rPr>
          <w:kern w:val="2"/>
          <w:sz w:val="20"/>
          <w:szCs w:val="20"/>
          <w:lang w:val="es-ES" w:eastAsia="en-US"/>
        </w:rPr>
        <w:t>y niñez</w:t>
      </w:r>
      <w:r w:rsidR="003654BF" w:rsidRPr="00975C02">
        <w:rPr>
          <w:kern w:val="2"/>
          <w:sz w:val="20"/>
          <w:szCs w:val="20"/>
          <w:lang w:val="es-ES" w:eastAsia="en-US"/>
        </w:rPr>
        <w:t xml:space="preserve"> </w:t>
      </w:r>
      <w:r w:rsidR="00B93409" w:rsidRPr="00975C02">
        <w:rPr>
          <w:kern w:val="2"/>
          <w:sz w:val="20"/>
          <w:szCs w:val="20"/>
          <w:lang w:val="es-ES" w:eastAsia="en-US"/>
        </w:rPr>
        <w:t>y adoptó las medidas de protección especial requerida</w:t>
      </w:r>
      <w:r w:rsidR="002179B0" w:rsidRPr="00975C02">
        <w:rPr>
          <w:kern w:val="2"/>
          <w:sz w:val="20"/>
          <w:szCs w:val="20"/>
          <w:lang w:val="es-ES" w:eastAsia="en-US"/>
        </w:rPr>
        <w:t>s</w:t>
      </w:r>
      <w:r w:rsidR="00B93409" w:rsidRPr="00975C02">
        <w:rPr>
          <w:kern w:val="2"/>
          <w:sz w:val="20"/>
          <w:szCs w:val="20"/>
          <w:lang w:val="es-ES" w:eastAsia="en-US"/>
        </w:rPr>
        <w:t xml:space="preserve"> para garantizar los derechos de V.R.P. en el desarrollo </w:t>
      </w:r>
      <w:r w:rsidR="003654BF" w:rsidRPr="00975C02">
        <w:rPr>
          <w:kern w:val="2"/>
          <w:sz w:val="20"/>
          <w:szCs w:val="20"/>
          <w:lang w:val="es-ES" w:eastAsia="en-US"/>
        </w:rPr>
        <w:t>de la investigación y proceso penal por los hechos de este caso</w:t>
      </w:r>
      <w:r w:rsidR="001155C5" w:rsidRPr="00975C02">
        <w:rPr>
          <w:kern w:val="2"/>
          <w:sz w:val="20"/>
          <w:szCs w:val="20"/>
          <w:lang w:val="es-ES" w:eastAsia="en-US"/>
        </w:rPr>
        <w:t xml:space="preserve">. </w:t>
      </w:r>
      <w:r w:rsidRPr="00975C02">
        <w:rPr>
          <w:rFonts w:eastAsiaTheme="minorHAnsi" w:cs="Arial"/>
          <w:kern w:val="2"/>
          <w:sz w:val="20"/>
          <w:szCs w:val="20"/>
          <w:lang w:val="es-ES" w:eastAsia="en-US"/>
        </w:rPr>
        <w:t xml:space="preserve">Luego, </w:t>
      </w:r>
      <w:r w:rsidR="002179B0" w:rsidRPr="00975C02">
        <w:rPr>
          <w:rFonts w:eastAsiaTheme="minorHAnsi" w:cs="Arial"/>
          <w:kern w:val="2"/>
          <w:sz w:val="20"/>
          <w:szCs w:val="20"/>
          <w:lang w:val="es-ES" w:eastAsia="en-US"/>
        </w:rPr>
        <w:t xml:space="preserve">la Corte </w:t>
      </w:r>
      <w:r w:rsidR="003654BF" w:rsidRPr="00975C02">
        <w:rPr>
          <w:rFonts w:eastAsiaTheme="minorHAnsi" w:cs="Arial"/>
          <w:kern w:val="2"/>
          <w:sz w:val="20"/>
          <w:szCs w:val="20"/>
          <w:lang w:val="es-ES" w:eastAsia="en-US"/>
        </w:rPr>
        <w:t>examinará</w:t>
      </w:r>
      <w:r w:rsidRPr="00975C02">
        <w:rPr>
          <w:rFonts w:eastAsiaTheme="minorHAnsi" w:cs="Arial"/>
          <w:kern w:val="2"/>
          <w:sz w:val="20"/>
          <w:szCs w:val="20"/>
          <w:lang w:val="es-ES" w:eastAsia="en-US"/>
        </w:rPr>
        <w:t xml:space="preserve"> lo relativo a la aplicabilidad de las exigencias del debido proceso al modelo de juicio por jurados</w:t>
      </w:r>
      <w:r w:rsidR="003654BF" w:rsidRPr="00975C02">
        <w:rPr>
          <w:rFonts w:eastAsiaTheme="minorHAnsi" w:cs="Arial"/>
          <w:kern w:val="2"/>
          <w:sz w:val="20"/>
          <w:szCs w:val="20"/>
          <w:lang w:val="es-ES" w:eastAsia="en-US"/>
        </w:rPr>
        <w:t xml:space="preserve"> vigente en Nicaragua al momento de los hechos y </w:t>
      </w:r>
      <w:r w:rsidR="003654BF" w:rsidRPr="00975C02">
        <w:rPr>
          <w:sz w:val="20"/>
          <w:szCs w:val="20"/>
          <w:lang w:val="es-ES"/>
        </w:rPr>
        <w:t xml:space="preserve">las alegadas violaciones a la garantía de imparcialidad y </w:t>
      </w:r>
      <w:r w:rsidR="00B91FA4" w:rsidRPr="00975C02">
        <w:rPr>
          <w:sz w:val="20"/>
          <w:szCs w:val="20"/>
          <w:lang w:val="es-ES"/>
        </w:rPr>
        <w:t>a</w:t>
      </w:r>
      <w:r w:rsidR="003654BF" w:rsidRPr="00975C02">
        <w:rPr>
          <w:sz w:val="20"/>
          <w:szCs w:val="20"/>
          <w:lang w:val="es-ES"/>
        </w:rPr>
        <w:t>l deber de motivar, así como en lo atinente al plazo razonable.</w:t>
      </w:r>
      <w:r w:rsidRPr="00975C02">
        <w:rPr>
          <w:rFonts w:eastAsiaTheme="minorHAnsi" w:cs="Arial"/>
          <w:kern w:val="2"/>
          <w:sz w:val="20"/>
          <w:szCs w:val="20"/>
          <w:lang w:val="es-ES" w:eastAsia="en-US"/>
        </w:rPr>
        <w:t xml:space="preserve"> </w:t>
      </w:r>
      <w:r w:rsidR="0082289B" w:rsidRPr="00975C02">
        <w:rPr>
          <w:rFonts w:eastAsiaTheme="minorHAnsi" w:cs="Arial"/>
          <w:kern w:val="2"/>
          <w:sz w:val="20"/>
          <w:szCs w:val="20"/>
          <w:lang w:val="es-ES" w:eastAsia="en-US"/>
        </w:rPr>
        <w:t>Finalmente</w:t>
      </w:r>
      <w:r w:rsidRPr="00975C02">
        <w:rPr>
          <w:rFonts w:eastAsiaTheme="minorHAnsi" w:cs="Arial"/>
          <w:kern w:val="2"/>
          <w:sz w:val="20"/>
          <w:szCs w:val="20"/>
          <w:lang w:val="es-ES" w:eastAsia="en-US"/>
        </w:rPr>
        <w:t>, desarrollará las exigencias debidas para garantizar un acceso a la justicia en términos igualitarios para una niña víctima de violencia sexual</w:t>
      </w:r>
      <w:r w:rsidR="0082289B" w:rsidRPr="00975C02">
        <w:rPr>
          <w:rFonts w:eastAsiaTheme="minorHAnsi" w:cs="Arial"/>
          <w:kern w:val="2"/>
          <w:sz w:val="20"/>
          <w:szCs w:val="20"/>
          <w:lang w:val="es-ES" w:eastAsia="en-US"/>
        </w:rPr>
        <w:t xml:space="preserve"> y</w:t>
      </w:r>
      <w:r w:rsidR="004A12EC" w:rsidRPr="00975C02">
        <w:rPr>
          <w:rFonts w:eastAsiaTheme="minorHAnsi" w:cs="Arial"/>
          <w:kern w:val="2"/>
          <w:sz w:val="20"/>
          <w:szCs w:val="20"/>
          <w:lang w:val="es-ES" w:eastAsia="en-US"/>
        </w:rPr>
        <w:t xml:space="preserve"> se referirá a la revictimización como una forma de violencia institucional.</w:t>
      </w:r>
    </w:p>
    <w:p w14:paraId="47F0F855" w14:textId="77777777" w:rsidR="002C415B" w:rsidRPr="00975C02" w:rsidRDefault="002C415B"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0273A0DC" w14:textId="23FA2566" w:rsidR="002C415B" w:rsidRPr="00975C02" w:rsidRDefault="002C415B" w:rsidP="002C415B">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20" w:name="_Toc514172628"/>
      <w:r w:rsidRPr="00975C02">
        <w:rPr>
          <w:rFonts w:eastAsia="MS Mincho" w:cs="Arial"/>
          <w:b/>
          <w:bCs/>
          <w:i/>
          <w:kern w:val="2"/>
          <w:sz w:val="20"/>
          <w:szCs w:val="20"/>
          <w:lang w:val="es-ES" w:eastAsia="en-US"/>
        </w:rPr>
        <w:t>Debida diligencia reforzada</w:t>
      </w:r>
      <w:r w:rsidR="00E06B26" w:rsidRPr="00975C02">
        <w:rPr>
          <w:rFonts w:eastAsia="MS Mincho" w:cs="Arial"/>
          <w:b/>
          <w:bCs/>
          <w:i/>
          <w:kern w:val="2"/>
          <w:sz w:val="20"/>
          <w:szCs w:val="20"/>
          <w:lang w:val="es-ES" w:eastAsia="en-US"/>
        </w:rPr>
        <w:t xml:space="preserve"> y protección especial</w:t>
      </w:r>
      <w:r w:rsidR="0061671A" w:rsidRPr="00975C02">
        <w:rPr>
          <w:rFonts w:eastAsia="MS Mincho" w:cs="Arial"/>
          <w:b/>
          <w:bCs/>
          <w:i/>
          <w:kern w:val="2"/>
          <w:sz w:val="20"/>
          <w:szCs w:val="20"/>
          <w:lang w:val="es-ES" w:eastAsia="en-US"/>
        </w:rPr>
        <w:t xml:space="preserve"> </w:t>
      </w:r>
      <w:r w:rsidRPr="00975C02">
        <w:rPr>
          <w:rFonts w:eastAsia="MS Mincho" w:cs="Arial"/>
          <w:b/>
          <w:bCs/>
          <w:i/>
          <w:kern w:val="2"/>
          <w:sz w:val="20"/>
          <w:szCs w:val="20"/>
          <w:lang w:val="es-ES" w:eastAsia="en-US"/>
        </w:rPr>
        <w:t>en investigaciones y procesos penales por violencia sexual en perjuicio de niñas, niños o adolescentes</w:t>
      </w:r>
      <w:r w:rsidR="00C21068" w:rsidRPr="00975C02">
        <w:rPr>
          <w:rFonts w:eastAsia="MS Mincho" w:cs="Arial"/>
          <w:b/>
          <w:bCs/>
          <w:i/>
          <w:kern w:val="2"/>
          <w:sz w:val="20"/>
          <w:szCs w:val="20"/>
          <w:lang w:val="es-ES" w:eastAsia="en-US"/>
        </w:rPr>
        <w:t xml:space="preserve"> y deber de no revictimización</w:t>
      </w:r>
      <w:bookmarkEnd w:id="120"/>
    </w:p>
    <w:p w14:paraId="28EED271" w14:textId="77777777" w:rsidR="002C415B" w:rsidRPr="00975C02" w:rsidRDefault="002C415B"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6D0C0D92" w14:textId="77777777" w:rsidR="00B5625C" w:rsidRPr="00975C02" w:rsidRDefault="00B5625C" w:rsidP="00A92F94">
      <w:pPr>
        <w:pStyle w:val="Heading2"/>
        <w:tabs>
          <w:tab w:val="left" w:pos="1843"/>
        </w:tabs>
        <w:spacing w:before="0" w:line="240" w:lineRule="auto"/>
        <w:ind w:left="1134"/>
        <w:rPr>
          <w:rFonts w:ascii="Verdana" w:hAnsi="Verdana"/>
          <w:b w:val="0"/>
          <w:i/>
          <w:color w:val="auto"/>
          <w:sz w:val="20"/>
          <w:szCs w:val="20"/>
          <w:lang w:val="es-ES"/>
        </w:rPr>
      </w:pPr>
      <w:bookmarkStart w:id="121" w:name="_Toc495658672"/>
      <w:bookmarkStart w:id="122" w:name="_Toc514172629"/>
      <w:r w:rsidRPr="00975C02">
        <w:rPr>
          <w:rFonts w:ascii="Verdana" w:hAnsi="Verdana"/>
          <w:b w:val="0"/>
          <w:i/>
          <w:color w:val="auto"/>
          <w:sz w:val="20"/>
          <w:szCs w:val="20"/>
          <w:lang w:val="es-ES"/>
        </w:rPr>
        <w:lastRenderedPageBreak/>
        <w:t>A.</w:t>
      </w:r>
      <w:r w:rsidR="002C415B" w:rsidRPr="00975C02">
        <w:rPr>
          <w:rFonts w:ascii="Verdana" w:hAnsi="Verdana"/>
          <w:b w:val="0"/>
          <w:i/>
          <w:color w:val="auto"/>
          <w:sz w:val="20"/>
          <w:szCs w:val="20"/>
          <w:lang w:val="es-ES"/>
        </w:rPr>
        <w:t>1</w:t>
      </w:r>
      <w:r w:rsidRPr="00975C02">
        <w:rPr>
          <w:rFonts w:ascii="Verdana" w:hAnsi="Verdana"/>
          <w:b w:val="0"/>
          <w:i/>
          <w:color w:val="auto"/>
          <w:sz w:val="20"/>
          <w:szCs w:val="20"/>
          <w:lang w:val="es-ES"/>
        </w:rPr>
        <w:tab/>
        <w:t>Argumentos de las partes y de la Comisión</w:t>
      </w:r>
      <w:bookmarkEnd w:id="121"/>
      <w:bookmarkEnd w:id="122"/>
    </w:p>
    <w:p w14:paraId="027186B0" w14:textId="77777777" w:rsidR="00B5625C" w:rsidRPr="00975C02" w:rsidRDefault="00B5625C"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5848D019" w14:textId="6781ED80" w:rsidR="00B5625C" w:rsidRPr="00975C02" w:rsidRDefault="00B5625C" w:rsidP="00FB1497">
      <w:pPr>
        <w:numPr>
          <w:ilvl w:val="0"/>
          <w:numId w:val="2"/>
        </w:numPr>
        <w:tabs>
          <w:tab w:val="left" w:pos="567"/>
          <w:tab w:val="num" w:pos="12305"/>
        </w:tabs>
        <w:spacing w:line="240" w:lineRule="auto"/>
        <w:ind w:left="0" w:firstLine="0"/>
        <w:rPr>
          <w:kern w:val="2"/>
          <w:sz w:val="20"/>
          <w:szCs w:val="20"/>
          <w:lang w:val="es-ES" w:eastAsia="en-US"/>
        </w:rPr>
      </w:pPr>
      <w:r w:rsidRPr="00975C02">
        <w:rPr>
          <w:sz w:val="20"/>
          <w:szCs w:val="20"/>
          <w:lang w:val="es-ES"/>
        </w:rPr>
        <w:t>La</w:t>
      </w:r>
      <w:r w:rsidRPr="00975C02">
        <w:rPr>
          <w:kern w:val="2"/>
          <w:sz w:val="20"/>
          <w:szCs w:val="20"/>
          <w:lang w:val="es-ES" w:eastAsia="en-US"/>
        </w:rPr>
        <w:t xml:space="preserve"> </w:t>
      </w:r>
      <w:r w:rsidRPr="00975C02">
        <w:rPr>
          <w:b/>
          <w:i/>
          <w:kern w:val="2"/>
          <w:sz w:val="20"/>
          <w:szCs w:val="20"/>
          <w:lang w:val="es-ES" w:eastAsia="en-US"/>
        </w:rPr>
        <w:t>Comisión</w:t>
      </w:r>
      <w:r w:rsidRPr="00975C02">
        <w:rPr>
          <w:kern w:val="2"/>
          <w:sz w:val="20"/>
          <w:szCs w:val="20"/>
          <w:lang w:val="es-ES" w:eastAsia="en-US"/>
        </w:rPr>
        <w:t xml:space="preserve"> consideró que el proceso judicial seguido por la violación sexual en contra de la niña V.R.P. no fue realizado con la debida diligencia a efectos de esclarecer los hechos y sancionar a la persona responsable. La Comisión estimó que</w:t>
      </w:r>
      <w:r w:rsidR="00FA24CE" w:rsidRPr="00975C02">
        <w:rPr>
          <w:kern w:val="2"/>
          <w:sz w:val="20"/>
          <w:szCs w:val="20"/>
          <w:lang w:val="es-ES" w:eastAsia="en-US"/>
        </w:rPr>
        <w:t>,</w:t>
      </w:r>
      <w:r w:rsidRPr="00975C02">
        <w:rPr>
          <w:kern w:val="2"/>
          <w:sz w:val="20"/>
          <w:szCs w:val="20"/>
          <w:lang w:val="es-ES" w:eastAsia="en-US"/>
        </w:rPr>
        <w:t xml:space="preserve"> debido a las omisiones e </w:t>
      </w:r>
      <w:r w:rsidRPr="00975C02">
        <w:rPr>
          <w:sz w:val="20"/>
          <w:szCs w:val="20"/>
          <w:lang w:val="es-ES"/>
        </w:rPr>
        <w:t>irregularidades</w:t>
      </w:r>
      <w:r w:rsidRPr="00975C02">
        <w:rPr>
          <w:kern w:val="2"/>
          <w:sz w:val="20"/>
          <w:szCs w:val="20"/>
          <w:lang w:val="es-ES" w:eastAsia="en-US"/>
        </w:rPr>
        <w:t xml:space="preserve"> en la investigación, el Estado no garantizó los derechos a la integridad personal, vida privada, dignidad y autonomía de V.R.P., sino que, por la manera en que se llevó a cabo la investigación y la consecuente impunidad en que se encuentran los hechos, el Estado materializó violaciones adicionales a la integridad personal de V.R.P., así como a aspectos esenciales de su vida privada, dignidad y autonomía. La Comisión consideró que el presente caso era emblemático de la situación de violencia institucional y la desprotección y revictimización por parte del Estado en contra de mujeres y niñas víctimas de violencia y violación sexual que acuden al sistema de justicia. La Comisión alegó que, debido a las circunstancias particulares del caso</w:t>
      </w:r>
      <w:r w:rsidR="00FA24CE" w:rsidRPr="00975C02">
        <w:rPr>
          <w:kern w:val="2"/>
          <w:sz w:val="20"/>
          <w:szCs w:val="20"/>
          <w:lang w:val="es-ES" w:eastAsia="en-US"/>
        </w:rPr>
        <w:t>, se</w:t>
      </w:r>
      <w:r w:rsidRPr="00975C02">
        <w:rPr>
          <w:kern w:val="2"/>
          <w:sz w:val="20"/>
          <w:szCs w:val="20"/>
          <w:lang w:val="es-ES" w:eastAsia="en-US"/>
        </w:rPr>
        <w:t xml:space="preserve"> exigía los más rigurosos estándares de actuación por parte de las autoridades, tanto en la investigación como para generar una situación de protección a la víctima y su familia, que evitara a toda costa su revictimización y procurara su reintegración. Conforme a lo señalado por la Comisión, el Estado no habría cumplido con estas obligaciones reforzadas en consideración del </w:t>
      </w:r>
      <w:r w:rsidR="006C1836" w:rsidRPr="00975C02">
        <w:rPr>
          <w:kern w:val="2"/>
          <w:sz w:val="20"/>
          <w:szCs w:val="20"/>
          <w:lang w:val="es-ES" w:eastAsia="en-US"/>
        </w:rPr>
        <w:t>interés superior de la niña</w:t>
      </w:r>
      <w:r w:rsidRPr="00975C02">
        <w:rPr>
          <w:kern w:val="2"/>
          <w:sz w:val="20"/>
          <w:szCs w:val="20"/>
          <w:lang w:val="es-ES" w:eastAsia="en-US"/>
        </w:rPr>
        <w:t xml:space="preserve"> y su derecho a ser escuchad</w:t>
      </w:r>
      <w:r w:rsidR="001E5369" w:rsidRPr="00975C02">
        <w:rPr>
          <w:kern w:val="2"/>
          <w:sz w:val="20"/>
          <w:szCs w:val="20"/>
          <w:lang w:val="es-ES" w:eastAsia="en-US"/>
        </w:rPr>
        <w:t>a</w:t>
      </w:r>
      <w:r w:rsidRPr="00975C02">
        <w:rPr>
          <w:kern w:val="2"/>
          <w:sz w:val="20"/>
          <w:szCs w:val="20"/>
          <w:lang w:val="es-ES" w:eastAsia="en-US"/>
        </w:rPr>
        <w:t>.</w:t>
      </w:r>
    </w:p>
    <w:p w14:paraId="7C6437D5" w14:textId="77777777" w:rsidR="00B5625C" w:rsidRPr="00975C02" w:rsidRDefault="00B5625C" w:rsidP="00B5625C">
      <w:pPr>
        <w:widowControl/>
        <w:adjustRightInd/>
        <w:spacing w:line="240" w:lineRule="auto"/>
        <w:textAlignment w:val="auto"/>
        <w:rPr>
          <w:kern w:val="2"/>
          <w:sz w:val="20"/>
          <w:szCs w:val="20"/>
          <w:lang w:val="es-ES" w:eastAsia="en-US"/>
        </w:rPr>
      </w:pPr>
    </w:p>
    <w:p w14:paraId="2BBED4AD" w14:textId="61A50AB0" w:rsidR="00B5625C" w:rsidRPr="00975C02" w:rsidRDefault="00B5625C" w:rsidP="00FA24CE">
      <w:pPr>
        <w:numPr>
          <w:ilvl w:val="0"/>
          <w:numId w:val="2"/>
        </w:numPr>
        <w:tabs>
          <w:tab w:val="left" w:pos="567"/>
          <w:tab w:val="num" w:pos="12305"/>
        </w:tabs>
        <w:spacing w:line="240" w:lineRule="auto"/>
        <w:ind w:left="0" w:firstLine="0"/>
        <w:rPr>
          <w:kern w:val="2"/>
          <w:sz w:val="20"/>
          <w:szCs w:val="20"/>
          <w:lang w:val="es-ES" w:eastAsia="en-US"/>
        </w:rPr>
      </w:pPr>
      <w:r w:rsidRPr="00975C02">
        <w:rPr>
          <w:kern w:val="2"/>
          <w:sz w:val="20"/>
          <w:szCs w:val="20"/>
          <w:lang w:val="es-ES" w:eastAsia="en-US"/>
        </w:rPr>
        <w:t xml:space="preserve">En particular, resaltó que el Estado actuó en vulneración de la debida diligencia debido a que: a) a pesar de que a través de consultas médicas privadas se determinó que V.R.P. había sido víctima de agresión sexual, el Estado ordenó la realización de un nuevo examen médico, el cual además no fue realizado a la brevedad, y se intentó </w:t>
      </w:r>
      <w:r w:rsidR="00101AAD">
        <w:rPr>
          <w:kern w:val="2"/>
          <w:sz w:val="20"/>
          <w:szCs w:val="20"/>
          <w:lang w:val="es-ES" w:eastAsia="en-US"/>
        </w:rPr>
        <w:t>llevar a cabo</w:t>
      </w:r>
      <w:r w:rsidR="001E5369" w:rsidRPr="00975C02">
        <w:rPr>
          <w:kern w:val="2"/>
          <w:sz w:val="20"/>
          <w:szCs w:val="20"/>
          <w:lang w:val="es-ES" w:eastAsia="en-US"/>
        </w:rPr>
        <w:t xml:space="preserve"> </w:t>
      </w:r>
      <w:r w:rsidRPr="00975C02">
        <w:rPr>
          <w:kern w:val="2"/>
          <w:sz w:val="20"/>
          <w:szCs w:val="20"/>
          <w:lang w:val="es-ES" w:eastAsia="en-US"/>
        </w:rPr>
        <w:t>hasta en tres oportunidades, en vez de adoptar medidas para procurar que la información disponible hasta ese momento fuera relevante para el proceso; b) el trato recibido por parte del médico legista a cargo de realizar el examen médico a la niña, fue denigrante y violento, y el Estado no demostró que el médico en cuestión era imparcial, idóneo y estaba capacitado para realizar este tipo de exámenes a niñas víctimas de violencia sexual; c) la actuación irregular del médico, denunciada a nivel interno, constituyó un grave acto de revictimización y un nuevo hecho de violencia sexual contra V.R.P.</w:t>
      </w:r>
      <w:r w:rsidR="00B91FA4" w:rsidRPr="00975C02">
        <w:rPr>
          <w:kern w:val="2"/>
          <w:sz w:val="20"/>
          <w:szCs w:val="20"/>
          <w:lang w:val="es-ES" w:eastAsia="en-US"/>
        </w:rPr>
        <w:t>;</w:t>
      </w:r>
      <w:r w:rsidRPr="00975C02">
        <w:rPr>
          <w:kern w:val="2"/>
          <w:sz w:val="20"/>
          <w:szCs w:val="20"/>
          <w:lang w:val="es-ES" w:eastAsia="en-US"/>
        </w:rPr>
        <w:t xml:space="preserve"> d) el Estado no demostró haber ofrecido la posibilidad a V.R.P. y a su madre de manifestar su preferencia sobre el sexo del personal de salud que la atendería; e) el examen médico contó con la presencia injustificada de personal no médico, lo cual generó temor en V.R.P; f) no se justificó la absoluta </w:t>
      </w:r>
      <w:r w:rsidR="001E5369" w:rsidRPr="00975C02">
        <w:rPr>
          <w:kern w:val="2"/>
          <w:sz w:val="20"/>
          <w:szCs w:val="20"/>
          <w:lang w:val="es-ES" w:eastAsia="en-US"/>
        </w:rPr>
        <w:t xml:space="preserve">y estricta </w:t>
      </w:r>
      <w:r w:rsidRPr="00975C02">
        <w:rPr>
          <w:kern w:val="2"/>
          <w:sz w:val="20"/>
          <w:szCs w:val="20"/>
          <w:lang w:val="es-ES" w:eastAsia="en-US"/>
        </w:rPr>
        <w:t>necesidad de que V.R.P. tuviera que participar en la inspección ocular y la reconstrucción de los hechos, la cual además fue practicada de forma revictimizante, ya que la jueza le pidió a la niña que se colocara en la misma posición en la que, conforme a su relato, la habría puesto el agresor; g) no existe información sobre las medidas especiales adoptadas para proteger a V.R.P en su condición de niña víctima de violencia sexual ni si se le brindó acompañamiento psicológico durante la diligencia de la reconstrucción de los hechos; h) durante el proceso penal relacionado con la violación sexual de la niña, el Estado no brindó a V.R.P. los servicios de salud necesarios a efectos de resguardar su salud física y psicológica una vez conocidos los hechos por las autoridades, sustentándose en que Nicaragua era un Estado pobre, justificación que resulta incompatible con los principios del derecho internacional; i) el Estado tampoco brindó una protección especial materializada no solo en un acompañamiento durante el proceso sino también en medidas que procuraran su rehabilitación y reinserción en su entorno, así como el de su familia, y j) no existió una participación permanente y efectiva de entidad especializada alguna para proteger los derechos de V.R.P.</w:t>
      </w:r>
    </w:p>
    <w:p w14:paraId="52F1B2B5" w14:textId="77777777" w:rsidR="00B5625C" w:rsidRPr="00975C02" w:rsidRDefault="00B5625C" w:rsidP="00B5625C">
      <w:pPr>
        <w:widowControl/>
        <w:adjustRightInd/>
        <w:spacing w:line="240" w:lineRule="auto"/>
        <w:textAlignment w:val="auto"/>
        <w:rPr>
          <w:kern w:val="2"/>
          <w:sz w:val="20"/>
          <w:szCs w:val="20"/>
          <w:lang w:val="es-ES" w:eastAsia="en-US"/>
        </w:rPr>
      </w:pPr>
    </w:p>
    <w:p w14:paraId="1D61BCFF" w14:textId="7D4E2CEF" w:rsidR="00B5625C" w:rsidRPr="00975C02" w:rsidRDefault="00B5625C" w:rsidP="00FA24CE">
      <w:pPr>
        <w:numPr>
          <w:ilvl w:val="0"/>
          <w:numId w:val="2"/>
        </w:numPr>
        <w:tabs>
          <w:tab w:val="left" w:pos="567"/>
          <w:tab w:val="num" w:pos="12305"/>
        </w:tabs>
        <w:spacing w:line="240" w:lineRule="auto"/>
        <w:ind w:left="0" w:firstLine="0"/>
        <w:rPr>
          <w:kern w:val="2"/>
          <w:sz w:val="20"/>
          <w:szCs w:val="20"/>
          <w:lang w:val="es-ES" w:eastAsia="en-US"/>
        </w:rPr>
      </w:pPr>
      <w:r w:rsidRPr="00975C02">
        <w:rPr>
          <w:kern w:val="2"/>
          <w:sz w:val="20"/>
          <w:szCs w:val="20"/>
          <w:lang w:val="es-ES" w:eastAsia="en-US"/>
        </w:rPr>
        <w:t xml:space="preserve">Asimismo, la Comisión consideró que la falta de atención médica e integral, sumada a la situación de impunidad, agravó el estado de salud mental de V.R.P., generando que las secuelas tanto de la violación sexual como de la respuesta inadecuada de las autoridades estatales, se profundizaran. En este sentido, la Comisión observó que el Estado llevó a cabo un proceso penal plagado de falencias y formas de revictimización, al cual la niña tuvo que estar sometida durante parte significativa de su niñez. En consecuencia, la Comisión consideró que el Estado violó los </w:t>
      </w:r>
      <w:r w:rsidRPr="00975C02">
        <w:rPr>
          <w:kern w:val="2"/>
          <w:sz w:val="20"/>
          <w:szCs w:val="20"/>
          <w:lang w:val="es-ES" w:eastAsia="en-US"/>
        </w:rPr>
        <w:lastRenderedPageBreak/>
        <w:t>derechos a las garantías judiciales y protección judicial, establecidos en los artículos 8.1 y 25.1, en relación con el artículo 1.1 de la Convención Americana, así como el artículo 7.b) de la Convención de Belém do Pará en perjuicio de V.R.P y V.P.C. Asimismo, concluyó que el Estado incumplió su deber de garantía respecto de los derechos a la integridad personal, vida privada, dignidad y autonomía de V.R.P</w:t>
      </w:r>
      <w:r w:rsidR="00FA24CE" w:rsidRPr="00975C02">
        <w:rPr>
          <w:kern w:val="2"/>
          <w:sz w:val="20"/>
          <w:szCs w:val="20"/>
          <w:lang w:val="es-ES" w:eastAsia="en-US"/>
        </w:rPr>
        <w:t>.</w:t>
      </w:r>
      <w:r w:rsidRPr="00975C02">
        <w:rPr>
          <w:kern w:val="2"/>
          <w:sz w:val="20"/>
          <w:szCs w:val="20"/>
          <w:lang w:val="es-ES" w:eastAsia="en-US"/>
        </w:rPr>
        <w:t>, por lo que también es responsable por la violación de los artículos 5.1, 11.2 y 19 de la Convención Americana, en relación con el artículo 1.1 del mismo instrumento, en perjuicio de V.R.P.</w:t>
      </w:r>
    </w:p>
    <w:p w14:paraId="499C440D" w14:textId="77777777" w:rsidR="00B5625C" w:rsidRPr="00975C02" w:rsidRDefault="00B5625C" w:rsidP="00B5625C">
      <w:pPr>
        <w:widowControl/>
        <w:adjustRightInd/>
        <w:spacing w:line="240" w:lineRule="auto"/>
        <w:textAlignment w:val="auto"/>
        <w:rPr>
          <w:b/>
          <w:kern w:val="2"/>
          <w:sz w:val="20"/>
          <w:szCs w:val="20"/>
          <w:u w:val="single"/>
          <w:lang w:val="es-ES" w:eastAsia="en-US"/>
        </w:rPr>
      </w:pPr>
    </w:p>
    <w:p w14:paraId="0AEB7028" w14:textId="188DD4E6" w:rsidR="00B5625C" w:rsidRPr="00975C02" w:rsidRDefault="00B5625C" w:rsidP="00013EA6">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Las </w:t>
      </w:r>
      <w:r w:rsidRPr="00975C02">
        <w:rPr>
          <w:b/>
          <w:i/>
          <w:kern w:val="2"/>
          <w:sz w:val="20"/>
          <w:szCs w:val="20"/>
          <w:lang w:val="es-ES" w:eastAsia="en-US"/>
        </w:rPr>
        <w:t xml:space="preserve">representantes </w:t>
      </w:r>
      <w:r w:rsidRPr="00975C02">
        <w:rPr>
          <w:kern w:val="2"/>
          <w:sz w:val="20"/>
          <w:szCs w:val="20"/>
          <w:lang w:val="es-ES" w:eastAsia="en-US"/>
        </w:rPr>
        <w:t>señalaron que el Estado no pudo darle respuestas efectivas a la</w:t>
      </w:r>
      <w:r w:rsidR="001E5369" w:rsidRPr="00975C02">
        <w:rPr>
          <w:kern w:val="2"/>
          <w:sz w:val="20"/>
          <w:szCs w:val="20"/>
          <w:lang w:val="es-ES" w:eastAsia="en-US"/>
        </w:rPr>
        <w:t xml:space="preserve"> presunta</w:t>
      </w:r>
      <w:r w:rsidRPr="00975C02">
        <w:rPr>
          <w:kern w:val="2"/>
          <w:sz w:val="20"/>
          <w:szCs w:val="20"/>
          <w:lang w:val="es-ES" w:eastAsia="en-US"/>
        </w:rPr>
        <w:t xml:space="preserve"> víctima. Asimismo, alegaron que el Estado incurrió directamente en vulneraciones a la integridad personal de la niña, ya que la expuso a una revictimización innecesaria e imprudente, al realizar una evaluación médica corporal en presencia de varias personas, inclusive ajenas a la investigación, afectando de esta manera la dignidad y vida privada de la niña V.R.P., y ejerciendo violencia psicológica y moral. Según las representantes, V.P.C. no solicitó la junta médica conformada para el primer examen médico, sino que lo habría hecho la jueza a cargo del caso.</w:t>
      </w:r>
      <w:r w:rsidR="00921115" w:rsidRPr="00975C02">
        <w:rPr>
          <w:b/>
          <w:kern w:val="2"/>
          <w:sz w:val="16"/>
          <w:szCs w:val="16"/>
          <w:lang w:val="es-ES" w:eastAsia="en-US"/>
        </w:rPr>
        <w:t xml:space="preserve"> </w:t>
      </w:r>
      <w:r w:rsidRPr="00975C02">
        <w:rPr>
          <w:kern w:val="2"/>
          <w:sz w:val="20"/>
          <w:szCs w:val="20"/>
          <w:lang w:val="es-ES" w:eastAsia="en-US"/>
        </w:rPr>
        <w:t>De igual manera, las representantes indicaron que la jueza del caso también revictimizó a V.R.P</w:t>
      </w:r>
      <w:r w:rsidR="00921115" w:rsidRPr="00975C02">
        <w:rPr>
          <w:kern w:val="2"/>
          <w:sz w:val="20"/>
          <w:szCs w:val="20"/>
          <w:lang w:val="es-ES" w:eastAsia="en-US"/>
        </w:rPr>
        <w:t>.</w:t>
      </w:r>
      <w:r w:rsidRPr="00975C02">
        <w:rPr>
          <w:kern w:val="2"/>
          <w:sz w:val="20"/>
          <w:szCs w:val="20"/>
          <w:lang w:val="es-ES" w:eastAsia="en-US"/>
        </w:rPr>
        <w:t xml:space="preserve"> durante la diligencia de la reconstrucción de los hechos, ya que le solicitó que se colocara en la posición en la fue violada y recreó la vivencia traumatizante de la niña. </w:t>
      </w:r>
      <w:r w:rsidR="006D6A5A" w:rsidRPr="00975C02">
        <w:rPr>
          <w:kern w:val="2"/>
          <w:sz w:val="20"/>
          <w:szCs w:val="20"/>
          <w:lang w:val="es-ES" w:eastAsia="en-US"/>
        </w:rPr>
        <w:t>Agregaron</w:t>
      </w:r>
      <w:r w:rsidRPr="00975C02">
        <w:rPr>
          <w:kern w:val="2"/>
          <w:sz w:val="20"/>
          <w:szCs w:val="20"/>
          <w:lang w:val="es-ES" w:eastAsia="en-US"/>
        </w:rPr>
        <w:t xml:space="preserve"> que, a pesar de que la madre solicitó la diligencia, correspondía al Estado determinar cuáles eran las medidas más protectoras a adoptar, y que la actuación de la diligencia no podía ser considerada como responsabilidad de V.P.C. Las representantes resaltaron la falta de especialización del médico forense y de la jueza para casos como el presente, ya que actuaron sin brindarle un trato adecuado a su condición, atendiendo al </w:t>
      </w:r>
      <w:r w:rsidR="006C1836" w:rsidRPr="00975C02">
        <w:rPr>
          <w:kern w:val="2"/>
          <w:sz w:val="20"/>
          <w:szCs w:val="20"/>
          <w:lang w:val="es-ES" w:eastAsia="en-US"/>
        </w:rPr>
        <w:t>interés superior de la niña</w:t>
      </w:r>
      <w:r w:rsidRPr="00975C02">
        <w:rPr>
          <w:kern w:val="2"/>
          <w:sz w:val="20"/>
          <w:szCs w:val="20"/>
          <w:lang w:val="es-ES" w:eastAsia="en-US"/>
        </w:rPr>
        <w:t>. Conforme a las representantes, el actuar del médico y de la jueza implicó someter nuevamente a V.R.P. a actos de violencia, sin que el Estado haya adoptado medidas especiales de protección y asistencia ante su condición de niña y mujer, haciéndola víctima de una doble agresión, la cual además constituyó violencia institucional</w:t>
      </w:r>
      <w:r w:rsidR="00B91FA4" w:rsidRPr="00975C02">
        <w:rPr>
          <w:kern w:val="2"/>
          <w:sz w:val="20"/>
          <w:szCs w:val="20"/>
          <w:lang w:val="es-ES" w:eastAsia="en-US"/>
        </w:rPr>
        <w:t>.</w:t>
      </w:r>
      <w:r w:rsidRPr="00975C02">
        <w:rPr>
          <w:b/>
          <w:kern w:val="2"/>
          <w:sz w:val="16"/>
          <w:szCs w:val="16"/>
          <w:lang w:val="es-ES" w:eastAsia="en-US"/>
        </w:rPr>
        <w:t xml:space="preserve"> </w:t>
      </w:r>
      <w:r w:rsidRPr="00975C02">
        <w:rPr>
          <w:kern w:val="2"/>
          <w:sz w:val="20"/>
          <w:szCs w:val="20"/>
          <w:lang w:val="es-ES" w:eastAsia="en-US"/>
        </w:rPr>
        <w:t>Consideraron que el Estado no veló por el interés superior de</w:t>
      </w:r>
      <w:r w:rsidR="00921115" w:rsidRPr="00975C02">
        <w:rPr>
          <w:kern w:val="2"/>
          <w:sz w:val="20"/>
          <w:szCs w:val="20"/>
          <w:lang w:val="es-ES" w:eastAsia="en-US"/>
        </w:rPr>
        <w:t xml:space="preserve"> </w:t>
      </w:r>
      <w:r w:rsidRPr="00975C02">
        <w:rPr>
          <w:kern w:val="2"/>
          <w:sz w:val="20"/>
          <w:szCs w:val="20"/>
          <w:lang w:val="es-ES" w:eastAsia="en-US"/>
        </w:rPr>
        <w:t>l</w:t>
      </w:r>
      <w:r w:rsidR="00921115" w:rsidRPr="00975C02">
        <w:rPr>
          <w:kern w:val="2"/>
          <w:sz w:val="20"/>
          <w:szCs w:val="20"/>
          <w:lang w:val="es-ES" w:eastAsia="en-US"/>
        </w:rPr>
        <w:t>a</w:t>
      </w:r>
      <w:r w:rsidRPr="00975C02">
        <w:rPr>
          <w:kern w:val="2"/>
          <w:sz w:val="20"/>
          <w:szCs w:val="20"/>
          <w:lang w:val="es-ES" w:eastAsia="en-US"/>
        </w:rPr>
        <w:t xml:space="preserve"> niñ</w:t>
      </w:r>
      <w:r w:rsidR="00921115" w:rsidRPr="00975C02">
        <w:rPr>
          <w:kern w:val="2"/>
          <w:sz w:val="20"/>
          <w:szCs w:val="20"/>
          <w:lang w:val="es-ES" w:eastAsia="en-US"/>
        </w:rPr>
        <w:t>a</w:t>
      </w:r>
      <w:r w:rsidRPr="00975C02">
        <w:rPr>
          <w:kern w:val="2"/>
          <w:sz w:val="20"/>
          <w:szCs w:val="20"/>
          <w:lang w:val="es-ES" w:eastAsia="en-US"/>
        </w:rPr>
        <w:t xml:space="preserve"> ni procuró la protección de V.R.P. para salvaguardar su posterior desarrollo, </w:t>
      </w:r>
      <w:r w:rsidR="005E1546" w:rsidRPr="00975C02">
        <w:rPr>
          <w:kern w:val="2"/>
          <w:sz w:val="20"/>
          <w:szCs w:val="20"/>
          <w:lang w:val="es-ES" w:eastAsia="en-US"/>
        </w:rPr>
        <w:t xml:space="preserve">incluyendo </w:t>
      </w:r>
      <w:r w:rsidR="005E1546" w:rsidRPr="00975C02">
        <w:rPr>
          <w:rFonts w:eastAsia="Calibri" w:cs="Arial"/>
          <w:kern w:val="2"/>
          <w:sz w:val="20"/>
          <w:szCs w:val="20"/>
          <w:lang w:val="es-ES" w:eastAsia="en-US"/>
        </w:rPr>
        <w:t>las atenciones necesarias tanto para su salud física (producto del virus del papiloma humano y de la condición de su cuerpo) como para su salud psíquica,</w:t>
      </w:r>
      <w:r w:rsidR="005E1546" w:rsidRPr="00975C02">
        <w:rPr>
          <w:kern w:val="2"/>
          <w:sz w:val="20"/>
          <w:szCs w:val="20"/>
          <w:lang w:val="es-ES" w:eastAsia="en-US"/>
        </w:rPr>
        <w:t xml:space="preserve"> </w:t>
      </w:r>
      <w:r w:rsidRPr="00975C02">
        <w:rPr>
          <w:kern w:val="2"/>
          <w:sz w:val="20"/>
          <w:szCs w:val="20"/>
          <w:lang w:val="es-ES" w:eastAsia="en-US"/>
        </w:rPr>
        <w:t>sino que más bien el Estado incentivó el trauma de la niña, en violación de su obligación de protección reforzada.</w:t>
      </w:r>
      <w:r w:rsidR="00013EA6" w:rsidRPr="00975C02">
        <w:rPr>
          <w:b/>
          <w:kern w:val="2"/>
          <w:sz w:val="16"/>
          <w:szCs w:val="16"/>
          <w:lang w:val="es-ES" w:eastAsia="en-US"/>
        </w:rPr>
        <w:t xml:space="preserve"> </w:t>
      </w:r>
      <w:r w:rsidRPr="00975C02">
        <w:rPr>
          <w:kern w:val="2"/>
          <w:sz w:val="20"/>
          <w:szCs w:val="20"/>
          <w:lang w:val="es-ES" w:eastAsia="en-US"/>
        </w:rPr>
        <w:t xml:space="preserve">Con </w:t>
      </w:r>
      <w:r w:rsidRPr="00975C02">
        <w:rPr>
          <w:rFonts w:eastAsia="Calibri" w:cs="Arial"/>
          <w:kern w:val="2"/>
          <w:sz w:val="20"/>
          <w:szCs w:val="20"/>
          <w:lang w:val="es-ES" w:eastAsia="en-US"/>
        </w:rPr>
        <w:t>base</w:t>
      </w:r>
      <w:r w:rsidRPr="00975C02">
        <w:rPr>
          <w:kern w:val="2"/>
          <w:sz w:val="20"/>
          <w:szCs w:val="20"/>
          <w:lang w:val="es-ES" w:eastAsia="en-US"/>
        </w:rPr>
        <w:t xml:space="preserve"> en lo alegado, las representantes concluyeron que el Estado violó los artículos 1.1, 5.1,</w:t>
      </w:r>
      <w:r w:rsidR="002E2D2E" w:rsidRPr="00975C02">
        <w:rPr>
          <w:kern w:val="2"/>
          <w:sz w:val="20"/>
          <w:szCs w:val="20"/>
          <w:lang w:val="es-ES" w:eastAsia="en-US"/>
        </w:rPr>
        <w:t xml:space="preserve"> 11,</w:t>
      </w:r>
      <w:r w:rsidRPr="00975C02">
        <w:rPr>
          <w:kern w:val="2"/>
          <w:sz w:val="20"/>
          <w:szCs w:val="20"/>
          <w:lang w:val="es-ES" w:eastAsia="en-US"/>
        </w:rPr>
        <w:t xml:space="preserve"> 19 y 24 de la Convención Americana, así como el artículo 7.b) de la Convención de Belém do Pará.</w:t>
      </w:r>
    </w:p>
    <w:p w14:paraId="053A6250" w14:textId="77777777" w:rsidR="00B5625C" w:rsidRPr="00975C02" w:rsidRDefault="00B5625C" w:rsidP="00B5625C">
      <w:pPr>
        <w:widowControl/>
        <w:adjustRightInd/>
        <w:spacing w:line="240" w:lineRule="auto"/>
        <w:textAlignment w:val="auto"/>
        <w:rPr>
          <w:b/>
          <w:i/>
          <w:kern w:val="2"/>
          <w:sz w:val="20"/>
          <w:szCs w:val="20"/>
          <w:u w:val="single"/>
          <w:lang w:val="es-ES" w:eastAsia="en-US"/>
        </w:rPr>
      </w:pPr>
    </w:p>
    <w:p w14:paraId="2BDA37E2" w14:textId="6989B592"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El </w:t>
      </w:r>
      <w:r w:rsidRPr="00975C02">
        <w:rPr>
          <w:b/>
          <w:i/>
          <w:kern w:val="2"/>
          <w:sz w:val="20"/>
          <w:szCs w:val="20"/>
          <w:lang w:val="es-ES" w:eastAsia="en-US"/>
        </w:rPr>
        <w:t>Estado</w:t>
      </w:r>
      <w:r w:rsidRPr="00975C02">
        <w:rPr>
          <w:kern w:val="2"/>
          <w:sz w:val="20"/>
          <w:szCs w:val="20"/>
          <w:lang w:val="es-ES" w:eastAsia="en-US"/>
        </w:rPr>
        <w:t xml:space="preserve"> destacó que la violación sexual cometida en perjuicio de V.R.P. no fue cometida por un agente estatal ni por una persona que hubiere actuado con la aquiescencia del Estado y que</w:t>
      </w:r>
      <w:r w:rsidR="005C0C42" w:rsidRPr="00975C02">
        <w:rPr>
          <w:kern w:val="2"/>
          <w:sz w:val="20"/>
          <w:szCs w:val="20"/>
          <w:lang w:val="es-ES" w:eastAsia="en-US"/>
        </w:rPr>
        <w:t>,</w:t>
      </w:r>
      <w:r w:rsidRPr="00975C02">
        <w:rPr>
          <w:kern w:val="2"/>
          <w:sz w:val="20"/>
          <w:szCs w:val="20"/>
          <w:lang w:val="es-ES" w:eastAsia="en-US"/>
        </w:rPr>
        <w:t xml:space="preserve"> al ser la obligación de investigar de medios y no de resultados, la autoridad judicial </w:t>
      </w:r>
      <w:r w:rsidR="003C094D" w:rsidRPr="00975C02">
        <w:rPr>
          <w:kern w:val="2"/>
          <w:sz w:val="20"/>
          <w:szCs w:val="20"/>
          <w:lang w:val="es-ES" w:eastAsia="en-US"/>
        </w:rPr>
        <w:t>realiz</w:t>
      </w:r>
      <w:r w:rsidR="00B077C1" w:rsidRPr="00975C02">
        <w:rPr>
          <w:kern w:val="2"/>
          <w:sz w:val="20"/>
          <w:szCs w:val="20"/>
          <w:lang w:val="es-ES" w:eastAsia="en-US"/>
        </w:rPr>
        <w:t>ó una investigac</w:t>
      </w:r>
      <w:r w:rsidR="003C094D" w:rsidRPr="00975C02">
        <w:rPr>
          <w:kern w:val="2"/>
          <w:sz w:val="20"/>
          <w:szCs w:val="20"/>
          <w:lang w:val="es-ES" w:eastAsia="en-US"/>
        </w:rPr>
        <w:t xml:space="preserve">ión </w:t>
      </w:r>
      <w:r w:rsidRPr="00975C02">
        <w:rPr>
          <w:kern w:val="2"/>
          <w:sz w:val="20"/>
          <w:szCs w:val="20"/>
          <w:lang w:val="es-ES" w:eastAsia="en-US"/>
        </w:rPr>
        <w:t>diligen</w:t>
      </w:r>
      <w:r w:rsidR="003C094D" w:rsidRPr="00975C02">
        <w:rPr>
          <w:kern w:val="2"/>
          <w:sz w:val="20"/>
          <w:szCs w:val="20"/>
          <w:lang w:val="es-ES" w:eastAsia="en-US"/>
        </w:rPr>
        <w:t>te y efectiva</w:t>
      </w:r>
      <w:r w:rsidR="00B91FA4" w:rsidRPr="00975C02">
        <w:rPr>
          <w:kern w:val="2"/>
          <w:sz w:val="20"/>
          <w:szCs w:val="20"/>
          <w:lang w:val="es-ES" w:eastAsia="en-US"/>
        </w:rPr>
        <w:t>.</w:t>
      </w:r>
      <w:r w:rsidRPr="00975C02">
        <w:rPr>
          <w:kern w:val="2"/>
          <w:sz w:val="20"/>
          <w:szCs w:val="20"/>
          <w:lang w:val="es-ES" w:eastAsia="en-US"/>
        </w:rPr>
        <w:t xml:space="preserve"> Respecto a los exámenes médicos practicados dentro del proceso penal y la revictimización, señaló que no versaba en el expediente de tramitación ni en los escritos de V.P.C. dirigidos al Director del Hospital Victoria Motta ni en el expediente de queja contra el médico forense, las frases que se alegó que habría proferido en contra de la niña al momento de su evaluación. El Estado consideró que no existían comunicaciones que aseveraran que dichas expresiones fueron exteriorizadas por el médico, siendo “preocupante” para el Estado que se traigan a colación, después de muchos años, expresiones que no fueron documentadas. El Estado afirmó que la renuencia de V.R.P. a ser examinada no fue producto del actuar del médico forense, sino que obedecía a la situación traumática vivida por la niña, lo cual podía ser corroborado con los testimonios de los dos primeros médicos que la valoraron en consulta privada. Asimismo, el Estado alegó que durante la valoración médico forense estuvieron presentes los especialistas que la madre de la niña solicitó. En relación con la idoneidad, independencia e imparcialidad del personal médico que llevó a cabo dicha diligencia, el Estado afirmó que eran aptos para realizar dicha valoración pues cumplían con los requisitos y calidades para ser médicos forenses, conforme a la normativa interna vigente. El Estado señaló que</w:t>
      </w:r>
      <w:r w:rsidR="005C0C42" w:rsidRPr="00975C02">
        <w:rPr>
          <w:kern w:val="2"/>
          <w:sz w:val="20"/>
          <w:szCs w:val="20"/>
          <w:lang w:val="es-ES" w:eastAsia="en-US"/>
        </w:rPr>
        <w:t>,</w:t>
      </w:r>
      <w:r w:rsidRPr="00975C02">
        <w:rPr>
          <w:kern w:val="2"/>
          <w:sz w:val="20"/>
          <w:szCs w:val="20"/>
          <w:lang w:val="es-ES" w:eastAsia="en-US"/>
        </w:rPr>
        <w:t xml:space="preserve"> ante el alegado comportamiento del médico forense en </w:t>
      </w:r>
      <w:r w:rsidRPr="00975C02">
        <w:rPr>
          <w:kern w:val="2"/>
          <w:sz w:val="20"/>
          <w:szCs w:val="20"/>
          <w:lang w:val="es-ES" w:eastAsia="en-US"/>
        </w:rPr>
        <w:lastRenderedPageBreak/>
        <w:t>perjuicio de V.R.P.</w:t>
      </w:r>
      <w:r w:rsidR="005C0C42" w:rsidRPr="00975C02">
        <w:rPr>
          <w:kern w:val="2"/>
          <w:sz w:val="20"/>
          <w:szCs w:val="20"/>
          <w:lang w:val="es-ES" w:eastAsia="en-US"/>
        </w:rPr>
        <w:t>,</w:t>
      </w:r>
      <w:r w:rsidRPr="00975C02">
        <w:rPr>
          <w:kern w:val="2"/>
          <w:sz w:val="20"/>
          <w:szCs w:val="20"/>
          <w:lang w:val="es-ES" w:eastAsia="en-US"/>
        </w:rPr>
        <w:t xml:space="preserve"> se inició un proceso de queja </w:t>
      </w:r>
      <w:r w:rsidR="005C0C42" w:rsidRPr="00975C02">
        <w:rPr>
          <w:kern w:val="2"/>
          <w:sz w:val="20"/>
          <w:szCs w:val="20"/>
          <w:lang w:val="es-ES" w:eastAsia="en-US"/>
        </w:rPr>
        <w:t xml:space="preserve">la cual </w:t>
      </w:r>
      <w:r w:rsidRPr="00975C02">
        <w:rPr>
          <w:kern w:val="2"/>
          <w:sz w:val="20"/>
          <w:szCs w:val="20"/>
          <w:lang w:val="es-ES" w:eastAsia="en-US"/>
        </w:rPr>
        <w:t>no fue tramitada por falta de pruebas, y añadió que dicho médico ya no laboraba para el Poder Judicial debi</w:t>
      </w:r>
      <w:r w:rsidR="00622073" w:rsidRPr="00975C02">
        <w:rPr>
          <w:kern w:val="2"/>
          <w:sz w:val="20"/>
          <w:szCs w:val="20"/>
          <w:lang w:val="es-ES" w:eastAsia="en-US"/>
        </w:rPr>
        <w:t>do a su renuncia a dicho cargo.</w:t>
      </w:r>
    </w:p>
    <w:p w14:paraId="6D9EA201" w14:textId="77777777" w:rsidR="00B5625C" w:rsidRPr="00975C02" w:rsidRDefault="00B5625C" w:rsidP="00B5625C">
      <w:pPr>
        <w:widowControl/>
        <w:adjustRightInd/>
        <w:spacing w:line="240" w:lineRule="auto"/>
        <w:textAlignment w:val="auto"/>
        <w:rPr>
          <w:b/>
          <w:kern w:val="2"/>
          <w:sz w:val="20"/>
          <w:szCs w:val="20"/>
          <w:lang w:val="es-ES" w:eastAsia="en-US"/>
        </w:rPr>
      </w:pPr>
    </w:p>
    <w:p w14:paraId="79B9F672" w14:textId="78626957"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En relación con la diligencia de inspección ocular y reconstrucción de los hechos, el Estado señaló que se realizó conforme a lo indicado en el código procesal de la época y a solicitud de V.P.C.</w:t>
      </w:r>
      <w:r w:rsidRPr="00975C02">
        <w:rPr>
          <w:b/>
          <w:kern w:val="2"/>
          <w:sz w:val="16"/>
          <w:szCs w:val="16"/>
          <w:lang w:val="es-ES" w:eastAsia="en-US"/>
        </w:rPr>
        <w:t xml:space="preserve"> </w:t>
      </w:r>
      <w:r w:rsidRPr="00975C02">
        <w:rPr>
          <w:kern w:val="2"/>
          <w:sz w:val="20"/>
          <w:szCs w:val="20"/>
          <w:lang w:val="es-ES" w:eastAsia="en-US"/>
        </w:rPr>
        <w:t xml:space="preserve">En dicha reconstrucción la niña estuvo acompañada por su madre V.P.C. y fue asistida por la psiquiatra asignada con el fin de darle seguimiento. El Estado manifestó que no constaba </w:t>
      </w:r>
      <w:r w:rsidR="00300C97">
        <w:rPr>
          <w:kern w:val="2"/>
          <w:sz w:val="20"/>
          <w:szCs w:val="20"/>
          <w:lang w:val="es-ES" w:eastAsia="en-US"/>
        </w:rPr>
        <w:t xml:space="preserve">en </w:t>
      </w:r>
      <w:r w:rsidRPr="00975C02">
        <w:rPr>
          <w:kern w:val="2"/>
          <w:sz w:val="20"/>
          <w:szCs w:val="20"/>
          <w:lang w:val="es-ES" w:eastAsia="en-US"/>
        </w:rPr>
        <w:t>el expediente la presencia del acusado durante dicha diligencia, medida</w:t>
      </w:r>
      <w:r w:rsidR="00B91FA4" w:rsidRPr="00975C02">
        <w:rPr>
          <w:kern w:val="2"/>
          <w:sz w:val="20"/>
          <w:szCs w:val="20"/>
          <w:lang w:val="es-ES" w:eastAsia="en-US"/>
        </w:rPr>
        <w:t xml:space="preserve"> que fue</w:t>
      </w:r>
      <w:r w:rsidRPr="00975C02">
        <w:rPr>
          <w:kern w:val="2"/>
          <w:sz w:val="20"/>
          <w:szCs w:val="20"/>
          <w:lang w:val="es-ES" w:eastAsia="en-US"/>
        </w:rPr>
        <w:t xml:space="preserve"> adoptada para salvaguardar la integridad de la </w:t>
      </w:r>
      <w:r w:rsidR="00F903D6" w:rsidRPr="00975C02">
        <w:rPr>
          <w:kern w:val="2"/>
          <w:sz w:val="20"/>
          <w:szCs w:val="20"/>
          <w:lang w:val="es-ES" w:eastAsia="en-US"/>
        </w:rPr>
        <w:t>niña</w:t>
      </w:r>
      <w:r w:rsidR="00B91FA4" w:rsidRPr="00975C02">
        <w:rPr>
          <w:kern w:val="2"/>
          <w:sz w:val="20"/>
          <w:szCs w:val="20"/>
          <w:lang w:val="es-ES" w:eastAsia="en-US"/>
        </w:rPr>
        <w:t>.</w:t>
      </w:r>
      <w:r w:rsidRPr="00975C02">
        <w:rPr>
          <w:kern w:val="2"/>
          <w:sz w:val="20"/>
          <w:szCs w:val="20"/>
          <w:lang w:val="es-ES" w:eastAsia="en-US"/>
        </w:rPr>
        <w:t xml:space="preserve"> El Estado, a su vez, negó la revictimización y la existencia de maltrato a la niña en dicho procedimiento.</w:t>
      </w:r>
    </w:p>
    <w:p w14:paraId="6E307DCE" w14:textId="77777777" w:rsidR="00B5625C" w:rsidRPr="00975C02" w:rsidRDefault="00B5625C" w:rsidP="00B5625C">
      <w:pPr>
        <w:widowControl/>
        <w:adjustRightInd/>
        <w:spacing w:line="240" w:lineRule="auto"/>
        <w:textAlignment w:val="auto"/>
        <w:rPr>
          <w:kern w:val="2"/>
          <w:sz w:val="20"/>
          <w:szCs w:val="20"/>
          <w:lang w:val="es-ES" w:eastAsia="en-US"/>
        </w:rPr>
      </w:pPr>
    </w:p>
    <w:p w14:paraId="5557348E" w14:textId="243221D0"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rFonts w:eastAsia="Calibri" w:cs="Arial"/>
          <w:b/>
          <w:kern w:val="2"/>
          <w:sz w:val="20"/>
          <w:szCs w:val="20"/>
          <w:lang w:val="es-ES" w:eastAsia="en-US"/>
        </w:rPr>
      </w:pPr>
      <w:r w:rsidRPr="00975C02">
        <w:rPr>
          <w:kern w:val="2"/>
          <w:sz w:val="20"/>
          <w:szCs w:val="20"/>
          <w:lang w:val="es-ES" w:eastAsia="en-US"/>
        </w:rPr>
        <w:t xml:space="preserve">El Estado controvirtió la afirmación de que V.R.P. no habría recibido asistencia psicológica o psiquiátrica, ya que afirmó que la autoridad judicial ordenó, desde el primer momento en que tuvo conocimiento de la violación sexual, la intervención de una psiquiatra para valorar a V.R.P. Asimismo, destacó que se remitió a la niña al Instituto de Medicina Legal para su valoración física y psicológica, y se brindó el acompañamiento en la inspección ocular. </w:t>
      </w:r>
      <w:r w:rsidR="00537F77">
        <w:rPr>
          <w:rFonts w:eastAsia="Calibri" w:cs="Arial"/>
          <w:kern w:val="2"/>
          <w:sz w:val="20"/>
          <w:szCs w:val="20"/>
          <w:lang w:val="es-ES" w:eastAsia="en-US"/>
        </w:rPr>
        <w:t>Subrayó</w:t>
      </w:r>
      <w:r w:rsidRPr="00975C02">
        <w:rPr>
          <w:rFonts w:eastAsia="Calibri" w:cs="Arial"/>
          <w:kern w:val="2"/>
          <w:sz w:val="20"/>
          <w:szCs w:val="20"/>
          <w:lang w:val="es-ES" w:eastAsia="en-US"/>
        </w:rPr>
        <w:t xml:space="preserve"> que</w:t>
      </w:r>
      <w:r w:rsidR="003A51CB" w:rsidRPr="00975C02">
        <w:rPr>
          <w:rFonts w:eastAsia="Calibri" w:cs="Arial"/>
          <w:kern w:val="2"/>
          <w:sz w:val="20"/>
          <w:szCs w:val="20"/>
          <w:lang w:val="es-ES" w:eastAsia="en-US"/>
        </w:rPr>
        <w:t>,</w:t>
      </w:r>
      <w:r w:rsidRPr="00975C02">
        <w:rPr>
          <w:rFonts w:eastAsia="Calibri" w:cs="Arial"/>
          <w:kern w:val="2"/>
          <w:sz w:val="20"/>
          <w:szCs w:val="20"/>
          <w:lang w:val="es-ES" w:eastAsia="en-US"/>
        </w:rPr>
        <w:t xml:space="preserve"> en el caso en concreto, el Estado tomó las atenciones necesarias para la salud física y psíquica de V.R.P. </w:t>
      </w:r>
      <w:r w:rsidR="003A51CB" w:rsidRPr="00975C02">
        <w:rPr>
          <w:rFonts w:eastAsia="Calibri" w:cs="Arial"/>
          <w:kern w:val="2"/>
          <w:sz w:val="20"/>
          <w:szCs w:val="20"/>
          <w:lang w:val="es-ES" w:eastAsia="en-US"/>
        </w:rPr>
        <w:t>a través de</w:t>
      </w:r>
      <w:r w:rsidRPr="00975C02">
        <w:rPr>
          <w:rFonts w:eastAsia="Calibri" w:cs="Arial"/>
          <w:kern w:val="2"/>
          <w:sz w:val="20"/>
          <w:szCs w:val="20"/>
          <w:lang w:val="es-ES" w:eastAsia="en-US"/>
        </w:rPr>
        <w:t xml:space="preserve">l Hospital Victoria Motta. </w:t>
      </w:r>
      <w:r w:rsidRPr="00975C02">
        <w:rPr>
          <w:kern w:val="2"/>
          <w:sz w:val="20"/>
          <w:szCs w:val="20"/>
          <w:lang w:val="es-ES" w:eastAsia="en-US"/>
        </w:rPr>
        <w:t xml:space="preserve">El Estado señaló que la atención médica fue constante, sin embargo, no pudo ser brindada luego de que V.P.C. y su hija salieran del país, pues el Estado no tenía posibilidad de brindar el tratamiento recomendado fuera de Nicaragua, lo cual no </w:t>
      </w:r>
      <w:r w:rsidR="00213A4C">
        <w:rPr>
          <w:kern w:val="2"/>
          <w:sz w:val="20"/>
          <w:szCs w:val="20"/>
          <w:lang w:val="es-ES" w:eastAsia="en-US"/>
        </w:rPr>
        <w:t xml:space="preserve">le </w:t>
      </w:r>
      <w:r w:rsidRPr="00975C02">
        <w:rPr>
          <w:kern w:val="2"/>
          <w:sz w:val="20"/>
          <w:szCs w:val="20"/>
          <w:lang w:val="es-ES" w:eastAsia="en-US"/>
        </w:rPr>
        <w:t>sería imputable.</w:t>
      </w:r>
    </w:p>
    <w:p w14:paraId="0D881B02" w14:textId="77777777" w:rsidR="00B5625C" w:rsidRPr="00975C02" w:rsidRDefault="00B5625C" w:rsidP="00B5625C">
      <w:pPr>
        <w:widowControl/>
        <w:adjustRightInd/>
        <w:spacing w:line="240" w:lineRule="auto"/>
        <w:textAlignment w:val="auto"/>
        <w:rPr>
          <w:b/>
          <w:kern w:val="2"/>
          <w:sz w:val="20"/>
          <w:szCs w:val="20"/>
          <w:lang w:val="es-ES" w:eastAsia="en-US"/>
        </w:rPr>
      </w:pPr>
    </w:p>
    <w:p w14:paraId="3980D306" w14:textId="37C1540E" w:rsidR="00B5625C" w:rsidRPr="00975C02" w:rsidRDefault="00B5125C" w:rsidP="005C0C42">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Finalmente, e</w:t>
      </w:r>
      <w:r w:rsidR="00B5625C" w:rsidRPr="00975C02">
        <w:rPr>
          <w:kern w:val="2"/>
          <w:sz w:val="20"/>
          <w:szCs w:val="20"/>
          <w:lang w:val="es-ES" w:eastAsia="en-US"/>
        </w:rPr>
        <w:t>l Estado señaló que</w:t>
      </w:r>
      <w:r w:rsidR="00A46B71" w:rsidRPr="00975C02">
        <w:rPr>
          <w:kern w:val="2"/>
          <w:sz w:val="20"/>
          <w:szCs w:val="20"/>
          <w:lang w:val="es-ES" w:eastAsia="en-US"/>
        </w:rPr>
        <w:t>,</w:t>
      </w:r>
      <w:r w:rsidR="00B5625C" w:rsidRPr="00975C02">
        <w:rPr>
          <w:kern w:val="2"/>
          <w:sz w:val="20"/>
          <w:szCs w:val="20"/>
          <w:lang w:val="es-ES" w:eastAsia="en-US"/>
        </w:rPr>
        <w:t xml:space="preserve"> en el presente caso</w:t>
      </w:r>
      <w:r w:rsidR="00A46B71" w:rsidRPr="00975C02">
        <w:rPr>
          <w:kern w:val="2"/>
          <w:sz w:val="20"/>
          <w:szCs w:val="20"/>
          <w:lang w:val="es-ES" w:eastAsia="en-US"/>
        </w:rPr>
        <w:t>,</w:t>
      </w:r>
      <w:r w:rsidR="00B5625C" w:rsidRPr="00975C02">
        <w:rPr>
          <w:kern w:val="2"/>
          <w:sz w:val="20"/>
          <w:szCs w:val="20"/>
          <w:lang w:val="es-ES" w:eastAsia="en-US"/>
        </w:rPr>
        <w:t xml:space="preserve"> cumplió con los estándares de debida diligencia en investigaciones por la comisión de delitos sexuales</w:t>
      </w:r>
      <w:r w:rsidR="00A46B71" w:rsidRPr="00975C02">
        <w:rPr>
          <w:kern w:val="2"/>
          <w:sz w:val="20"/>
          <w:szCs w:val="20"/>
          <w:lang w:val="es-ES" w:eastAsia="en-US"/>
        </w:rPr>
        <w:t>,</w:t>
      </w:r>
      <w:r w:rsidR="00B5625C" w:rsidRPr="00975C02">
        <w:rPr>
          <w:kern w:val="2"/>
          <w:sz w:val="20"/>
          <w:szCs w:val="20"/>
          <w:lang w:val="es-ES" w:eastAsia="en-US"/>
        </w:rPr>
        <w:t xml:space="preserve"> ya que: a) la declaración de V.R.P</w:t>
      </w:r>
      <w:r w:rsidR="00A46B71" w:rsidRPr="00975C02">
        <w:rPr>
          <w:kern w:val="2"/>
          <w:sz w:val="20"/>
          <w:szCs w:val="20"/>
          <w:lang w:val="es-ES" w:eastAsia="en-US"/>
        </w:rPr>
        <w:t>.</w:t>
      </w:r>
      <w:r w:rsidR="00B5625C" w:rsidRPr="00975C02">
        <w:rPr>
          <w:kern w:val="2"/>
          <w:sz w:val="20"/>
          <w:szCs w:val="20"/>
          <w:lang w:val="es-ES" w:eastAsia="en-US"/>
        </w:rPr>
        <w:t xml:space="preserve"> se llevó a cabo en un ambiente cómodo y seguro, se le brindó privacidad y confianza</w:t>
      </w:r>
      <w:r w:rsidR="00A46B71" w:rsidRPr="00975C02">
        <w:rPr>
          <w:kern w:val="2"/>
          <w:sz w:val="20"/>
          <w:szCs w:val="20"/>
          <w:lang w:val="es-ES" w:eastAsia="en-US"/>
        </w:rPr>
        <w:t>,</w:t>
      </w:r>
      <w:r w:rsidR="00B5625C" w:rsidRPr="00975C02">
        <w:rPr>
          <w:kern w:val="2"/>
          <w:sz w:val="20"/>
          <w:szCs w:val="20"/>
          <w:lang w:val="es-ES" w:eastAsia="en-US"/>
        </w:rPr>
        <w:t xml:space="preserve"> y contó con la presencia de su madre; b) la declaración de V.R.P</w:t>
      </w:r>
      <w:r w:rsidR="00A46B71" w:rsidRPr="00975C02">
        <w:rPr>
          <w:kern w:val="2"/>
          <w:sz w:val="20"/>
          <w:szCs w:val="20"/>
          <w:lang w:val="es-ES" w:eastAsia="en-US"/>
        </w:rPr>
        <w:t xml:space="preserve">. </w:t>
      </w:r>
      <w:r w:rsidR="00B5625C" w:rsidRPr="00975C02">
        <w:rPr>
          <w:kern w:val="2"/>
          <w:sz w:val="20"/>
          <w:szCs w:val="20"/>
          <w:lang w:val="es-ES" w:eastAsia="en-US"/>
        </w:rPr>
        <w:t>fue clara, precisa, tuvo libertad de expresar lo sucedido, no se le hicieron preguntas revictimizantes y no fue citada nuevamente para rendir declaración, limitando la necesidad de repetición; c) se le brindó atención médica, sanitaria y psicológica desde que se tuvo conocimiento del hecho, por lo que la psiquiatra asignada le dio seguimiento a la niña durante todo el procedimiento; d) inmediatamente después de presentada la denuncia se ordenó la realización del examen médico y psicológico a V.R.P.</w:t>
      </w:r>
      <w:r w:rsidR="00A46B71" w:rsidRPr="00975C02">
        <w:rPr>
          <w:kern w:val="2"/>
          <w:sz w:val="20"/>
          <w:szCs w:val="20"/>
          <w:lang w:val="es-ES" w:eastAsia="en-US"/>
        </w:rPr>
        <w:t xml:space="preserve"> por personal idóneo y capacitado</w:t>
      </w:r>
      <w:r w:rsidR="00B5625C" w:rsidRPr="00975C02">
        <w:rPr>
          <w:kern w:val="2"/>
          <w:sz w:val="20"/>
          <w:szCs w:val="20"/>
          <w:lang w:val="es-ES" w:eastAsia="en-US"/>
        </w:rPr>
        <w:t>; e) se llevaron a cabo una serie de actos investigativos y se detuvo al denunciado; f) se brindó acceso a asistencia jurídica gratuita; g) se mantuvo el proceso en reserva para preservar la privacidad de la víctima, y h) con el fin de evitar la revictimización, y conforme al informe de la psiquiatra</w:t>
      </w:r>
      <w:r w:rsidR="00A46B71" w:rsidRPr="00975C02">
        <w:rPr>
          <w:kern w:val="2"/>
          <w:sz w:val="20"/>
          <w:szCs w:val="20"/>
          <w:lang w:val="es-ES" w:eastAsia="en-US"/>
        </w:rPr>
        <w:t>,</w:t>
      </w:r>
      <w:r w:rsidR="00B5625C" w:rsidRPr="00975C02">
        <w:rPr>
          <w:kern w:val="2"/>
          <w:sz w:val="20"/>
          <w:szCs w:val="20"/>
          <w:lang w:val="es-ES" w:eastAsia="en-US"/>
        </w:rPr>
        <w:t xml:space="preserve"> mediante el cual se recomendó no permitir que la víctima siguiera encontrándose presente en los recuerdos del hecho, el Estado determinó que V.R.P. no compareciera más en el proceso interno.</w:t>
      </w:r>
    </w:p>
    <w:p w14:paraId="1E2C68F8" w14:textId="77777777" w:rsidR="00B5625C" w:rsidRPr="00975C02" w:rsidRDefault="00B5625C" w:rsidP="005C0C42">
      <w:pPr>
        <w:widowControl/>
        <w:adjustRightInd/>
        <w:spacing w:line="240" w:lineRule="auto"/>
        <w:textAlignment w:val="auto"/>
        <w:rPr>
          <w:b/>
          <w:kern w:val="2"/>
          <w:sz w:val="20"/>
          <w:szCs w:val="20"/>
          <w:lang w:val="es-ES" w:eastAsia="en-US"/>
        </w:rPr>
      </w:pPr>
    </w:p>
    <w:p w14:paraId="28C3B921" w14:textId="77777777" w:rsidR="00B5625C" w:rsidRPr="00975C02" w:rsidRDefault="00A92F94" w:rsidP="00A92F94">
      <w:pPr>
        <w:pStyle w:val="Heading2"/>
        <w:tabs>
          <w:tab w:val="left" w:pos="1843"/>
        </w:tabs>
        <w:spacing w:before="0" w:line="240" w:lineRule="auto"/>
        <w:ind w:left="1134"/>
        <w:rPr>
          <w:rFonts w:ascii="Verdana" w:hAnsi="Verdana"/>
          <w:b w:val="0"/>
          <w:i/>
          <w:color w:val="auto"/>
          <w:sz w:val="20"/>
          <w:szCs w:val="20"/>
          <w:lang w:val="es-ES"/>
        </w:rPr>
      </w:pPr>
      <w:bookmarkStart w:id="123" w:name="_Toc470180077"/>
      <w:bookmarkStart w:id="124" w:name="_Toc495658675"/>
      <w:bookmarkStart w:id="125" w:name="_Toc514172630"/>
      <w:r w:rsidRPr="00975C02">
        <w:rPr>
          <w:rFonts w:ascii="Verdana" w:hAnsi="Verdana"/>
          <w:b w:val="0"/>
          <w:i/>
          <w:color w:val="auto"/>
          <w:sz w:val="20"/>
          <w:szCs w:val="20"/>
          <w:lang w:val="es-ES"/>
        </w:rPr>
        <w:t>A</w:t>
      </w:r>
      <w:r w:rsidR="00B5625C" w:rsidRPr="00975C02">
        <w:rPr>
          <w:rFonts w:ascii="Verdana" w:hAnsi="Verdana"/>
          <w:b w:val="0"/>
          <w:i/>
          <w:color w:val="auto"/>
          <w:sz w:val="20"/>
          <w:szCs w:val="20"/>
          <w:lang w:val="es-ES"/>
        </w:rPr>
        <w:t>.</w:t>
      </w:r>
      <w:r w:rsidR="00A20472" w:rsidRPr="00975C02">
        <w:rPr>
          <w:rFonts w:ascii="Verdana" w:hAnsi="Verdana"/>
          <w:b w:val="0"/>
          <w:i/>
          <w:color w:val="auto"/>
          <w:sz w:val="20"/>
          <w:szCs w:val="20"/>
          <w:lang w:val="es-ES"/>
        </w:rPr>
        <w:t>2</w:t>
      </w:r>
      <w:r w:rsidR="00B5625C" w:rsidRPr="00975C02">
        <w:rPr>
          <w:rFonts w:ascii="Verdana" w:hAnsi="Verdana"/>
          <w:b w:val="0"/>
          <w:i/>
          <w:color w:val="auto"/>
          <w:sz w:val="20"/>
          <w:szCs w:val="20"/>
          <w:lang w:val="es-ES"/>
        </w:rPr>
        <w:tab/>
        <w:t>Consideraciones de la Corte</w:t>
      </w:r>
      <w:bookmarkEnd w:id="123"/>
      <w:bookmarkEnd w:id="124"/>
      <w:bookmarkEnd w:id="125"/>
    </w:p>
    <w:p w14:paraId="77A1E1F4" w14:textId="77777777" w:rsidR="00B5625C" w:rsidRPr="00975C02" w:rsidRDefault="00B5625C" w:rsidP="00B5625C">
      <w:pPr>
        <w:widowControl/>
        <w:autoSpaceDE w:val="0"/>
        <w:autoSpaceDN w:val="0"/>
        <w:adjustRightInd/>
        <w:spacing w:line="240" w:lineRule="auto"/>
        <w:jc w:val="left"/>
        <w:textAlignment w:val="auto"/>
        <w:rPr>
          <w:rFonts w:eastAsiaTheme="minorHAnsi" w:cs="Arial"/>
          <w:kern w:val="2"/>
          <w:sz w:val="20"/>
          <w:szCs w:val="20"/>
          <w:lang w:val="es-ES" w:eastAsia="en-US"/>
        </w:rPr>
      </w:pPr>
    </w:p>
    <w:p w14:paraId="18664BF9" w14:textId="6385FED9"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rFonts w:eastAsia="Calibri"/>
          <w:b/>
          <w:kern w:val="2"/>
          <w:sz w:val="20"/>
          <w:szCs w:val="20"/>
          <w:lang w:val="es-ES" w:eastAsia="en-US"/>
        </w:rPr>
      </w:pPr>
      <w:r w:rsidRPr="00975C02">
        <w:rPr>
          <w:kern w:val="2"/>
          <w:sz w:val="20"/>
          <w:szCs w:val="20"/>
          <w:lang w:val="es-ES" w:eastAsia="en-US"/>
        </w:rPr>
        <w:t>La</w:t>
      </w:r>
      <w:r w:rsidRPr="00975C02">
        <w:rPr>
          <w:rFonts w:eastAsia="Calibri"/>
          <w:kern w:val="2"/>
          <w:sz w:val="20"/>
          <w:szCs w:val="20"/>
          <w:lang w:val="es-ES" w:eastAsia="en-US"/>
        </w:rPr>
        <w:t xml:space="preserve"> Corte ha </w:t>
      </w:r>
      <w:r w:rsidRPr="00975C02">
        <w:rPr>
          <w:kern w:val="2"/>
          <w:sz w:val="20"/>
          <w:szCs w:val="20"/>
          <w:lang w:val="es-ES" w:eastAsia="en-US"/>
        </w:rPr>
        <w:t>establecido</w:t>
      </w:r>
      <w:r w:rsidRPr="00975C02">
        <w:rPr>
          <w:rFonts w:eastAsia="Calibri"/>
          <w:kern w:val="2"/>
          <w:sz w:val="20"/>
          <w:szCs w:val="20"/>
          <w:lang w:val="es-ES" w:eastAsia="en-US"/>
        </w:rPr>
        <w:t xml:space="preserve"> que, de conformidad con la Convención Americana, los Estados Partes están </w:t>
      </w:r>
      <w:r w:rsidRPr="00975C02">
        <w:rPr>
          <w:kern w:val="2"/>
          <w:sz w:val="20"/>
          <w:szCs w:val="20"/>
          <w:lang w:val="es-ES" w:eastAsia="en-US"/>
        </w:rPr>
        <w:t>obligados</w:t>
      </w:r>
      <w:r w:rsidRPr="00975C02">
        <w:rPr>
          <w:rFonts w:eastAsia="Calibri"/>
          <w:kern w:val="2"/>
          <w:sz w:val="20"/>
          <w:szCs w:val="20"/>
          <w:lang w:val="es-ES" w:eastAsia="en-US"/>
        </w:rPr>
        <w:t xml:space="preserve"> a suministrar recursos judiciales efectivos a las víctimas de </w:t>
      </w:r>
      <w:r w:rsidRPr="00975C02">
        <w:rPr>
          <w:kern w:val="2"/>
          <w:sz w:val="20"/>
          <w:szCs w:val="20"/>
          <w:lang w:val="es-ES" w:eastAsia="en-US"/>
        </w:rPr>
        <w:t>violaciones</w:t>
      </w:r>
      <w:r w:rsidRPr="00975C02">
        <w:rPr>
          <w:rFonts w:eastAsia="Calibri"/>
          <w:kern w:val="2"/>
          <w:sz w:val="20"/>
          <w:szCs w:val="20"/>
          <w:lang w:val="es-ES" w:eastAsia="en-US"/>
        </w:rPr>
        <w:t xml:space="preserve"> </w:t>
      </w:r>
      <w:r w:rsidR="00A46B71" w:rsidRPr="00975C02">
        <w:rPr>
          <w:rFonts w:eastAsia="Calibri"/>
          <w:kern w:val="2"/>
          <w:sz w:val="20"/>
          <w:szCs w:val="20"/>
          <w:lang w:val="es-ES" w:eastAsia="en-US"/>
        </w:rPr>
        <w:t xml:space="preserve">a </w:t>
      </w:r>
      <w:r w:rsidRPr="00975C02">
        <w:rPr>
          <w:rFonts w:eastAsia="Calibri"/>
          <w:kern w:val="2"/>
          <w:sz w:val="20"/>
          <w:szCs w:val="20"/>
          <w:lang w:val="es-ES" w:eastAsia="en-US"/>
        </w:rPr>
        <w:t>los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975C02">
        <w:rPr>
          <w:rFonts w:eastAsia="Calibri"/>
          <w:kern w:val="2"/>
          <w:sz w:val="20"/>
          <w:szCs w:val="20"/>
          <w:vertAlign w:val="superscript"/>
          <w:lang w:val="es-ES" w:eastAsia="en-US"/>
        </w:rPr>
        <w:footnoteReference w:id="191"/>
      </w:r>
      <w:r w:rsidRPr="00975C02">
        <w:rPr>
          <w:rFonts w:eastAsia="Calibri"/>
          <w:kern w:val="2"/>
          <w:sz w:val="20"/>
          <w:szCs w:val="20"/>
          <w:lang w:val="es-ES" w:eastAsia="en-US"/>
        </w:rPr>
        <w:t xml:space="preserve">. Asimismo, ha señalado que el derecho de acceso a la justicia debe asegurar, en tiempo razonable, el derecho de </w:t>
      </w:r>
      <w:r w:rsidRPr="00975C02">
        <w:rPr>
          <w:rFonts w:eastAsia="Calibri"/>
          <w:kern w:val="2"/>
          <w:sz w:val="20"/>
          <w:szCs w:val="20"/>
          <w:lang w:val="es-ES" w:eastAsia="en-US"/>
        </w:rPr>
        <w:lastRenderedPageBreak/>
        <w:t>las presuntas víctimas o sus familiares a que se haga todo lo necesario para conocer la verdad de lo sucedido e investigar, juzgar y, en su caso, sancionar a los eventuales responsables</w:t>
      </w:r>
      <w:r w:rsidRPr="00975C02">
        <w:rPr>
          <w:rFonts w:eastAsia="Calibri"/>
          <w:kern w:val="2"/>
          <w:sz w:val="20"/>
          <w:szCs w:val="20"/>
          <w:vertAlign w:val="superscript"/>
          <w:lang w:val="es-ES" w:eastAsia="en-US"/>
        </w:rPr>
        <w:footnoteReference w:id="192"/>
      </w:r>
      <w:r w:rsidRPr="00975C02">
        <w:rPr>
          <w:rFonts w:eastAsia="Calibri"/>
          <w:kern w:val="2"/>
          <w:sz w:val="20"/>
          <w:szCs w:val="20"/>
          <w:lang w:val="es-ES" w:eastAsia="en-US"/>
        </w:rPr>
        <w:t>.</w:t>
      </w:r>
    </w:p>
    <w:p w14:paraId="277D4C87" w14:textId="77777777" w:rsidR="00B5625C" w:rsidRPr="00975C02" w:rsidRDefault="00B5625C" w:rsidP="00B5625C">
      <w:pPr>
        <w:widowControl/>
        <w:adjustRightInd/>
        <w:spacing w:line="240" w:lineRule="auto"/>
        <w:jc w:val="left"/>
        <w:textAlignment w:val="auto"/>
        <w:rPr>
          <w:rFonts w:eastAsia="Calibri"/>
          <w:b/>
          <w:kern w:val="2"/>
          <w:sz w:val="20"/>
          <w:szCs w:val="20"/>
          <w:lang w:val="es-ES" w:eastAsia="en-US"/>
        </w:rPr>
      </w:pPr>
    </w:p>
    <w:p w14:paraId="0CED8BF2" w14:textId="3531C7A7" w:rsidR="00B5625C" w:rsidRPr="00975C02" w:rsidRDefault="00B5625C" w:rsidP="005C0C42">
      <w:pPr>
        <w:widowControl/>
        <w:numPr>
          <w:ilvl w:val="0"/>
          <w:numId w:val="2"/>
        </w:numPr>
        <w:tabs>
          <w:tab w:val="left" w:pos="567"/>
          <w:tab w:val="num" w:pos="12305"/>
        </w:tabs>
        <w:adjustRightInd/>
        <w:spacing w:line="240" w:lineRule="auto"/>
        <w:ind w:left="0" w:firstLine="0"/>
        <w:textAlignment w:val="auto"/>
        <w:rPr>
          <w:rFonts w:eastAsia="Calibri"/>
          <w:b/>
          <w:kern w:val="2"/>
          <w:sz w:val="20"/>
          <w:szCs w:val="20"/>
          <w:lang w:val="es-ES" w:eastAsia="en-US"/>
        </w:rPr>
      </w:pPr>
      <w:r w:rsidRPr="00975C02">
        <w:rPr>
          <w:rFonts w:eastAsia="Calibri" w:cs="Arial"/>
          <w:kern w:val="2"/>
          <w:sz w:val="20"/>
          <w:szCs w:val="20"/>
          <w:lang w:val="es-ES" w:eastAsia="en-US"/>
        </w:rPr>
        <w:t xml:space="preserve">La Corte </w:t>
      </w:r>
      <w:r w:rsidRPr="00975C02">
        <w:rPr>
          <w:kern w:val="2"/>
          <w:sz w:val="20"/>
          <w:szCs w:val="20"/>
          <w:lang w:val="es-ES" w:eastAsia="en-US"/>
        </w:rPr>
        <w:t>ha</w:t>
      </w:r>
      <w:r w:rsidRPr="00975C02">
        <w:rPr>
          <w:rFonts w:eastAsia="Calibri" w:cs="Arial"/>
          <w:kern w:val="2"/>
          <w:sz w:val="20"/>
          <w:szCs w:val="20"/>
          <w:lang w:val="es-ES" w:eastAsia="en-US"/>
        </w:rPr>
        <w:t xml:space="preserve"> señalado</w:t>
      </w:r>
      <w:r w:rsidR="00A46B71" w:rsidRPr="00975C02">
        <w:rPr>
          <w:rFonts w:eastAsia="Calibri" w:cs="Arial"/>
          <w:kern w:val="2"/>
          <w:sz w:val="20"/>
          <w:szCs w:val="20"/>
          <w:lang w:val="es-ES" w:eastAsia="en-US"/>
        </w:rPr>
        <w:t>,</w:t>
      </w:r>
      <w:r w:rsidRPr="00975C02">
        <w:rPr>
          <w:rFonts w:eastAsia="Calibri" w:cs="Arial"/>
          <w:kern w:val="2"/>
          <w:sz w:val="20"/>
          <w:szCs w:val="20"/>
          <w:lang w:val="es-ES" w:eastAsia="en-US"/>
        </w:rPr>
        <w:t xml:space="preserve"> en su jurisprudencia reiterada</w:t>
      </w:r>
      <w:r w:rsidR="00A46B71" w:rsidRPr="00975C02">
        <w:rPr>
          <w:rFonts w:eastAsia="Calibri" w:cs="Arial"/>
          <w:kern w:val="2"/>
          <w:sz w:val="20"/>
          <w:szCs w:val="20"/>
          <w:lang w:val="es-ES" w:eastAsia="en-US"/>
        </w:rPr>
        <w:t>,</w:t>
      </w:r>
      <w:r w:rsidRPr="00975C02">
        <w:rPr>
          <w:rFonts w:eastAsia="Calibri" w:cs="Arial"/>
          <w:kern w:val="2"/>
          <w:sz w:val="20"/>
          <w:szCs w:val="20"/>
          <w:lang w:val="es-ES" w:eastAsia="en-US"/>
        </w:rPr>
        <w:t xml:space="preserve"> que el deber de investigar es una obligación de medio y no de resultado, que debe ser asumida por el Estado como un deber jurídico </w:t>
      </w:r>
      <w:r w:rsidRPr="00975C02">
        <w:rPr>
          <w:kern w:val="2"/>
          <w:sz w:val="20"/>
          <w:szCs w:val="20"/>
          <w:lang w:val="es-ES" w:eastAsia="en-US"/>
        </w:rPr>
        <w:t>propio</w:t>
      </w:r>
      <w:r w:rsidRPr="00975C02">
        <w:rPr>
          <w:rFonts w:eastAsia="Calibri" w:cs="Arial"/>
          <w:kern w:val="2"/>
          <w:sz w:val="20"/>
          <w:szCs w:val="20"/>
          <w:lang w:val="es-ES" w:eastAsia="en-US"/>
        </w:rPr>
        <w:t xml:space="preserve"> y no </w:t>
      </w:r>
      <w:r w:rsidRPr="00975C02">
        <w:rPr>
          <w:kern w:val="2"/>
          <w:sz w:val="20"/>
          <w:szCs w:val="20"/>
          <w:lang w:val="es-ES" w:eastAsia="en-US"/>
        </w:rPr>
        <w:t>como</w:t>
      </w:r>
      <w:r w:rsidRPr="00975C02">
        <w:rPr>
          <w:rFonts w:eastAsia="Calibri" w:cs="Arial"/>
          <w:kern w:val="2"/>
          <w:sz w:val="20"/>
          <w:szCs w:val="20"/>
          <w:lang w:val="es-ES" w:eastAsia="en-US"/>
        </w:rPr>
        <w:t xml:space="preserve"> una simple formalidad condenada de antemano a ser infructuosa, o como una mera gestión de </w:t>
      </w:r>
      <w:r w:rsidRPr="00975C02">
        <w:rPr>
          <w:rFonts w:eastAsia="Batang"/>
          <w:kern w:val="2"/>
          <w:sz w:val="20"/>
          <w:szCs w:val="20"/>
          <w:lang w:val="es-ES" w:eastAsia="en-US"/>
        </w:rPr>
        <w:t>intereses</w:t>
      </w:r>
      <w:r w:rsidRPr="00975C02">
        <w:rPr>
          <w:rFonts w:eastAsia="Calibri" w:cs="Arial"/>
          <w:kern w:val="2"/>
          <w:sz w:val="20"/>
          <w:szCs w:val="20"/>
          <w:lang w:val="es-ES" w:eastAsia="en-US"/>
        </w:rPr>
        <w:t xml:space="preserve"> particulares</w:t>
      </w:r>
      <w:r w:rsidRPr="00975C02">
        <w:rPr>
          <w:rFonts w:eastAsia="Calibri"/>
          <w:kern w:val="2"/>
          <w:sz w:val="20"/>
          <w:szCs w:val="20"/>
          <w:lang w:val="es-ES" w:eastAsia="es-MX"/>
        </w:rPr>
        <w:t xml:space="preserve">, que dependa de la iniciativa procesal de las víctimas o de sus familiares o de la aportación privada de </w:t>
      </w:r>
      <w:r w:rsidRPr="00975C02">
        <w:rPr>
          <w:rFonts w:eastAsia="Calibri"/>
          <w:kern w:val="2"/>
          <w:sz w:val="20"/>
          <w:szCs w:val="20"/>
          <w:lang w:val="es-ES" w:eastAsia="en-US"/>
        </w:rPr>
        <w:t>elementos</w:t>
      </w:r>
      <w:r w:rsidRPr="00975C02">
        <w:rPr>
          <w:rFonts w:eastAsia="Calibri"/>
          <w:kern w:val="2"/>
          <w:sz w:val="20"/>
          <w:szCs w:val="20"/>
          <w:lang w:val="es-ES" w:eastAsia="es-MX"/>
        </w:rPr>
        <w:t xml:space="preserve"> probatorios</w:t>
      </w:r>
      <w:r w:rsidRPr="00975C02">
        <w:rPr>
          <w:rFonts w:eastAsia="Calibri" w:cs="Arial"/>
          <w:kern w:val="2"/>
          <w:sz w:val="20"/>
          <w:szCs w:val="20"/>
          <w:lang w:val="es-ES" w:eastAsia="en-US"/>
        </w:rPr>
        <w:t xml:space="preserve">. La obligación referida se mantiene “cualquiera sea el agente al cual pueda eventualmente atribuirse la violación, aun los particulares, pues, si sus actos no son investigados con seriedad, resultarían, en cierto modo, auxiliados por el poder público, lo que </w:t>
      </w:r>
      <w:r w:rsidRPr="00975C02">
        <w:rPr>
          <w:rFonts w:eastAsia="Calibri"/>
          <w:kern w:val="2"/>
          <w:sz w:val="20"/>
          <w:szCs w:val="20"/>
          <w:lang w:val="es-ES" w:eastAsia="en-US"/>
        </w:rPr>
        <w:t>comprometería</w:t>
      </w:r>
      <w:r w:rsidRPr="00975C02">
        <w:rPr>
          <w:rFonts w:eastAsia="Calibri" w:cs="Arial"/>
          <w:kern w:val="2"/>
          <w:sz w:val="20"/>
          <w:szCs w:val="20"/>
          <w:lang w:val="es-ES" w:eastAsia="en-US"/>
        </w:rPr>
        <w:t xml:space="preserve"> la responsabilidad internacional del Estado”</w:t>
      </w:r>
      <w:r w:rsidRPr="00975C02">
        <w:rPr>
          <w:rFonts w:eastAsia="Calibri"/>
          <w:kern w:val="2"/>
          <w:sz w:val="20"/>
          <w:szCs w:val="20"/>
          <w:vertAlign w:val="superscript"/>
          <w:lang w:val="es-ES" w:eastAsia="en-US"/>
        </w:rPr>
        <w:footnoteReference w:id="193"/>
      </w:r>
      <w:r w:rsidRPr="00975C02">
        <w:rPr>
          <w:rFonts w:eastAsia="Calibri" w:cs="Arial"/>
          <w:kern w:val="2"/>
          <w:sz w:val="20"/>
          <w:szCs w:val="20"/>
          <w:lang w:val="es-ES" w:eastAsia="en-US"/>
        </w:rPr>
        <w:t xml:space="preserve">. Asimismo, </w:t>
      </w:r>
      <w:r w:rsidRPr="00975C02">
        <w:rPr>
          <w:rFonts w:eastAsia="Calibri"/>
          <w:kern w:val="2"/>
          <w:sz w:val="20"/>
          <w:szCs w:val="20"/>
          <w:lang w:val="es-ES" w:eastAsia="en-US"/>
        </w:rPr>
        <w:t>la debida diligencia exige que el órgano que investiga lleve a cabo todas aquellas actuaciones y averiguaciones necesarias para procurar el resultado que se persigue. De otro modo, la investigación no es efectiva en los términos de la Convención</w:t>
      </w:r>
      <w:r w:rsidRPr="00975C02">
        <w:rPr>
          <w:rFonts w:eastAsia="Calibri"/>
          <w:kern w:val="2"/>
          <w:sz w:val="20"/>
          <w:szCs w:val="20"/>
          <w:vertAlign w:val="superscript"/>
          <w:lang w:val="es-ES" w:eastAsia="en-US"/>
        </w:rPr>
        <w:footnoteReference w:id="194"/>
      </w:r>
      <w:r w:rsidRPr="00975C02">
        <w:rPr>
          <w:rFonts w:eastAsia="Calibri"/>
          <w:kern w:val="2"/>
          <w:sz w:val="20"/>
          <w:szCs w:val="20"/>
          <w:lang w:val="es-ES" w:eastAsia="en-US"/>
        </w:rPr>
        <w:t>.</w:t>
      </w:r>
    </w:p>
    <w:p w14:paraId="101E7F89" w14:textId="77777777" w:rsidR="00B5625C" w:rsidRPr="00975C02" w:rsidRDefault="00B5625C" w:rsidP="00B5625C">
      <w:pPr>
        <w:widowControl/>
        <w:adjustRightInd/>
        <w:spacing w:line="240" w:lineRule="auto"/>
        <w:ind w:left="720"/>
        <w:jc w:val="left"/>
        <w:textAlignment w:val="auto"/>
        <w:rPr>
          <w:rFonts w:eastAsia="Calibri"/>
          <w:b/>
          <w:kern w:val="2"/>
          <w:sz w:val="20"/>
          <w:szCs w:val="20"/>
          <w:lang w:val="es-ES" w:eastAsia="en-US"/>
        </w:rPr>
      </w:pPr>
    </w:p>
    <w:p w14:paraId="7D0F5C38" w14:textId="7738E7FF" w:rsidR="008E1F78" w:rsidRPr="00975C02" w:rsidRDefault="00B5625C" w:rsidP="00E7485E">
      <w:pPr>
        <w:widowControl/>
        <w:numPr>
          <w:ilvl w:val="0"/>
          <w:numId w:val="2"/>
        </w:numPr>
        <w:tabs>
          <w:tab w:val="left" w:pos="567"/>
          <w:tab w:val="num" w:pos="12305"/>
        </w:tabs>
        <w:adjustRightInd/>
        <w:spacing w:line="240" w:lineRule="auto"/>
        <w:ind w:left="0" w:firstLine="0"/>
        <w:textAlignment w:val="auto"/>
        <w:rPr>
          <w:rFonts w:eastAsia="Calibri"/>
          <w:b/>
          <w:kern w:val="2"/>
          <w:sz w:val="20"/>
          <w:szCs w:val="20"/>
          <w:lang w:val="es-ES" w:eastAsia="en-US"/>
        </w:rPr>
      </w:pPr>
      <w:r w:rsidRPr="00975C02">
        <w:rPr>
          <w:kern w:val="2"/>
          <w:sz w:val="20"/>
          <w:szCs w:val="20"/>
          <w:lang w:val="es-ES" w:eastAsia="en-US"/>
        </w:rPr>
        <w:t>Por</w:t>
      </w:r>
      <w:r w:rsidRPr="00975C02">
        <w:rPr>
          <w:rFonts w:eastAsia="Batang"/>
          <w:bCs/>
          <w:kern w:val="2"/>
          <w:sz w:val="20"/>
          <w:szCs w:val="20"/>
          <w:lang w:val="es-ES" w:eastAsia="en-US"/>
        </w:rPr>
        <w:t xml:space="preserve"> otra parte, la </w:t>
      </w:r>
      <w:r w:rsidRPr="00975C02">
        <w:rPr>
          <w:bCs/>
          <w:kern w:val="2"/>
          <w:sz w:val="20"/>
          <w:szCs w:val="20"/>
          <w:lang w:val="es-ES" w:eastAsia="en-US"/>
        </w:rPr>
        <w:t xml:space="preserve">Corte recuerda que, en casos de violencia contra la mujer, las obligaciones </w:t>
      </w:r>
      <w:r w:rsidRPr="00975C02">
        <w:rPr>
          <w:kern w:val="2"/>
          <w:sz w:val="20"/>
          <w:szCs w:val="20"/>
          <w:lang w:val="es-ES" w:eastAsia="en-US"/>
        </w:rPr>
        <w:t>generales</w:t>
      </w:r>
      <w:r w:rsidRPr="00975C02">
        <w:rPr>
          <w:bCs/>
          <w:kern w:val="2"/>
          <w:sz w:val="20"/>
          <w:szCs w:val="20"/>
          <w:lang w:val="es-ES" w:eastAsia="en-US"/>
        </w:rPr>
        <w:t xml:space="preserve"> </w:t>
      </w:r>
      <w:r w:rsidRPr="00975C02">
        <w:rPr>
          <w:rFonts w:eastAsia="Calibri"/>
          <w:kern w:val="2"/>
          <w:sz w:val="20"/>
          <w:szCs w:val="20"/>
          <w:lang w:val="es-ES" w:eastAsia="es-MX"/>
        </w:rPr>
        <w:t>establecidas</w:t>
      </w:r>
      <w:r w:rsidRPr="00975C02">
        <w:rPr>
          <w:bCs/>
          <w:kern w:val="2"/>
          <w:sz w:val="20"/>
          <w:szCs w:val="20"/>
          <w:lang w:val="es-ES" w:eastAsia="en-US"/>
        </w:rPr>
        <w:t xml:space="preserve"> en los artículos 8 y 25 de la Convención Americana se complementan y refuerzan para aquellos Estados que son Parte, con las obligaciones derivadas del tratado interamericano específico, la Convención de Belém do Pará. </w:t>
      </w:r>
      <w:r w:rsidR="008E1F78" w:rsidRPr="00975C02">
        <w:rPr>
          <w:bCs/>
          <w:kern w:val="2"/>
          <w:sz w:val="20"/>
          <w:szCs w:val="20"/>
          <w:lang w:val="es-ES" w:eastAsia="en-US"/>
        </w:rPr>
        <w:t>En su artículo 7.b</w:t>
      </w:r>
      <w:r w:rsidR="0019703C" w:rsidRPr="00975C02">
        <w:rPr>
          <w:bCs/>
          <w:kern w:val="2"/>
          <w:sz w:val="20"/>
          <w:szCs w:val="20"/>
          <w:lang w:val="es-ES" w:eastAsia="en-US"/>
        </w:rPr>
        <w:t>)</w:t>
      </w:r>
      <w:r w:rsidR="001B5E43" w:rsidRPr="00975C02">
        <w:rPr>
          <w:bCs/>
          <w:kern w:val="2"/>
          <w:sz w:val="20"/>
          <w:szCs w:val="20"/>
          <w:lang w:val="es-ES" w:eastAsia="en-US"/>
        </w:rPr>
        <w:t>,</w:t>
      </w:r>
      <w:r w:rsidR="008E1F78" w:rsidRPr="00975C02">
        <w:rPr>
          <w:bCs/>
          <w:kern w:val="2"/>
          <w:sz w:val="20"/>
          <w:szCs w:val="20"/>
          <w:lang w:val="es-ES" w:eastAsia="en-US"/>
        </w:rPr>
        <w:t xml:space="preserve"> dicha Convención obliga de manera específica a los Estados Partes a utilizar </w:t>
      </w:r>
      <w:r w:rsidR="008E1F78" w:rsidRPr="00975C02">
        <w:rPr>
          <w:kern w:val="2"/>
          <w:sz w:val="20"/>
          <w:szCs w:val="20"/>
          <w:lang w:val="es-ES" w:eastAsia="en-US"/>
        </w:rPr>
        <w:t>la</w:t>
      </w:r>
      <w:r w:rsidR="008E1F78" w:rsidRPr="00975C02">
        <w:rPr>
          <w:bCs/>
          <w:kern w:val="2"/>
          <w:sz w:val="20"/>
          <w:szCs w:val="20"/>
          <w:lang w:val="es-ES" w:eastAsia="en-US"/>
        </w:rPr>
        <w:t xml:space="preserve"> debida diligencia para prevenir, sancionar y erradicar la violencia contra la mujer. De </w:t>
      </w:r>
      <w:r w:rsidR="0019703C" w:rsidRPr="00975C02">
        <w:rPr>
          <w:bCs/>
          <w:kern w:val="2"/>
          <w:sz w:val="20"/>
          <w:szCs w:val="20"/>
          <w:lang w:val="es-ES" w:eastAsia="en-US"/>
        </w:rPr>
        <w:t>este</w:t>
      </w:r>
      <w:r w:rsidR="008E1F78" w:rsidRPr="00975C02">
        <w:rPr>
          <w:bCs/>
          <w:kern w:val="2"/>
          <w:sz w:val="20"/>
          <w:szCs w:val="20"/>
          <w:lang w:val="es-ES" w:eastAsia="en-US"/>
        </w:rPr>
        <w:t xml:space="preserve"> modo, ante un acto de violencia contra una mujer, sea cometida por un agente estatal o por un particular, resulta especialmente importante que las autoridades a cargo de la investigación la lleven adelante con determinación y eficacia, teniendo en cuenta el deber de la sociedad de rechazar la violencia contra las mujeres y las obligaciones del Estado de erradicarla y de brindar confianza a las víctimas en las instituciones estatales para su protección</w:t>
      </w:r>
      <w:r w:rsidR="00FB7337" w:rsidRPr="00975C02">
        <w:rPr>
          <w:bCs/>
          <w:kern w:val="2"/>
          <w:sz w:val="20"/>
          <w:szCs w:val="20"/>
          <w:vertAlign w:val="superscript"/>
          <w:lang w:val="es-ES" w:eastAsia="en-US"/>
        </w:rPr>
        <w:footnoteReference w:id="195"/>
      </w:r>
      <w:r w:rsidR="008E1F78" w:rsidRPr="00975C02">
        <w:rPr>
          <w:bCs/>
          <w:kern w:val="2"/>
          <w:sz w:val="20"/>
          <w:szCs w:val="20"/>
          <w:lang w:val="es-ES" w:eastAsia="en-US"/>
        </w:rPr>
        <w:t>.</w:t>
      </w:r>
    </w:p>
    <w:p w14:paraId="5151CC0D" w14:textId="77777777" w:rsidR="008E1F78" w:rsidRPr="00975C02" w:rsidRDefault="008E1F78" w:rsidP="008E1F78">
      <w:pPr>
        <w:widowControl/>
        <w:tabs>
          <w:tab w:val="left" w:pos="567"/>
        </w:tabs>
        <w:adjustRightInd/>
        <w:spacing w:line="240" w:lineRule="auto"/>
        <w:textAlignment w:val="auto"/>
        <w:rPr>
          <w:rFonts w:eastAsia="Calibri"/>
          <w:b/>
          <w:kern w:val="2"/>
          <w:sz w:val="20"/>
          <w:szCs w:val="20"/>
          <w:lang w:val="es-ES" w:eastAsia="en-US"/>
        </w:rPr>
      </w:pPr>
    </w:p>
    <w:p w14:paraId="4A0DE45E" w14:textId="19B1DFE5" w:rsidR="00B5625C" w:rsidRPr="00975C02" w:rsidRDefault="00B5625C" w:rsidP="00E7485E">
      <w:pPr>
        <w:widowControl/>
        <w:numPr>
          <w:ilvl w:val="0"/>
          <w:numId w:val="2"/>
        </w:numPr>
        <w:tabs>
          <w:tab w:val="left" w:pos="567"/>
          <w:tab w:val="num" w:pos="12305"/>
        </w:tabs>
        <w:adjustRightInd/>
        <w:spacing w:line="240" w:lineRule="auto"/>
        <w:ind w:left="0" w:firstLine="0"/>
        <w:textAlignment w:val="auto"/>
        <w:rPr>
          <w:rFonts w:eastAsia="Calibri"/>
          <w:b/>
          <w:kern w:val="2"/>
          <w:sz w:val="20"/>
          <w:szCs w:val="20"/>
          <w:lang w:val="es-ES" w:eastAsia="en-US"/>
        </w:rPr>
      </w:pPr>
      <w:r w:rsidRPr="00975C02">
        <w:rPr>
          <w:sz w:val="20"/>
          <w:szCs w:val="20"/>
          <w:lang w:val="es-ES" w:eastAsia="en-US"/>
        </w:rPr>
        <w:t>En este sentido, el Tribunal ha establecido que los Estados deben adoptar medidas integrales para cumplir con la debida diligencia. En particular, deben contar con un adecuado marco jurídico de protección, con una aplicación efectiva del mismo y con políticas de prevención y prácticas que permitan actuar de una manera eficaz ante las denuncias. La estrategia de prevención debe ser integral, es decir, debe prevenir los factores de riesgo y</w:t>
      </w:r>
      <w:r w:rsidR="00E4195E" w:rsidRPr="00975C02">
        <w:rPr>
          <w:sz w:val="20"/>
          <w:szCs w:val="20"/>
          <w:lang w:val="es-ES" w:eastAsia="en-US"/>
        </w:rPr>
        <w:t>,</w:t>
      </w:r>
      <w:r w:rsidRPr="00975C02">
        <w:rPr>
          <w:sz w:val="20"/>
          <w:szCs w:val="20"/>
          <w:lang w:val="es-ES" w:eastAsia="en-US"/>
        </w:rPr>
        <w:t xml:space="preserve"> a la vez</w:t>
      </w:r>
      <w:r w:rsidR="00E4195E" w:rsidRPr="00975C02">
        <w:rPr>
          <w:sz w:val="20"/>
          <w:szCs w:val="20"/>
          <w:lang w:val="es-ES" w:eastAsia="en-US"/>
        </w:rPr>
        <w:t>,</w:t>
      </w:r>
      <w:r w:rsidRPr="00975C02">
        <w:rPr>
          <w:sz w:val="20"/>
          <w:szCs w:val="20"/>
          <w:lang w:val="es-ES" w:eastAsia="en-US"/>
        </w:rPr>
        <w:t xml:space="preserve"> fortalecer las instituciones para que puedan proporcionar una respuesta efectiva</w:t>
      </w:r>
      <w:r w:rsidRPr="00975C02">
        <w:rPr>
          <w:sz w:val="20"/>
          <w:szCs w:val="20"/>
          <w:vertAlign w:val="superscript"/>
          <w:lang w:val="es-ES" w:eastAsia="en-US"/>
        </w:rPr>
        <w:footnoteReference w:id="196"/>
      </w:r>
      <w:r w:rsidRPr="00975C02">
        <w:rPr>
          <w:sz w:val="20"/>
          <w:szCs w:val="20"/>
          <w:lang w:val="es-ES" w:eastAsia="en-US"/>
        </w:rPr>
        <w:t>.</w:t>
      </w:r>
    </w:p>
    <w:p w14:paraId="11FEB53B" w14:textId="77777777" w:rsidR="00B5625C" w:rsidRPr="00975C02" w:rsidRDefault="00B5625C" w:rsidP="00F23EC8">
      <w:pPr>
        <w:widowControl/>
        <w:tabs>
          <w:tab w:val="left" w:pos="567"/>
        </w:tabs>
        <w:adjustRightInd/>
        <w:spacing w:line="240" w:lineRule="auto"/>
        <w:textAlignment w:val="auto"/>
        <w:rPr>
          <w:bCs/>
          <w:kern w:val="2"/>
          <w:sz w:val="22"/>
          <w:szCs w:val="20"/>
          <w:lang w:val="es-ES" w:eastAsia="en-US"/>
        </w:rPr>
      </w:pPr>
    </w:p>
    <w:p w14:paraId="737B4C0E" w14:textId="718414B0" w:rsidR="0018538B" w:rsidRPr="00975C02" w:rsidRDefault="00F23EC8" w:rsidP="0018538B">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rFonts w:eastAsia="Batang"/>
          <w:kern w:val="2"/>
          <w:sz w:val="20"/>
          <w:szCs w:val="20"/>
          <w:lang w:val="es-ES" w:eastAsia="en-US"/>
        </w:rPr>
        <w:t>P</w:t>
      </w:r>
      <w:r w:rsidR="00B5625C" w:rsidRPr="00975C02">
        <w:rPr>
          <w:rFonts w:eastAsia="Batang"/>
          <w:kern w:val="2"/>
          <w:sz w:val="20"/>
          <w:szCs w:val="20"/>
          <w:lang w:val="es-ES" w:eastAsia="en-US"/>
        </w:rPr>
        <w:t>ara casos de violencia</w:t>
      </w:r>
      <w:r w:rsidR="009A0F59" w:rsidRPr="00975C02">
        <w:rPr>
          <w:rFonts w:eastAsia="Batang"/>
          <w:kern w:val="2"/>
          <w:sz w:val="20"/>
          <w:szCs w:val="20"/>
          <w:lang w:val="es-ES" w:eastAsia="en-US"/>
        </w:rPr>
        <w:t xml:space="preserve"> y violación</w:t>
      </w:r>
      <w:r w:rsidR="00B5625C" w:rsidRPr="00975C02">
        <w:rPr>
          <w:rFonts w:eastAsia="Batang"/>
          <w:kern w:val="2"/>
          <w:sz w:val="20"/>
          <w:szCs w:val="20"/>
          <w:lang w:val="es-ES" w:eastAsia="en-US"/>
        </w:rPr>
        <w:t xml:space="preserve"> sexual en contra de mujeres adultas, la Corte ha establecido una serie de criterios que los Estados deben seguir para que las investigaciones y procesos penales incoados sean sustanciados con la debida diligencia</w:t>
      </w:r>
      <w:r w:rsidR="003A005E" w:rsidRPr="00975C02">
        <w:rPr>
          <w:rFonts w:eastAsia="Batang"/>
          <w:kern w:val="2"/>
          <w:sz w:val="20"/>
          <w:szCs w:val="20"/>
          <w:vertAlign w:val="superscript"/>
          <w:lang w:val="es-ES" w:eastAsia="en-US"/>
        </w:rPr>
        <w:footnoteReference w:id="197"/>
      </w:r>
      <w:r w:rsidR="00B5625C" w:rsidRPr="00975C02">
        <w:rPr>
          <w:rFonts w:eastAsia="Batang"/>
          <w:kern w:val="2"/>
          <w:sz w:val="20"/>
          <w:szCs w:val="20"/>
          <w:lang w:val="es-ES" w:eastAsia="en-US"/>
        </w:rPr>
        <w:t xml:space="preserve">. En el presente caso, la </w:t>
      </w:r>
      <w:r w:rsidR="00B5625C" w:rsidRPr="00975C02">
        <w:rPr>
          <w:rFonts w:eastAsia="Batang"/>
          <w:kern w:val="2"/>
          <w:sz w:val="20"/>
          <w:szCs w:val="20"/>
          <w:lang w:val="es-ES" w:eastAsia="en-US"/>
        </w:rPr>
        <w:lastRenderedPageBreak/>
        <w:t>Corte tiene la oportunidad de referirse a la obligación que tiene un Estado cuando las investigaciones y proceso penal se dan en el marco de un caso de violació</w:t>
      </w:r>
      <w:r w:rsidR="00BE5576" w:rsidRPr="00975C02">
        <w:rPr>
          <w:rFonts w:eastAsia="Batang"/>
          <w:kern w:val="2"/>
          <w:sz w:val="20"/>
          <w:szCs w:val="20"/>
          <w:lang w:val="es-ES" w:eastAsia="en-US"/>
        </w:rPr>
        <w:t xml:space="preserve">n sexual </w:t>
      </w:r>
      <w:r w:rsidR="009A0F59" w:rsidRPr="00975C02">
        <w:rPr>
          <w:rFonts w:eastAsia="Batang"/>
          <w:kern w:val="2"/>
          <w:sz w:val="20"/>
          <w:szCs w:val="20"/>
          <w:lang w:val="es-ES" w:eastAsia="en-US"/>
        </w:rPr>
        <w:t xml:space="preserve">cometida </w:t>
      </w:r>
      <w:r w:rsidR="00BE5576" w:rsidRPr="00975C02">
        <w:rPr>
          <w:rFonts w:eastAsia="Batang"/>
          <w:kern w:val="2"/>
          <w:sz w:val="20"/>
          <w:szCs w:val="20"/>
          <w:lang w:val="es-ES" w:eastAsia="en-US"/>
        </w:rPr>
        <w:t>en contra de una niña.</w:t>
      </w:r>
      <w:r w:rsidR="002D1A5B" w:rsidRPr="00975C02">
        <w:rPr>
          <w:rFonts w:eastAsia="Batang"/>
          <w:kern w:val="2"/>
          <w:sz w:val="20"/>
          <w:szCs w:val="20"/>
          <w:lang w:val="es-ES" w:eastAsia="en-US"/>
        </w:rPr>
        <w:t xml:space="preserve"> Por ende, la Corte adoptará un enfoque interseccional que tenga en cuenta la condición de género y edad de la niña.</w:t>
      </w:r>
    </w:p>
    <w:p w14:paraId="5C21BB0E" w14:textId="77777777" w:rsidR="00BE5576" w:rsidRPr="00975C02" w:rsidRDefault="00BE5576" w:rsidP="00BE5576">
      <w:pPr>
        <w:widowControl/>
        <w:tabs>
          <w:tab w:val="left" w:pos="567"/>
        </w:tabs>
        <w:adjustRightInd/>
        <w:spacing w:line="240" w:lineRule="auto"/>
        <w:textAlignment w:val="auto"/>
        <w:rPr>
          <w:b/>
          <w:kern w:val="2"/>
          <w:sz w:val="20"/>
          <w:szCs w:val="20"/>
          <w:lang w:val="es-ES" w:eastAsia="en-US"/>
        </w:rPr>
      </w:pPr>
    </w:p>
    <w:p w14:paraId="1511FF99" w14:textId="72FC30BD" w:rsidR="00237B54" w:rsidRPr="00975C02" w:rsidRDefault="00B5625C" w:rsidP="00237B54">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rFonts w:eastAsia="Batang"/>
          <w:kern w:val="2"/>
          <w:sz w:val="20"/>
          <w:szCs w:val="20"/>
          <w:lang w:val="es-ES" w:eastAsia="en-US"/>
        </w:rPr>
        <w:t>La Corte considera que, sin perjuicio de los estándares establecidos en casos de violencia</w:t>
      </w:r>
      <w:r w:rsidR="001844E5" w:rsidRPr="00975C02">
        <w:rPr>
          <w:rFonts w:eastAsia="Batang"/>
          <w:kern w:val="2"/>
          <w:sz w:val="20"/>
          <w:szCs w:val="20"/>
          <w:lang w:val="es-ES" w:eastAsia="en-US"/>
        </w:rPr>
        <w:t xml:space="preserve"> y violación</w:t>
      </w:r>
      <w:r w:rsidRPr="00975C02">
        <w:rPr>
          <w:rFonts w:eastAsia="Batang"/>
          <w:kern w:val="2"/>
          <w:sz w:val="20"/>
          <w:szCs w:val="20"/>
          <w:lang w:val="es-ES" w:eastAsia="en-US"/>
        </w:rPr>
        <w:t xml:space="preserve"> sexual contra mujeres adultas, los Estados deben adoptar</w:t>
      </w:r>
      <w:r w:rsidR="00BA71D7">
        <w:rPr>
          <w:rFonts w:eastAsia="Batang"/>
          <w:kern w:val="2"/>
          <w:sz w:val="20"/>
          <w:szCs w:val="20"/>
          <w:lang w:val="es-ES" w:eastAsia="en-US"/>
        </w:rPr>
        <w:t>,</w:t>
      </w:r>
      <w:r w:rsidRPr="00975C02">
        <w:rPr>
          <w:rFonts w:eastAsia="Batang"/>
          <w:kern w:val="2"/>
          <w:sz w:val="20"/>
          <w:szCs w:val="20"/>
          <w:lang w:val="es-ES" w:eastAsia="en-US"/>
        </w:rPr>
        <w:t xml:space="preserve"> </w:t>
      </w:r>
      <w:r w:rsidR="003E3AA9" w:rsidRPr="00975C02">
        <w:rPr>
          <w:rFonts w:eastAsia="Batang"/>
          <w:kern w:val="2"/>
          <w:sz w:val="20"/>
          <w:szCs w:val="20"/>
          <w:lang w:val="es-ES" w:eastAsia="en-US"/>
        </w:rPr>
        <w:t xml:space="preserve">en el </w:t>
      </w:r>
      <w:r w:rsidR="003E3AA9" w:rsidRPr="00975C02">
        <w:rPr>
          <w:kern w:val="2"/>
          <w:sz w:val="20"/>
          <w:szCs w:val="20"/>
          <w:lang w:val="es-ES" w:eastAsia="en-US"/>
        </w:rPr>
        <w:t xml:space="preserve">marco del </w:t>
      </w:r>
      <w:r w:rsidR="003E3AA9" w:rsidRPr="00975C02">
        <w:rPr>
          <w:sz w:val="20"/>
          <w:szCs w:val="20"/>
          <w:lang w:val="es-ES" w:eastAsia="en-US"/>
        </w:rPr>
        <w:t>acatamiento</w:t>
      </w:r>
      <w:r w:rsidR="003E3AA9" w:rsidRPr="00975C02">
        <w:rPr>
          <w:kern w:val="2"/>
          <w:sz w:val="20"/>
          <w:szCs w:val="20"/>
          <w:lang w:val="es-ES" w:eastAsia="en-US"/>
        </w:rPr>
        <w:t xml:space="preserve"> del artículo 19 de la Convención Americana</w:t>
      </w:r>
      <w:r w:rsidR="00BA71D7">
        <w:rPr>
          <w:kern w:val="2"/>
          <w:sz w:val="20"/>
          <w:szCs w:val="20"/>
          <w:lang w:val="es-ES" w:eastAsia="en-US"/>
        </w:rPr>
        <w:t>,</w:t>
      </w:r>
      <w:r w:rsidR="003E3AA9" w:rsidRPr="00975C02">
        <w:rPr>
          <w:rFonts w:eastAsia="Batang"/>
          <w:kern w:val="2"/>
          <w:sz w:val="20"/>
          <w:szCs w:val="20"/>
          <w:lang w:val="es-ES" w:eastAsia="en-US"/>
        </w:rPr>
        <w:t xml:space="preserve"> </w:t>
      </w:r>
      <w:r w:rsidRPr="00975C02">
        <w:rPr>
          <w:rFonts w:eastAsia="Batang"/>
          <w:kern w:val="2"/>
          <w:sz w:val="20"/>
          <w:szCs w:val="20"/>
          <w:lang w:val="es-ES" w:eastAsia="en-US"/>
        </w:rPr>
        <w:t>medidas particularizadas y especiales en casos donde la víctima es una niña, niño o adolescente, sobre todo ante la ocurrencia de un acto de violencia sexual y</w:t>
      </w:r>
      <w:r w:rsidR="0003552A" w:rsidRPr="00975C02">
        <w:rPr>
          <w:rFonts w:eastAsia="Batang"/>
          <w:kern w:val="2"/>
          <w:sz w:val="20"/>
          <w:szCs w:val="20"/>
          <w:lang w:val="es-ES" w:eastAsia="en-US"/>
        </w:rPr>
        <w:t>,</w:t>
      </w:r>
      <w:r w:rsidRPr="00975C02">
        <w:rPr>
          <w:rFonts w:eastAsia="Batang"/>
          <w:kern w:val="2"/>
          <w:sz w:val="20"/>
          <w:szCs w:val="20"/>
          <w:lang w:val="es-ES" w:eastAsia="en-US"/>
        </w:rPr>
        <w:t xml:space="preserve"> más aún</w:t>
      </w:r>
      <w:r w:rsidR="0003552A" w:rsidRPr="00975C02">
        <w:rPr>
          <w:rFonts w:eastAsia="Batang"/>
          <w:kern w:val="2"/>
          <w:sz w:val="20"/>
          <w:szCs w:val="20"/>
          <w:lang w:val="es-ES" w:eastAsia="en-US"/>
        </w:rPr>
        <w:t>,</w:t>
      </w:r>
      <w:r w:rsidRPr="00975C02">
        <w:rPr>
          <w:rFonts w:eastAsia="Batang"/>
          <w:kern w:val="2"/>
          <w:sz w:val="20"/>
          <w:szCs w:val="20"/>
          <w:lang w:val="es-ES" w:eastAsia="en-US"/>
        </w:rPr>
        <w:t xml:space="preserve"> en</w:t>
      </w:r>
      <w:r w:rsidR="003A005E" w:rsidRPr="00975C02">
        <w:rPr>
          <w:rFonts w:eastAsia="Batang"/>
          <w:kern w:val="2"/>
          <w:sz w:val="20"/>
          <w:szCs w:val="20"/>
          <w:lang w:val="es-ES" w:eastAsia="en-US"/>
        </w:rPr>
        <w:t xml:space="preserve"> casos de violaci</w:t>
      </w:r>
      <w:r w:rsidR="0003552A" w:rsidRPr="00975C02">
        <w:rPr>
          <w:rFonts w:eastAsia="Batang"/>
          <w:kern w:val="2"/>
          <w:sz w:val="20"/>
          <w:szCs w:val="20"/>
          <w:lang w:val="es-ES" w:eastAsia="en-US"/>
        </w:rPr>
        <w:t>ó</w:t>
      </w:r>
      <w:r w:rsidR="003A005E" w:rsidRPr="00975C02">
        <w:rPr>
          <w:rFonts w:eastAsia="Batang"/>
          <w:kern w:val="2"/>
          <w:sz w:val="20"/>
          <w:szCs w:val="20"/>
          <w:lang w:val="es-ES" w:eastAsia="en-US"/>
        </w:rPr>
        <w:t>n sexual.</w:t>
      </w:r>
      <w:r w:rsidR="00BE5576" w:rsidRPr="00975C02">
        <w:rPr>
          <w:rFonts w:eastAsia="Batang"/>
          <w:kern w:val="2"/>
          <w:sz w:val="20"/>
          <w:szCs w:val="20"/>
          <w:lang w:val="es-ES" w:eastAsia="en-US"/>
        </w:rPr>
        <w:t xml:space="preserve"> </w:t>
      </w:r>
      <w:r w:rsidR="00237B54" w:rsidRPr="00975C02">
        <w:rPr>
          <w:rFonts w:eastAsia="Batang"/>
          <w:kern w:val="2"/>
          <w:sz w:val="20"/>
          <w:szCs w:val="20"/>
          <w:lang w:val="es-ES" w:eastAsia="en-US"/>
        </w:rPr>
        <w:t>En consecuencia, en el marco del presente caso, y a</w:t>
      </w:r>
      <w:r w:rsidR="00237B54" w:rsidRPr="00975C02">
        <w:rPr>
          <w:sz w:val="20"/>
          <w:szCs w:val="20"/>
          <w:lang w:val="es-ES" w:eastAsia="en-US"/>
        </w:rPr>
        <w:t xml:space="preserve"> lo </w:t>
      </w:r>
      <w:r w:rsidR="00237B54" w:rsidRPr="00975C02">
        <w:rPr>
          <w:kern w:val="2"/>
          <w:sz w:val="20"/>
          <w:szCs w:val="20"/>
          <w:lang w:val="es-ES" w:eastAsia="en-US"/>
        </w:rPr>
        <w:t>largo</w:t>
      </w:r>
      <w:r w:rsidR="00237B54" w:rsidRPr="00975C02">
        <w:rPr>
          <w:sz w:val="20"/>
          <w:szCs w:val="20"/>
          <w:lang w:val="es-ES" w:eastAsia="en-US"/>
        </w:rPr>
        <w:t xml:space="preserve"> de la presente Sentencia, el Tribunal analizará las presuntas violaciones a derechos en </w:t>
      </w:r>
      <w:r w:rsidR="007571E8">
        <w:rPr>
          <w:sz w:val="20"/>
          <w:szCs w:val="20"/>
          <w:lang w:val="es-ES" w:eastAsia="en-US"/>
        </w:rPr>
        <w:t>perjuicio de</w:t>
      </w:r>
      <w:r w:rsidR="00237B54" w:rsidRPr="00975C02">
        <w:rPr>
          <w:sz w:val="20"/>
          <w:szCs w:val="20"/>
          <w:lang w:val="es-ES" w:eastAsia="en-US"/>
        </w:rPr>
        <w:t xml:space="preserve"> una niña, no solo con base en </w:t>
      </w:r>
      <w:r w:rsidR="00237B54" w:rsidRPr="00975C02">
        <w:rPr>
          <w:rFonts w:eastAsia="Batang"/>
          <w:kern w:val="2"/>
          <w:sz w:val="20"/>
          <w:szCs w:val="20"/>
          <w:lang w:val="es-ES" w:eastAsia="en-US"/>
        </w:rPr>
        <w:t>los instrumentos internacionales de violencia contra la mujer,</w:t>
      </w:r>
      <w:r w:rsidR="00237B54" w:rsidRPr="00975C02">
        <w:rPr>
          <w:sz w:val="20"/>
          <w:szCs w:val="20"/>
          <w:lang w:val="es-ES" w:eastAsia="en-US"/>
        </w:rPr>
        <w:t xml:space="preserve"> sino que también los examinará “a la luz del </w:t>
      </w:r>
      <w:r w:rsidR="00237B54" w:rsidRPr="00975C02">
        <w:rPr>
          <w:i/>
          <w:iCs/>
          <w:sz w:val="20"/>
          <w:szCs w:val="20"/>
          <w:lang w:val="es-ES" w:eastAsia="en-US"/>
        </w:rPr>
        <w:t xml:space="preserve">corpus juris </w:t>
      </w:r>
      <w:r w:rsidR="00237B54" w:rsidRPr="00975C02">
        <w:rPr>
          <w:sz w:val="20"/>
          <w:szCs w:val="20"/>
          <w:lang w:val="es-ES" w:eastAsia="en-US"/>
        </w:rPr>
        <w:t>internacional de protección de los niños y las niñas”</w:t>
      </w:r>
      <w:r w:rsidR="00F64EC1" w:rsidRPr="00975C02">
        <w:rPr>
          <w:sz w:val="20"/>
          <w:szCs w:val="20"/>
          <w:lang w:val="es-ES" w:eastAsia="en-US"/>
        </w:rPr>
        <w:t xml:space="preserve"> (</w:t>
      </w:r>
      <w:r w:rsidR="00F64EC1" w:rsidRPr="00975C02">
        <w:rPr>
          <w:i/>
          <w:sz w:val="20"/>
          <w:szCs w:val="20"/>
          <w:lang w:val="es-ES" w:eastAsia="en-US"/>
        </w:rPr>
        <w:t>supra</w:t>
      </w:r>
      <w:r w:rsidR="000C7392" w:rsidRPr="00975C02">
        <w:rPr>
          <w:sz w:val="20"/>
          <w:szCs w:val="20"/>
          <w:lang w:val="es-ES" w:eastAsia="en-US"/>
        </w:rPr>
        <w:t xml:space="preserve"> párr. 42</w:t>
      </w:r>
      <w:r w:rsidR="00F64EC1" w:rsidRPr="00975C02">
        <w:rPr>
          <w:sz w:val="20"/>
          <w:szCs w:val="20"/>
          <w:lang w:val="es-ES" w:eastAsia="en-US"/>
        </w:rPr>
        <w:t>)</w:t>
      </w:r>
      <w:r w:rsidR="00237B54" w:rsidRPr="00975C02">
        <w:rPr>
          <w:sz w:val="20"/>
          <w:szCs w:val="20"/>
          <w:lang w:val="es-ES" w:eastAsia="en-US"/>
        </w:rPr>
        <w:t>, el cual</w:t>
      </w:r>
      <w:r w:rsidR="00237B54" w:rsidRPr="00975C02">
        <w:rPr>
          <w:i/>
          <w:iCs/>
          <w:sz w:val="20"/>
          <w:szCs w:val="20"/>
          <w:lang w:val="es-ES" w:eastAsia="en-US"/>
        </w:rPr>
        <w:t xml:space="preserve"> </w:t>
      </w:r>
      <w:r w:rsidR="00237B54" w:rsidRPr="00975C02">
        <w:rPr>
          <w:sz w:val="20"/>
          <w:szCs w:val="20"/>
          <w:lang w:val="es-ES" w:eastAsia="en-US"/>
        </w:rPr>
        <w:t>debe servir para definir el contenido y los alcances de las obligaciones que ha asumido el Estado cuando se analizan los derechos de las niñas</w:t>
      </w:r>
      <w:r w:rsidR="0003552A" w:rsidRPr="00975C02">
        <w:rPr>
          <w:sz w:val="20"/>
          <w:szCs w:val="20"/>
          <w:lang w:val="es-ES" w:eastAsia="en-US"/>
        </w:rPr>
        <w:t>,</w:t>
      </w:r>
      <w:r w:rsidR="00237B54" w:rsidRPr="00975C02">
        <w:rPr>
          <w:sz w:val="20"/>
          <w:szCs w:val="20"/>
          <w:lang w:val="es-ES" w:eastAsia="en-US"/>
        </w:rPr>
        <w:t xml:space="preserve"> niños</w:t>
      </w:r>
      <w:r w:rsidR="0003552A" w:rsidRPr="00975C02">
        <w:rPr>
          <w:sz w:val="20"/>
          <w:szCs w:val="20"/>
          <w:lang w:val="es-ES" w:eastAsia="en-US"/>
        </w:rPr>
        <w:t xml:space="preserve"> y adolescentes</w:t>
      </w:r>
      <w:r w:rsidR="00237B54" w:rsidRPr="00975C02">
        <w:rPr>
          <w:sz w:val="20"/>
          <w:szCs w:val="20"/>
          <w:vertAlign w:val="superscript"/>
          <w:lang w:val="es-ES" w:eastAsia="en-US"/>
        </w:rPr>
        <w:footnoteReference w:id="198"/>
      </w:r>
      <w:r w:rsidR="00237B54" w:rsidRPr="00975C02">
        <w:rPr>
          <w:sz w:val="20"/>
          <w:szCs w:val="20"/>
          <w:lang w:val="es-ES" w:eastAsia="en-US"/>
        </w:rPr>
        <w:t xml:space="preserve">, y en el caso particular, </w:t>
      </w:r>
      <w:r w:rsidR="00237B54" w:rsidRPr="00975C02">
        <w:rPr>
          <w:rFonts w:eastAsia="Batang"/>
          <w:kern w:val="2"/>
          <w:sz w:val="20"/>
          <w:szCs w:val="20"/>
          <w:lang w:val="es-ES" w:eastAsia="en-US"/>
        </w:rPr>
        <w:t>de la obligación estatal reforzada de debida diligencia.</w:t>
      </w:r>
      <w:r w:rsidR="0078041F" w:rsidRPr="00975C02">
        <w:rPr>
          <w:rFonts w:eastAsia="Batang"/>
          <w:kern w:val="2"/>
          <w:sz w:val="20"/>
          <w:szCs w:val="20"/>
          <w:lang w:val="es-ES" w:eastAsia="en-US"/>
        </w:rPr>
        <w:t xml:space="preserve"> Asimismo, la Corte dará aplicación concreta a los cuatro principios rectores de la Convención sobre los Derechos del Niño</w:t>
      </w:r>
      <w:r w:rsidR="001B7672" w:rsidRPr="00975C02">
        <w:rPr>
          <w:rFonts w:eastAsia="Batang"/>
          <w:kern w:val="2"/>
          <w:sz w:val="20"/>
          <w:szCs w:val="20"/>
          <w:lang w:val="es-ES" w:eastAsia="en-US"/>
        </w:rPr>
        <w:t>, esto es el principio de no discriminación</w:t>
      </w:r>
      <w:r w:rsidR="001B7672" w:rsidRPr="00975C02">
        <w:rPr>
          <w:rFonts w:eastAsia="Batang"/>
          <w:kern w:val="2"/>
          <w:sz w:val="20"/>
          <w:szCs w:val="20"/>
          <w:vertAlign w:val="superscript"/>
          <w:lang w:val="es-ES" w:eastAsia="en-US"/>
        </w:rPr>
        <w:footnoteReference w:id="199"/>
      </w:r>
      <w:r w:rsidR="001B7672" w:rsidRPr="00975C02">
        <w:rPr>
          <w:rFonts w:eastAsia="Batang"/>
          <w:kern w:val="2"/>
          <w:sz w:val="20"/>
          <w:szCs w:val="20"/>
          <w:lang w:val="es-ES" w:eastAsia="en-US"/>
        </w:rPr>
        <w:t>, el principio del interés superior de la niña</w:t>
      </w:r>
      <w:r w:rsidR="001B7672" w:rsidRPr="00975C02">
        <w:rPr>
          <w:rFonts w:eastAsia="Batang"/>
          <w:kern w:val="2"/>
          <w:sz w:val="20"/>
          <w:szCs w:val="20"/>
          <w:vertAlign w:val="superscript"/>
          <w:lang w:val="es-ES" w:eastAsia="en-US"/>
        </w:rPr>
        <w:footnoteReference w:id="200"/>
      </w:r>
      <w:r w:rsidR="001B7672" w:rsidRPr="00975C02">
        <w:rPr>
          <w:rFonts w:eastAsia="Batang"/>
          <w:kern w:val="2"/>
          <w:sz w:val="20"/>
          <w:szCs w:val="20"/>
          <w:lang w:val="es-ES" w:eastAsia="en-US"/>
        </w:rPr>
        <w:t>, el principio de respeto al derecho a la vida, la supervivencia y el desarrollo</w:t>
      </w:r>
      <w:r w:rsidR="001B7672" w:rsidRPr="00975C02">
        <w:rPr>
          <w:rFonts w:eastAsia="Batang"/>
          <w:kern w:val="2"/>
          <w:sz w:val="20"/>
          <w:szCs w:val="20"/>
          <w:vertAlign w:val="superscript"/>
          <w:lang w:val="es-ES" w:eastAsia="en-US"/>
        </w:rPr>
        <w:footnoteReference w:id="201"/>
      </w:r>
      <w:r w:rsidR="001B7672" w:rsidRPr="00975C02">
        <w:rPr>
          <w:rFonts w:eastAsia="Batang"/>
          <w:kern w:val="2"/>
          <w:sz w:val="20"/>
          <w:szCs w:val="20"/>
          <w:lang w:val="es-ES" w:eastAsia="en-US"/>
        </w:rPr>
        <w:t>, y el principio de respeto a la opinión de la n</w:t>
      </w:r>
      <w:r w:rsidR="009B7960">
        <w:rPr>
          <w:rFonts w:eastAsia="Batang"/>
          <w:kern w:val="2"/>
          <w:sz w:val="20"/>
          <w:szCs w:val="20"/>
          <w:lang w:val="es-ES" w:eastAsia="en-US"/>
        </w:rPr>
        <w:t>iña en todo procedimiento que la</w:t>
      </w:r>
      <w:r w:rsidR="001B7672" w:rsidRPr="00975C02">
        <w:rPr>
          <w:rFonts w:eastAsia="Batang"/>
          <w:kern w:val="2"/>
          <w:sz w:val="20"/>
          <w:szCs w:val="20"/>
          <w:lang w:val="es-ES" w:eastAsia="en-US"/>
        </w:rPr>
        <w:t xml:space="preserve"> afecte, de modo que se </w:t>
      </w:r>
      <w:r w:rsidR="001B7672" w:rsidRPr="00975C02">
        <w:rPr>
          <w:rFonts w:eastAsia="Batang"/>
          <w:kern w:val="2"/>
          <w:sz w:val="20"/>
          <w:szCs w:val="20"/>
          <w:lang w:val="es-ES" w:eastAsia="en-US"/>
        </w:rPr>
        <w:lastRenderedPageBreak/>
        <w:t>garantice su participación</w:t>
      </w:r>
      <w:r w:rsidR="001B7672" w:rsidRPr="00975C02">
        <w:rPr>
          <w:rFonts w:eastAsia="Batang"/>
          <w:kern w:val="2"/>
          <w:sz w:val="20"/>
          <w:szCs w:val="20"/>
          <w:vertAlign w:val="superscript"/>
          <w:lang w:val="es-ES" w:eastAsia="en-US"/>
        </w:rPr>
        <w:footnoteReference w:id="202"/>
      </w:r>
      <w:r w:rsidR="001B7672" w:rsidRPr="00975C02">
        <w:rPr>
          <w:rFonts w:eastAsia="Batang"/>
          <w:kern w:val="2"/>
          <w:sz w:val="20"/>
          <w:szCs w:val="20"/>
          <w:lang w:val="es-ES" w:eastAsia="en-US"/>
        </w:rPr>
        <w:t>,</w:t>
      </w:r>
      <w:r w:rsidR="0078041F" w:rsidRPr="00975C02">
        <w:rPr>
          <w:rFonts w:eastAsia="Batang"/>
          <w:kern w:val="2"/>
          <w:sz w:val="20"/>
          <w:szCs w:val="20"/>
          <w:lang w:val="es-ES" w:eastAsia="en-US"/>
        </w:rPr>
        <w:t xml:space="preserve"> en lo que resulte pertinente para identificar las medidas especiales que son requeridas para dotar de efectividad a los derechos de niñas</w:t>
      </w:r>
      <w:r w:rsidR="0003552A" w:rsidRPr="00975C02">
        <w:rPr>
          <w:rFonts w:eastAsia="Batang"/>
          <w:kern w:val="2"/>
          <w:sz w:val="20"/>
          <w:szCs w:val="20"/>
          <w:lang w:val="es-ES" w:eastAsia="en-US"/>
        </w:rPr>
        <w:t>, niños y adolescentes</w:t>
      </w:r>
      <w:r w:rsidR="0078041F" w:rsidRPr="00975C02">
        <w:rPr>
          <w:rFonts w:eastAsia="Batang"/>
          <w:kern w:val="2"/>
          <w:sz w:val="20"/>
          <w:szCs w:val="20"/>
          <w:lang w:val="es-ES" w:eastAsia="en-US"/>
        </w:rPr>
        <w:t xml:space="preserve"> cuando son víctimas de delitos de violencia sexual.</w:t>
      </w:r>
    </w:p>
    <w:p w14:paraId="6E875F8E" w14:textId="77777777" w:rsidR="00237B54" w:rsidRPr="00975C02" w:rsidRDefault="00237B54" w:rsidP="00237B54">
      <w:pPr>
        <w:widowControl/>
        <w:tabs>
          <w:tab w:val="left" w:pos="567"/>
        </w:tabs>
        <w:adjustRightInd/>
        <w:spacing w:line="240" w:lineRule="auto"/>
        <w:textAlignment w:val="auto"/>
        <w:rPr>
          <w:kern w:val="2"/>
          <w:sz w:val="20"/>
          <w:szCs w:val="20"/>
          <w:lang w:val="es-ES" w:eastAsia="en-US"/>
        </w:rPr>
      </w:pPr>
    </w:p>
    <w:p w14:paraId="5A69B5A8" w14:textId="0143E593" w:rsidR="00C121FD" w:rsidRPr="00975C02" w:rsidRDefault="0099548A" w:rsidP="000063E6">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Las medidas especiales de protección que el Estado debe adoptar se basan en el hecho </w:t>
      </w:r>
      <w:r w:rsidR="00837266" w:rsidRPr="00975C02">
        <w:rPr>
          <w:kern w:val="2"/>
          <w:sz w:val="20"/>
          <w:szCs w:val="20"/>
          <w:lang w:val="es-ES" w:eastAsia="en-US"/>
        </w:rPr>
        <w:t xml:space="preserve">de </w:t>
      </w:r>
      <w:r w:rsidRPr="00975C02">
        <w:rPr>
          <w:kern w:val="2"/>
          <w:sz w:val="20"/>
          <w:szCs w:val="20"/>
          <w:lang w:val="es-ES" w:eastAsia="en-US"/>
        </w:rPr>
        <w:t>que las niñas, niños y adolescentes se consideran más vulnerables a violaciones de derechos humanos, l</w:t>
      </w:r>
      <w:r w:rsidR="00D25E3F" w:rsidRPr="00975C02">
        <w:rPr>
          <w:kern w:val="2"/>
          <w:sz w:val="20"/>
          <w:szCs w:val="20"/>
          <w:lang w:val="es-ES" w:eastAsia="en-US"/>
        </w:rPr>
        <w:t>o</w:t>
      </w:r>
      <w:r w:rsidRPr="00975C02">
        <w:rPr>
          <w:kern w:val="2"/>
          <w:sz w:val="20"/>
          <w:szCs w:val="20"/>
          <w:lang w:val="es-ES" w:eastAsia="en-US"/>
        </w:rPr>
        <w:t xml:space="preserve"> </w:t>
      </w:r>
      <w:r w:rsidR="00D25E3F" w:rsidRPr="00975C02">
        <w:rPr>
          <w:kern w:val="2"/>
          <w:sz w:val="20"/>
          <w:szCs w:val="20"/>
          <w:lang w:val="es-ES" w:eastAsia="en-US"/>
        </w:rPr>
        <w:t xml:space="preserve">que </w:t>
      </w:r>
      <w:r w:rsidRPr="00975C02">
        <w:rPr>
          <w:kern w:val="2"/>
          <w:sz w:val="20"/>
          <w:szCs w:val="20"/>
          <w:lang w:val="es-ES" w:eastAsia="en-US"/>
        </w:rPr>
        <w:t xml:space="preserve">además </w:t>
      </w:r>
      <w:r w:rsidR="00D25E3F" w:rsidRPr="00975C02">
        <w:rPr>
          <w:kern w:val="2"/>
          <w:sz w:val="20"/>
          <w:szCs w:val="20"/>
          <w:lang w:val="es-ES" w:eastAsia="en-US"/>
        </w:rPr>
        <w:t xml:space="preserve">estará </w:t>
      </w:r>
      <w:r w:rsidRPr="00975C02">
        <w:rPr>
          <w:kern w:val="2"/>
          <w:sz w:val="20"/>
          <w:szCs w:val="20"/>
          <w:lang w:val="es-ES" w:eastAsia="en-US"/>
        </w:rPr>
        <w:t>determinad</w:t>
      </w:r>
      <w:r w:rsidR="00D25E3F" w:rsidRPr="00975C02">
        <w:rPr>
          <w:kern w:val="2"/>
          <w:sz w:val="20"/>
          <w:szCs w:val="20"/>
          <w:lang w:val="es-ES" w:eastAsia="en-US"/>
        </w:rPr>
        <w:t>o</w:t>
      </w:r>
      <w:r w:rsidRPr="00975C02">
        <w:rPr>
          <w:kern w:val="2"/>
          <w:sz w:val="20"/>
          <w:szCs w:val="20"/>
          <w:lang w:val="es-ES" w:eastAsia="en-US"/>
        </w:rPr>
        <w:t xml:space="preserve"> por distintos factores, </w:t>
      </w:r>
      <w:r w:rsidR="00711811">
        <w:rPr>
          <w:kern w:val="2"/>
          <w:sz w:val="20"/>
          <w:szCs w:val="20"/>
          <w:lang w:val="es-ES" w:eastAsia="en-US"/>
        </w:rPr>
        <w:t xml:space="preserve">como </w:t>
      </w:r>
      <w:r w:rsidRPr="00975C02">
        <w:rPr>
          <w:kern w:val="2"/>
          <w:sz w:val="20"/>
          <w:szCs w:val="20"/>
          <w:lang w:val="es-ES" w:eastAsia="en-US"/>
        </w:rPr>
        <w:t>la edad, las condiciones particulares de cada uno, su grado de desarrollo y madurez</w:t>
      </w:r>
      <w:r w:rsidR="00875827" w:rsidRPr="00975C02">
        <w:rPr>
          <w:kern w:val="2"/>
          <w:sz w:val="20"/>
          <w:szCs w:val="20"/>
          <w:vertAlign w:val="superscript"/>
          <w:lang w:val="es-ES" w:eastAsia="en-US"/>
        </w:rPr>
        <w:footnoteReference w:id="203"/>
      </w:r>
      <w:r w:rsidRPr="00975C02">
        <w:rPr>
          <w:kern w:val="2"/>
          <w:sz w:val="20"/>
          <w:szCs w:val="20"/>
          <w:lang w:val="es-ES" w:eastAsia="en-US"/>
        </w:rPr>
        <w:t>, entre otros</w:t>
      </w:r>
      <w:r w:rsidR="00237B54" w:rsidRPr="00975C02">
        <w:rPr>
          <w:kern w:val="2"/>
          <w:sz w:val="20"/>
          <w:szCs w:val="20"/>
          <w:vertAlign w:val="superscript"/>
          <w:lang w:val="es-ES" w:eastAsia="en-US"/>
        </w:rPr>
        <w:footnoteReference w:id="204"/>
      </w:r>
      <w:r w:rsidRPr="00975C02">
        <w:rPr>
          <w:kern w:val="2"/>
          <w:sz w:val="20"/>
          <w:szCs w:val="20"/>
          <w:lang w:val="es-ES" w:eastAsia="en-US"/>
        </w:rPr>
        <w:t xml:space="preserve">. </w:t>
      </w:r>
      <w:r w:rsidR="001D133A" w:rsidRPr="00975C02">
        <w:rPr>
          <w:kern w:val="2"/>
          <w:sz w:val="20"/>
          <w:szCs w:val="20"/>
          <w:lang w:val="es-ES"/>
        </w:rPr>
        <w:t>En el caso de las niñas, dicha vulnerabilidad a violaciones de derechos humanos puede verse enmarcada y potenciada, debido a factores de discriminación histórica</w:t>
      </w:r>
      <w:r w:rsidR="001D133A" w:rsidRPr="00975C02">
        <w:rPr>
          <w:rStyle w:val="FootnoteReference"/>
          <w:rFonts w:eastAsia="MS ????"/>
          <w:kern w:val="2"/>
          <w:sz w:val="20"/>
          <w:szCs w:val="20"/>
          <w:lang w:val="es-ES"/>
        </w:rPr>
        <w:footnoteReference w:id="205"/>
      </w:r>
      <w:r w:rsidR="001D133A" w:rsidRPr="00975C02">
        <w:rPr>
          <w:kern w:val="2"/>
          <w:sz w:val="20"/>
          <w:szCs w:val="20"/>
          <w:lang w:val="es-ES"/>
        </w:rPr>
        <w:t xml:space="preserve"> que han contribuido a que las mujeres</w:t>
      </w:r>
      <w:r w:rsidR="00DD5247" w:rsidRPr="00975C02">
        <w:rPr>
          <w:kern w:val="2"/>
          <w:sz w:val="20"/>
          <w:szCs w:val="20"/>
          <w:lang w:val="es-ES"/>
        </w:rPr>
        <w:t xml:space="preserve"> y niñas</w:t>
      </w:r>
      <w:r w:rsidR="001D133A" w:rsidRPr="00975C02">
        <w:rPr>
          <w:kern w:val="2"/>
          <w:sz w:val="20"/>
          <w:szCs w:val="20"/>
          <w:lang w:val="es-ES"/>
        </w:rPr>
        <w:t xml:space="preserve"> sufran mayores índices de violencia sexual, especialmente en la esfera familiar</w:t>
      </w:r>
      <w:r w:rsidR="001D133A" w:rsidRPr="00975C02">
        <w:rPr>
          <w:rStyle w:val="FootnoteReference"/>
          <w:rFonts w:eastAsia="MS ????"/>
          <w:kern w:val="2"/>
          <w:sz w:val="20"/>
          <w:szCs w:val="20"/>
          <w:lang w:val="es-ES"/>
        </w:rPr>
        <w:footnoteReference w:id="206"/>
      </w:r>
      <w:r w:rsidR="001D133A" w:rsidRPr="00975C02">
        <w:rPr>
          <w:kern w:val="2"/>
          <w:sz w:val="20"/>
          <w:szCs w:val="20"/>
          <w:lang w:val="es-ES"/>
        </w:rPr>
        <w:t>.</w:t>
      </w:r>
      <w:r w:rsidR="00D25E3F" w:rsidRPr="00975C02">
        <w:rPr>
          <w:kern w:val="2"/>
          <w:sz w:val="20"/>
          <w:szCs w:val="20"/>
          <w:lang w:val="es-ES"/>
        </w:rPr>
        <w:t xml:space="preserve"> En lo que </w:t>
      </w:r>
      <w:r w:rsidR="00D25E3F" w:rsidRPr="00975C02">
        <w:rPr>
          <w:kern w:val="2"/>
          <w:sz w:val="20"/>
          <w:szCs w:val="20"/>
          <w:lang w:val="es-ES"/>
        </w:rPr>
        <w:lastRenderedPageBreak/>
        <w:t xml:space="preserve">se refiere a la respuesta institucional con miras a garantizar el acceso a la justicia para </w:t>
      </w:r>
      <w:r w:rsidR="00C5112D" w:rsidRPr="00975C02">
        <w:rPr>
          <w:kern w:val="2"/>
          <w:sz w:val="20"/>
          <w:szCs w:val="20"/>
          <w:lang w:val="es-ES"/>
        </w:rPr>
        <w:t>víctimas de violencia sexual</w:t>
      </w:r>
      <w:r w:rsidR="00D25E3F" w:rsidRPr="00975C02">
        <w:rPr>
          <w:rFonts w:cs="Univers-Light"/>
          <w:sz w:val="20"/>
          <w:szCs w:val="20"/>
          <w:lang w:val="es-ES"/>
        </w:rPr>
        <w:t>, este Tribunal nota que las niñas, niños y adolescentes pueden enfrentarse a diversos obstáculos y barreras de índole jurídico y económico que menoscaban el principio de su autonomía progresiva</w:t>
      </w:r>
      <w:r w:rsidR="00837266" w:rsidRPr="00975C02">
        <w:rPr>
          <w:rFonts w:cs="Univers-Light"/>
          <w:sz w:val="20"/>
          <w:szCs w:val="20"/>
          <w:lang w:val="es-ES"/>
        </w:rPr>
        <w:t>,</w:t>
      </w:r>
      <w:r w:rsidR="00D25E3F" w:rsidRPr="00975C02">
        <w:rPr>
          <w:rFonts w:cs="Univers-Light"/>
          <w:sz w:val="20"/>
          <w:szCs w:val="20"/>
          <w:lang w:val="es-ES"/>
        </w:rPr>
        <w:t xml:space="preserve"> como sujetos de derechos</w:t>
      </w:r>
      <w:r w:rsidR="00837266" w:rsidRPr="00975C02">
        <w:rPr>
          <w:rFonts w:cs="Univers-Light"/>
          <w:sz w:val="20"/>
          <w:szCs w:val="20"/>
          <w:lang w:val="es-ES"/>
        </w:rPr>
        <w:t>,</w:t>
      </w:r>
      <w:r w:rsidR="00D25E3F" w:rsidRPr="00975C02">
        <w:rPr>
          <w:rFonts w:cs="Univers-Light"/>
          <w:sz w:val="20"/>
          <w:szCs w:val="20"/>
          <w:lang w:val="es-ES"/>
        </w:rPr>
        <w:t xml:space="preserve"> o que no garantizan una asistencia técnica jurídica que permita hacer valer sus derechos e intereses en los procesos que los conciernen. Estos obstáculos no solo contribuyen a la denegación de justicia</w:t>
      </w:r>
      <w:r w:rsidR="00837266" w:rsidRPr="00975C02">
        <w:rPr>
          <w:rFonts w:cs="Univers-Light"/>
          <w:sz w:val="20"/>
          <w:szCs w:val="20"/>
          <w:lang w:val="es-ES"/>
        </w:rPr>
        <w:t>,</w:t>
      </w:r>
      <w:r w:rsidR="00D25E3F" w:rsidRPr="00975C02">
        <w:rPr>
          <w:rFonts w:cs="Univers-Light"/>
          <w:sz w:val="20"/>
          <w:szCs w:val="20"/>
          <w:lang w:val="es-ES"/>
        </w:rPr>
        <w:t xml:space="preserve"> sino que resultan discriminatorios</w:t>
      </w:r>
      <w:r w:rsidR="00837266" w:rsidRPr="00975C02">
        <w:rPr>
          <w:rFonts w:cs="Univers-Light"/>
          <w:sz w:val="20"/>
          <w:szCs w:val="20"/>
          <w:lang w:val="es-ES"/>
        </w:rPr>
        <w:t>,</w:t>
      </w:r>
      <w:r w:rsidR="00D25E3F" w:rsidRPr="00975C02">
        <w:rPr>
          <w:rFonts w:cs="Univers-Light"/>
          <w:sz w:val="20"/>
          <w:szCs w:val="20"/>
          <w:lang w:val="es-ES"/>
        </w:rPr>
        <w:t xml:space="preserve"> puesto que no permiten que se ejerza el derec</w:t>
      </w:r>
      <w:r w:rsidR="0081511A">
        <w:rPr>
          <w:rFonts w:cs="Univers-Light"/>
          <w:sz w:val="20"/>
          <w:szCs w:val="20"/>
          <w:lang w:val="es-ES"/>
        </w:rPr>
        <w:t>ho de</w:t>
      </w:r>
      <w:r w:rsidR="00D25E3F" w:rsidRPr="00975C02">
        <w:rPr>
          <w:rFonts w:cs="Univers-Light"/>
          <w:sz w:val="20"/>
          <w:szCs w:val="20"/>
          <w:lang w:val="es-ES"/>
        </w:rPr>
        <w:t xml:space="preserve"> acceso a la justicia en condiciones de igualdad.</w:t>
      </w:r>
      <w:r w:rsidR="001D133A" w:rsidRPr="00975C02">
        <w:rPr>
          <w:kern w:val="2"/>
          <w:sz w:val="20"/>
          <w:szCs w:val="20"/>
          <w:lang w:val="es-ES"/>
        </w:rPr>
        <w:t xml:space="preserve"> </w:t>
      </w:r>
      <w:r w:rsidRPr="00975C02">
        <w:rPr>
          <w:kern w:val="2"/>
          <w:sz w:val="20"/>
          <w:szCs w:val="20"/>
          <w:lang w:val="es-ES" w:eastAsia="en-US"/>
        </w:rPr>
        <w:t xml:space="preserve">De lo anterior se colige que el deber de garantía adquiere especial intensidad </w:t>
      </w:r>
      <w:r w:rsidR="00C121FD" w:rsidRPr="00975C02">
        <w:rPr>
          <w:kern w:val="2"/>
          <w:sz w:val="20"/>
          <w:szCs w:val="20"/>
          <w:lang w:val="es-ES" w:eastAsia="en-US"/>
        </w:rPr>
        <w:t>cuando las niñas son víctimas de un delito de violencia sexual y participan en las investigaciones y procesos penales, como en el presente caso.</w:t>
      </w:r>
    </w:p>
    <w:p w14:paraId="246ADD9A" w14:textId="77777777" w:rsidR="00C121FD" w:rsidRPr="00975C02" w:rsidRDefault="00C121FD" w:rsidP="004317CE">
      <w:pPr>
        <w:widowControl/>
        <w:tabs>
          <w:tab w:val="left" w:pos="567"/>
        </w:tabs>
        <w:adjustRightInd/>
        <w:spacing w:line="240" w:lineRule="auto"/>
        <w:textAlignment w:val="auto"/>
        <w:rPr>
          <w:kern w:val="2"/>
          <w:sz w:val="20"/>
          <w:szCs w:val="20"/>
          <w:lang w:val="es-ES" w:eastAsia="en-US"/>
        </w:rPr>
      </w:pPr>
    </w:p>
    <w:p w14:paraId="32C4222E" w14:textId="77777777" w:rsidR="00C121FD" w:rsidRPr="00975C02" w:rsidRDefault="00C121FD" w:rsidP="0060210B">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bCs/>
          <w:kern w:val="2"/>
          <w:sz w:val="20"/>
          <w:szCs w:val="20"/>
          <w:lang w:val="es-ES" w:eastAsia="en-US"/>
        </w:rPr>
        <w:t xml:space="preserve">Al efecto, es pertinente precisar que la propia Convención de Belém do Pará consideró pertinente resaltar que las </w:t>
      </w:r>
      <w:r w:rsidRPr="00975C02">
        <w:rPr>
          <w:rFonts w:cs="Tahoma"/>
          <w:sz w:val="20"/>
          <w:szCs w:val="20"/>
          <w:shd w:val="clear" w:color="auto" w:fill="FFFFFF"/>
          <w:lang w:val="es-ES" w:eastAsia="en-US"/>
        </w:rPr>
        <w:t>políticas estatales orientadas a prevenir, sancionar y erradicar la violencia contra la mujer, debían tener en cuenta la situación de vulnerabilidad a la violencia que podría sufrir una niña o adolescente. Dicha Convención</w:t>
      </w:r>
      <w:r w:rsidRPr="00975C02">
        <w:rPr>
          <w:kern w:val="2"/>
          <w:sz w:val="20"/>
          <w:szCs w:val="20"/>
          <w:lang w:val="es-ES" w:eastAsia="en-US"/>
        </w:rPr>
        <w:t xml:space="preserve"> </w:t>
      </w:r>
      <w:r w:rsidRPr="00975C02">
        <w:rPr>
          <w:bCs/>
          <w:kern w:val="2"/>
          <w:sz w:val="20"/>
          <w:szCs w:val="20"/>
          <w:lang w:val="es-ES" w:eastAsia="en-US"/>
        </w:rPr>
        <w:t xml:space="preserve">establece en su artículo 9 que </w:t>
      </w:r>
      <w:r w:rsidRPr="00975C02">
        <w:rPr>
          <w:rFonts w:cs="Tahoma"/>
          <w:kern w:val="2"/>
          <w:sz w:val="20"/>
          <w:szCs w:val="20"/>
          <w:shd w:val="clear" w:color="auto" w:fill="FFFFFF"/>
          <w:lang w:val="es-ES" w:eastAsia="en-US"/>
        </w:rPr>
        <w:t>los Estados Partes tendrán especialmente en cuenta la situación de vulnerabilidad a la violencia que pueda sufrir la mujer en razón de ser una persona menor de 18 años de edad, por lo que los casos en los que una niña o adolescente sea víctima de violencia contra la mujer, en particular violencia o violación sexual, las autoridades estatales deberán tener particular cuidado en el desarrollo de las investigaciones y procesos a nivel interno, así como al momento de adoptar medidas de protección y de acompañamiento durante el proceso, y después del mismo, con el fin de lograr la rehabilitación y reinserción de la víctima.</w:t>
      </w:r>
    </w:p>
    <w:p w14:paraId="29601242" w14:textId="77777777" w:rsidR="000063E6" w:rsidRPr="00975C02" w:rsidRDefault="000063E6" w:rsidP="009B3EBD">
      <w:pPr>
        <w:spacing w:line="240" w:lineRule="auto"/>
        <w:rPr>
          <w:kern w:val="2"/>
          <w:sz w:val="20"/>
          <w:szCs w:val="20"/>
          <w:lang w:val="es-ES" w:eastAsia="en-US"/>
        </w:rPr>
      </w:pPr>
    </w:p>
    <w:p w14:paraId="65A935C2" w14:textId="0C65E182" w:rsidR="009B3EBD" w:rsidRPr="00975C02" w:rsidRDefault="00A92F94" w:rsidP="00A92F94">
      <w:pPr>
        <w:pStyle w:val="Heading3"/>
        <w:rPr>
          <w:b w:val="0"/>
          <w:i/>
        </w:rPr>
      </w:pPr>
      <w:bookmarkStart w:id="126" w:name="_Toc514172631"/>
      <w:r w:rsidRPr="00975C02">
        <w:rPr>
          <w:b w:val="0"/>
          <w:i/>
        </w:rPr>
        <w:t>A</w:t>
      </w:r>
      <w:r w:rsidR="00F977EC" w:rsidRPr="00975C02">
        <w:rPr>
          <w:b w:val="0"/>
          <w:i/>
          <w:lang w:eastAsia="es-CR"/>
        </w:rPr>
        <w:t xml:space="preserve">.2.a </w:t>
      </w:r>
      <w:r w:rsidR="00CB0E00" w:rsidRPr="00975C02">
        <w:rPr>
          <w:b w:val="0"/>
          <w:i/>
          <w:lang w:eastAsia="es-CR"/>
        </w:rPr>
        <w:tab/>
        <w:t>Los c</w:t>
      </w:r>
      <w:r w:rsidR="009B3EBD" w:rsidRPr="00975C02">
        <w:rPr>
          <w:b w:val="0"/>
          <w:i/>
          <w:lang w:eastAsia="es-CR"/>
        </w:rPr>
        <w:t>omponentes esenciales del deber de debida diligencia reforzad</w:t>
      </w:r>
      <w:r w:rsidR="00E06B26" w:rsidRPr="00975C02">
        <w:rPr>
          <w:b w:val="0"/>
          <w:i/>
          <w:lang w:eastAsia="es-CR"/>
        </w:rPr>
        <w:t>a y protección especial</w:t>
      </w:r>
      <w:bookmarkEnd w:id="126"/>
    </w:p>
    <w:p w14:paraId="27802DC4" w14:textId="77777777" w:rsidR="009B3EBD" w:rsidRPr="00975C02" w:rsidRDefault="009B3EBD" w:rsidP="009B3EBD">
      <w:pPr>
        <w:spacing w:line="240" w:lineRule="auto"/>
        <w:rPr>
          <w:kern w:val="2"/>
          <w:sz w:val="20"/>
          <w:szCs w:val="20"/>
          <w:lang w:val="es-ES" w:eastAsia="en-US"/>
        </w:rPr>
      </w:pPr>
    </w:p>
    <w:p w14:paraId="7B688D52" w14:textId="01B6A0C1" w:rsidR="0060210B" w:rsidRPr="00975C02" w:rsidRDefault="0099548A" w:rsidP="00DF3D71">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kern w:val="2"/>
          <w:sz w:val="20"/>
          <w:szCs w:val="20"/>
          <w:lang w:val="es-ES" w:eastAsia="en-US"/>
        </w:rPr>
        <w:t>La especial intensidad mencionada se traduce</w:t>
      </w:r>
      <w:r w:rsidR="00C121FD" w:rsidRPr="00975C02">
        <w:rPr>
          <w:kern w:val="2"/>
          <w:sz w:val="20"/>
          <w:szCs w:val="20"/>
          <w:lang w:val="es-ES" w:eastAsia="en-US"/>
        </w:rPr>
        <w:t xml:space="preserve"> en el deber estatal </w:t>
      </w:r>
      <w:r w:rsidR="00E12FC5" w:rsidRPr="00975C02">
        <w:rPr>
          <w:kern w:val="2"/>
          <w:sz w:val="20"/>
          <w:szCs w:val="20"/>
          <w:lang w:val="es-ES" w:eastAsia="en-US"/>
        </w:rPr>
        <w:t>de organizar e</w:t>
      </w:r>
      <w:r w:rsidRPr="00975C02">
        <w:rPr>
          <w:kern w:val="2"/>
          <w:sz w:val="20"/>
          <w:szCs w:val="20"/>
          <w:lang w:val="es-ES" w:eastAsia="en-US"/>
        </w:rPr>
        <w:t>l sistema de justicia,</w:t>
      </w:r>
      <w:r w:rsidR="00E12FC5" w:rsidRPr="00975C02">
        <w:rPr>
          <w:kern w:val="2"/>
          <w:sz w:val="20"/>
          <w:szCs w:val="20"/>
          <w:lang w:val="es-ES" w:eastAsia="en-US"/>
        </w:rPr>
        <w:t xml:space="preserve"> de forma tal que el</w:t>
      </w:r>
      <w:r w:rsidRPr="00975C02">
        <w:rPr>
          <w:kern w:val="2"/>
          <w:sz w:val="20"/>
          <w:szCs w:val="20"/>
          <w:lang w:val="es-ES" w:eastAsia="en-US"/>
        </w:rPr>
        <w:t xml:space="preserve"> actuar de las autoridades conforme a la debida diligencia </w:t>
      </w:r>
      <w:r w:rsidR="00E12FC5" w:rsidRPr="00975C02">
        <w:rPr>
          <w:kern w:val="2"/>
          <w:sz w:val="20"/>
          <w:szCs w:val="20"/>
          <w:lang w:val="es-ES" w:eastAsia="en-US"/>
        </w:rPr>
        <w:t>implique</w:t>
      </w:r>
      <w:r w:rsidRPr="00975C02">
        <w:rPr>
          <w:kern w:val="2"/>
          <w:sz w:val="20"/>
          <w:szCs w:val="20"/>
          <w:lang w:val="es-ES" w:eastAsia="en-US"/>
        </w:rPr>
        <w:t xml:space="preserve"> la adopción de una serie de medidas y el desarrollo de un proceso adaptado a l</w:t>
      </w:r>
      <w:r w:rsidR="00C20629" w:rsidRPr="00975C02">
        <w:rPr>
          <w:kern w:val="2"/>
          <w:sz w:val="20"/>
          <w:szCs w:val="20"/>
          <w:lang w:val="es-ES" w:eastAsia="en-US"/>
        </w:rPr>
        <w:t>a</w:t>
      </w:r>
      <w:r w:rsidRPr="00975C02">
        <w:rPr>
          <w:kern w:val="2"/>
          <w:sz w:val="20"/>
          <w:szCs w:val="20"/>
          <w:lang w:val="es-ES" w:eastAsia="en-US"/>
        </w:rPr>
        <w:t>s niñ</w:t>
      </w:r>
      <w:r w:rsidR="00C20629" w:rsidRPr="00975C02">
        <w:rPr>
          <w:kern w:val="2"/>
          <w:sz w:val="20"/>
          <w:szCs w:val="20"/>
          <w:lang w:val="es-ES" w:eastAsia="en-US"/>
        </w:rPr>
        <w:t>a</w:t>
      </w:r>
      <w:r w:rsidRPr="00975C02">
        <w:rPr>
          <w:kern w:val="2"/>
          <w:sz w:val="20"/>
          <w:szCs w:val="20"/>
          <w:lang w:val="es-ES" w:eastAsia="en-US"/>
        </w:rPr>
        <w:t>s, niñ</w:t>
      </w:r>
      <w:r w:rsidR="00C20629" w:rsidRPr="00975C02">
        <w:rPr>
          <w:kern w:val="2"/>
          <w:sz w:val="20"/>
          <w:szCs w:val="20"/>
          <w:lang w:val="es-ES" w:eastAsia="en-US"/>
        </w:rPr>
        <w:t>o</w:t>
      </w:r>
      <w:r w:rsidRPr="00975C02">
        <w:rPr>
          <w:kern w:val="2"/>
          <w:sz w:val="20"/>
          <w:szCs w:val="20"/>
          <w:lang w:val="es-ES" w:eastAsia="en-US"/>
        </w:rPr>
        <w:t>s y adolescentes.</w:t>
      </w:r>
      <w:r w:rsidR="00E24907" w:rsidRPr="00975C02">
        <w:rPr>
          <w:kern w:val="2"/>
          <w:sz w:val="20"/>
          <w:szCs w:val="20"/>
          <w:lang w:val="es-ES" w:eastAsia="en-US"/>
        </w:rPr>
        <w:t xml:space="preserve"> La Corte ya ha indicado que la protección especial derivada del artículo 19 de la Convención implica que la observancia por parte del Estado de las garantías de debido proceso se traduce en algunas garantías o componentes diferenciados en el caso de niñas</w:t>
      </w:r>
      <w:r w:rsidR="00C20629" w:rsidRPr="00975C02">
        <w:rPr>
          <w:kern w:val="2"/>
          <w:sz w:val="20"/>
          <w:szCs w:val="20"/>
          <w:lang w:val="es-ES" w:eastAsia="en-US"/>
        </w:rPr>
        <w:t>,</w:t>
      </w:r>
      <w:r w:rsidR="00E24907" w:rsidRPr="00975C02">
        <w:rPr>
          <w:kern w:val="2"/>
          <w:sz w:val="20"/>
          <w:szCs w:val="20"/>
          <w:lang w:val="es-ES" w:eastAsia="en-US"/>
        </w:rPr>
        <w:t xml:space="preserve"> niños</w:t>
      </w:r>
      <w:r w:rsidR="00C20629" w:rsidRPr="00975C02">
        <w:rPr>
          <w:kern w:val="2"/>
          <w:sz w:val="20"/>
          <w:szCs w:val="20"/>
          <w:lang w:val="es-ES" w:eastAsia="en-US"/>
        </w:rPr>
        <w:t xml:space="preserve"> y adolescentes</w:t>
      </w:r>
      <w:r w:rsidR="00E24907" w:rsidRPr="00975C02">
        <w:rPr>
          <w:kern w:val="2"/>
          <w:sz w:val="20"/>
          <w:szCs w:val="20"/>
          <w:lang w:val="es-ES" w:eastAsia="en-US"/>
        </w:rPr>
        <w:t xml:space="preserve">, que se fundan en el reconocimiento de que su participación en un proceso </w:t>
      </w:r>
      <w:r w:rsidR="00E24907" w:rsidRPr="00975C02">
        <w:rPr>
          <w:rFonts w:eastAsia="Arial" w:cs="Arial"/>
          <w:sz w:val="20"/>
          <w:szCs w:val="20"/>
          <w:lang w:val="es-ES"/>
        </w:rPr>
        <w:t>no se da en las mismas condiciones que un adulto</w:t>
      </w:r>
      <w:r w:rsidR="00E24907" w:rsidRPr="00975C02">
        <w:rPr>
          <w:sz w:val="20"/>
          <w:szCs w:val="20"/>
          <w:vertAlign w:val="superscript"/>
          <w:lang w:val="es-ES"/>
        </w:rPr>
        <w:footnoteReference w:id="207"/>
      </w:r>
      <w:r w:rsidR="00E24907" w:rsidRPr="00975C02">
        <w:rPr>
          <w:rFonts w:eastAsia="Arial" w:cs="Arial"/>
          <w:sz w:val="20"/>
          <w:szCs w:val="20"/>
          <w:lang w:val="es-ES"/>
        </w:rPr>
        <w:t xml:space="preserve">. </w:t>
      </w:r>
      <w:r w:rsidRPr="00975C02">
        <w:rPr>
          <w:kern w:val="2"/>
          <w:sz w:val="20"/>
          <w:szCs w:val="20"/>
          <w:lang w:val="es-ES" w:eastAsia="en-US"/>
        </w:rPr>
        <w:t>El sistema de justicia adaptado a l</w:t>
      </w:r>
      <w:r w:rsidR="00C20629" w:rsidRPr="00975C02">
        <w:rPr>
          <w:kern w:val="2"/>
          <w:sz w:val="20"/>
          <w:szCs w:val="20"/>
          <w:lang w:val="es-ES" w:eastAsia="en-US"/>
        </w:rPr>
        <w:t>a</w:t>
      </w:r>
      <w:r w:rsidRPr="00975C02">
        <w:rPr>
          <w:kern w:val="2"/>
          <w:sz w:val="20"/>
          <w:szCs w:val="20"/>
          <w:lang w:val="es-ES" w:eastAsia="en-US"/>
        </w:rPr>
        <w:t>s niñ</w:t>
      </w:r>
      <w:r w:rsidR="00C20629" w:rsidRPr="00975C02">
        <w:rPr>
          <w:kern w:val="2"/>
          <w:sz w:val="20"/>
          <w:szCs w:val="20"/>
          <w:lang w:val="es-ES" w:eastAsia="en-US"/>
        </w:rPr>
        <w:t>a</w:t>
      </w:r>
      <w:r w:rsidRPr="00975C02">
        <w:rPr>
          <w:kern w:val="2"/>
          <w:sz w:val="20"/>
          <w:szCs w:val="20"/>
          <w:lang w:val="es-ES" w:eastAsia="en-US"/>
        </w:rPr>
        <w:t>s, niñ</w:t>
      </w:r>
      <w:r w:rsidR="00C20629" w:rsidRPr="00975C02">
        <w:rPr>
          <w:kern w:val="2"/>
          <w:sz w:val="20"/>
          <w:szCs w:val="20"/>
          <w:lang w:val="es-ES" w:eastAsia="en-US"/>
        </w:rPr>
        <w:t>o</w:t>
      </w:r>
      <w:r w:rsidRPr="00975C02">
        <w:rPr>
          <w:kern w:val="2"/>
          <w:sz w:val="20"/>
          <w:szCs w:val="20"/>
          <w:lang w:val="es-ES" w:eastAsia="en-US"/>
        </w:rPr>
        <w:t>s y adolescentes importará que exista una justicia accesible y apropiada a cada uno de ellos, que tome en consideración no solo el principio del interés superior, sino también su derecho a la participación con base en sus capacidades en constante evolución, conforme a su edad, grado de madurez y nivel de comprensión, sin discriminación alguna.</w:t>
      </w:r>
      <w:r w:rsidR="00E407B9" w:rsidRPr="00975C02">
        <w:rPr>
          <w:position w:val="-1"/>
          <w:sz w:val="20"/>
          <w:szCs w:val="20"/>
          <w:lang w:val="es-ES"/>
        </w:rPr>
        <w:t xml:space="preserve"> </w:t>
      </w:r>
      <w:r w:rsidR="00E407B9" w:rsidRPr="00975C02">
        <w:rPr>
          <w:kern w:val="2"/>
          <w:sz w:val="20"/>
          <w:szCs w:val="20"/>
          <w:lang w:val="es-ES" w:eastAsia="en-US"/>
        </w:rPr>
        <w:t>En definitiva, tal y como lo ha sostenido anteriormente esta Corte, si bien el debido proceso y sus correlativas garantías son aplicables a todas las personas, en el caso de las niñas</w:t>
      </w:r>
      <w:r w:rsidR="00C20629" w:rsidRPr="00975C02">
        <w:rPr>
          <w:kern w:val="2"/>
          <w:sz w:val="20"/>
          <w:szCs w:val="20"/>
          <w:lang w:val="es-ES" w:eastAsia="en-US"/>
        </w:rPr>
        <w:t>,</w:t>
      </w:r>
      <w:r w:rsidR="00E407B9" w:rsidRPr="00975C02">
        <w:rPr>
          <w:kern w:val="2"/>
          <w:sz w:val="20"/>
          <w:szCs w:val="20"/>
          <w:lang w:val="es-ES" w:eastAsia="en-US"/>
        </w:rPr>
        <w:t xml:space="preserve"> niños</w:t>
      </w:r>
      <w:r w:rsidR="00C20629" w:rsidRPr="00975C02">
        <w:rPr>
          <w:kern w:val="2"/>
          <w:sz w:val="20"/>
          <w:szCs w:val="20"/>
          <w:lang w:val="es-ES" w:eastAsia="en-US"/>
        </w:rPr>
        <w:t xml:space="preserve"> y adolescentes</w:t>
      </w:r>
      <w:r w:rsidR="00E407B9" w:rsidRPr="00975C02">
        <w:rPr>
          <w:kern w:val="2"/>
          <w:sz w:val="20"/>
          <w:szCs w:val="20"/>
          <w:lang w:val="es-ES" w:eastAsia="en-US"/>
        </w:rPr>
        <w:t>, el ejercicio de aquéllos supone, por las condiciones especiales en las que se encuentran, la adopción de ciertas medidas específicas con el propósito de asegurar un acceso a la justicia en condiciones de igualdad, garantizar un efectivo debido proceso y velar por que el interés superior se erija en una consideración primordial en todas las decisiones administrativas o judiciales que se adopten</w:t>
      </w:r>
      <w:r w:rsidR="00E407B9" w:rsidRPr="00975C02">
        <w:rPr>
          <w:kern w:val="2"/>
          <w:sz w:val="20"/>
          <w:szCs w:val="20"/>
          <w:vertAlign w:val="superscript"/>
          <w:lang w:val="es-ES" w:eastAsia="en-US"/>
        </w:rPr>
        <w:footnoteReference w:id="208"/>
      </w:r>
      <w:r w:rsidR="00E407B9" w:rsidRPr="00975C02">
        <w:rPr>
          <w:kern w:val="2"/>
          <w:sz w:val="20"/>
          <w:szCs w:val="20"/>
          <w:lang w:val="es-ES" w:eastAsia="en-US"/>
        </w:rPr>
        <w:t>.</w:t>
      </w:r>
    </w:p>
    <w:p w14:paraId="750269D0" w14:textId="77777777" w:rsidR="00E407B9" w:rsidRPr="00975C02" w:rsidRDefault="00E407B9" w:rsidP="0060210B">
      <w:pPr>
        <w:widowControl/>
        <w:tabs>
          <w:tab w:val="left" w:pos="567"/>
        </w:tabs>
        <w:adjustRightInd/>
        <w:spacing w:line="240" w:lineRule="auto"/>
        <w:textAlignment w:val="auto"/>
        <w:rPr>
          <w:kern w:val="2"/>
          <w:sz w:val="20"/>
          <w:szCs w:val="20"/>
          <w:lang w:val="es-ES" w:eastAsia="en-US"/>
        </w:rPr>
      </w:pPr>
    </w:p>
    <w:p w14:paraId="78A24778" w14:textId="4871F0E8" w:rsidR="00B4532E" w:rsidRPr="00975C02" w:rsidRDefault="001B6F70" w:rsidP="00B453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w:t>
      </w:r>
      <w:r w:rsidRPr="00975C02">
        <w:rPr>
          <w:sz w:val="20"/>
          <w:szCs w:val="20"/>
          <w:lang w:val="es-ES"/>
        </w:rPr>
        <w:t xml:space="preserve"> Corte recuerda que los Estados tienen el deber de facilitar la posibilidad de que la niña</w:t>
      </w:r>
      <w:r w:rsidR="0036569C" w:rsidRPr="00975C02">
        <w:rPr>
          <w:sz w:val="20"/>
          <w:szCs w:val="20"/>
          <w:lang w:val="es-ES"/>
        </w:rPr>
        <w:t>,</w:t>
      </w:r>
      <w:r w:rsidRPr="00975C02">
        <w:rPr>
          <w:sz w:val="20"/>
          <w:szCs w:val="20"/>
          <w:lang w:val="es-ES"/>
        </w:rPr>
        <w:t xml:space="preserve"> niño </w:t>
      </w:r>
      <w:r w:rsidR="0036569C" w:rsidRPr="00975C02">
        <w:rPr>
          <w:sz w:val="20"/>
          <w:szCs w:val="20"/>
          <w:lang w:val="es-ES"/>
        </w:rPr>
        <w:t xml:space="preserve">o adolescente </w:t>
      </w:r>
      <w:r w:rsidRPr="00975C02">
        <w:rPr>
          <w:kern w:val="2"/>
          <w:sz w:val="20"/>
          <w:szCs w:val="20"/>
          <w:lang w:val="es-ES" w:eastAsia="en-US"/>
        </w:rPr>
        <w:t>participe</w:t>
      </w:r>
      <w:r w:rsidRPr="00975C02">
        <w:rPr>
          <w:sz w:val="20"/>
          <w:szCs w:val="20"/>
          <w:lang w:val="es-ES"/>
        </w:rPr>
        <w:t xml:space="preserve"> en todas y cada una de las diferentes etapas del proceso. A estos efectos, tendrá derecho a ser oído, con las debidas garantías y dentro de un plazo razonable</w:t>
      </w:r>
      <w:r w:rsidR="000A5724" w:rsidRPr="00975C02">
        <w:rPr>
          <w:sz w:val="20"/>
          <w:szCs w:val="20"/>
          <w:lang w:val="es-ES"/>
        </w:rPr>
        <w:t xml:space="preserve"> (</w:t>
      </w:r>
      <w:r w:rsidR="000A5724" w:rsidRPr="00975C02">
        <w:rPr>
          <w:i/>
          <w:sz w:val="20"/>
          <w:szCs w:val="20"/>
          <w:lang w:val="es-ES"/>
        </w:rPr>
        <w:t xml:space="preserve">infra </w:t>
      </w:r>
      <w:r w:rsidR="000A5724" w:rsidRPr="00975C02">
        <w:rPr>
          <w:sz w:val="20"/>
          <w:szCs w:val="20"/>
          <w:lang w:val="es-ES"/>
        </w:rPr>
        <w:t xml:space="preserve">párr. </w:t>
      </w:r>
      <w:r w:rsidR="000C7392" w:rsidRPr="00975C02">
        <w:rPr>
          <w:sz w:val="20"/>
          <w:szCs w:val="20"/>
          <w:lang w:val="es-ES"/>
        </w:rPr>
        <w:t>283</w:t>
      </w:r>
      <w:r w:rsidR="000A5724" w:rsidRPr="00975C02">
        <w:rPr>
          <w:sz w:val="20"/>
          <w:szCs w:val="20"/>
          <w:lang w:val="es-ES"/>
        </w:rPr>
        <w:t>)</w:t>
      </w:r>
      <w:r w:rsidRPr="00975C02">
        <w:rPr>
          <w:sz w:val="20"/>
          <w:szCs w:val="20"/>
          <w:lang w:val="es-ES"/>
        </w:rPr>
        <w:t xml:space="preserve">, por la autoridad competente. </w:t>
      </w:r>
      <w:r w:rsidRPr="00975C02">
        <w:rPr>
          <w:rFonts w:cs="Verdana"/>
          <w:sz w:val="20"/>
          <w:szCs w:val="20"/>
          <w:lang w:val="es-ES"/>
        </w:rPr>
        <w:t>Dicho derecho debe ser interpretado a la luz del artículo 12 de la Convención sobre los Derechos del Niño</w:t>
      </w:r>
      <w:r w:rsidRPr="00975C02">
        <w:rPr>
          <w:rStyle w:val="FootnoteReference"/>
          <w:sz w:val="20"/>
          <w:szCs w:val="20"/>
          <w:lang w:val="es-ES"/>
        </w:rPr>
        <w:footnoteReference w:id="209"/>
      </w:r>
      <w:r w:rsidRPr="00975C02">
        <w:rPr>
          <w:rFonts w:cs="Verdana"/>
          <w:sz w:val="20"/>
          <w:szCs w:val="20"/>
          <w:lang w:val="es-ES"/>
        </w:rPr>
        <w:t>, el cual contiene adecuadas previsiones, con el objeto de que la participación de la niña</w:t>
      </w:r>
      <w:r w:rsidR="009F0767" w:rsidRPr="00975C02">
        <w:rPr>
          <w:rFonts w:cs="Verdana"/>
          <w:sz w:val="20"/>
          <w:szCs w:val="20"/>
          <w:lang w:val="es-ES"/>
        </w:rPr>
        <w:t>,</w:t>
      </w:r>
      <w:r w:rsidRPr="00975C02">
        <w:rPr>
          <w:rFonts w:cs="Verdana"/>
          <w:sz w:val="20"/>
          <w:szCs w:val="20"/>
          <w:lang w:val="es-ES"/>
        </w:rPr>
        <w:t xml:space="preserve"> niño</w:t>
      </w:r>
      <w:r w:rsidR="009F0767" w:rsidRPr="00975C02">
        <w:rPr>
          <w:rFonts w:cs="Verdana"/>
          <w:sz w:val="20"/>
          <w:szCs w:val="20"/>
          <w:lang w:val="es-ES"/>
        </w:rPr>
        <w:t xml:space="preserve"> o adolescente</w:t>
      </w:r>
      <w:r w:rsidRPr="00975C02">
        <w:rPr>
          <w:rFonts w:cs="Verdana"/>
          <w:sz w:val="20"/>
          <w:szCs w:val="20"/>
          <w:lang w:val="es-ES"/>
        </w:rPr>
        <w:t xml:space="preserve"> se ajuste a su condición y no redunde en perjuicio de su interés genuino</w:t>
      </w:r>
      <w:r w:rsidRPr="00975C02">
        <w:rPr>
          <w:rStyle w:val="FootnoteReference"/>
          <w:rFonts w:cs="Verdana"/>
          <w:sz w:val="20"/>
          <w:szCs w:val="20"/>
          <w:lang w:val="es-ES"/>
        </w:rPr>
        <w:footnoteReference w:id="210"/>
      </w:r>
      <w:r w:rsidR="008C1AEC" w:rsidRPr="00975C02">
        <w:rPr>
          <w:rFonts w:cs="Verdana"/>
          <w:sz w:val="20"/>
          <w:szCs w:val="20"/>
          <w:lang w:val="es-ES"/>
        </w:rPr>
        <w:t>.</w:t>
      </w:r>
      <w:r w:rsidR="00D40FC5" w:rsidRPr="00975C02">
        <w:rPr>
          <w:rFonts w:cs="Verdana"/>
          <w:sz w:val="20"/>
          <w:szCs w:val="20"/>
          <w:lang w:val="es-ES"/>
        </w:rPr>
        <w:t xml:space="preserve"> En esta línea, </w:t>
      </w:r>
      <w:r w:rsidR="00B4532E" w:rsidRPr="00975C02">
        <w:rPr>
          <w:rFonts w:cs="Verdana"/>
          <w:sz w:val="20"/>
          <w:szCs w:val="20"/>
          <w:lang w:val="es-ES"/>
        </w:rPr>
        <w:t>el perito Cillero Bruñol indicó que, en la práctica, ello significa “disponer de un conjunto de condiciones, respecto a los interrogatorios, participación de los niños en todo tipo de diligencia en el proceso, realizar todas las actuaciones con su consentimiento y […] poder valorar las opiniones del niño de acuerdo a su entendimiento y madurez, pero siempre debiendo motivar la valoración que se ha hecho en las decisiones sobre la opinión del niño y en consideración de su interés superior”</w:t>
      </w:r>
      <w:r w:rsidR="00B4532E" w:rsidRPr="00975C02">
        <w:rPr>
          <w:rStyle w:val="FootnoteReference"/>
          <w:rFonts w:cs="Verdana"/>
          <w:sz w:val="20"/>
          <w:szCs w:val="20"/>
          <w:lang w:val="es-ES"/>
        </w:rPr>
        <w:footnoteReference w:id="211"/>
      </w:r>
      <w:r w:rsidR="00B4532E" w:rsidRPr="00975C02">
        <w:rPr>
          <w:rFonts w:cs="Verdana"/>
          <w:sz w:val="20"/>
          <w:szCs w:val="20"/>
          <w:lang w:val="es-ES"/>
        </w:rPr>
        <w:t>.</w:t>
      </w:r>
    </w:p>
    <w:p w14:paraId="049CD0FE" w14:textId="77777777" w:rsidR="00B4532E" w:rsidRPr="00975C02" w:rsidRDefault="00B4532E" w:rsidP="00B4532E">
      <w:pPr>
        <w:widowControl/>
        <w:tabs>
          <w:tab w:val="left" w:pos="567"/>
        </w:tabs>
        <w:adjustRightInd/>
        <w:spacing w:line="240" w:lineRule="auto"/>
        <w:textAlignment w:val="auto"/>
        <w:rPr>
          <w:kern w:val="2"/>
          <w:sz w:val="20"/>
          <w:szCs w:val="20"/>
          <w:lang w:val="es-ES" w:eastAsia="en-US"/>
        </w:rPr>
      </w:pPr>
    </w:p>
    <w:p w14:paraId="0F0A4045" w14:textId="476F1102" w:rsidR="00A148DD" w:rsidRPr="00975C02" w:rsidRDefault="00B5625C" w:rsidP="00C348D2">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 participación de niñ</w:t>
      </w:r>
      <w:r w:rsidR="00512BEA" w:rsidRPr="00975C02">
        <w:rPr>
          <w:kern w:val="2"/>
          <w:sz w:val="20"/>
          <w:szCs w:val="20"/>
          <w:lang w:val="es-ES" w:eastAsia="en-US"/>
        </w:rPr>
        <w:t>a</w:t>
      </w:r>
      <w:r w:rsidRPr="00975C02">
        <w:rPr>
          <w:kern w:val="2"/>
          <w:sz w:val="20"/>
          <w:szCs w:val="20"/>
          <w:lang w:val="es-ES" w:eastAsia="en-US"/>
        </w:rPr>
        <w:t>s, niñ</w:t>
      </w:r>
      <w:r w:rsidR="00512BEA" w:rsidRPr="00975C02">
        <w:rPr>
          <w:kern w:val="2"/>
          <w:sz w:val="20"/>
          <w:szCs w:val="20"/>
          <w:lang w:val="es-ES" w:eastAsia="en-US"/>
        </w:rPr>
        <w:t>o</w:t>
      </w:r>
      <w:r w:rsidRPr="00975C02">
        <w:rPr>
          <w:kern w:val="2"/>
          <w:sz w:val="20"/>
          <w:szCs w:val="20"/>
          <w:lang w:val="es-ES" w:eastAsia="en-US"/>
        </w:rPr>
        <w:t xml:space="preserve">s y adolescentes víctimas de delitos en un proceso penal podría ser necesaria para contribuir con el desarrollo efectivo de dicho proceso, sobre todo cuando </w:t>
      </w:r>
      <w:r w:rsidR="00C97048" w:rsidRPr="00975C02">
        <w:rPr>
          <w:kern w:val="2"/>
          <w:sz w:val="20"/>
          <w:szCs w:val="20"/>
          <w:lang w:val="es-ES" w:eastAsia="en-US"/>
        </w:rPr>
        <w:t>no hay</w:t>
      </w:r>
      <w:r w:rsidR="00C0084C" w:rsidRPr="00975C02">
        <w:rPr>
          <w:kern w:val="2"/>
          <w:sz w:val="20"/>
          <w:szCs w:val="20"/>
          <w:lang w:val="es-ES" w:eastAsia="en-US"/>
        </w:rPr>
        <w:t xml:space="preserve"> otros</w:t>
      </w:r>
      <w:r w:rsidR="00C97048" w:rsidRPr="00975C02">
        <w:rPr>
          <w:kern w:val="2"/>
          <w:sz w:val="20"/>
          <w:szCs w:val="20"/>
          <w:lang w:val="es-ES" w:eastAsia="en-US"/>
        </w:rPr>
        <w:t xml:space="preserve"> </w:t>
      </w:r>
      <w:r w:rsidRPr="00975C02">
        <w:rPr>
          <w:kern w:val="2"/>
          <w:sz w:val="20"/>
          <w:szCs w:val="20"/>
          <w:lang w:val="es-ES" w:eastAsia="en-US"/>
        </w:rPr>
        <w:t>testigo</w:t>
      </w:r>
      <w:r w:rsidR="00C97048" w:rsidRPr="00975C02">
        <w:rPr>
          <w:kern w:val="2"/>
          <w:sz w:val="20"/>
          <w:szCs w:val="20"/>
          <w:lang w:val="es-ES" w:eastAsia="en-US"/>
        </w:rPr>
        <w:t>s</w:t>
      </w:r>
      <w:r w:rsidRPr="00975C02">
        <w:rPr>
          <w:kern w:val="2"/>
          <w:sz w:val="20"/>
          <w:szCs w:val="20"/>
          <w:lang w:val="es-ES" w:eastAsia="en-US"/>
        </w:rPr>
        <w:t xml:space="preserve"> de la comisión de</w:t>
      </w:r>
      <w:r w:rsidR="00C97048" w:rsidRPr="00975C02">
        <w:rPr>
          <w:kern w:val="2"/>
          <w:sz w:val="20"/>
          <w:szCs w:val="20"/>
          <w:lang w:val="es-ES" w:eastAsia="en-US"/>
        </w:rPr>
        <w:t>l</w:t>
      </w:r>
      <w:r w:rsidRPr="00975C02">
        <w:rPr>
          <w:kern w:val="2"/>
          <w:sz w:val="20"/>
          <w:szCs w:val="20"/>
          <w:lang w:val="es-ES" w:eastAsia="en-US"/>
        </w:rPr>
        <w:t xml:space="preserve"> delito. </w:t>
      </w:r>
      <w:r w:rsidR="006B7989" w:rsidRPr="00975C02">
        <w:rPr>
          <w:kern w:val="2"/>
          <w:sz w:val="20"/>
          <w:szCs w:val="20"/>
          <w:lang w:val="es-ES" w:eastAsia="en-US"/>
        </w:rPr>
        <w:t xml:space="preserve">Sin embargo, concebir tal participación sólo en </w:t>
      </w:r>
      <w:r w:rsidR="006B7989" w:rsidRPr="00975C02">
        <w:rPr>
          <w:rFonts w:cs="Verdana"/>
          <w:sz w:val="20"/>
          <w:szCs w:val="20"/>
          <w:lang w:val="es-ES"/>
        </w:rPr>
        <w:t>términos</w:t>
      </w:r>
      <w:r w:rsidR="006B7989" w:rsidRPr="00975C02">
        <w:rPr>
          <w:kern w:val="2"/>
          <w:sz w:val="20"/>
          <w:szCs w:val="20"/>
          <w:lang w:val="es-ES" w:eastAsia="en-US"/>
        </w:rPr>
        <w:t xml:space="preserve"> de la prueba que pueda aportar, no responde a su calidad de sujeto de derecho, ya que debería encontrarse legitimada a actuar en su propio interés como sujeto participante en el proceso.</w:t>
      </w:r>
      <w:r w:rsidR="00B859B8" w:rsidRPr="00975C02">
        <w:rPr>
          <w:kern w:val="2"/>
          <w:sz w:val="20"/>
          <w:szCs w:val="20"/>
          <w:lang w:val="es-ES" w:eastAsia="en-US"/>
        </w:rPr>
        <w:t xml:space="preserve"> </w:t>
      </w:r>
      <w:r w:rsidR="00A148DD" w:rsidRPr="00975C02">
        <w:rPr>
          <w:kern w:val="2"/>
          <w:sz w:val="20"/>
          <w:szCs w:val="20"/>
          <w:lang w:val="es-ES" w:eastAsia="en-US"/>
        </w:rPr>
        <w:t xml:space="preserve">Para ello, es necesario que </w:t>
      </w:r>
      <w:r w:rsidR="00A148DD" w:rsidRPr="00975C02">
        <w:rPr>
          <w:rFonts w:cs="Verdana"/>
          <w:sz w:val="20"/>
          <w:szCs w:val="20"/>
          <w:lang w:val="es-ES"/>
        </w:rPr>
        <w:t>se brinde a la niña</w:t>
      </w:r>
      <w:r w:rsidR="00512BEA" w:rsidRPr="00975C02">
        <w:rPr>
          <w:rFonts w:cs="Verdana"/>
          <w:sz w:val="20"/>
          <w:szCs w:val="20"/>
          <w:lang w:val="es-ES"/>
        </w:rPr>
        <w:t>,</w:t>
      </w:r>
      <w:r w:rsidR="00A148DD" w:rsidRPr="00975C02">
        <w:rPr>
          <w:rFonts w:cs="Verdana"/>
          <w:sz w:val="20"/>
          <w:szCs w:val="20"/>
          <w:lang w:val="es-ES"/>
        </w:rPr>
        <w:t xml:space="preserve"> niño</w:t>
      </w:r>
      <w:r w:rsidR="00512BEA" w:rsidRPr="00975C02">
        <w:rPr>
          <w:rFonts w:cs="Verdana"/>
          <w:sz w:val="20"/>
          <w:szCs w:val="20"/>
          <w:lang w:val="es-ES"/>
        </w:rPr>
        <w:t xml:space="preserve"> o adolescente</w:t>
      </w:r>
      <w:r w:rsidR="00C348D2" w:rsidRPr="00975C02">
        <w:rPr>
          <w:rFonts w:cs="Verdana"/>
          <w:sz w:val="20"/>
          <w:szCs w:val="20"/>
          <w:lang w:val="es-ES"/>
        </w:rPr>
        <w:t>, desde el inicio del proceso y durante todo el transcurso del mismo,</w:t>
      </w:r>
      <w:r w:rsidR="00A148DD" w:rsidRPr="00975C02">
        <w:rPr>
          <w:rFonts w:cs="Verdana"/>
          <w:sz w:val="20"/>
          <w:szCs w:val="20"/>
          <w:lang w:val="es-ES"/>
        </w:rPr>
        <w:t xml:space="preserve"> la información relativa a su </w:t>
      </w:r>
      <w:r w:rsidR="00C348D2" w:rsidRPr="00975C02">
        <w:rPr>
          <w:rFonts w:cs="Verdana"/>
          <w:sz w:val="20"/>
          <w:szCs w:val="20"/>
          <w:lang w:val="es-ES"/>
        </w:rPr>
        <w:t>procedimiento</w:t>
      </w:r>
      <w:r w:rsidR="00512BEA" w:rsidRPr="00975C02">
        <w:rPr>
          <w:rFonts w:cs="Verdana"/>
          <w:sz w:val="20"/>
          <w:szCs w:val="20"/>
          <w:lang w:val="es-ES"/>
        </w:rPr>
        <w:t>,</w:t>
      </w:r>
      <w:r w:rsidR="00A148DD" w:rsidRPr="00975C02">
        <w:rPr>
          <w:rFonts w:cs="Verdana"/>
          <w:sz w:val="20"/>
          <w:szCs w:val="20"/>
          <w:lang w:val="es-ES"/>
        </w:rPr>
        <w:t xml:space="preserve"> </w:t>
      </w:r>
      <w:r w:rsidR="00C348D2" w:rsidRPr="00975C02">
        <w:rPr>
          <w:rFonts w:cs="Verdana"/>
          <w:sz w:val="20"/>
          <w:szCs w:val="20"/>
          <w:lang w:val="es-ES"/>
        </w:rPr>
        <w:t>así como</w:t>
      </w:r>
      <w:r w:rsidR="00A148DD" w:rsidRPr="00975C02">
        <w:rPr>
          <w:rFonts w:cs="Verdana"/>
          <w:sz w:val="20"/>
          <w:szCs w:val="20"/>
          <w:lang w:val="es-ES"/>
        </w:rPr>
        <w:t xml:space="preserve"> sobre los servicios de asistencia jurídica</w:t>
      </w:r>
      <w:r w:rsidR="00C348D2" w:rsidRPr="00975C02">
        <w:rPr>
          <w:rFonts w:cs="Verdana"/>
          <w:sz w:val="20"/>
          <w:szCs w:val="20"/>
          <w:lang w:val="es-ES"/>
        </w:rPr>
        <w:t>, de salud y demás medidas de protección disponibles</w:t>
      </w:r>
      <w:r w:rsidR="00A148DD" w:rsidRPr="00975C02">
        <w:rPr>
          <w:rStyle w:val="FootnoteReference"/>
          <w:rFonts w:cs="Verdana"/>
          <w:sz w:val="20"/>
          <w:szCs w:val="20"/>
          <w:lang w:val="es-ES"/>
        </w:rPr>
        <w:footnoteReference w:id="212"/>
      </w:r>
      <w:r w:rsidR="00A148DD" w:rsidRPr="00975C02">
        <w:rPr>
          <w:rFonts w:cs="Verdana"/>
          <w:sz w:val="20"/>
          <w:szCs w:val="20"/>
          <w:lang w:val="es-ES"/>
        </w:rPr>
        <w:t>.</w:t>
      </w:r>
    </w:p>
    <w:p w14:paraId="1750600D" w14:textId="77777777" w:rsidR="00A148DD" w:rsidRPr="00975C02" w:rsidRDefault="00A148DD" w:rsidP="00A148DD">
      <w:pPr>
        <w:widowControl/>
        <w:tabs>
          <w:tab w:val="left" w:pos="567"/>
        </w:tabs>
        <w:adjustRightInd/>
        <w:spacing w:line="240" w:lineRule="auto"/>
        <w:textAlignment w:val="auto"/>
        <w:rPr>
          <w:kern w:val="2"/>
          <w:sz w:val="20"/>
          <w:szCs w:val="20"/>
          <w:lang w:val="es-ES" w:eastAsia="en-US"/>
        </w:rPr>
      </w:pPr>
    </w:p>
    <w:p w14:paraId="0181830E" w14:textId="1B000F30" w:rsidR="006B7989" w:rsidRPr="00975C02" w:rsidRDefault="00D050F0" w:rsidP="006B7989">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 Corte considera que</w:t>
      </w:r>
      <w:r w:rsidR="00B859B8" w:rsidRPr="00975C02">
        <w:rPr>
          <w:kern w:val="2"/>
          <w:sz w:val="20"/>
          <w:szCs w:val="20"/>
          <w:lang w:val="es-ES" w:eastAsia="en-US"/>
        </w:rPr>
        <w:t xml:space="preserve"> u</w:t>
      </w:r>
      <w:r w:rsidR="006B7989" w:rsidRPr="00975C02">
        <w:rPr>
          <w:kern w:val="2"/>
          <w:sz w:val="20"/>
          <w:szCs w:val="20"/>
          <w:lang w:val="es-ES" w:eastAsia="en-US"/>
        </w:rPr>
        <w:t>na interpretación armónica e integral del derecho a ser oído de niñas, niños y adolescentes</w:t>
      </w:r>
      <w:r w:rsidRPr="00975C02">
        <w:rPr>
          <w:kern w:val="2"/>
          <w:sz w:val="20"/>
          <w:szCs w:val="20"/>
          <w:lang w:val="es-ES" w:eastAsia="en-US"/>
        </w:rPr>
        <w:t>,</w:t>
      </w:r>
      <w:r w:rsidR="006B7989" w:rsidRPr="00975C02">
        <w:rPr>
          <w:kern w:val="2"/>
          <w:sz w:val="20"/>
          <w:szCs w:val="20"/>
          <w:lang w:val="es-ES" w:eastAsia="en-US"/>
        </w:rPr>
        <w:t xml:space="preserve"> junto con el principio de autonomía progresiva</w:t>
      </w:r>
      <w:r w:rsidRPr="00975C02">
        <w:rPr>
          <w:kern w:val="2"/>
          <w:sz w:val="20"/>
          <w:szCs w:val="20"/>
          <w:lang w:val="es-ES" w:eastAsia="en-US"/>
        </w:rPr>
        <w:t>,</w:t>
      </w:r>
      <w:r w:rsidR="006B7989" w:rsidRPr="00975C02">
        <w:rPr>
          <w:kern w:val="2"/>
          <w:sz w:val="20"/>
          <w:szCs w:val="20"/>
          <w:lang w:val="es-ES" w:eastAsia="en-US"/>
        </w:rPr>
        <w:t xml:space="preserve"> </w:t>
      </w:r>
      <w:r w:rsidR="00DC1CE5" w:rsidRPr="00975C02">
        <w:rPr>
          <w:kern w:val="2"/>
          <w:sz w:val="20"/>
          <w:szCs w:val="20"/>
          <w:lang w:val="es-ES" w:eastAsia="en-US"/>
        </w:rPr>
        <w:t>conlleva a</w:t>
      </w:r>
      <w:r w:rsidR="006B7989" w:rsidRPr="00975C02">
        <w:rPr>
          <w:kern w:val="2"/>
          <w:sz w:val="20"/>
          <w:szCs w:val="20"/>
          <w:lang w:val="es-ES" w:eastAsia="en-US"/>
        </w:rPr>
        <w:t xml:space="preserve"> garantizar la asistencia jurídica de las niñas, niños y adolescentes víctimas en los procesos penales. En este sentido, el acceso a la justicia no solo implica habilitar los mecanismos necesarios para que las niñas, niños y adolescentes puedan denunciar</w:t>
      </w:r>
      <w:r w:rsidR="00B859B8" w:rsidRPr="00975C02">
        <w:rPr>
          <w:kern w:val="2"/>
          <w:sz w:val="20"/>
          <w:szCs w:val="20"/>
          <w:lang w:val="es-ES" w:eastAsia="en-US"/>
        </w:rPr>
        <w:t>,</w:t>
      </w:r>
      <w:r w:rsidR="006B7989" w:rsidRPr="00975C02">
        <w:rPr>
          <w:kern w:val="2"/>
          <w:sz w:val="20"/>
          <w:szCs w:val="20"/>
          <w:lang w:val="es-ES" w:eastAsia="en-US"/>
        </w:rPr>
        <w:t xml:space="preserve"> sino que incluye la posibilidad de que participen activamente en los procesos judiciales, con voz propia y asistencia letra</w:t>
      </w:r>
      <w:r w:rsidR="00B859B8" w:rsidRPr="00975C02">
        <w:rPr>
          <w:kern w:val="2"/>
          <w:sz w:val="20"/>
          <w:szCs w:val="20"/>
          <w:lang w:val="es-ES" w:eastAsia="en-US"/>
        </w:rPr>
        <w:t>da, en defensa de sus derechos, según la edad y grado de madurez</w:t>
      </w:r>
      <w:r w:rsidR="007B3EED" w:rsidRPr="00975C02">
        <w:rPr>
          <w:kern w:val="2"/>
          <w:sz w:val="20"/>
          <w:szCs w:val="20"/>
          <w:vertAlign w:val="superscript"/>
          <w:lang w:val="es-ES" w:eastAsia="en-US"/>
        </w:rPr>
        <w:footnoteReference w:id="213"/>
      </w:r>
      <w:r w:rsidR="00B859B8" w:rsidRPr="00975C02">
        <w:rPr>
          <w:kern w:val="2"/>
          <w:sz w:val="20"/>
          <w:szCs w:val="20"/>
          <w:lang w:val="es-ES" w:eastAsia="en-US"/>
        </w:rPr>
        <w:t>.</w:t>
      </w:r>
      <w:r w:rsidR="007B3EED" w:rsidRPr="00975C02">
        <w:rPr>
          <w:kern w:val="2"/>
          <w:sz w:val="20"/>
          <w:szCs w:val="20"/>
          <w:lang w:val="es-ES" w:eastAsia="en-US"/>
        </w:rPr>
        <w:t xml:space="preserve"> </w:t>
      </w:r>
      <w:r w:rsidR="006B7989" w:rsidRPr="00975C02">
        <w:rPr>
          <w:kern w:val="2"/>
          <w:sz w:val="20"/>
          <w:szCs w:val="20"/>
          <w:lang w:val="es-ES" w:eastAsia="en-US"/>
        </w:rPr>
        <w:t xml:space="preserve">Para sortear los obstáculos en el acceso a la </w:t>
      </w:r>
      <w:r w:rsidR="006B7989" w:rsidRPr="00975C02">
        <w:rPr>
          <w:kern w:val="2"/>
          <w:sz w:val="20"/>
          <w:szCs w:val="20"/>
          <w:lang w:val="es-ES" w:eastAsia="en-US"/>
        </w:rPr>
        <w:lastRenderedPageBreak/>
        <w:t>justicia</w:t>
      </w:r>
      <w:r w:rsidR="00C9789B" w:rsidRPr="00975C02">
        <w:rPr>
          <w:kern w:val="2"/>
          <w:sz w:val="20"/>
          <w:szCs w:val="20"/>
          <w:lang w:val="es-ES" w:eastAsia="en-US"/>
        </w:rPr>
        <w:t xml:space="preserve"> (</w:t>
      </w:r>
      <w:r w:rsidR="00C9789B" w:rsidRPr="00975C02">
        <w:rPr>
          <w:i/>
          <w:kern w:val="2"/>
          <w:sz w:val="20"/>
          <w:szCs w:val="20"/>
          <w:lang w:val="es-ES" w:eastAsia="en-US"/>
        </w:rPr>
        <w:t>supra</w:t>
      </w:r>
      <w:r w:rsidR="00C9789B" w:rsidRPr="00975C02">
        <w:rPr>
          <w:kern w:val="2"/>
          <w:sz w:val="20"/>
          <w:szCs w:val="20"/>
          <w:lang w:val="es-ES" w:eastAsia="en-US"/>
        </w:rPr>
        <w:t xml:space="preserve"> párr. </w:t>
      </w:r>
      <w:r w:rsidR="00342199" w:rsidRPr="00975C02">
        <w:rPr>
          <w:kern w:val="2"/>
          <w:sz w:val="20"/>
          <w:szCs w:val="20"/>
          <w:lang w:val="es-ES" w:eastAsia="en-US"/>
        </w:rPr>
        <w:t>156</w:t>
      </w:r>
      <w:r w:rsidR="00C9789B" w:rsidRPr="00975C02">
        <w:rPr>
          <w:kern w:val="2"/>
          <w:sz w:val="20"/>
          <w:szCs w:val="20"/>
          <w:lang w:val="es-ES" w:eastAsia="en-US"/>
        </w:rPr>
        <w:t>)</w:t>
      </w:r>
      <w:r w:rsidR="006B7989" w:rsidRPr="00975C02">
        <w:rPr>
          <w:kern w:val="2"/>
          <w:sz w:val="20"/>
          <w:szCs w:val="20"/>
          <w:lang w:val="es-ES" w:eastAsia="en-US"/>
        </w:rPr>
        <w:t>, la asistencia letrada</w:t>
      </w:r>
      <w:r w:rsidR="007B3EED" w:rsidRPr="00975C02">
        <w:rPr>
          <w:kern w:val="2"/>
          <w:sz w:val="20"/>
          <w:szCs w:val="20"/>
          <w:lang w:val="es-ES" w:eastAsia="en-US"/>
        </w:rPr>
        <w:t xml:space="preserve"> </w:t>
      </w:r>
      <w:r w:rsidR="007B3EED" w:rsidRPr="00975C02">
        <w:rPr>
          <w:sz w:val="20"/>
          <w:szCs w:val="20"/>
          <w:lang w:val="es-ES"/>
        </w:rPr>
        <w:t>de un abogado especializado en niñez y adolescencia, con facultades de constituirse en calidad de parte procesal, oponerse a medidas judiciales, interponer recursos y realizar todo otro acto procesal tendiente a defender sus derechos en el proceso,</w:t>
      </w:r>
      <w:r w:rsidR="006B7989" w:rsidRPr="00975C02">
        <w:rPr>
          <w:kern w:val="2"/>
          <w:sz w:val="20"/>
          <w:szCs w:val="20"/>
          <w:lang w:val="es-ES" w:eastAsia="en-US"/>
        </w:rPr>
        <w:t xml:space="preserve"> debe ser gratuita y proporcionada por el Estado, independientemente de los recursos económicos de sus progenitores y de las opiniones de éstos últimos</w:t>
      </w:r>
      <w:r w:rsidR="006B7989" w:rsidRPr="00975C02">
        <w:rPr>
          <w:kern w:val="2"/>
          <w:sz w:val="20"/>
          <w:szCs w:val="20"/>
          <w:vertAlign w:val="superscript"/>
          <w:lang w:val="es-ES" w:eastAsia="en-US"/>
        </w:rPr>
        <w:footnoteReference w:id="214"/>
      </w:r>
      <w:r w:rsidR="007B3EED" w:rsidRPr="00975C02">
        <w:rPr>
          <w:kern w:val="2"/>
          <w:sz w:val="20"/>
          <w:szCs w:val="20"/>
          <w:lang w:val="es-ES" w:eastAsia="en-US"/>
        </w:rPr>
        <w:t>.</w:t>
      </w:r>
    </w:p>
    <w:p w14:paraId="7A2EA030" w14:textId="77777777" w:rsidR="009E49EB" w:rsidRPr="00975C02" w:rsidRDefault="009E49EB" w:rsidP="00D644BC">
      <w:pPr>
        <w:widowControl/>
        <w:tabs>
          <w:tab w:val="left" w:pos="567"/>
        </w:tabs>
        <w:adjustRightInd/>
        <w:spacing w:line="240" w:lineRule="auto"/>
        <w:textAlignment w:val="auto"/>
        <w:rPr>
          <w:kern w:val="2"/>
          <w:sz w:val="20"/>
          <w:szCs w:val="20"/>
          <w:lang w:val="es-ES" w:eastAsia="en-US"/>
        </w:rPr>
      </w:pPr>
    </w:p>
    <w:p w14:paraId="608D69A1" w14:textId="77777777" w:rsidR="00C003A2" w:rsidRPr="00975C02" w:rsidRDefault="00C003A2" w:rsidP="00C003A2">
      <w:pPr>
        <w:pStyle w:val="ListParagraph"/>
        <w:widowControl/>
        <w:numPr>
          <w:ilvl w:val="0"/>
          <w:numId w:val="2"/>
        </w:numPr>
        <w:adjustRightInd/>
        <w:spacing w:line="240" w:lineRule="auto"/>
        <w:ind w:right="582"/>
        <w:textAlignment w:val="auto"/>
        <w:rPr>
          <w:kern w:val="2"/>
          <w:sz w:val="20"/>
          <w:szCs w:val="20"/>
          <w:lang w:val="es-ES" w:eastAsia="en-US"/>
        </w:rPr>
      </w:pPr>
      <w:r w:rsidRPr="00975C02">
        <w:rPr>
          <w:kern w:val="2"/>
          <w:sz w:val="20"/>
          <w:szCs w:val="20"/>
          <w:lang w:val="es-ES" w:eastAsia="en-US"/>
        </w:rPr>
        <w:t>Sobre el particular, el perito Cillero Bruñol, señaló que:</w:t>
      </w:r>
    </w:p>
    <w:p w14:paraId="2C1A3283" w14:textId="77777777" w:rsidR="00C003A2" w:rsidRPr="00975C02" w:rsidRDefault="00C003A2" w:rsidP="00C003A2">
      <w:pPr>
        <w:pStyle w:val="ListParagraph"/>
        <w:widowControl/>
        <w:adjustRightInd/>
        <w:spacing w:line="240" w:lineRule="auto"/>
        <w:ind w:left="825" w:right="582"/>
        <w:textAlignment w:val="auto"/>
        <w:rPr>
          <w:kern w:val="2"/>
          <w:sz w:val="18"/>
          <w:szCs w:val="18"/>
          <w:lang w:val="es-ES" w:eastAsia="en-US"/>
        </w:rPr>
      </w:pPr>
    </w:p>
    <w:p w14:paraId="0410958C" w14:textId="31B72275" w:rsidR="00C003A2" w:rsidRPr="00240256" w:rsidRDefault="00C003A2" w:rsidP="00C003A2">
      <w:pPr>
        <w:pStyle w:val="ListParagraph"/>
        <w:widowControl/>
        <w:adjustRightInd/>
        <w:spacing w:line="240" w:lineRule="auto"/>
        <w:ind w:left="825" w:right="582"/>
        <w:textAlignment w:val="auto"/>
        <w:rPr>
          <w:kern w:val="2"/>
          <w:sz w:val="16"/>
          <w:szCs w:val="16"/>
          <w:lang w:val="es-ES" w:eastAsia="en-US"/>
        </w:rPr>
      </w:pPr>
      <w:r w:rsidRPr="00240256">
        <w:rPr>
          <w:kern w:val="2"/>
          <w:sz w:val="16"/>
          <w:szCs w:val="16"/>
          <w:lang w:val="es-ES" w:eastAsia="en-US"/>
        </w:rPr>
        <w:t>[U]na cuestión fundamental que se ha ido imponiendo en toda América Latina […] es la representación judicial independiente de la niña […].</w:t>
      </w:r>
      <w:r w:rsidR="00D9072D" w:rsidRPr="00240256">
        <w:rPr>
          <w:kern w:val="2"/>
          <w:sz w:val="16"/>
          <w:szCs w:val="16"/>
          <w:lang w:val="es-ES" w:eastAsia="en-US"/>
        </w:rPr>
        <w:t>[D]</w:t>
      </w:r>
      <w:r w:rsidRPr="00240256">
        <w:rPr>
          <w:kern w:val="2"/>
          <w:sz w:val="16"/>
          <w:szCs w:val="16"/>
          <w:lang w:val="es-ES" w:eastAsia="en-US"/>
        </w:rPr>
        <w:t>ebe haber alguien, independientemente del fiscal del caso concreto en administración penal, […] que represente el interés de es</w:t>
      </w:r>
      <w:r w:rsidR="00CC63B1" w:rsidRPr="00240256">
        <w:rPr>
          <w:kern w:val="2"/>
          <w:sz w:val="16"/>
          <w:szCs w:val="16"/>
          <w:lang w:val="es-ES" w:eastAsia="en-US"/>
        </w:rPr>
        <w:t>[a]</w:t>
      </w:r>
      <w:r w:rsidRPr="00240256">
        <w:rPr>
          <w:kern w:val="2"/>
          <w:sz w:val="16"/>
          <w:szCs w:val="16"/>
          <w:lang w:val="es-ES" w:eastAsia="en-US"/>
        </w:rPr>
        <w:t xml:space="preserve"> niñ</w:t>
      </w:r>
      <w:r w:rsidR="00CC63B1" w:rsidRPr="00240256">
        <w:rPr>
          <w:kern w:val="2"/>
          <w:sz w:val="16"/>
          <w:szCs w:val="16"/>
          <w:lang w:val="es-ES" w:eastAsia="en-US"/>
        </w:rPr>
        <w:t>[a]</w:t>
      </w:r>
      <w:r w:rsidRPr="00240256">
        <w:rPr>
          <w:kern w:val="2"/>
          <w:sz w:val="16"/>
          <w:szCs w:val="16"/>
          <w:lang w:val="es-ES" w:eastAsia="en-US"/>
        </w:rPr>
        <w:t xml:space="preserve"> y</w:t>
      </w:r>
      <w:r w:rsidR="00D87E4C" w:rsidRPr="00240256">
        <w:rPr>
          <w:kern w:val="2"/>
          <w:sz w:val="16"/>
          <w:szCs w:val="16"/>
          <w:lang w:val="es-ES" w:eastAsia="en-US"/>
        </w:rPr>
        <w:t>,</w:t>
      </w:r>
      <w:r w:rsidRPr="00240256">
        <w:rPr>
          <w:kern w:val="2"/>
          <w:sz w:val="16"/>
          <w:szCs w:val="16"/>
          <w:lang w:val="es-ES" w:eastAsia="en-US"/>
        </w:rPr>
        <w:t xml:space="preserve"> además de eso, probablemente la existencia de órganos independientes no jurisdiccionales del tipo los ombudsperson que puedan efectivamente revisar estos casos</w:t>
      </w:r>
      <w:r w:rsidRPr="00240256">
        <w:rPr>
          <w:rStyle w:val="FootnoteReference"/>
          <w:kern w:val="2"/>
          <w:sz w:val="16"/>
          <w:szCs w:val="16"/>
          <w:lang w:val="es-ES" w:eastAsia="en-US"/>
        </w:rPr>
        <w:footnoteReference w:id="215"/>
      </w:r>
      <w:r w:rsidRPr="00240256">
        <w:rPr>
          <w:kern w:val="2"/>
          <w:sz w:val="16"/>
          <w:szCs w:val="16"/>
          <w:lang w:val="es-ES" w:eastAsia="en-US"/>
        </w:rPr>
        <w:t>.</w:t>
      </w:r>
    </w:p>
    <w:p w14:paraId="0B45DA0E" w14:textId="77777777" w:rsidR="006B7989" w:rsidRPr="00975C02" w:rsidRDefault="006B7989" w:rsidP="006B7989">
      <w:pPr>
        <w:widowControl/>
        <w:tabs>
          <w:tab w:val="left" w:pos="567"/>
        </w:tabs>
        <w:adjustRightInd/>
        <w:spacing w:line="240" w:lineRule="auto"/>
        <w:textAlignment w:val="auto"/>
        <w:rPr>
          <w:kern w:val="2"/>
          <w:sz w:val="20"/>
          <w:szCs w:val="20"/>
          <w:lang w:val="es-ES" w:eastAsia="en-US"/>
        </w:rPr>
      </w:pPr>
    </w:p>
    <w:p w14:paraId="11CAF56C" w14:textId="5A766EB0" w:rsidR="000D7043" w:rsidRPr="00975C02" w:rsidRDefault="00D931D9" w:rsidP="00E66786">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 Corte advierte que </w:t>
      </w:r>
      <w:r w:rsidR="00B5625C" w:rsidRPr="00975C02">
        <w:rPr>
          <w:kern w:val="2"/>
          <w:sz w:val="20"/>
          <w:szCs w:val="20"/>
          <w:lang w:val="es-ES" w:eastAsia="en-US"/>
        </w:rPr>
        <w:t>l</w:t>
      </w:r>
      <w:r w:rsidR="00000AAF" w:rsidRPr="00975C02">
        <w:rPr>
          <w:kern w:val="2"/>
          <w:sz w:val="20"/>
          <w:szCs w:val="20"/>
          <w:lang w:val="es-ES" w:eastAsia="en-US"/>
        </w:rPr>
        <w:t>a</w:t>
      </w:r>
      <w:r w:rsidR="00B5625C" w:rsidRPr="00975C02">
        <w:rPr>
          <w:kern w:val="2"/>
          <w:sz w:val="20"/>
          <w:szCs w:val="20"/>
          <w:lang w:val="es-ES" w:eastAsia="en-US"/>
        </w:rPr>
        <w:t>s niñ</w:t>
      </w:r>
      <w:r w:rsidR="00000AAF" w:rsidRPr="00975C02">
        <w:rPr>
          <w:kern w:val="2"/>
          <w:sz w:val="20"/>
          <w:szCs w:val="20"/>
          <w:lang w:val="es-ES" w:eastAsia="en-US"/>
        </w:rPr>
        <w:t>a</w:t>
      </w:r>
      <w:r w:rsidR="00B5625C" w:rsidRPr="00975C02">
        <w:rPr>
          <w:kern w:val="2"/>
          <w:sz w:val="20"/>
          <w:szCs w:val="20"/>
          <w:lang w:val="es-ES" w:eastAsia="en-US"/>
        </w:rPr>
        <w:t>s, niñ</w:t>
      </w:r>
      <w:r w:rsidR="00000AAF" w:rsidRPr="00975C02">
        <w:rPr>
          <w:kern w:val="2"/>
          <w:sz w:val="20"/>
          <w:szCs w:val="20"/>
          <w:lang w:val="es-ES" w:eastAsia="en-US"/>
        </w:rPr>
        <w:t>o</w:t>
      </w:r>
      <w:r w:rsidR="00B5625C" w:rsidRPr="00975C02">
        <w:rPr>
          <w:kern w:val="2"/>
          <w:sz w:val="20"/>
          <w:szCs w:val="20"/>
          <w:lang w:val="es-ES" w:eastAsia="en-US"/>
        </w:rPr>
        <w:t>s y adolescentes víctimas, en particular de violencia sexual, pueden experimentar graves consecuencias físicas, psicológicas y emocionales causadas por el hecho violatorio de sus derechos</w:t>
      </w:r>
      <w:r w:rsidR="002404D0" w:rsidRPr="00975C02">
        <w:rPr>
          <w:kern w:val="2"/>
          <w:sz w:val="20"/>
          <w:szCs w:val="20"/>
          <w:lang w:val="es-ES" w:eastAsia="en-US"/>
        </w:rPr>
        <w:t>, así como</w:t>
      </w:r>
      <w:r w:rsidR="00B5625C" w:rsidRPr="00975C02">
        <w:rPr>
          <w:kern w:val="2"/>
          <w:sz w:val="20"/>
          <w:szCs w:val="20"/>
          <w:lang w:val="es-ES" w:eastAsia="en-US"/>
        </w:rPr>
        <w:t xml:space="preserve"> una nueva victimización a manos de los órganos del Estado a través de su participación en un proceso penal, cuya función es justamente la protección de sus derechos. En este sentido, si se estima que la participación de</w:t>
      </w:r>
      <w:r w:rsidR="00000AAF" w:rsidRPr="00975C02">
        <w:rPr>
          <w:kern w:val="2"/>
          <w:sz w:val="20"/>
          <w:szCs w:val="20"/>
          <w:lang w:val="es-ES" w:eastAsia="en-US"/>
        </w:rPr>
        <w:t xml:space="preserve"> </w:t>
      </w:r>
      <w:r w:rsidR="00B5625C" w:rsidRPr="00975C02">
        <w:rPr>
          <w:kern w:val="2"/>
          <w:sz w:val="20"/>
          <w:szCs w:val="20"/>
          <w:lang w:val="es-ES" w:eastAsia="en-US"/>
        </w:rPr>
        <w:t>l</w:t>
      </w:r>
      <w:r w:rsidR="00000AAF" w:rsidRPr="00975C02">
        <w:rPr>
          <w:kern w:val="2"/>
          <w:sz w:val="20"/>
          <w:szCs w:val="20"/>
          <w:lang w:val="es-ES" w:eastAsia="en-US"/>
        </w:rPr>
        <w:t>a</w:t>
      </w:r>
      <w:r w:rsidR="00B5625C" w:rsidRPr="00975C02">
        <w:rPr>
          <w:kern w:val="2"/>
          <w:sz w:val="20"/>
          <w:szCs w:val="20"/>
          <w:lang w:val="es-ES" w:eastAsia="en-US"/>
        </w:rPr>
        <w:t xml:space="preserve"> niñ</w:t>
      </w:r>
      <w:r w:rsidR="00000AAF" w:rsidRPr="00975C02">
        <w:rPr>
          <w:kern w:val="2"/>
          <w:sz w:val="20"/>
          <w:szCs w:val="20"/>
          <w:lang w:val="es-ES" w:eastAsia="en-US"/>
        </w:rPr>
        <w:t>a</w:t>
      </w:r>
      <w:r w:rsidR="00B5625C" w:rsidRPr="00975C02">
        <w:rPr>
          <w:kern w:val="2"/>
          <w:sz w:val="20"/>
          <w:szCs w:val="20"/>
          <w:lang w:val="es-ES" w:eastAsia="en-US"/>
        </w:rPr>
        <w:t>, niñ</w:t>
      </w:r>
      <w:r w:rsidR="00000AAF" w:rsidRPr="00975C02">
        <w:rPr>
          <w:kern w:val="2"/>
          <w:sz w:val="20"/>
          <w:szCs w:val="20"/>
          <w:lang w:val="es-ES" w:eastAsia="en-US"/>
        </w:rPr>
        <w:t>o</w:t>
      </w:r>
      <w:r w:rsidR="00B5625C" w:rsidRPr="00975C02">
        <w:rPr>
          <w:kern w:val="2"/>
          <w:sz w:val="20"/>
          <w:szCs w:val="20"/>
          <w:lang w:val="es-ES" w:eastAsia="en-US"/>
        </w:rPr>
        <w:t xml:space="preserve"> o adolescente es necesaria</w:t>
      </w:r>
      <w:r w:rsidR="003F51D3" w:rsidRPr="00975C02">
        <w:rPr>
          <w:kern w:val="2"/>
          <w:sz w:val="20"/>
          <w:szCs w:val="20"/>
          <w:lang w:val="es-ES" w:eastAsia="en-US"/>
        </w:rPr>
        <w:t xml:space="preserve"> y puede contribuir con la recolección de material probatorio, deberá evitarse en todo momento la revictimización y se limitará a las diligencias y actuaciones en donde su participación </w:t>
      </w:r>
      <w:r w:rsidRPr="00975C02">
        <w:rPr>
          <w:kern w:val="2"/>
          <w:sz w:val="20"/>
          <w:szCs w:val="20"/>
          <w:lang w:val="es-ES" w:eastAsia="en-US"/>
        </w:rPr>
        <w:t>s</w:t>
      </w:r>
      <w:r w:rsidR="003F51D3" w:rsidRPr="00975C02">
        <w:rPr>
          <w:kern w:val="2"/>
          <w:sz w:val="20"/>
          <w:szCs w:val="20"/>
          <w:lang w:val="es-ES" w:eastAsia="en-US"/>
        </w:rPr>
        <w:t xml:space="preserve">e estime estrictamente necesaria y </w:t>
      </w:r>
      <w:r w:rsidR="008420DB" w:rsidRPr="00975C02">
        <w:rPr>
          <w:kern w:val="2"/>
          <w:sz w:val="20"/>
          <w:szCs w:val="20"/>
          <w:lang w:val="es-ES" w:eastAsia="en-US"/>
        </w:rPr>
        <w:t xml:space="preserve">se </w:t>
      </w:r>
      <w:r w:rsidR="003F51D3" w:rsidRPr="00975C02">
        <w:rPr>
          <w:kern w:val="2"/>
          <w:sz w:val="20"/>
          <w:szCs w:val="20"/>
          <w:lang w:val="es-ES" w:eastAsia="en-US"/>
        </w:rPr>
        <w:t xml:space="preserve">evitará la </w:t>
      </w:r>
      <w:r w:rsidR="008420DB" w:rsidRPr="00975C02">
        <w:rPr>
          <w:kern w:val="2"/>
          <w:sz w:val="20"/>
          <w:szCs w:val="20"/>
          <w:lang w:val="es-ES" w:eastAsia="en-US"/>
        </w:rPr>
        <w:t xml:space="preserve">presencia e </w:t>
      </w:r>
      <w:r w:rsidR="003F51D3" w:rsidRPr="00975C02">
        <w:rPr>
          <w:kern w:val="2"/>
          <w:sz w:val="20"/>
          <w:szCs w:val="20"/>
          <w:lang w:val="es-ES" w:eastAsia="en-US"/>
        </w:rPr>
        <w:t>interacción de aquellos con su agresor en las diligencias que se ordenen</w:t>
      </w:r>
      <w:r w:rsidR="003F51D3" w:rsidRPr="00975C02">
        <w:rPr>
          <w:kern w:val="2"/>
          <w:sz w:val="20"/>
          <w:szCs w:val="20"/>
          <w:vertAlign w:val="superscript"/>
          <w:lang w:val="es-ES" w:eastAsia="en-US"/>
        </w:rPr>
        <w:footnoteReference w:id="216"/>
      </w:r>
      <w:r w:rsidR="003F51D3" w:rsidRPr="00975C02">
        <w:rPr>
          <w:kern w:val="2"/>
          <w:sz w:val="20"/>
          <w:szCs w:val="20"/>
          <w:lang w:val="es-ES" w:eastAsia="en-US"/>
        </w:rPr>
        <w:t>.</w:t>
      </w:r>
      <w:r w:rsidR="00B5625C" w:rsidRPr="00975C02">
        <w:rPr>
          <w:kern w:val="2"/>
          <w:sz w:val="20"/>
          <w:szCs w:val="20"/>
          <w:lang w:val="es-ES" w:eastAsia="en-US"/>
        </w:rPr>
        <w:t xml:space="preserve"> </w:t>
      </w:r>
      <w:r w:rsidR="000D7043" w:rsidRPr="00975C02">
        <w:rPr>
          <w:kern w:val="2"/>
          <w:sz w:val="20"/>
          <w:szCs w:val="20"/>
          <w:lang w:val="es-ES" w:eastAsia="en-US"/>
        </w:rPr>
        <w:t xml:space="preserve">Esta Corte ya ha destacado que la violación sexual es una experiencia sumamente traumática que puede tener severas consecuencias y causa gran daño físico y psicológico, que deja a la víctima “humillada física y emocionalmente”, situación difícilmente superable por el paso del tiempo, a diferencia de lo que acontece </w:t>
      </w:r>
      <w:r w:rsidR="00995B02" w:rsidRPr="00975C02">
        <w:rPr>
          <w:kern w:val="2"/>
          <w:sz w:val="20"/>
          <w:szCs w:val="20"/>
          <w:lang w:val="es-ES" w:eastAsia="en-US"/>
        </w:rPr>
        <w:t xml:space="preserve">con </w:t>
      </w:r>
      <w:r w:rsidR="000D7043" w:rsidRPr="00975C02">
        <w:rPr>
          <w:kern w:val="2"/>
          <w:sz w:val="20"/>
          <w:szCs w:val="20"/>
          <w:lang w:val="es-ES" w:eastAsia="en-US"/>
        </w:rPr>
        <w:t>otras experiencias traumáticas</w:t>
      </w:r>
      <w:r w:rsidR="000D7043" w:rsidRPr="00975C02">
        <w:rPr>
          <w:kern w:val="2"/>
          <w:sz w:val="20"/>
          <w:szCs w:val="20"/>
          <w:vertAlign w:val="superscript"/>
          <w:lang w:val="es-ES" w:eastAsia="en-US"/>
        </w:rPr>
        <w:footnoteReference w:id="217"/>
      </w:r>
      <w:r w:rsidR="000D7043" w:rsidRPr="00975C02">
        <w:rPr>
          <w:kern w:val="2"/>
          <w:sz w:val="20"/>
          <w:szCs w:val="20"/>
          <w:lang w:val="es-ES" w:eastAsia="en-US"/>
        </w:rPr>
        <w:t>. En el caso de las niñas</w:t>
      </w:r>
      <w:r w:rsidR="00995B02" w:rsidRPr="00975C02">
        <w:rPr>
          <w:kern w:val="2"/>
          <w:sz w:val="20"/>
          <w:szCs w:val="20"/>
          <w:lang w:val="es-ES" w:eastAsia="en-US"/>
        </w:rPr>
        <w:t>, niños y adolescentes</w:t>
      </w:r>
      <w:r w:rsidR="000D7043" w:rsidRPr="00975C02">
        <w:rPr>
          <w:kern w:val="2"/>
          <w:sz w:val="20"/>
          <w:szCs w:val="20"/>
          <w:lang w:val="es-ES" w:eastAsia="en-US"/>
        </w:rPr>
        <w:t xml:space="preserve"> víctimas de </w:t>
      </w:r>
      <w:r w:rsidR="00E004AB" w:rsidRPr="00975C02">
        <w:rPr>
          <w:kern w:val="2"/>
          <w:sz w:val="20"/>
          <w:szCs w:val="20"/>
          <w:lang w:val="es-ES" w:eastAsia="en-US"/>
        </w:rPr>
        <w:t>violencia</w:t>
      </w:r>
      <w:r w:rsidR="000D7043" w:rsidRPr="00975C02">
        <w:rPr>
          <w:kern w:val="2"/>
          <w:sz w:val="20"/>
          <w:szCs w:val="20"/>
          <w:lang w:val="es-ES" w:eastAsia="en-US"/>
        </w:rPr>
        <w:t xml:space="preserve"> sexual, este impacto podría verse severamente agravado, por lo que podrían sufrir un trauma emocional diferenciado de los adultos, y un impacto sumamente profundo, en particular cuando el agresor </w:t>
      </w:r>
      <w:r w:rsidR="00E66786" w:rsidRPr="00975C02">
        <w:rPr>
          <w:kern w:val="2"/>
          <w:sz w:val="20"/>
          <w:szCs w:val="20"/>
          <w:lang w:val="es-ES" w:eastAsia="en-US"/>
        </w:rPr>
        <w:t>mantiene un vínculo de confianza y autoridad con la víctima, como un progenitor</w:t>
      </w:r>
      <w:r w:rsidR="000D7043" w:rsidRPr="00975C02">
        <w:rPr>
          <w:kern w:val="2"/>
          <w:sz w:val="20"/>
          <w:szCs w:val="20"/>
          <w:lang w:val="es-ES" w:eastAsia="en-US"/>
        </w:rPr>
        <w:t xml:space="preserve">. </w:t>
      </w:r>
      <w:r w:rsidR="00A4555D" w:rsidRPr="00975C02">
        <w:rPr>
          <w:kern w:val="2"/>
          <w:sz w:val="20"/>
          <w:szCs w:val="20"/>
          <w:lang w:val="es-ES" w:eastAsia="en-US"/>
        </w:rPr>
        <w:t xml:space="preserve">En palabras del perito Stola, en casos </w:t>
      </w:r>
      <w:r w:rsidR="00A4555D" w:rsidRPr="00975C02">
        <w:rPr>
          <w:sz w:val="20"/>
          <w:szCs w:val="20"/>
          <w:lang w:val="es-ES"/>
        </w:rPr>
        <w:t>en donde el padre es el que concreta la agresión sexual, se produce una afectación terriblemente grave en la psiquis de la víctima, “porque aquella persona que debería cuidar ha producido una profunda destrucción, no solo a la niña, sino además a todo el grupo, porque es una agresión que todo el grupo la vive como una agresión familiar”</w:t>
      </w:r>
      <w:r w:rsidR="00A4555D" w:rsidRPr="00975C02">
        <w:rPr>
          <w:rStyle w:val="FootnoteReference"/>
          <w:sz w:val="20"/>
          <w:szCs w:val="20"/>
          <w:lang w:val="es-ES"/>
        </w:rPr>
        <w:footnoteReference w:id="218"/>
      </w:r>
      <w:r w:rsidR="00A4555D" w:rsidRPr="00975C02">
        <w:rPr>
          <w:sz w:val="20"/>
          <w:szCs w:val="20"/>
          <w:lang w:val="es-ES"/>
        </w:rPr>
        <w:t xml:space="preserve">. </w:t>
      </w:r>
      <w:r w:rsidR="000D7043" w:rsidRPr="00975C02">
        <w:rPr>
          <w:kern w:val="2"/>
          <w:sz w:val="20"/>
          <w:szCs w:val="20"/>
          <w:lang w:val="es-ES" w:eastAsia="en-US"/>
        </w:rPr>
        <w:t xml:space="preserve">Para ello, la Corte </w:t>
      </w:r>
      <w:r w:rsidR="00537F77">
        <w:rPr>
          <w:kern w:val="2"/>
          <w:sz w:val="20"/>
          <w:szCs w:val="20"/>
          <w:lang w:val="es-ES" w:eastAsia="en-US"/>
        </w:rPr>
        <w:t>subraya</w:t>
      </w:r>
      <w:r w:rsidR="000D7043" w:rsidRPr="00975C02">
        <w:rPr>
          <w:kern w:val="2"/>
          <w:sz w:val="20"/>
          <w:szCs w:val="20"/>
          <w:lang w:val="es-ES" w:eastAsia="en-US"/>
        </w:rPr>
        <w:t xml:space="preserve"> la importancia de la adopción de un protocolo de atención cuyo objetivo sea reducir las consecuencias sobre el bienestar </w:t>
      </w:r>
      <w:r w:rsidR="00C003A2" w:rsidRPr="00975C02">
        <w:rPr>
          <w:kern w:val="2"/>
          <w:sz w:val="20"/>
          <w:szCs w:val="20"/>
          <w:lang w:val="es-ES" w:eastAsia="en-US"/>
        </w:rPr>
        <w:t>bio</w:t>
      </w:r>
      <w:r w:rsidR="000D7043" w:rsidRPr="00975C02">
        <w:rPr>
          <w:kern w:val="2"/>
          <w:sz w:val="20"/>
          <w:szCs w:val="20"/>
          <w:lang w:val="es-ES" w:eastAsia="en-US"/>
        </w:rPr>
        <w:t>psico-social de la víctima</w:t>
      </w:r>
      <w:r w:rsidR="006F277B" w:rsidRPr="00975C02">
        <w:rPr>
          <w:rStyle w:val="FootnoteReference"/>
          <w:kern w:val="2"/>
          <w:sz w:val="20"/>
          <w:szCs w:val="20"/>
          <w:lang w:val="es-ES" w:eastAsia="en-US"/>
        </w:rPr>
        <w:footnoteReference w:id="219"/>
      </w:r>
      <w:r w:rsidR="000D7043" w:rsidRPr="00975C02">
        <w:rPr>
          <w:kern w:val="2"/>
          <w:sz w:val="20"/>
          <w:szCs w:val="20"/>
          <w:lang w:val="es-ES" w:eastAsia="en-US"/>
        </w:rPr>
        <w:t>.</w:t>
      </w:r>
    </w:p>
    <w:p w14:paraId="3235FBC3" w14:textId="77777777" w:rsidR="000D7043" w:rsidRPr="00975C02" w:rsidRDefault="000D7043" w:rsidP="008420DB">
      <w:pPr>
        <w:widowControl/>
        <w:tabs>
          <w:tab w:val="left" w:pos="567"/>
        </w:tabs>
        <w:adjustRightInd/>
        <w:spacing w:line="240" w:lineRule="auto"/>
        <w:textAlignment w:val="auto"/>
        <w:rPr>
          <w:kern w:val="2"/>
          <w:sz w:val="20"/>
          <w:szCs w:val="20"/>
          <w:lang w:val="es-ES" w:eastAsia="en-US"/>
        </w:rPr>
      </w:pPr>
    </w:p>
    <w:p w14:paraId="5C084546" w14:textId="5C078AE4" w:rsidR="00253F03" w:rsidRPr="00975C02" w:rsidRDefault="006C6911" w:rsidP="00253F03">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Además, t</w:t>
      </w:r>
      <w:r w:rsidR="00B5625C" w:rsidRPr="00975C02">
        <w:rPr>
          <w:kern w:val="2"/>
          <w:sz w:val="20"/>
          <w:szCs w:val="20"/>
          <w:lang w:val="es-ES" w:eastAsia="en-US"/>
        </w:rPr>
        <w:t xml:space="preserve">omando en cuenta el </w:t>
      </w:r>
      <w:r w:rsidR="006C1836" w:rsidRPr="00975C02">
        <w:rPr>
          <w:kern w:val="2"/>
          <w:sz w:val="20"/>
          <w:szCs w:val="20"/>
          <w:lang w:val="es-ES" w:eastAsia="en-US"/>
        </w:rPr>
        <w:t>interés superior</w:t>
      </w:r>
      <w:r w:rsidRPr="00975C02">
        <w:rPr>
          <w:kern w:val="2"/>
          <w:sz w:val="20"/>
          <w:szCs w:val="20"/>
          <w:lang w:val="es-ES" w:eastAsia="en-US"/>
        </w:rPr>
        <w:t>,</w:t>
      </w:r>
      <w:r w:rsidR="00B5625C" w:rsidRPr="00975C02">
        <w:rPr>
          <w:kern w:val="2"/>
          <w:sz w:val="20"/>
          <w:szCs w:val="20"/>
          <w:lang w:val="es-ES" w:eastAsia="en-US"/>
        </w:rPr>
        <w:t xml:space="preserve"> no solo se debe evitar la revictimización</w:t>
      </w:r>
      <w:r w:rsidR="002404D0" w:rsidRPr="00975C02">
        <w:rPr>
          <w:kern w:val="2"/>
          <w:sz w:val="20"/>
          <w:szCs w:val="20"/>
          <w:lang w:val="es-ES" w:eastAsia="en-US"/>
        </w:rPr>
        <w:t>,</w:t>
      </w:r>
      <w:r w:rsidR="00B5625C" w:rsidRPr="00975C02">
        <w:rPr>
          <w:kern w:val="2"/>
          <w:sz w:val="20"/>
          <w:szCs w:val="20"/>
          <w:lang w:val="es-ES" w:eastAsia="en-US"/>
        </w:rPr>
        <w:t xml:space="preserve"> sino que</w:t>
      </w:r>
      <w:r w:rsidR="002B7B25">
        <w:rPr>
          <w:kern w:val="2"/>
          <w:sz w:val="20"/>
          <w:szCs w:val="20"/>
          <w:lang w:val="es-ES" w:eastAsia="en-US"/>
        </w:rPr>
        <w:t>,</w:t>
      </w:r>
      <w:r w:rsidR="00B5625C" w:rsidRPr="00975C02">
        <w:rPr>
          <w:kern w:val="2"/>
          <w:sz w:val="20"/>
          <w:szCs w:val="20"/>
          <w:lang w:val="es-ES" w:eastAsia="en-US"/>
        </w:rPr>
        <w:t xml:space="preserve"> a través de las protecciones especiales y acompañamiento</w:t>
      </w:r>
      <w:r w:rsidR="0052452C" w:rsidRPr="00975C02">
        <w:rPr>
          <w:kern w:val="2"/>
          <w:sz w:val="20"/>
          <w:szCs w:val="20"/>
          <w:lang w:val="es-ES" w:eastAsia="en-US"/>
        </w:rPr>
        <w:t xml:space="preserve"> especializado</w:t>
      </w:r>
      <w:r w:rsidR="002B7B25">
        <w:rPr>
          <w:kern w:val="2"/>
          <w:sz w:val="20"/>
          <w:szCs w:val="20"/>
          <w:lang w:val="es-ES" w:eastAsia="en-US"/>
        </w:rPr>
        <w:t>,</w:t>
      </w:r>
      <w:r w:rsidR="00B5625C" w:rsidRPr="00975C02">
        <w:rPr>
          <w:kern w:val="2"/>
          <w:sz w:val="20"/>
          <w:szCs w:val="20"/>
          <w:lang w:val="es-ES" w:eastAsia="en-US"/>
        </w:rPr>
        <w:t xml:space="preserve"> se </w:t>
      </w:r>
      <w:r w:rsidRPr="00975C02">
        <w:rPr>
          <w:kern w:val="2"/>
          <w:sz w:val="20"/>
          <w:szCs w:val="20"/>
          <w:lang w:val="es-ES" w:eastAsia="en-US"/>
        </w:rPr>
        <w:t>deberán</w:t>
      </w:r>
      <w:r w:rsidR="00B5625C" w:rsidRPr="00975C02">
        <w:rPr>
          <w:kern w:val="2"/>
          <w:sz w:val="20"/>
          <w:szCs w:val="20"/>
          <w:lang w:val="es-ES" w:eastAsia="en-US"/>
        </w:rPr>
        <w:t xml:space="preserve"> </w:t>
      </w:r>
      <w:r w:rsidR="002404D0" w:rsidRPr="00975C02">
        <w:rPr>
          <w:kern w:val="2"/>
          <w:sz w:val="20"/>
          <w:szCs w:val="20"/>
          <w:lang w:val="es-ES" w:eastAsia="en-US"/>
        </w:rPr>
        <w:t xml:space="preserve">generar las condiciones adecuadas </w:t>
      </w:r>
      <w:r w:rsidR="0098709C" w:rsidRPr="00975C02">
        <w:rPr>
          <w:kern w:val="2"/>
          <w:sz w:val="20"/>
          <w:szCs w:val="20"/>
          <w:lang w:val="es-ES" w:eastAsia="en-US"/>
        </w:rPr>
        <w:t>para que la niña</w:t>
      </w:r>
      <w:r w:rsidR="00D44FA1" w:rsidRPr="00975C02">
        <w:rPr>
          <w:kern w:val="2"/>
          <w:sz w:val="20"/>
          <w:szCs w:val="20"/>
          <w:lang w:val="es-ES" w:eastAsia="en-US"/>
        </w:rPr>
        <w:t>, niño o adolescente</w:t>
      </w:r>
      <w:r w:rsidR="0098709C" w:rsidRPr="00975C02">
        <w:rPr>
          <w:kern w:val="2"/>
          <w:sz w:val="20"/>
          <w:szCs w:val="20"/>
          <w:lang w:val="es-ES" w:eastAsia="en-US"/>
        </w:rPr>
        <w:t xml:space="preserve"> pueda</w:t>
      </w:r>
      <w:r w:rsidR="002404D0" w:rsidRPr="00975C02">
        <w:rPr>
          <w:kern w:val="2"/>
          <w:sz w:val="20"/>
          <w:szCs w:val="20"/>
          <w:lang w:val="es-ES" w:eastAsia="en-US"/>
        </w:rPr>
        <w:t xml:space="preserve"> participar de forma efectiva en</w:t>
      </w:r>
      <w:r w:rsidRPr="00975C02">
        <w:rPr>
          <w:kern w:val="2"/>
          <w:sz w:val="20"/>
          <w:szCs w:val="20"/>
          <w:lang w:val="es-ES" w:eastAsia="en-US"/>
        </w:rPr>
        <w:t xml:space="preserve"> el proceso penal.</w:t>
      </w:r>
      <w:r w:rsidR="008420DB" w:rsidRPr="00975C02">
        <w:rPr>
          <w:kern w:val="2"/>
          <w:sz w:val="20"/>
          <w:szCs w:val="20"/>
          <w:lang w:val="es-ES" w:eastAsia="en-US"/>
        </w:rPr>
        <w:t xml:space="preserve"> En este sentido, l</w:t>
      </w:r>
      <w:r w:rsidR="003F51D3" w:rsidRPr="00975C02">
        <w:rPr>
          <w:kern w:val="2"/>
          <w:sz w:val="20"/>
          <w:szCs w:val="20"/>
          <w:lang w:val="es-ES" w:eastAsia="en-US"/>
        </w:rPr>
        <w:t xml:space="preserve">a actuación estatal deberá estar encaminada a la protección reforzada de sus derechos, a través de la actuación multidisciplinaria y coordinada de las agencias estatales de protección y apoyo psicosocial, investigación y juzgamiento, </w:t>
      </w:r>
      <w:r w:rsidR="00833963" w:rsidRPr="00975C02">
        <w:rPr>
          <w:kern w:val="2"/>
          <w:sz w:val="20"/>
          <w:szCs w:val="20"/>
          <w:lang w:val="es-ES" w:eastAsia="en-US"/>
        </w:rPr>
        <w:t xml:space="preserve">entre ellas el </w:t>
      </w:r>
      <w:r w:rsidR="00D44FA1" w:rsidRPr="00975C02">
        <w:rPr>
          <w:kern w:val="2"/>
          <w:sz w:val="20"/>
          <w:szCs w:val="20"/>
          <w:lang w:val="es-ES" w:eastAsia="en-US"/>
        </w:rPr>
        <w:t>m</w:t>
      </w:r>
      <w:r w:rsidR="00833963" w:rsidRPr="00975C02">
        <w:rPr>
          <w:kern w:val="2"/>
          <w:sz w:val="20"/>
          <w:szCs w:val="20"/>
          <w:lang w:val="es-ES" w:eastAsia="en-US"/>
        </w:rPr>
        <w:t xml:space="preserve">inisterio </w:t>
      </w:r>
      <w:r w:rsidR="00D44FA1" w:rsidRPr="00975C02">
        <w:rPr>
          <w:kern w:val="2"/>
          <w:sz w:val="20"/>
          <w:szCs w:val="20"/>
          <w:lang w:val="es-ES" w:eastAsia="en-US"/>
        </w:rPr>
        <w:t>p</w:t>
      </w:r>
      <w:r w:rsidR="00833963" w:rsidRPr="00975C02">
        <w:rPr>
          <w:kern w:val="2"/>
          <w:sz w:val="20"/>
          <w:szCs w:val="20"/>
          <w:lang w:val="es-ES" w:eastAsia="en-US"/>
        </w:rPr>
        <w:t xml:space="preserve">úblico, las autoridades judiciales, los profesionales de salud, los servicios sociales y legales, la policía nacional, entre otros, </w:t>
      </w:r>
      <w:r w:rsidR="003F51D3" w:rsidRPr="00975C02">
        <w:rPr>
          <w:kern w:val="2"/>
          <w:sz w:val="20"/>
          <w:szCs w:val="20"/>
          <w:lang w:val="es-ES" w:eastAsia="en-US"/>
        </w:rPr>
        <w:t>desde que el Estado conozca la violación de sus derechos y de forma ininterrumpida, hasta que esos servicios dejen de ser necesarios, a fin de evitar que su participación en el proceso penal les cause nuevos perjuicios y traumas adicionales, revictimizándolos</w:t>
      </w:r>
      <w:r w:rsidR="00F03A93" w:rsidRPr="00975C02">
        <w:rPr>
          <w:rStyle w:val="FootnoteReference"/>
          <w:kern w:val="2"/>
          <w:sz w:val="20"/>
          <w:szCs w:val="20"/>
          <w:lang w:val="es-ES" w:eastAsia="en-US"/>
        </w:rPr>
        <w:footnoteReference w:id="220"/>
      </w:r>
      <w:r w:rsidR="003F51D3" w:rsidRPr="00975C02">
        <w:rPr>
          <w:kern w:val="2"/>
          <w:sz w:val="20"/>
          <w:szCs w:val="20"/>
          <w:lang w:val="es-ES" w:eastAsia="en-US"/>
        </w:rPr>
        <w:t>.</w:t>
      </w:r>
    </w:p>
    <w:p w14:paraId="44567BAD" w14:textId="77777777" w:rsidR="006B7989" w:rsidRPr="00975C02" w:rsidRDefault="006B7989" w:rsidP="006B7989">
      <w:pPr>
        <w:widowControl/>
        <w:tabs>
          <w:tab w:val="left" w:pos="567"/>
        </w:tabs>
        <w:adjustRightInd/>
        <w:spacing w:line="240" w:lineRule="auto"/>
        <w:textAlignment w:val="auto"/>
        <w:rPr>
          <w:b/>
          <w:kern w:val="2"/>
          <w:sz w:val="20"/>
          <w:szCs w:val="20"/>
          <w:lang w:val="es-ES" w:eastAsia="en-US"/>
        </w:rPr>
      </w:pPr>
    </w:p>
    <w:p w14:paraId="44D36F3E" w14:textId="3C09D64D" w:rsidR="00B5625C" w:rsidRPr="00975C02" w:rsidRDefault="003F4409" w:rsidP="00DF3D71">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Por lo tanto, en casos de violencia sexual, el Estado deberá, una vez conocidos los hechos, brindar asistencia inmediata y profesional, tanto médica como psicológica </w:t>
      </w:r>
      <w:r w:rsidR="00D44FA1" w:rsidRPr="00975C02">
        <w:rPr>
          <w:kern w:val="2"/>
          <w:sz w:val="20"/>
          <w:szCs w:val="20"/>
          <w:lang w:val="es-ES" w:eastAsia="en-US"/>
        </w:rPr>
        <w:t>y/</w:t>
      </w:r>
      <w:r w:rsidRPr="00975C02">
        <w:rPr>
          <w:kern w:val="2"/>
          <w:sz w:val="20"/>
          <w:szCs w:val="20"/>
          <w:lang w:val="es-ES" w:eastAsia="en-US"/>
        </w:rPr>
        <w:t xml:space="preserve">o psiquiátrica, a cargo </w:t>
      </w:r>
      <w:r w:rsidRPr="00975C02">
        <w:rPr>
          <w:kern w:val="2"/>
          <w:sz w:val="20"/>
          <w:szCs w:val="20"/>
          <w:lang w:val="es-ES" w:eastAsia="en-US"/>
        </w:rPr>
        <w:lastRenderedPageBreak/>
        <w:t>de un profesional específicamente capacitado en la atención de víctimas de este tipo de delitos y con perspectiva de género</w:t>
      </w:r>
      <w:r w:rsidR="004B485B" w:rsidRPr="00975C02">
        <w:rPr>
          <w:kern w:val="2"/>
          <w:sz w:val="20"/>
          <w:szCs w:val="20"/>
          <w:lang w:val="es-ES" w:eastAsia="en-US"/>
        </w:rPr>
        <w:t xml:space="preserve"> y niñez</w:t>
      </w:r>
      <w:r w:rsidRPr="00975C02">
        <w:rPr>
          <w:kern w:val="2"/>
          <w:sz w:val="20"/>
          <w:szCs w:val="20"/>
          <w:vertAlign w:val="superscript"/>
          <w:lang w:val="es-ES" w:eastAsia="en-US"/>
        </w:rPr>
        <w:footnoteReference w:id="221"/>
      </w:r>
      <w:r w:rsidRPr="00975C02">
        <w:rPr>
          <w:kern w:val="2"/>
          <w:sz w:val="20"/>
          <w:szCs w:val="20"/>
          <w:lang w:val="es-ES" w:eastAsia="en-US"/>
        </w:rPr>
        <w:t>. El acompañamiento deberá mantenerse durante el proceso penal, procurando que sea el mismo profesional que atienda a la niña, niño o adolescente.</w:t>
      </w:r>
      <w:r w:rsidR="00C22431" w:rsidRPr="00975C02">
        <w:rPr>
          <w:kern w:val="2"/>
          <w:sz w:val="20"/>
          <w:szCs w:val="20"/>
          <w:lang w:val="es-ES" w:eastAsia="en-US"/>
        </w:rPr>
        <w:t xml:space="preserve"> </w:t>
      </w:r>
      <w:r w:rsidR="00CD012D" w:rsidRPr="00975C02">
        <w:rPr>
          <w:kern w:val="2"/>
          <w:sz w:val="20"/>
          <w:szCs w:val="20"/>
          <w:lang w:val="es-ES" w:eastAsia="en-US"/>
        </w:rPr>
        <w:t>Es trascendental que durante el proceso de justicia y los servicios de apoyo se tomen en cuenta, sin discriminación alguna, la edad, el nivel de madurez y de comprensión, el sexo, la orientación sexual, el nivel socioeconómico, las aptitudes y capacidades del niño, niña o adolescente, así como cualquier otro factor o necesidad especial en la que se encuentren</w:t>
      </w:r>
      <w:r w:rsidR="00CD012D" w:rsidRPr="00975C02">
        <w:rPr>
          <w:kern w:val="2"/>
          <w:sz w:val="20"/>
          <w:szCs w:val="20"/>
          <w:vertAlign w:val="superscript"/>
          <w:lang w:val="es-ES" w:eastAsia="en-US"/>
        </w:rPr>
        <w:footnoteReference w:id="222"/>
      </w:r>
      <w:r w:rsidR="00CD012D" w:rsidRPr="00975C02">
        <w:rPr>
          <w:kern w:val="2"/>
          <w:sz w:val="20"/>
          <w:szCs w:val="20"/>
          <w:lang w:val="es-ES" w:eastAsia="en-US"/>
        </w:rPr>
        <w:t>. Todo ello con el fin de brindar a la víctima el apoyo y los servicios necesarios</w:t>
      </w:r>
      <w:r w:rsidR="006602F6" w:rsidRPr="00975C02">
        <w:rPr>
          <w:kern w:val="2"/>
          <w:sz w:val="20"/>
          <w:szCs w:val="20"/>
          <w:lang w:val="es-ES" w:eastAsia="en-US"/>
        </w:rPr>
        <w:t>,</w:t>
      </w:r>
      <w:r w:rsidR="00CD012D" w:rsidRPr="00975C02">
        <w:rPr>
          <w:kern w:val="2"/>
          <w:sz w:val="20"/>
          <w:szCs w:val="20"/>
          <w:lang w:val="es-ES" w:eastAsia="en-US"/>
        </w:rPr>
        <w:t xml:space="preserve"> conforme a sus vivencias y entendimientos, y de acuerdo a las vulneraciones sufridas. Por ello, se entiende como necesaria la existencia de servicios y protección específicos </w:t>
      </w:r>
      <w:r w:rsidR="0098709C" w:rsidRPr="00975C02">
        <w:rPr>
          <w:kern w:val="2"/>
          <w:sz w:val="20"/>
          <w:szCs w:val="20"/>
          <w:lang w:val="es-ES" w:eastAsia="en-US"/>
        </w:rPr>
        <w:t>para las víctimas de</w:t>
      </w:r>
      <w:r w:rsidR="00CD012D" w:rsidRPr="00975C02">
        <w:rPr>
          <w:kern w:val="2"/>
          <w:sz w:val="20"/>
          <w:szCs w:val="20"/>
          <w:lang w:val="es-ES" w:eastAsia="en-US"/>
        </w:rPr>
        <w:t xml:space="preserve"> determinados delitos, como los referidos a agresiones sexuales, especialmente la violación sexual</w:t>
      </w:r>
      <w:r w:rsidR="00CD012D" w:rsidRPr="00975C02">
        <w:rPr>
          <w:kern w:val="2"/>
          <w:sz w:val="20"/>
          <w:szCs w:val="20"/>
          <w:vertAlign w:val="superscript"/>
          <w:lang w:val="es-ES" w:eastAsia="en-US"/>
        </w:rPr>
        <w:footnoteReference w:id="223"/>
      </w:r>
      <w:r w:rsidR="00CD012D" w:rsidRPr="00975C02">
        <w:rPr>
          <w:kern w:val="2"/>
          <w:sz w:val="20"/>
          <w:szCs w:val="20"/>
          <w:lang w:val="es-ES" w:eastAsia="en-US"/>
        </w:rPr>
        <w:t>.</w:t>
      </w:r>
    </w:p>
    <w:p w14:paraId="7E5F7DBA" w14:textId="77777777" w:rsidR="00F977EC" w:rsidRPr="00975C02" w:rsidRDefault="00F977EC" w:rsidP="00F977EC">
      <w:pPr>
        <w:widowControl/>
        <w:tabs>
          <w:tab w:val="left" w:pos="567"/>
        </w:tabs>
        <w:adjustRightInd/>
        <w:spacing w:line="240" w:lineRule="auto"/>
        <w:textAlignment w:val="auto"/>
        <w:rPr>
          <w:b/>
          <w:kern w:val="2"/>
          <w:sz w:val="20"/>
          <w:szCs w:val="20"/>
          <w:lang w:val="es-ES" w:eastAsia="en-US"/>
        </w:rPr>
      </w:pPr>
    </w:p>
    <w:p w14:paraId="30675177" w14:textId="3421EA5F" w:rsidR="00A954C6" w:rsidRPr="00975C02" w:rsidRDefault="00A954C6" w:rsidP="0030311C">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rFonts w:eastAsia="Arial" w:cs="Arial"/>
          <w:sz w:val="20"/>
          <w:szCs w:val="20"/>
          <w:lang w:val="es-ES"/>
        </w:rPr>
        <w:t>Por ende, a fin de asegurar efectivamente el derecho a ser oído, los Estados deben garantizar que el proceso se desarrolle en un entorno que no sea intimidatorio, hostil, insensible o inadecuado a la edad de la niña</w:t>
      </w:r>
      <w:r w:rsidR="006602F6" w:rsidRPr="00975C02">
        <w:rPr>
          <w:rFonts w:eastAsia="Arial" w:cs="Arial"/>
          <w:sz w:val="20"/>
          <w:szCs w:val="20"/>
          <w:lang w:val="es-ES"/>
        </w:rPr>
        <w:t>,</w:t>
      </w:r>
      <w:r w:rsidRPr="00975C02">
        <w:rPr>
          <w:rFonts w:eastAsia="Arial" w:cs="Arial"/>
          <w:sz w:val="20"/>
          <w:szCs w:val="20"/>
          <w:lang w:val="es-ES"/>
        </w:rPr>
        <w:t xml:space="preserve"> niño</w:t>
      </w:r>
      <w:r w:rsidR="006602F6" w:rsidRPr="00975C02">
        <w:rPr>
          <w:rFonts w:eastAsia="Arial" w:cs="Arial"/>
          <w:sz w:val="20"/>
          <w:szCs w:val="20"/>
          <w:lang w:val="es-ES"/>
        </w:rPr>
        <w:t xml:space="preserve"> o adolescente</w:t>
      </w:r>
      <w:r w:rsidRPr="00975C02">
        <w:rPr>
          <w:rFonts w:eastAsia="Arial" w:cs="Arial"/>
          <w:sz w:val="20"/>
          <w:szCs w:val="20"/>
          <w:lang w:val="es-ES"/>
        </w:rPr>
        <w:t xml:space="preserve"> y que el personal encargado de recibir el relato esté debidamente capacitado</w:t>
      </w:r>
      <w:r w:rsidRPr="00975C02">
        <w:rPr>
          <w:kern w:val="2"/>
          <w:sz w:val="20"/>
          <w:szCs w:val="20"/>
          <w:lang w:val="es-ES" w:eastAsia="en-US"/>
        </w:rPr>
        <w:t xml:space="preserve"> en la materia</w:t>
      </w:r>
      <w:r w:rsidRPr="00975C02">
        <w:rPr>
          <w:rFonts w:eastAsia="Arial" w:cs="Arial"/>
          <w:sz w:val="20"/>
          <w:szCs w:val="20"/>
          <w:lang w:val="es-ES"/>
        </w:rPr>
        <w:t xml:space="preserve">, de modo que </w:t>
      </w:r>
      <w:r w:rsidR="006602F6" w:rsidRPr="00975C02">
        <w:rPr>
          <w:rFonts w:eastAsia="Arial" w:cs="Arial"/>
          <w:sz w:val="20"/>
          <w:szCs w:val="20"/>
          <w:lang w:val="es-ES"/>
        </w:rPr>
        <w:t>aquél</w:t>
      </w:r>
      <w:r w:rsidRPr="00975C02">
        <w:rPr>
          <w:rFonts w:eastAsia="Arial" w:cs="Arial"/>
          <w:sz w:val="20"/>
          <w:szCs w:val="20"/>
          <w:lang w:val="es-ES"/>
        </w:rPr>
        <w:t xml:space="preserve"> se sienta respetado y seguro al momento de expresar su opinión en un entorno físico, psíquico y emocional adecuado</w:t>
      </w:r>
      <w:r w:rsidRPr="00975C02">
        <w:rPr>
          <w:rStyle w:val="FootnoteReference"/>
          <w:rFonts w:eastAsia="Arial" w:cs="Arial"/>
          <w:sz w:val="20"/>
          <w:szCs w:val="20"/>
          <w:lang w:val="es-ES"/>
        </w:rPr>
        <w:footnoteReference w:id="224"/>
      </w:r>
      <w:r w:rsidRPr="00975C02">
        <w:rPr>
          <w:rFonts w:eastAsia="Arial" w:cs="Arial"/>
          <w:sz w:val="20"/>
          <w:szCs w:val="20"/>
          <w:lang w:val="es-ES"/>
        </w:rPr>
        <w:t>.</w:t>
      </w:r>
      <w:r w:rsidR="0030311C" w:rsidRPr="00975C02">
        <w:rPr>
          <w:rFonts w:eastAsia="Arial" w:cs="Arial"/>
          <w:sz w:val="20"/>
          <w:szCs w:val="20"/>
          <w:lang w:val="es-ES"/>
        </w:rPr>
        <w:t xml:space="preserve"> </w:t>
      </w:r>
      <w:r w:rsidR="0030311C" w:rsidRPr="00975C02">
        <w:rPr>
          <w:kern w:val="2"/>
          <w:sz w:val="20"/>
          <w:szCs w:val="20"/>
          <w:lang w:val="es-ES" w:eastAsia="en-US"/>
        </w:rPr>
        <w:t xml:space="preserve">Las niñas, niños y adolescentes deberán ser tratados a lo largo del proceso penal con tacto y </w:t>
      </w:r>
      <w:r w:rsidR="0030311C" w:rsidRPr="00975C02">
        <w:rPr>
          <w:rFonts w:eastAsia="Arial" w:cs="Arial"/>
          <w:sz w:val="20"/>
          <w:szCs w:val="20"/>
          <w:lang w:val="es-ES"/>
        </w:rPr>
        <w:t>sensibilidad</w:t>
      </w:r>
      <w:r w:rsidR="00A87654" w:rsidRPr="00975C02">
        <w:rPr>
          <w:rStyle w:val="FootnoteReference"/>
          <w:rFonts w:eastAsia="Arial" w:cs="Arial"/>
          <w:sz w:val="20"/>
          <w:szCs w:val="20"/>
          <w:lang w:val="es-ES"/>
        </w:rPr>
        <w:footnoteReference w:id="225"/>
      </w:r>
      <w:r w:rsidR="0030311C" w:rsidRPr="00975C02">
        <w:rPr>
          <w:kern w:val="2"/>
          <w:sz w:val="20"/>
          <w:szCs w:val="20"/>
          <w:lang w:val="es-ES" w:eastAsia="en-US"/>
        </w:rPr>
        <w:t>.</w:t>
      </w:r>
      <w:r w:rsidR="008D0463" w:rsidRPr="00975C02">
        <w:rPr>
          <w:kern w:val="2"/>
          <w:sz w:val="20"/>
          <w:szCs w:val="20"/>
          <w:lang w:val="es-ES" w:eastAsia="en-US"/>
        </w:rPr>
        <w:t xml:space="preserve"> Se buscará explicarle la razón y utilidad de las diligencias a llevarse a cabo o la naturaleza de los peritajes a los cuales se le someterá, siempre con base en su edad, grado de madurez y desarrollo, y conforme a su derecho a la información</w:t>
      </w:r>
      <w:r w:rsidR="00A87654" w:rsidRPr="00975C02">
        <w:rPr>
          <w:rStyle w:val="FootnoteReference"/>
          <w:kern w:val="2"/>
          <w:sz w:val="20"/>
          <w:szCs w:val="20"/>
          <w:lang w:val="es-ES" w:eastAsia="en-US"/>
        </w:rPr>
        <w:footnoteReference w:id="226"/>
      </w:r>
      <w:r w:rsidR="008D0463" w:rsidRPr="00975C02">
        <w:rPr>
          <w:kern w:val="2"/>
          <w:sz w:val="20"/>
          <w:szCs w:val="20"/>
          <w:lang w:val="es-ES" w:eastAsia="en-US"/>
        </w:rPr>
        <w:t>.</w:t>
      </w:r>
    </w:p>
    <w:p w14:paraId="06AD16AE" w14:textId="77777777" w:rsidR="00A954C6" w:rsidRPr="00975C02" w:rsidRDefault="00A954C6" w:rsidP="00B5625C">
      <w:pPr>
        <w:widowControl/>
        <w:adjustRightInd/>
        <w:spacing w:line="240" w:lineRule="auto"/>
        <w:jc w:val="left"/>
        <w:textAlignment w:val="auto"/>
        <w:rPr>
          <w:b/>
          <w:kern w:val="2"/>
          <w:sz w:val="20"/>
          <w:szCs w:val="20"/>
          <w:lang w:val="es-ES" w:eastAsia="en-US"/>
        </w:rPr>
      </w:pPr>
    </w:p>
    <w:p w14:paraId="394BB986" w14:textId="4AE50E6D" w:rsidR="00422D55" w:rsidRPr="00975C02" w:rsidRDefault="00C22431" w:rsidP="00C22431">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Las autoridades estatales deberán tomar en cuenta las opiniones de las víctimas, respetando en todo momento su intimidad y la confidencialidad de la información, de ser el caso, evitando en todo momento la participación de estos en una cantidad excesiva de intervenciones o su exposición al público, adoptando las medidas que sean necesarias para evitar su sufrimiento durante el proceso y causarle ulteriores daños</w:t>
      </w:r>
      <w:r w:rsidRPr="00975C02">
        <w:rPr>
          <w:kern w:val="2"/>
          <w:sz w:val="20"/>
          <w:szCs w:val="20"/>
          <w:vertAlign w:val="superscript"/>
          <w:lang w:val="es-ES" w:eastAsia="en-US"/>
        </w:rPr>
        <w:footnoteReference w:id="227"/>
      </w:r>
      <w:r w:rsidRPr="00975C02">
        <w:rPr>
          <w:kern w:val="2"/>
          <w:sz w:val="20"/>
          <w:szCs w:val="20"/>
          <w:lang w:val="es-ES" w:eastAsia="en-US"/>
        </w:rPr>
        <w:t xml:space="preserve">. </w:t>
      </w:r>
      <w:r w:rsidR="00422D55" w:rsidRPr="00975C02">
        <w:rPr>
          <w:kern w:val="2"/>
          <w:sz w:val="20"/>
          <w:szCs w:val="20"/>
          <w:lang w:val="es-ES" w:eastAsia="en-US"/>
        </w:rPr>
        <w:t>La exigencia de personal capacitado, incluyendo autoridades fiscales, judiciales, administrativas, personal de salud, en</w:t>
      </w:r>
      <w:r w:rsidR="006602F6" w:rsidRPr="00975C02">
        <w:rPr>
          <w:kern w:val="2"/>
          <w:sz w:val="20"/>
          <w:szCs w:val="20"/>
          <w:lang w:val="es-ES" w:eastAsia="en-US"/>
        </w:rPr>
        <w:t>tre</w:t>
      </w:r>
      <w:r w:rsidR="00422D55" w:rsidRPr="00975C02">
        <w:rPr>
          <w:kern w:val="2"/>
          <w:sz w:val="20"/>
          <w:szCs w:val="20"/>
          <w:lang w:val="es-ES" w:eastAsia="en-US"/>
        </w:rPr>
        <w:t xml:space="preserve"> otras, significará además que dicho </w:t>
      </w:r>
      <w:r w:rsidR="00422D55" w:rsidRPr="00975C02">
        <w:rPr>
          <w:kern w:val="2"/>
          <w:sz w:val="20"/>
          <w:szCs w:val="20"/>
          <w:lang w:val="es-ES" w:eastAsia="en-US"/>
        </w:rPr>
        <w:lastRenderedPageBreak/>
        <w:t>personal se comunicará con las niñas</w:t>
      </w:r>
      <w:r w:rsidR="006602F6" w:rsidRPr="00975C02">
        <w:rPr>
          <w:kern w:val="2"/>
          <w:sz w:val="20"/>
          <w:szCs w:val="20"/>
          <w:lang w:val="es-ES" w:eastAsia="en-US"/>
        </w:rPr>
        <w:t>, niños y adolescentes</w:t>
      </w:r>
      <w:r w:rsidR="00422D55" w:rsidRPr="00975C02">
        <w:rPr>
          <w:kern w:val="2"/>
          <w:sz w:val="20"/>
          <w:szCs w:val="20"/>
          <w:lang w:val="es-ES" w:eastAsia="en-US"/>
        </w:rPr>
        <w:t xml:space="preserve"> en un lenguaje adecuado y terminología conforme a su edad, que permitirán que relaten los hechos ocurridos o sus vivencias de la manera que elijan, sin la utilización de un lenguaje ofensivo, discriminatorio </w:t>
      </w:r>
      <w:r w:rsidR="006602F6" w:rsidRPr="00975C02">
        <w:rPr>
          <w:kern w:val="2"/>
          <w:sz w:val="20"/>
          <w:szCs w:val="20"/>
          <w:lang w:val="es-ES" w:eastAsia="en-US"/>
        </w:rPr>
        <w:t xml:space="preserve">o </w:t>
      </w:r>
      <w:r w:rsidR="00422D55" w:rsidRPr="00975C02">
        <w:rPr>
          <w:kern w:val="2"/>
          <w:sz w:val="20"/>
          <w:szCs w:val="20"/>
          <w:lang w:val="es-ES" w:eastAsia="en-US"/>
        </w:rPr>
        <w:t>estigmatizante</w:t>
      </w:r>
      <w:r w:rsidR="00422D55" w:rsidRPr="00975C02">
        <w:rPr>
          <w:kern w:val="2"/>
          <w:sz w:val="20"/>
          <w:szCs w:val="20"/>
          <w:vertAlign w:val="superscript"/>
          <w:lang w:val="es-ES" w:eastAsia="en-US"/>
        </w:rPr>
        <w:footnoteReference w:id="228"/>
      </w:r>
      <w:r w:rsidR="00422D55" w:rsidRPr="00975C02">
        <w:rPr>
          <w:kern w:val="2"/>
          <w:sz w:val="20"/>
          <w:szCs w:val="20"/>
          <w:lang w:val="es-ES" w:eastAsia="en-US"/>
        </w:rPr>
        <w:t>.</w:t>
      </w:r>
    </w:p>
    <w:p w14:paraId="291918E1" w14:textId="77777777" w:rsidR="00422D55" w:rsidRPr="00975C02" w:rsidRDefault="00422D55" w:rsidP="008C1277">
      <w:pPr>
        <w:widowControl/>
        <w:tabs>
          <w:tab w:val="left" w:pos="567"/>
        </w:tabs>
        <w:adjustRightInd/>
        <w:spacing w:line="240" w:lineRule="auto"/>
        <w:textAlignment w:val="auto"/>
        <w:rPr>
          <w:b/>
          <w:kern w:val="2"/>
          <w:sz w:val="20"/>
          <w:szCs w:val="20"/>
          <w:lang w:val="es-ES" w:eastAsia="en-US"/>
        </w:rPr>
      </w:pPr>
    </w:p>
    <w:p w14:paraId="42DC495A" w14:textId="020048AE" w:rsidR="001F3796" w:rsidRPr="00975C02" w:rsidRDefault="00B500E0" w:rsidP="008C1277">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En esta línea, la Corte estima que, </w:t>
      </w:r>
      <w:r w:rsidR="00E07D1F" w:rsidRPr="00975C02">
        <w:rPr>
          <w:kern w:val="2"/>
          <w:sz w:val="20"/>
          <w:szCs w:val="20"/>
          <w:lang w:val="es-ES" w:eastAsia="en-US"/>
        </w:rPr>
        <w:t>de considerarse pertinente la declaración de la niña</w:t>
      </w:r>
      <w:r w:rsidR="006602F6" w:rsidRPr="00975C02">
        <w:rPr>
          <w:kern w:val="2"/>
          <w:sz w:val="20"/>
          <w:szCs w:val="20"/>
          <w:lang w:val="es-ES" w:eastAsia="en-US"/>
        </w:rPr>
        <w:t>, niño o adolescente</w:t>
      </w:r>
      <w:r w:rsidRPr="00975C02">
        <w:rPr>
          <w:kern w:val="2"/>
          <w:sz w:val="20"/>
          <w:szCs w:val="20"/>
          <w:lang w:val="es-ES" w:eastAsia="en-US"/>
        </w:rPr>
        <w:t xml:space="preserve"> en tanto víctima del delito</w:t>
      </w:r>
      <w:r w:rsidR="00E07D1F" w:rsidRPr="00975C02">
        <w:rPr>
          <w:kern w:val="2"/>
          <w:sz w:val="20"/>
          <w:szCs w:val="20"/>
          <w:lang w:val="es-ES" w:eastAsia="en-US"/>
        </w:rPr>
        <w:t xml:space="preserve">, </w:t>
      </w:r>
      <w:r w:rsidRPr="00975C02">
        <w:rPr>
          <w:kern w:val="2"/>
          <w:sz w:val="20"/>
          <w:szCs w:val="20"/>
          <w:lang w:val="es-ES" w:eastAsia="en-US"/>
        </w:rPr>
        <w:t xml:space="preserve">la </w:t>
      </w:r>
      <w:r w:rsidR="00E07D1F" w:rsidRPr="00975C02">
        <w:rPr>
          <w:kern w:val="2"/>
          <w:sz w:val="20"/>
          <w:szCs w:val="20"/>
          <w:lang w:val="es-ES" w:eastAsia="en-US"/>
        </w:rPr>
        <w:t xml:space="preserve">entrevista deberá llevarse a cabo por un psicólogo </w:t>
      </w:r>
      <w:r w:rsidR="00C951D1" w:rsidRPr="00975C02">
        <w:rPr>
          <w:kern w:val="2"/>
          <w:sz w:val="20"/>
          <w:szCs w:val="20"/>
          <w:lang w:val="es-ES" w:eastAsia="en-US"/>
        </w:rPr>
        <w:t xml:space="preserve">especializado </w:t>
      </w:r>
      <w:r w:rsidR="00E07D1F" w:rsidRPr="00975C02">
        <w:rPr>
          <w:kern w:val="2"/>
          <w:sz w:val="20"/>
          <w:szCs w:val="20"/>
          <w:lang w:val="es-ES" w:eastAsia="en-US"/>
        </w:rPr>
        <w:t xml:space="preserve">o </w:t>
      </w:r>
      <w:r w:rsidR="00C951D1" w:rsidRPr="00975C02">
        <w:rPr>
          <w:kern w:val="2"/>
          <w:sz w:val="20"/>
          <w:szCs w:val="20"/>
          <w:lang w:val="es-ES" w:eastAsia="en-US"/>
        </w:rPr>
        <w:t>un profesional de disciplinas afines debidamente capacitado en la toma de este tipo de declaraciones. Dicho profesional</w:t>
      </w:r>
      <w:r w:rsidR="00E07D1F" w:rsidRPr="00975C02">
        <w:rPr>
          <w:kern w:val="2"/>
          <w:sz w:val="20"/>
          <w:szCs w:val="20"/>
          <w:lang w:val="es-ES" w:eastAsia="en-US"/>
        </w:rPr>
        <w:t xml:space="preserve"> le permitirá a</w:t>
      </w:r>
      <w:r w:rsidRPr="00975C02">
        <w:rPr>
          <w:kern w:val="2"/>
          <w:sz w:val="20"/>
          <w:szCs w:val="20"/>
          <w:lang w:val="es-ES" w:eastAsia="en-US"/>
        </w:rPr>
        <w:t xml:space="preserve"> </w:t>
      </w:r>
      <w:r w:rsidR="00E07D1F" w:rsidRPr="00975C02">
        <w:rPr>
          <w:kern w:val="2"/>
          <w:sz w:val="20"/>
          <w:szCs w:val="20"/>
          <w:lang w:val="es-ES" w:eastAsia="en-US"/>
        </w:rPr>
        <w:t>l</w:t>
      </w:r>
      <w:r w:rsidRPr="00975C02">
        <w:rPr>
          <w:kern w:val="2"/>
          <w:sz w:val="20"/>
          <w:szCs w:val="20"/>
          <w:lang w:val="es-ES" w:eastAsia="en-US"/>
        </w:rPr>
        <w:t>a</w:t>
      </w:r>
      <w:r w:rsidR="00E07D1F" w:rsidRPr="00975C02">
        <w:rPr>
          <w:kern w:val="2"/>
          <w:sz w:val="20"/>
          <w:szCs w:val="20"/>
          <w:lang w:val="es-ES" w:eastAsia="en-US"/>
        </w:rPr>
        <w:t xml:space="preserve"> niña</w:t>
      </w:r>
      <w:r w:rsidR="006602F6" w:rsidRPr="00975C02">
        <w:rPr>
          <w:kern w:val="2"/>
          <w:sz w:val="20"/>
          <w:szCs w:val="20"/>
          <w:lang w:val="es-ES" w:eastAsia="en-US"/>
        </w:rPr>
        <w:t>, niño o adolescente</w:t>
      </w:r>
      <w:r w:rsidR="00E07D1F" w:rsidRPr="00975C02">
        <w:rPr>
          <w:kern w:val="2"/>
          <w:sz w:val="20"/>
          <w:szCs w:val="20"/>
          <w:lang w:val="es-ES" w:eastAsia="en-US"/>
        </w:rPr>
        <w:t xml:space="preserve"> expresarse de la manera que elija y de forma adaptada a </w:t>
      </w:r>
      <w:r w:rsidR="006602F6" w:rsidRPr="00975C02">
        <w:rPr>
          <w:kern w:val="2"/>
          <w:sz w:val="20"/>
          <w:szCs w:val="20"/>
          <w:lang w:val="es-ES" w:eastAsia="en-US"/>
        </w:rPr>
        <w:t>sus requerimientos</w:t>
      </w:r>
      <w:r w:rsidR="00E07D1F" w:rsidRPr="00975C02">
        <w:rPr>
          <w:kern w:val="2"/>
          <w:sz w:val="20"/>
          <w:szCs w:val="20"/>
          <w:lang w:val="es-ES" w:eastAsia="en-US"/>
        </w:rPr>
        <w:t>, no pudiendo ser interrogad</w:t>
      </w:r>
      <w:r w:rsidRPr="00975C02">
        <w:rPr>
          <w:kern w:val="2"/>
          <w:sz w:val="20"/>
          <w:szCs w:val="20"/>
          <w:lang w:val="es-ES" w:eastAsia="en-US"/>
        </w:rPr>
        <w:t>a</w:t>
      </w:r>
      <w:r w:rsidR="00E07D1F" w:rsidRPr="00975C02">
        <w:rPr>
          <w:kern w:val="2"/>
          <w:sz w:val="20"/>
          <w:szCs w:val="20"/>
          <w:lang w:val="es-ES" w:eastAsia="en-US"/>
        </w:rPr>
        <w:t xml:space="preserve"> en forma directa por </w:t>
      </w:r>
      <w:r w:rsidR="00E07D1F" w:rsidRPr="00DD558D">
        <w:rPr>
          <w:kern w:val="2"/>
          <w:sz w:val="20"/>
          <w:szCs w:val="20"/>
          <w:lang w:val="es-ES" w:eastAsia="en-US"/>
        </w:rPr>
        <w:t xml:space="preserve">el tribunal o </w:t>
      </w:r>
      <w:r w:rsidR="00E07D1F" w:rsidRPr="00975C02">
        <w:rPr>
          <w:kern w:val="2"/>
          <w:sz w:val="20"/>
          <w:szCs w:val="20"/>
          <w:lang w:val="es-ES" w:eastAsia="en-US"/>
        </w:rPr>
        <w:t>las partes</w:t>
      </w:r>
      <w:r w:rsidR="00D217C7" w:rsidRPr="00975C02">
        <w:rPr>
          <w:kern w:val="2"/>
          <w:sz w:val="20"/>
          <w:szCs w:val="20"/>
          <w:vertAlign w:val="superscript"/>
          <w:lang w:val="es-ES" w:eastAsia="en-US"/>
        </w:rPr>
        <w:footnoteReference w:id="229"/>
      </w:r>
      <w:r w:rsidR="00E07D1F" w:rsidRPr="00975C02">
        <w:rPr>
          <w:kern w:val="2"/>
          <w:sz w:val="20"/>
          <w:szCs w:val="20"/>
          <w:lang w:val="es-ES" w:eastAsia="en-US"/>
        </w:rPr>
        <w:t xml:space="preserve">. </w:t>
      </w:r>
      <w:r w:rsidR="00A954C6" w:rsidRPr="00975C02">
        <w:rPr>
          <w:kern w:val="2"/>
          <w:sz w:val="20"/>
          <w:szCs w:val="20"/>
          <w:lang w:val="es-ES" w:eastAsia="en-US"/>
        </w:rPr>
        <w:t xml:space="preserve">La entrevista </w:t>
      </w:r>
      <w:r w:rsidRPr="00975C02">
        <w:rPr>
          <w:kern w:val="2"/>
          <w:sz w:val="20"/>
          <w:szCs w:val="20"/>
          <w:lang w:val="es-ES" w:eastAsia="en-US"/>
        </w:rPr>
        <w:t>buscará obtener información precisa, confiable y completa de lo ocurrido a través del relato de la víctima.</w:t>
      </w:r>
      <w:r w:rsidR="00A954C6" w:rsidRPr="00975C02">
        <w:rPr>
          <w:kern w:val="2"/>
          <w:sz w:val="20"/>
          <w:szCs w:val="20"/>
          <w:lang w:val="es-ES" w:eastAsia="en-US"/>
        </w:rPr>
        <w:t xml:space="preserve"> Para ello, l</w:t>
      </w:r>
      <w:r w:rsidR="00E07D1F" w:rsidRPr="00975C02">
        <w:rPr>
          <w:kern w:val="2"/>
          <w:sz w:val="20"/>
          <w:szCs w:val="20"/>
          <w:lang w:val="es-ES" w:eastAsia="en-US"/>
        </w:rPr>
        <w:t>as salas de entrevistas otorgarán un entorno seguro y no intimidatorio, hostil, insensible o inadecuado</w:t>
      </w:r>
      <w:r w:rsidR="00D217C7" w:rsidRPr="00975C02">
        <w:rPr>
          <w:kern w:val="2"/>
          <w:sz w:val="20"/>
          <w:szCs w:val="20"/>
          <w:lang w:val="es-ES" w:eastAsia="en-US"/>
        </w:rPr>
        <w:t xml:space="preserve"> (</w:t>
      </w:r>
      <w:r w:rsidR="00D217C7" w:rsidRPr="00975C02">
        <w:rPr>
          <w:i/>
          <w:kern w:val="2"/>
          <w:sz w:val="20"/>
          <w:szCs w:val="20"/>
          <w:lang w:val="es-ES" w:eastAsia="en-US"/>
        </w:rPr>
        <w:t>supra</w:t>
      </w:r>
      <w:r w:rsidR="00D217C7" w:rsidRPr="00975C02">
        <w:rPr>
          <w:kern w:val="2"/>
          <w:sz w:val="20"/>
          <w:szCs w:val="20"/>
          <w:lang w:val="es-ES" w:eastAsia="en-US"/>
        </w:rPr>
        <w:t xml:space="preserve"> párr. 166)</w:t>
      </w:r>
      <w:r w:rsidR="00E07D1F" w:rsidRPr="00975C02">
        <w:rPr>
          <w:kern w:val="2"/>
          <w:sz w:val="20"/>
          <w:szCs w:val="20"/>
          <w:lang w:val="es-ES" w:eastAsia="en-US"/>
        </w:rPr>
        <w:t>, que les brinde privacidad y confianza</w:t>
      </w:r>
      <w:r w:rsidR="00E07D1F" w:rsidRPr="00975C02">
        <w:rPr>
          <w:kern w:val="2"/>
          <w:sz w:val="20"/>
          <w:szCs w:val="20"/>
          <w:vertAlign w:val="superscript"/>
          <w:lang w:val="es-ES" w:eastAsia="en-US"/>
        </w:rPr>
        <w:footnoteReference w:id="230"/>
      </w:r>
      <w:r w:rsidR="00A954C6" w:rsidRPr="00975C02">
        <w:rPr>
          <w:kern w:val="2"/>
          <w:sz w:val="20"/>
          <w:szCs w:val="20"/>
          <w:lang w:val="es-ES" w:eastAsia="en-US"/>
        </w:rPr>
        <w:t>.</w:t>
      </w:r>
      <w:r w:rsidR="00E07D1F" w:rsidRPr="00975C02">
        <w:rPr>
          <w:kern w:val="2"/>
          <w:sz w:val="20"/>
          <w:szCs w:val="20"/>
          <w:lang w:val="es-ES" w:eastAsia="en-US"/>
        </w:rPr>
        <w:t xml:space="preserve"> </w:t>
      </w:r>
      <w:r w:rsidR="00A954C6" w:rsidRPr="00975C02">
        <w:rPr>
          <w:kern w:val="2"/>
          <w:sz w:val="20"/>
          <w:szCs w:val="20"/>
          <w:lang w:val="es-ES" w:eastAsia="en-US"/>
        </w:rPr>
        <w:t>Asimismo, deberá</w:t>
      </w:r>
      <w:r w:rsidR="00E07D1F" w:rsidRPr="00975C02">
        <w:rPr>
          <w:kern w:val="2"/>
          <w:sz w:val="20"/>
          <w:szCs w:val="20"/>
          <w:lang w:val="es-ES" w:eastAsia="en-US"/>
        </w:rPr>
        <w:t xml:space="preserve"> procurar</w:t>
      </w:r>
      <w:r w:rsidR="00A954C6" w:rsidRPr="00975C02">
        <w:rPr>
          <w:kern w:val="2"/>
          <w:sz w:val="20"/>
          <w:szCs w:val="20"/>
          <w:lang w:val="es-ES" w:eastAsia="en-US"/>
        </w:rPr>
        <w:t>se</w:t>
      </w:r>
      <w:r w:rsidR="00E07D1F" w:rsidRPr="00975C02">
        <w:rPr>
          <w:kern w:val="2"/>
          <w:sz w:val="20"/>
          <w:szCs w:val="20"/>
          <w:lang w:val="es-ES" w:eastAsia="en-US"/>
        </w:rPr>
        <w:t xml:space="preserve"> que l</w:t>
      </w:r>
      <w:r w:rsidR="00A954C6" w:rsidRPr="00975C02">
        <w:rPr>
          <w:kern w:val="2"/>
          <w:sz w:val="20"/>
          <w:szCs w:val="20"/>
          <w:lang w:val="es-ES" w:eastAsia="en-US"/>
        </w:rPr>
        <w:t>a</w:t>
      </w:r>
      <w:r w:rsidR="00E07D1F" w:rsidRPr="00975C02">
        <w:rPr>
          <w:kern w:val="2"/>
          <w:sz w:val="20"/>
          <w:szCs w:val="20"/>
          <w:lang w:val="es-ES" w:eastAsia="en-US"/>
        </w:rPr>
        <w:t>s niñ</w:t>
      </w:r>
      <w:r w:rsidR="00A954C6" w:rsidRPr="00975C02">
        <w:rPr>
          <w:kern w:val="2"/>
          <w:sz w:val="20"/>
          <w:szCs w:val="20"/>
          <w:lang w:val="es-ES" w:eastAsia="en-US"/>
        </w:rPr>
        <w:t>a</w:t>
      </w:r>
      <w:r w:rsidR="00E07D1F" w:rsidRPr="00975C02">
        <w:rPr>
          <w:kern w:val="2"/>
          <w:sz w:val="20"/>
          <w:szCs w:val="20"/>
          <w:lang w:val="es-ES" w:eastAsia="en-US"/>
        </w:rPr>
        <w:t>s</w:t>
      </w:r>
      <w:r w:rsidR="008F3D97" w:rsidRPr="00975C02">
        <w:rPr>
          <w:kern w:val="2"/>
          <w:sz w:val="20"/>
          <w:szCs w:val="20"/>
          <w:lang w:val="es-ES" w:eastAsia="en-US"/>
        </w:rPr>
        <w:t xml:space="preserve">, </w:t>
      </w:r>
      <w:r w:rsidR="00E07D1F" w:rsidRPr="00975C02">
        <w:rPr>
          <w:kern w:val="2"/>
          <w:sz w:val="20"/>
          <w:szCs w:val="20"/>
          <w:lang w:val="es-ES" w:eastAsia="en-US"/>
        </w:rPr>
        <w:t>niñ</w:t>
      </w:r>
      <w:r w:rsidR="00A954C6" w:rsidRPr="00975C02">
        <w:rPr>
          <w:kern w:val="2"/>
          <w:sz w:val="20"/>
          <w:szCs w:val="20"/>
          <w:lang w:val="es-ES" w:eastAsia="en-US"/>
        </w:rPr>
        <w:t>o</w:t>
      </w:r>
      <w:r w:rsidR="00E07D1F" w:rsidRPr="00975C02">
        <w:rPr>
          <w:kern w:val="2"/>
          <w:sz w:val="20"/>
          <w:szCs w:val="20"/>
          <w:lang w:val="es-ES" w:eastAsia="en-US"/>
        </w:rPr>
        <w:t>s</w:t>
      </w:r>
      <w:r w:rsidR="008F3D97" w:rsidRPr="00975C02">
        <w:rPr>
          <w:kern w:val="2"/>
          <w:sz w:val="20"/>
          <w:szCs w:val="20"/>
          <w:lang w:val="es-ES" w:eastAsia="en-US"/>
        </w:rPr>
        <w:t xml:space="preserve"> y adolescentes</w:t>
      </w:r>
      <w:r w:rsidR="00E07D1F" w:rsidRPr="00975C02">
        <w:rPr>
          <w:kern w:val="2"/>
          <w:sz w:val="20"/>
          <w:szCs w:val="20"/>
          <w:lang w:val="es-ES" w:eastAsia="en-US"/>
        </w:rPr>
        <w:t xml:space="preserve"> no sean interrogados en más ocasiones que las </w:t>
      </w:r>
      <w:r w:rsidR="00654B1D" w:rsidRPr="00975C02">
        <w:rPr>
          <w:kern w:val="2"/>
          <w:sz w:val="20"/>
          <w:szCs w:val="20"/>
          <w:lang w:val="es-ES" w:eastAsia="en-US"/>
        </w:rPr>
        <w:t xml:space="preserve">estrictamente </w:t>
      </w:r>
      <w:r w:rsidR="00E07D1F" w:rsidRPr="00975C02">
        <w:rPr>
          <w:kern w:val="2"/>
          <w:sz w:val="20"/>
          <w:szCs w:val="20"/>
          <w:lang w:val="es-ES" w:eastAsia="en-US"/>
        </w:rPr>
        <w:t>necesarias</w:t>
      </w:r>
      <w:r w:rsidR="00C951D1" w:rsidRPr="00975C02">
        <w:rPr>
          <w:kern w:val="2"/>
          <w:sz w:val="20"/>
          <w:szCs w:val="20"/>
          <w:lang w:val="es-ES" w:eastAsia="en-US"/>
        </w:rPr>
        <w:t>, atendiendo a su interés superior</w:t>
      </w:r>
      <w:r w:rsidR="00E07D1F" w:rsidRPr="00975C02">
        <w:rPr>
          <w:kern w:val="2"/>
          <w:sz w:val="20"/>
          <w:szCs w:val="20"/>
          <w:lang w:val="es-ES" w:eastAsia="en-US"/>
        </w:rPr>
        <w:t>, para evitar</w:t>
      </w:r>
      <w:r w:rsidR="00E07D1F" w:rsidRPr="00975C02">
        <w:rPr>
          <w:i/>
          <w:kern w:val="2"/>
          <w:sz w:val="20"/>
          <w:szCs w:val="20"/>
          <w:lang w:val="es-ES" w:eastAsia="en-US"/>
        </w:rPr>
        <w:t xml:space="preserve"> </w:t>
      </w:r>
      <w:r w:rsidR="00E07D1F" w:rsidRPr="00975C02">
        <w:rPr>
          <w:kern w:val="2"/>
          <w:sz w:val="20"/>
          <w:szCs w:val="20"/>
          <w:lang w:val="es-ES" w:eastAsia="en-US"/>
        </w:rPr>
        <w:t>la revictimización o un impacto traumático</w:t>
      </w:r>
      <w:r w:rsidR="00E07D1F" w:rsidRPr="00975C02">
        <w:rPr>
          <w:kern w:val="2"/>
          <w:sz w:val="20"/>
          <w:szCs w:val="20"/>
          <w:vertAlign w:val="superscript"/>
          <w:lang w:val="es-ES" w:eastAsia="en-US"/>
        </w:rPr>
        <w:footnoteReference w:id="231"/>
      </w:r>
      <w:r w:rsidR="003F51D3" w:rsidRPr="00975C02">
        <w:rPr>
          <w:kern w:val="2"/>
          <w:sz w:val="20"/>
          <w:szCs w:val="20"/>
          <w:lang w:val="es-ES" w:eastAsia="en-US"/>
        </w:rPr>
        <w:t>.</w:t>
      </w:r>
      <w:r w:rsidR="001F3796" w:rsidRPr="00975C02">
        <w:rPr>
          <w:kern w:val="2"/>
          <w:sz w:val="20"/>
          <w:szCs w:val="20"/>
          <w:lang w:val="es-ES" w:eastAsia="en-US"/>
        </w:rPr>
        <w:t xml:space="preserve"> </w:t>
      </w:r>
      <w:r w:rsidR="00197777" w:rsidRPr="00975C02">
        <w:rPr>
          <w:kern w:val="2"/>
          <w:sz w:val="20"/>
          <w:szCs w:val="20"/>
          <w:lang w:val="es-ES" w:eastAsia="en-US"/>
        </w:rPr>
        <w:t>L</w:t>
      </w:r>
      <w:r w:rsidR="00277031" w:rsidRPr="00975C02">
        <w:rPr>
          <w:kern w:val="2"/>
          <w:sz w:val="20"/>
          <w:szCs w:val="20"/>
          <w:lang w:val="es-ES" w:eastAsia="en-US"/>
        </w:rPr>
        <w:t xml:space="preserve">a Corte resalta que varios </w:t>
      </w:r>
      <w:r w:rsidR="001F3796" w:rsidRPr="00975C02">
        <w:rPr>
          <w:kern w:val="2"/>
          <w:sz w:val="20"/>
          <w:szCs w:val="20"/>
          <w:lang w:val="es-ES" w:eastAsia="en-US"/>
        </w:rPr>
        <w:t>países han adoptado</w:t>
      </w:r>
      <w:r w:rsidR="00277031" w:rsidRPr="00975C02">
        <w:rPr>
          <w:kern w:val="2"/>
          <w:sz w:val="20"/>
          <w:szCs w:val="20"/>
          <w:lang w:val="es-ES" w:eastAsia="en-US"/>
        </w:rPr>
        <w:t>, como una buena práctica,</w:t>
      </w:r>
      <w:r w:rsidR="001F3796" w:rsidRPr="00975C02">
        <w:rPr>
          <w:kern w:val="2"/>
          <w:sz w:val="20"/>
          <w:szCs w:val="20"/>
          <w:lang w:val="es-ES" w:eastAsia="en-US"/>
        </w:rPr>
        <w:t xml:space="preserve"> el uso de dispositivos especiales como la Cámara </w:t>
      </w:r>
      <w:r w:rsidR="00197777" w:rsidRPr="00975C02">
        <w:rPr>
          <w:kern w:val="2"/>
          <w:sz w:val="20"/>
          <w:szCs w:val="20"/>
          <w:lang w:val="es-ES" w:eastAsia="en-US"/>
        </w:rPr>
        <w:t xml:space="preserve">de </w:t>
      </w:r>
      <w:r w:rsidR="001F3796" w:rsidRPr="00975C02">
        <w:rPr>
          <w:kern w:val="2"/>
          <w:sz w:val="20"/>
          <w:szCs w:val="20"/>
          <w:lang w:val="es-ES" w:eastAsia="en-US"/>
        </w:rPr>
        <w:t>Gesell o Circuitos cerrados de televisión (CCTV) que habilita</w:t>
      </w:r>
      <w:r w:rsidR="002D3524" w:rsidRPr="00975C02">
        <w:rPr>
          <w:kern w:val="2"/>
          <w:sz w:val="20"/>
          <w:szCs w:val="20"/>
          <w:lang w:val="es-ES" w:eastAsia="en-US"/>
        </w:rPr>
        <w:t>n</w:t>
      </w:r>
      <w:r w:rsidR="001F3796" w:rsidRPr="00975C02">
        <w:rPr>
          <w:kern w:val="2"/>
          <w:sz w:val="20"/>
          <w:szCs w:val="20"/>
          <w:lang w:val="es-ES" w:eastAsia="en-US"/>
        </w:rPr>
        <w:t xml:space="preserve"> a las autoridades y las partes a seguir el desarrollo de la declaración de la niña</w:t>
      </w:r>
      <w:r w:rsidR="002D3524" w:rsidRPr="00975C02">
        <w:rPr>
          <w:kern w:val="2"/>
          <w:sz w:val="20"/>
          <w:szCs w:val="20"/>
          <w:lang w:val="es-ES" w:eastAsia="en-US"/>
        </w:rPr>
        <w:t>,</w:t>
      </w:r>
      <w:r w:rsidR="001F3796" w:rsidRPr="00975C02">
        <w:rPr>
          <w:kern w:val="2"/>
          <w:sz w:val="20"/>
          <w:szCs w:val="20"/>
          <w:lang w:val="es-ES" w:eastAsia="en-US"/>
        </w:rPr>
        <w:t xml:space="preserve"> niño </w:t>
      </w:r>
      <w:r w:rsidR="002D3524" w:rsidRPr="00975C02">
        <w:rPr>
          <w:kern w:val="2"/>
          <w:sz w:val="20"/>
          <w:szCs w:val="20"/>
          <w:lang w:val="es-ES" w:eastAsia="en-US"/>
        </w:rPr>
        <w:t xml:space="preserve">o adolescente </w:t>
      </w:r>
      <w:r w:rsidR="001F3796" w:rsidRPr="00975C02">
        <w:rPr>
          <w:kern w:val="2"/>
          <w:sz w:val="20"/>
          <w:szCs w:val="20"/>
          <w:lang w:val="es-ES" w:eastAsia="en-US"/>
        </w:rPr>
        <w:t>desde el exterior</w:t>
      </w:r>
      <w:r w:rsidR="00197777" w:rsidRPr="00975C02">
        <w:rPr>
          <w:kern w:val="2"/>
          <w:sz w:val="20"/>
          <w:szCs w:val="20"/>
          <w:lang w:val="es-ES" w:eastAsia="en-US"/>
        </w:rPr>
        <w:t>, a fin de minimizar cualquier efecto revictimizante</w:t>
      </w:r>
      <w:r w:rsidR="00A87654" w:rsidRPr="00975C02">
        <w:rPr>
          <w:rStyle w:val="FootnoteReference"/>
          <w:kern w:val="2"/>
          <w:sz w:val="20"/>
          <w:szCs w:val="20"/>
          <w:lang w:val="es-ES" w:eastAsia="en-US"/>
        </w:rPr>
        <w:footnoteReference w:id="232"/>
      </w:r>
      <w:r w:rsidR="001F3796" w:rsidRPr="00975C02">
        <w:rPr>
          <w:kern w:val="2"/>
          <w:sz w:val="20"/>
          <w:szCs w:val="20"/>
          <w:lang w:val="es-ES" w:eastAsia="en-US"/>
        </w:rPr>
        <w:t xml:space="preserve">. </w:t>
      </w:r>
      <w:r w:rsidR="00CF201E" w:rsidRPr="00975C02">
        <w:rPr>
          <w:sz w:val="20"/>
          <w:szCs w:val="20"/>
          <w:lang w:val="es-ES"/>
        </w:rPr>
        <w:t>Estas buenas prácticas para garantizar los derechos de las niñas</w:t>
      </w:r>
      <w:r w:rsidR="007B2C96" w:rsidRPr="00975C02">
        <w:rPr>
          <w:sz w:val="20"/>
          <w:szCs w:val="20"/>
          <w:lang w:val="es-ES"/>
        </w:rPr>
        <w:t>,</w:t>
      </w:r>
      <w:r w:rsidR="00CF201E" w:rsidRPr="00975C02">
        <w:rPr>
          <w:sz w:val="20"/>
          <w:szCs w:val="20"/>
          <w:lang w:val="es-ES"/>
        </w:rPr>
        <w:t xml:space="preserve"> niños</w:t>
      </w:r>
      <w:r w:rsidR="007B2C96" w:rsidRPr="00975C02">
        <w:rPr>
          <w:sz w:val="20"/>
          <w:szCs w:val="20"/>
          <w:lang w:val="es-ES"/>
        </w:rPr>
        <w:t xml:space="preserve"> y adolescentes</w:t>
      </w:r>
      <w:r w:rsidR="00CF201E" w:rsidRPr="00975C02">
        <w:rPr>
          <w:sz w:val="20"/>
          <w:szCs w:val="20"/>
          <w:lang w:val="es-ES"/>
        </w:rPr>
        <w:t xml:space="preserve"> víctimas durante su declaración en procesos judiciales han sido implementadas</w:t>
      </w:r>
      <w:r w:rsidR="00601B45" w:rsidRPr="00975C02">
        <w:rPr>
          <w:sz w:val="20"/>
          <w:szCs w:val="20"/>
          <w:lang w:val="es-ES"/>
        </w:rPr>
        <w:t>, con diferentes alcances,</w:t>
      </w:r>
      <w:r w:rsidR="00CF201E" w:rsidRPr="00975C02">
        <w:rPr>
          <w:sz w:val="20"/>
          <w:szCs w:val="20"/>
          <w:lang w:val="es-ES"/>
        </w:rPr>
        <w:t xml:space="preserve"> por </w:t>
      </w:r>
      <w:r w:rsidR="007B2C96" w:rsidRPr="00975C02">
        <w:rPr>
          <w:sz w:val="20"/>
          <w:szCs w:val="20"/>
          <w:lang w:val="es-ES"/>
        </w:rPr>
        <w:t xml:space="preserve">Estados Parte de la Convención Americana, </w:t>
      </w:r>
      <w:r w:rsidR="00CF201E" w:rsidRPr="00975C02">
        <w:rPr>
          <w:sz w:val="20"/>
          <w:szCs w:val="20"/>
          <w:lang w:val="es-ES"/>
        </w:rPr>
        <w:t xml:space="preserve">como </w:t>
      </w:r>
      <w:r w:rsidR="000146B5" w:rsidRPr="00975C02">
        <w:rPr>
          <w:sz w:val="20"/>
          <w:szCs w:val="20"/>
          <w:lang w:val="es-ES"/>
        </w:rPr>
        <w:t>Argentina</w:t>
      </w:r>
      <w:r w:rsidR="000146B5" w:rsidRPr="00975C02">
        <w:rPr>
          <w:rStyle w:val="FootnoteReference"/>
          <w:rFonts w:eastAsia="Calibri"/>
          <w:sz w:val="20"/>
          <w:szCs w:val="20"/>
          <w:lang w:val="es-ES"/>
        </w:rPr>
        <w:footnoteReference w:id="233"/>
      </w:r>
      <w:r w:rsidR="000146B5" w:rsidRPr="00975C02">
        <w:rPr>
          <w:sz w:val="20"/>
          <w:szCs w:val="20"/>
          <w:lang w:val="es-ES"/>
        </w:rPr>
        <w:t>, Bolivia</w:t>
      </w:r>
      <w:r w:rsidR="000146B5" w:rsidRPr="00975C02">
        <w:rPr>
          <w:rStyle w:val="FootnoteReference"/>
          <w:rFonts w:eastAsia="Calibri"/>
          <w:sz w:val="20"/>
          <w:szCs w:val="20"/>
          <w:lang w:val="es-ES"/>
        </w:rPr>
        <w:footnoteReference w:id="234"/>
      </w:r>
      <w:r w:rsidR="000146B5" w:rsidRPr="00975C02">
        <w:rPr>
          <w:sz w:val="20"/>
          <w:szCs w:val="20"/>
          <w:lang w:val="es-ES"/>
        </w:rPr>
        <w:t>, Brasil</w:t>
      </w:r>
      <w:r w:rsidR="000146B5" w:rsidRPr="00975C02">
        <w:rPr>
          <w:rStyle w:val="FootnoteReference"/>
          <w:rFonts w:eastAsia="Calibri"/>
          <w:sz w:val="20"/>
          <w:szCs w:val="20"/>
          <w:lang w:val="es-ES"/>
        </w:rPr>
        <w:footnoteReference w:id="235"/>
      </w:r>
      <w:r w:rsidR="000146B5" w:rsidRPr="00975C02">
        <w:rPr>
          <w:sz w:val="20"/>
          <w:szCs w:val="20"/>
          <w:lang w:val="es-ES"/>
        </w:rPr>
        <w:t>, Chile</w:t>
      </w:r>
      <w:r w:rsidR="000146B5" w:rsidRPr="00975C02">
        <w:rPr>
          <w:rStyle w:val="FootnoteReference"/>
          <w:rFonts w:eastAsia="Calibri"/>
          <w:sz w:val="20"/>
          <w:szCs w:val="20"/>
          <w:lang w:val="es-ES"/>
        </w:rPr>
        <w:footnoteReference w:id="236"/>
      </w:r>
      <w:r w:rsidR="000146B5" w:rsidRPr="00975C02">
        <w:rPr>
          <w:sz w:val="20"/>
          <w:szCs w:val="20"/>
          <w:lang w:val="es-ES"/>
        </w:rPr>
        <w:t>, Colombia</w:t>
      </w:r>
      <w:r w:rsidR="000146B5" w:rsidRPr="00975C02">
        <w:rPr>
          <w:rStyle w:val="FootnoteReference"/>
          <w:rFonts w:eastAsia="Calibri"/>
          <w:sz w:val="20"/>
          <w:szCs w:val="20"/>
          <w:lang w:val="es-ES"/>
        </w:rPr>
        <w:footnoteReference w:id="237"/>
      </w:r>
      <w:r w:rsidR="000146B5" w:rsidRPr="00975C02">
        <w:rPr>
          <w:sz w:val="20"/>
          <w:szCs w:val="20"/>
          <w:lang w:val="es-ES"/>
        </w:rPr>
        <w:t>, Costa Rica</w:t>
      </w:r>
      <w:r w:rsidR="000146B5" w:rsidRPr="00975C02">
        <w:rPr>
          <w:rStyle w:val="FootnoteReference"/>
          <w:rFonts w:eastAsia="Calibri"/>
          <w:sz w:val="20"/>
          <w:szCs w:val="20"/>
          <w:lang w:val="es-ES"/>
        </w:rPr>
        <w:footnoteReference w:id="238"/>
      </w:r>
      <w:r w:rsidR="000146B5" w:rsidRPr="00975C02">
        <w:rPr>
          <w:sz w:val="20"/>
          <w:szCs w:val="20"/>
          <w:lang w:val="es-ES"/>
        </w:rPr>
        <w:t>, Ecuador</w:t>
      </w:r>
      <w:r w:rsidR="000146B5" w:rsidRPr="00975C02">
        <w:rPr>
          <w:rStyle w:val="FootnoteReference"/>
          <w:rFonts w:eastAsia="Calibri"/>
          <w:sz w:val="20"/>
          <w:szCs w:val="20"/>
          <w:lang w:val="es-ES"/>
        </w:rPr>
        <w:footnoteReference w:id="239"/>
      </w:r>
      <w:r w:rsidR="000146B5" w:rsidRPr="00975C02">
        <w:rPr>
          <w:sz w:val="20"/>
          <w:szCs w:val="20"/>
          <w:lang w:val="es-ES"/>
        </w:rPr>
        <w:t xml:space="preserve">, El </w:t>
      </w:r>
      <w:r w:rsidR="000146B5" w:rsidRPr="00975C02">
        <w:rPr>
          <w:sz w:val="20"/>
          <w:szCs w:val="20"/>
          <w:lang w:val="es-ES"/>
        </w:rPr>
        <w:lastRenderedPageBreak/>
        <w:t>Salvador</w:t>
      </w:r>
      <w:r w:rsidR="000146B5" w:rsidRPr="00975C02">
        <w:rPr>
          <w:rStyle w:val="FootnoteReference"/>
          <w:rFonts w:eastAsia="Calibri"/>
          <w:sz w:val="20"/>
          <w:szCs w:val="20"/>
          <w:lang w:val="es-ES"/>
        </w:rPr>
        <w:footnoteReference w:id="240"/>
      </w:r>
      <w:r w:rsidR="000146B5" w:rsidRPr="00975C02">
        <w:rPr>
          <w:sz w:val="20"/>
          <w:szCs w:val="20"/>
          <w:lang w:val="es-ES"/>
        </w:rPr>
        <w:t>, Guatemala</w:t>
      </w:r>
      <w:r w:rsidR="000146B5" w:rsidRPr="00975C02">
        <w:rPr>
          <w:rStyle w:val="FootnoteReference"/>
          <w:rFonts w:eastAsia="Calibri"/>
          <w:sz w:val="20"/>
          <w:szCs w:val="20"/>
          <w:lang w:val="es-ES"/>
        </w:rPr>
        <w:footnoteReference w:id="241"/>
      </w:r>
      <w:r w:rsidR="000146B5" w:rsidRPr="00975C02">
        <w:rPr>
          <w:sz w:val="20"/>
          <w:szCs w:val="20"/>
          <w:lang w:val="es-ES"/>
        </w:rPr>
        <w:t>, Honduras</w:t>
      </w:r>
      <w:r w:rsidR="000146B5" w:rsidRPr="00975C02">
        <w:rPr>
          <w:rStyle w:val="FootnoteReference"/>
          <w:rFonts w:eastAsia="Calibri"/>
          <w:sz w:val="20"/>
          <w:szCs w:val="20"/>
          <w:lang w:val="es-ES"/>
        </w:rPr>
        <w:footnoteReference w:id="242"/>
      </w:r>
      <w:r w:rsidR="000146B5" w:rsidRPr="00975C02">
        <w:rPr>
          <w:sz w:val="20"/>
          <w:szCs w:val="20"/>
          <w:lang w:val="es-ES"/>
        </w:rPr>
        <w:t xml:space="preserve">, </w:t>
      </w:r>
      <w:r w:rsidR="00834D18" w:rsidRPr="00975C02">
        <w:rPr>
          <w:sz w:val="20"/>
          <w:szCs w:val="20"/>
          <w:lang w:val="es-ES"/>
        </w:rPr>
        <w:t>México</w:t>
      </w:r>
      <w:r w:rsidR="00834D18" w:rsidRPr="00975C02">
        <w:rPr>
          <w:rStyle w:val="FootnoteReference"/>
          <w:rFonts w:eastAsia="Calibri"/>
          <w:sz w:val="20"/>
          <w:szCs w:val="20"/>
          <w:lang w:val="es-ES"/>
        </w:rPr>
        <w:footnoteReference w:id="243"/>
      </w:r>
      <w:r w:rsidR="00834D18" w:rsidRPr="00975C02">
        <w:rPr>
          <w:sz w:val="20"/>
          <w:szCs w:val="20"/>
          <w:lang w:val="es-ES"/>
        </w:rPr>
        <w:t xml:space="preserve">, </w:t>
      </w:r>
      <w:r w:rsidR="000146B5" w:rsidRPr="00975C02">
        <w:rPr>
          <w:sz w:val="20"/>
          <w:szCs w:val="20"/>
          <w:lang w:val="es-ES"/>
        </w:rPr>
        <w:t>Nicaragua</w:t>
      </w:r>
      <w:r w:rsidR="000146B5" w:rsidRPr="00975C02">
        <w:rPr>
          <w:rStyle w:val="FootnoteReference"/>
          <w:rFonts w:eastAsia="Calibri"/>
          <w:sz w:val="20"/>
          <w:szCs w:val="20"/>
          <w:lang w:val="es-ES"/>
        </w:rPr>
        <w:footnoteReference w:id="244"/>
      </w:r>
      <w:r w:rsidR="000146B5" w:rsidRPr="00975C02">
        <w:rPr>
          <w:sz w:val="20"/>
          <w:szCs w:val="20"/>
          <w:lang w:val="es-ES"/>
        </w:rPr>
        <w:t>, Paraguay</w:t>
      </w:r>
      <w:r w:rsidR="000146B5" w:rsidRPr="00975C02">
        <w:rPr>
          <w:rStyle w:val="FootnoteReference"/>
          <w:rFonts w:eastAsia="Calibri"/>
          <w:sz w:val="20"/>
          <w:szCs w:val="20"/>
          <w:lang w:val="es-ES"/>
        </w:rPr>
        <w:footnoteReference w:id="245"/>
      </w:r>
      <w:r w:rsidR="000146B5" w:rsidRPr="00975C02">
        <w:rPr>
          <w:sz w:val="20"/>
          <w:szCs w:val="20"/>
          <w:lang w:val="es-ES"/>
        </w:rPr>
        <w:t>, Perú</w:t>
      </w:r>
      <w:r w:rsidR="000146B5" w:rsidRPr="00975C02">
        <w:rPr>
          <w:rStyle w:val="FootnoteReference"/>
          <w:rFonts w:eastAsia="Calibri"/>
          <w:sz w:val="20"/>
          <w:szCs w:val="20"/>
          <w:lang w:val="es-ES"/>
        </w:rPr>
        <w:footnoteReference w:id="246"/>
      </w:r>
      <w:r w:rsidR="000146B5" w:rsidRPr="00975C02">
        <w:rPr>
          <w:sz w:val="20"/>
          <w:szCs w:val="20"/>
          <w:lang w:val="es-ES"/>
        </w:rPr>
        <w:t>, República Dominicana</w:t>
      </w:r>
      <w:r w:rsidR="000146B5" w:rsidRPr="00975C02">
        <w:rPr>
          <w:rStyle w:val="FootnoteReference"/>
          <w:rFonts w:eastAsia="Calibri"/>
          <w:sz w:val="20"/>
          <w:szCs w:val="20"/>
          <w:lang w:val="es-ES"/>
        </w:rPr>
        <w:footnoteReference w:id="247"/>
      </w:r>
      <w:r w:rsidR="00C05384" w:rsidRPr="00975C02">
        <w:rPr>
          <w:sz w:val="20"/>
          <w:szCs w:val="20"/>
          <w:lang w:val="es-ES"/>
        </w:rPr>
        <w:t xml:space="preserve"> y</w:t>
      </w:r>
      <w:r w:rsidR="000146B5" w:rsidRPr="00975C02">
        <w:rPr>
          <w:sz w:val="20"/>
          <w:szCs w:val="20"/>
          <w:lang w:val="es-ES"/>
        </w:rPr>
        <w:t xml:space="preserve"> Uruguay</w:t>
      </w:r>
      <w:r w:rsidR="000146B5" w:rsidRPr="00975C02">
        <w:rPr>
          <w:rStyle w:val="FootnoteReference"/>
          <w:rFonts w:eastAsia="Calibri"/>
          <w:sz w:val="20"/>
          <w:szCs w:val="20"/>
          <w:lang w:val="es-ES"/>
        </w:rPr>
        <w:footnoteReference w:id="248"/>
      </w:r>
      <w:r w:rsidR="00CF201E" w:rsidRPr="00975C02">
        <w:rPr>
          <w:sz w:val="20"/>
          <w:szCs w:val="20"/>
          <w:lang w:val="es-ES"/>
        </w:rPr>
        <w:t xml:space="preserve">. </w:t>
      </w:r>
      <w:r w:rsidR="001F3796" w:rsidRPr="00975C02">
        <w:rPr>
          <w:kern w:val="2"/>
          <w:sz w:val="20"/>
          <w:szCs w:val="20"/>
          <w:lang w:val="es-ES" w:eastAsia="en-US"/>
        </w:rPr>
        <w:t xml:space="preserve">Asimismo, se </w:t>
      </w:r>
      <w:r w:rsidR="00D76C64" w:rsidRPr="00975C02">
        <w:rPr>
          <w:kern w:val="2"/>
          <w:sz w:val="20"/>
          <w:szCs w:val="20"/>
          <w:lang w:val="es-ES" w:eastAsia="en-US"/>
        </w:rPr>
        <w:t>recomienda</w:t>
      </w:r>
      <w:r w:rsidR="001F3796" w:rsidRPr="00975C02">
        <w:rPr>
          <w:kern w:val="2"/>
          <w:sz w:val="20"/>
          <w:szCs w:val="20"/>
          <w:lang w:val="es-ES" w:eastAsia="en-US"/>
        </w:rPr>
        <w:t xml:space="preserve"> </w:t>
      </w:r>
      <w:r w:rsidR="00D76C64" w:rsidRPr="00975C02">
        <w:rPr>
          <w:kern w:val="2"/>
          <w:sz w:val="20"/>
          <w:szCs w:val="20"/>
          <w:lang w:val="es-ES" w:eastAsia="en-US"/>
        </w:rPr>
        <w:t xml:space="preserve">la </w:t>
      </w:r>
      <w:r w:rsidR="001F3796" w:rsidRPr="00975C02">
        <w:rPr>
          <w:kern w:val="2"/>
          <w:sz w:val="20"/>
          <w:szCs w:val="20"/>
          <w:lang w:val="es-ES" w:eastAsia="en-US"/>
        </w:rPr>
        <w:t>videograba</w:t>
      </w:r>
      <w:r w:rsidR="00D76C64" w:rsidRPr="00975C02">
        <w:rPr>
          <w:kern w:val="2"/>
          <w:sz w:val="20"/>
          <w:szCs w:val="20"/>
          <w:lang w:val="es-ES" w:eastAsia="en-US"/>
        </w:rPr>
        <w:t>ción de</w:t>
      </w:r>
      <w:r w:rsidR="001F3796" w:rsidRPr="00975C02">
        <w:rPr>
          <w:kern w:val="2"/>
          <w:sz w:val="20"/>
          <w:szCs w:val="20"/>
          <w:lang w:val="es-ES" w:eastAsia="en-US"/>
        </w:rPr>
        <w:t xml:space="preserve"> las declaraciones de las niñas</w:t>
      </w:r>
      <w:r w:rsidR="004D23A2" w:rsidRPr="00975C02">
        <w:rPr>
          <w:kern w:val="2"/>
          <w:sz w:val="20"/>
          <w:szCs w:val="20"/>
          <w:lang w:val="es-ES" w:eastAsia="en-US"/>
        </w:rPr>
        <w:t xml:space="preserve">, </w:t>
      </w:r>
      <w:r w:rsidR="001F3796" w:rsidRPr="00975C02">
        <w:rPr>
          <w:kern w:val="2"/>
          <w:sz w:val="20"/>
          <w:szCs w:val="20"/>
          <w:lang w:val="es-ES" w:eastAsia="en-US"/>
        </w:rPr>
        <w:t>niños</w:t>
      </w:r>
      <w:r w:rsidR="004D23A2" w:rsidRPr="00975C02">
        <w:rPr>
          <w:kern w:val="2"/>
          <w:sz w:val="20"/>
          <w:szCs w:val="20"/>
          <w:lang w:val="es-ES" w:eastAsia="en-US"/>
        </w:rPr>
        <w:t xml:space="preserve"> y adolescentes</w:t>
      </w:r>
      <w:r w:rsidR="001F3796" w:rsidRPr="00975C02">
        <w:rPr>
          <w:kern w:val="2"/>
          <w:sz w:val="20"/>
          <w:szCs w:val="20"/>
          <w:lang w:val="es-ES" w:eastAsia="en-US"/>
        </w:rPr>
        <w:t xml:space="preserve"> víctimas para no reiterar el acto. Estas herramientas tecnológicas no </w:t>
      </w:r>
      <w:r w:rsidR="001F3796" w:rsidRPr="00975C02">
        <w:rPr>
          <w:kern w:val="2"/>
          <w:sz w:val="20"/>
          <w:szCs w:val="20"/>
          <w:lang w:val="es-ES" w:eastAsia="en-US"/>
        </w:rPr>
        <w:lastRenderedPageBreak/>
        <w:t>solo evitan la revictimización de la niña</w:t>
      </w:r>
      <w:r w:rsidR="004D23A2" w:rsidRPr="00975C02">
        <w:rPr>
          <w:kern w:val="2"/>
          <w:sz w:val="20"/>
          <w:szCs w:val="20"/>
          <w:lang w:val="es-ES" w:eastAsia="en-US"/>
        </w:rPr>
        <w:t>,</w:t>
      </w:r>
      <w:r w:rsidR="001F3796" w:rsidRPr="00975C02">
        <w:rPr>
          <w:kern w:val="2"/>
          <w:sz w:val="20"/>
          <w:szCs w:val="20"/>
          <w:lang w:val="es-ES" w:eastAsia="en-US"/>
        </w:rPr>
        <w:t xml:space="preserve"> niño </w:t>
      </w:r>
      <w:r w:rsidR="004D23A2" w:rsidRPr="00975C02">
        <w:rPr>
          <w:kern w:val="2"/>
          <w:sz w:val="20"/>
          <w:szCs w:val="20"/>
          <w:lang w:val="es-ES" w:eastAsia="en-US"/>
        </w:rPr>
        <w:t xml:space="preserve">o adolescente </w:t>
      </w:r>
      <w:r w:rsidR="001F3796" w:rsidRPr="00975C02">
        <w:rPr>
          <w:kern w:val="2"/>
          <w:sz w:val="20"/>
          <w:szCs w:val="20"/>
          <w:lang w:val="es-ES" w:eastAsia="en-US"/>
        </w:rPr>
        <w:t>víctima y el deterioro de las pruebas, sino que también garantizan el derecho de defensa del imputado.</w:t>
      </w:r>
    </w:p>
    <w:p w14:paraId="17F6E4D4" w14:textId="77777777" w:rsidR="009479CA" w:rsidRPr="00975C02" w:rsidRDefault="009479CA" w:rsidP="008C1277">
      <w:pPr>
        <w:widowControl/>
        <w:adjustRightInd/>
        <w:spacing w:line="240" w:lineRule="auto"/>
        <w:jc w:val="left"/>
        <w:textAlignment w:val="auto"/>
        <w:rPr>
          <w:kern w:val="2"/>
          <w:sz w:val="20"/>
          <w:szCs w:val="20"/>
          <w:lang w:val="es-ES" w:eastAsia="en-US"/>
        </w:rPr>
      </w:pPr>
    </w:p>
    <w:p w14:paraId="75B55867" w14:textId="3C657DFC" w:rsidR="00422D55" w:rsidRPr="00975C02" w:rsidRDefault="0036746D" w:rsidP="008C1277">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En cuanto al examen </w:t>
      </w:r>
      <w:r w:rsidR="00AB4872" w:rsidRPr="00975C02">
        <w:rPr>
          <w:kern w:val="2"/>
          <w:sz w:val="20"/>
          <w:szCs w:val="20"/>
          <w:lang w:val="es-ES" w:eastAsia="en-US"/>
        </w:rPr>
        <w:t>físico</w:t>
      </w:r>
      <w:r w:rsidRPr="00975C02">
        <w:rPr>
          <w:kern w:val="2"/>
          <w:sz w:val="20"/>
          <w:szCs w:val="20"/>
          <w:lang w:val="es-ES" w:eastAsia="en-US"/>
        </w:rPr>
        <w:t>,</w:t>
      </w:r>
      <w:r w:rsidR="00B5625C" w:rsidRPr="00975C02">
        <w:rPr>
          <w:kern w:val="2"/>
          <w:sz w:val="20"/>
          <w:szCs w:val="20"/>
          <w:lang w:val="es-ES" w:eastAsia="en-US"/>
        </w:rPr>
        <w:t xml:space="preserve"> las autoridades deberán evitar en la medida de lo posible que sean sometidos a más de una </w:t>
      </w:r>
      <w:r w:rsidR="00AB4872" w:rsidRPr="00975C02">
        <w:rPr>
          <w:kern w:val="2"/>
          <w:sz w:val="20"/>
          <w:szCs w:val="20"/>
          <w:lang w:val="es-ES" w:eastAsia="en-US"/>
        </w:rPr>
        <w:t xml:space="preserve">evaluación </w:t>
      </w:r>
      <w:r w:rsidR="00B5625C" w:rsidRPr="00975C02">
        <w:rPr>
          <w:kern w:val="2"/>
          <w:sz w:val="20"/>
          <w:szCs w:val="20"/>
          <w:lang w:val="es-ES" w:eastAsia="en-US"/>
        </w:rPr>
        <w:t>física, ya que podría ser revictimizante</w:t>
      </w:r>
      <w:r w:rsidR="00B5625C" w:rsidRPr="00975C02">
        <w:rPr>
          <w:kern w:val="2"/>
          <w:sz w:val="20"/>
          <w:szCs w:val="20"/>
          <w:vertAlign w:val="superscript"/>
          <w:lang w:val="es-ES" w:eastAsia="en-US"/>
        </w:rPr>
        <w:footnoteReference w:id="249"/>
      </w:r>
      <w:r w:rsidR="00F8766A" w:rsidRPr="00975C02">
        <w:rPr>
          <w:kern w:val="2"/>
          <w:sz w:val="20"/>
          <w:szCs w:val="20"/>
          <w:lang w:val="es-ES" w:eastAsia="en-US"/>
        </w:rPr>
        <w:t>. E</w:t>
      </w:r>
      <w:r w:rsidR="00B5625C" w:rsidRPr="00975C02">
        <w:rPr>
          <w:kern w:val="2"/>
          <w:sz w:val="20"/>
          <w:szCs w:val="20"/>
          <w:lang w:val="es-ES" w:eastAsia="en-US"/>
        </w:rPr>
        <w:t>l examen médico en estos casos debe ser realizado por un profesional con amplio conocimiento y experiencia</w:t>
      </w:r>
      <w:r w:rsidR="00B5625C" w:rsidRPr="00975C02">
        <w:rPr>
          <w:kern w:val="2"/>
          <w:sz w:val="20"/>
          <w:szCs w:val="20"/>
          <w:vertAlign w:val="superscript"/>
          <w:lang w:val="es-ES" w:eastAsia="en-US"/>
        </w:rPr>
        <w:footnoteReference w:id="250"/>
      </w:r>
      <w:r w:rsidR="00B5625C" w:rsidRPr="00975C02">
        <w:rPr>
          <w:kern w:val="2"/>
          <w:sz w:val="20"/>
          <w:szCs w:val="20"/>
          <w:lang w:val="es-ES" w:eastAsia="en-US"/>
        </w:rPr>
        <w:t xml:space="preserve"> </w:t>
      </w:r>
      <w:r w:rsidR="008339DC">
        <w:rPr>
          <w:kern w:val="2"/>
          <w:sz w:val="20"/>
          <w:szCs w:val="20"/>
          <w:lang w:val="es-ES" w:eastAsia="en-US"/>
        </w:rPr>
        <w:t>en</w:t>
      </w:r>
      <w:r w:rsidR="00B5625C" w:rsidRPr="00975C02">
        <w:rPr>
          <w:kern w:val="2"/>
          <w:sz w:val="20"/>
          <w:szCs w:val="20"/>
          <w:lang w:val="es-ES" w:eastAsia="en-US"/>
        </w:rPr>
        <w:t xml:space="preserve"> c</w:t>
      </w:r>
      <w:r w:rsidR="006B2049">
        <w:rPr>
          <w:kern w:val="2"/>
          <w:sz w:val="20"/>
          <w:szCs w:val="20"/>
          <w:lang w:val="es-ES" w:eastAsia="en-US"/>
        </w:rPr>
        <w:t xml:space="preserve">asos de violencia sexual </w:t>
      </w:r>
      <w:r w:rsidR="008B385E">
        <w:rPr>
          <w:kern w:val="2"/>
          <w:sz w:val="20"/>
          <w:szCs w:val="20"/>
          <w:lang w:val="es-ES" w:eastAsia="en-US"/>
        </w:rPr>
        <w:t>contra</w:t>
      </w:r>
      <w:r w:rsidR="006B2049">
        <w:rPr>
          <w:kern w:val="2"/>
          <w:sz w:val="20"/>
          <w:szCs w:val="20"/>
          <w:lang w:val="es-ES" w:eastAsia="en-US"/>
        </w:rPr>
        <w:t xml:space="preserve"> niña</w:t>
      </w:r>
      <w:r w:rsidR="00B5625C" w:rsidRPr="00975C02">
        <w:rPr>
          <w:kern w:val="2"/>
          <w:sz w:val="20"/>
          <w:szCs w:val="20"/>
          <w:lang w:val="es-ES" w:eastAsia="en-US"/>
        </w:rPr>
        <w:t>s, niñ</w:t>
      </w:r>
      <w:r w:rsidR="006B2049">
        <w:rPr>
          <w:kern w:val="2"/>
          <w:sz w:val="20"/>
          <w:szCs w:val="20"/>
          <w:lang w:val="es-ES" w:eastAsia="en-US"/>
        </w:rPr>
        <w:t>o</w:t>
      </w:r>
      <w:r w:rsidR="00B5625C" w:rsidRPr="00975C02">
        <w:rPr>
          <w:kern w:val="2"/>
          <w:sz w:val="20"/>
          <w:szCs w:val="20"/>
          <w:lang w:val="es-ES" w:eastAsia="en-US"/>
        </w:rPr>
        <w:t>s y adolescentes, quien buscará minimizar y evitar causarles un trauma adicional o revictimizarlos</w:t>
      </w:r>
      <w:r w:rsidR="00B5625C" w:rsidRPr="00975C02">
        <w:rPr>
          <w:kern w:val="2"/>
          <w:sz w:val="20"/>
          <w:szCs w:val="20"/>
          <w:vertAlign w:val="superscript"/>
          <w:lang w:val="es-ES" w:eastAsia="en-US"/>
        </w:rPr>
        <w:footnoteReference w:id="251"/>
      </w:r>
      <w:r w:rsidR="00B5625C" w:rsidRPr="00975C02">
        <w:rPr>
          <w:kern w:val="2"/>
          <w:sz w:val="20"/>
          <w:szCs w:val="20"/>
          <w:lang w:val="es-ES" w:eastAsia="en-US"/>
        </w:rPr>
        <w:t>. Es recomendable que la víctima</w:t>
      </w:r>
      <w:r w:rsidR="006078AE" w:rsidRPr="00975C02">
        <w:rPr>
          <w:kern w:val="2"/>
          <w:sz w:val="20"/>
          <w:szCs w:val="20"/>
          <w:lang w:val="es-ES" w:eastAsia="en-US"/>
        </w:rPr>
        <w:t>, o de corresponder su representante legal,</w:t>
      </w:r>
      <w:r w:rsidR="00B5625C" w:rsidRPr="00975C02">
        <w:rPr>
          <w:kern w:val="2"/>
          <w:sz w:val="20"/>
          <w:szCs w:val="20"/>
          <w:lang w:val="es-ES" w:eastAsia="en-US"/>
        </w:rPr>
        <w:t xml:space="preserve"> pueda elegir el sexo del profesional</w:t>
      </w:r>
      <w:r w:rsidR="00B5625C" w:rsidRPr="00975C02">
        <w:rPr>
          <w:kern w:val="2"/>
          <w:sz w:val="20"/>
          <w:szCs w:val="20"/>
          <w:vertAlign w:val="superscript"/>
          <w:lang w:val="es-ES" w:eastAsia="en-US"/>
        </w:rPr>
        <w:footnoteReference w:id="252"/>
      </w:r>
      <w:r w:rsidR="00B5625C" w:rsidRPr="00975C02">
        <w:rPr>
          <w:kern w:val="2"/>
          <w:sz w:val="20"/>
          <w:szCs w:val="20"/>
          <w:lang w:val="es-ES" w:eastAsia="en-US"/>
        </w:rPr>
        <w:t xml:space="preserve"> y que el examen esté a cargo de un profesional de salud especialista en ginecología infanto-juvenil, con </w:t>
      </w:r>
      <w:r w:rsidR="006078AE" w:rsidRPr="00975C02">
        <w:rPr>
          <w:kern w:val="2"/>
          <w:sz w:val="20"/>
          <w:szCs w:val="20"/>
          <w:lang w:val="es-ES" w:eastAsia="en-US"/>
        </w:rPr>
        <w:t>formación específica</w:t>
      </w:r>
      <w:r w:rsidR="00B5625C" w:rsidRPr="00975C02">
        <w:rPr>
          <w:kern w:val="2"/>
          <w:sz w:val="20"/>
          <w:szCs w:val="20"/>
          <w:lang w:val="es-ES" w:eastAsia="en-US"/>
        </w:rPr>
        <w:t xml:space="preserve"> para</w:t>
      </w:r>
      <w:r w:rsidR="006078AE" w:rsidRPr="00975C02">
        <w:rPr>
          <w:kern w:val="2"/>
          <w:sz w:val="20"/>
          <w:szCs w:val="20"/>
          <w:lang w:val="es-ES" w:eastAsia="en-US"/>
        </w:rPr>
        <w:t xml:space="preserve"> realizar</w:t>
      </w:r>
      <w:r w:rsidR="00B5625C" w:rsidRPr="00975C02">
        <w:rPr>
          <w:kern w:val="2"/>
          <w:sz w:val="20"/>
          <w:szCs w:val="20"/>
          <w:lang w:val="es-ES" w:eastAsia="en-US"/>
        </w:rPr>
        <w:t xml:space="preserve"> </w:t>
      </w:r>
      <w:r w:rsidR="00CE2E4B" w:rsidRPr="00975C02">
        <w:rPr>
          <w:kern w:val="2"/>
          <w:sz w:val="20"/>
          <w:szCs w:val="20"/>
          <w:lang w:val="es-ES" w:eastAsia="en-US"/>
        </w:rPr>
        <w:t>los exámenes médicos</w:t>
      </w:r>
      <w:r w:rsidR="00B5625C" w:rsidRPr="00975C02">
        <w:rPr>
          <w:kern w:val="2"/>
          <w:sz w:val="20"/>
          <w:szCs w:val="20"/>
          <w:lang w:val="es-ES" w:eastAsia="en-US"/>
        </w:rPr>
        <w:t xml:space="preserve"> forenses en casos de abuso </w:t>
      </w:r>
      <w:r w:rsidR="00BB0086">
        <w:rPr>
          <w:kern w:val="2"/>
          <w:sz w:val="20"/>
          <w:szCs w:val="20"/>
          <w:lang w:val="es-ES" w:eastAsia="en-US"/>
        </w:rPr>
        <w:t xml:space="preserve">y violación </w:t>
      </w:r>
      <w:r w:rsidR="00B5625C" w:rsidRPr="00975C02">
        <w:rPr>
          <w:kern w:val="2"/>
          <w:sz w:val="20"/>
          <w:szCs w:val="20"/>
          <w:lang w:val="es-ES" w:eastAsia="en-US"/>
        </w:rPr>
        <w:t>sexual</w:t>
      </w:r>
      <w:r w:rsidR="00B5625C" w:rsidRPr="00975C02">
        <w:rPr>
          <w:kern w:val="2"/>
          <w:sz w:val="20"/>
          <w:szCs w:val="20"/>
          <w:vertAlign w:val="superscript"/>
          <w:lang w:val="es-ES" w:eastAsia="en-US"/>
        </w:rPr>
        <w:footnoteReference w:id="253"/>
      </w:r>
      <w:r w:rsidR="00F8766A" w:rsidRPr="00975C02">
        <w:rPr>
          <w:kern w:val="2"/>
          <w:sz w:val="20"/>
          <w:szCs w:val="20"/>
          <w:lang w:val="es-ES" w:eastAsia="en-US"/>
        </w:rPr>
        <w:t xml:space="preserve">. Asimismo, </w:t>
      </w:r>
      <w:r w:rsidR="00B5625C" w:rsidRPr="00975C02">
        <w:rPr>
          <w:kern w:val="2"/>
          <w:sz w:val="20"/>
          <w:szCs w:val="20"/>
          <w:lang w:val="es-ES" w:eastAsia="en-US"/>
        </w:rPr>
        <w:t xml:space="preserve">el examen médico deberá llevarse a cabo luego del consentimiento informado de </w:t>
      </w:r>
      <w:r w:rsidR="007D73B1" w:rsidRPr="00975C02">
        <w:rPr>
          <w:kern w:val="2"/>
          <w:sz w:val="20"/>
          <w:szCs w:val="20"/>
          <w:lang w:val="es-ES" w:eastAsia="en-US"/>
        </w:rPr>
        <w:t xml:space="preserve">la víctima o de </w:t>
      </w:r>
      <w:r w:rsidR="00B5625C" w:rsidRPr="00975C02">
        <w:rPr>
          <w:kern w:val="2"/>
          <w:sz w:val="20"/>
          <w:szCs w:val="20"/>
          <w:lang w:val="es-ES" w:eastAsia="en-US"/>
        </w:rPr>
        <w:t>su representante legal,</w:t>
      </w:r>
      <w:r w:rsidR="00CE2E4B" w:rsidRPr="00975C02">
        <w:rPr>
          <w:kern w:val="2"/>
          <w:sz w:val="20"/>
          <w:szCs w:val="20"/>
          <w:lang w:val="es-ES" w:eastAsia="en-US"/>
        </w:rPr>
        <w:t xml:space="preserve"> según su grado de madurez,</w:t>
      </w:r>
      <w:r w:rsidR="00B5625C" w:rsidRPr="00975C02">
        <w:rPr>
          <w:kern w:val="2"/>
          <w:sz w:val="20"/>
          <w:szCs w:val="20"/>
          <w:lang w:val="es-ES" w:eastAsia="en-US"/>
        </w:rPr>
        <w:t xml:space="preserve"> tomando en cuenta el derecho de</w:t>
      </w:r>
      <w:r w:rsidR="00EC070E" w:rsidRPr="00975C02">
        <w:rPr>
          <w:kern w:val="2"/>
          <w:sz w:val="20"/>
          <w:szCs w:val="20"/>
          <w:lang w:val="es-ES" w:eastAsia="en-US"/>
        </w:rPr>
        <w:t xml:space="preserve"> </w:t>
      </w:r>
      <w:r w:rsidR="00B5625C" w:rsidRPr="00975C02">
        <w:rPr>
          <w:kern w:val="2"/>
          <w:sz w:val="20"/>
          <w:szCs w:val="20"/>
          <w:lang w:val="es-ES" w:eastAsia="en-US"/>
        </w:rPr>
        <w:t>l</w:t>
      </w:r>
      <w:r w:rsidR="00EC070E" w:rsidRPr="00975C02">
        <w:rPr>
          <w:kern w:val="2"/>
          <w:sz w:val="20"/>
          <w:szCs w:val="20"/>
          <w:lang w:val="es-ES" w:eastAsia="en-US"/>
        </w:rPr>
        <w:t>a</w:t>
      </w:r>
      <w:r w:rsidR="00B5625C" w:rsidRPr="00975C02">
        <w:rPr>
          <w:kern w:val="2"/>
          <w:sz w:val="20"/>
          <w:szCs w:val="20"/>
          <w:lang w:val="es-ES" w:eastAsia="en-US"/>
        </w:rPr>
        <w:t xml:space="preserve"> niñ</w:t>
      </w:r>
      <w:r w:rsidR="00EC070E" w:rsidRPr="00975C02">
        <w:rPr>
          <w:kern w:val="2"/>
          <w:sz w:val="20"/>
          <w:szCs w:val="20"/>
          <w:lang w:val="es-ES" w:eastAsia="en-US"/>
        </w:rPr>
        <w:t>a</w:t>
      </w:r>
      <w:r w:rsidR="00B5625C" w:rsidRPr="00975C02">
        <w:rPr>
          <w:kern w:val="2"/>
          <w:sz w:val="20"/>
          <w:szCs w:val="20"/>
          <w:lang w:val="es-ES" w:eastAsia="en-US"/>
        </w:rPr>
        <w:t>, niñ</w:t>
      </w:r>
      <w:r w:rsidR="00EC070E" w:rsidRPr="00975C02">
        <w:rPr>
          <w:kern w:val="2"/>
          <w:sz w:val="20"/>
          <w:szCs w:val="20"/>
          <w:lang w:val="es-ES" w:eastAsia="en-US"/>
        </w:rPr>
        <w:t>o</w:t>
      </w:r>
      <w:r w:rsidR="00B5625C" w:rsidRPr="00975C02">
        <w:rPr>
          <w:kern w:val="2"/>
          <w:sz w:val="20"/>
          <w:szCs w:val="20"/>
          <w:lang w:val="es-ES" w:eastAsia="en-US"/>
        </w:rPr>
        <w:t xml:space="preserve"> o adolescente a ser oído, en un lugar adecuado, y se respetará su derecho a la intimidad y privacidad, permitiendo la presencia de un acompañante de confianza de la víctima</w:t>
      </w:r>
      <w:r w:rsidR="00B5625C" w:rsidRPr="00975C02">
        <w:rPr>
          <w:kern w:val="2"/>
          <w:sz w:val="20"/>
          <w:szCs w:val="20"/>
          <w:vertAlign w:val="superscript"/>
          <w:lang w:val="es-ES" w:eastAsia="en-US"/>
        </w:rPr>
        <w:footnoteReference w:id="254"/>
      </w:r>
      <w:r w:rsidR="00422D55" w:rsidRPr="00975C02">
        <w:rPr>
          <w:kern w:val="2"/>
          <w:sz w:val="20"/>
          <w:szCs w:val="20"/>
          <w:lang w:val="es-ES" w:eastAsia="en-US"/>
        </w:rPr>
        <w:t>.</w:t>
      </w:r>
      <w:r w:rsidR="00CD579C" w:rsidRPr="00975C02">
        <w:rPr>
          <w:kern w:val="2"/>
          <w:sz w:val="20"/>
          <w:szCs w:val="20"/>
          <w:lang w:val="es-ES" w:eastAsia="en-US"/>
        </w:rPr>
        <w:t xml:space="preserve"> La procedencia de un peritaje ginecológico debe ser considerada sobre la base de un análisis realizado caso por caso, tomando en cuenta el tiempo transcurrido desde el momento en que se alega que ocurrió la violencia sexual. En vista de ello, la Corte considera que l</w:t>
      </w:r>
      <w:r w:rsidR="00B75585" w:rsidRPr="00975C02">
        <w:rPr>
          <w:kern w:val="2"/>
          <w:sz w:val="20"/>
          <w:szCs w:val="20"/>
          <w:lang w:val="es-ES" w:eastAsia="en-US"/>
        </w:rPr>
        <w:t xml:space="preserve">a solicitud </w:t>
      </w:r>
      <w:r w:rsidR="00CD579C" w:rsidRPr="00975C02">
        <w:rPr>
          <w:kern w:val="2"/>
          <w:sz w:val="20"/>
          <w:szCs w:val="20"/>
          <w:lang w:val="es-ES" w:eastAsia="en-US"/>
        </w:rPr>
        <w:t xml:space="preserve">de </w:t>
      </w:r>
      <w:r w:rsidR="00B75585" w:rsidRPr="00975C02">
        <w:rPr>
          <w:kern w:val="2"/>
          <w:sz w:val="20"/>
          <w:szCs w:val="20"/>
          <w:lang w:val="es-ES" w:eastAsia="en-US"/>
        </w:rPr>
        <w:t xml:space="preserve">realizar </w:t>
      </w:r>
      <w:r w:rsidR="00CD579C" w:rsidRPr="00975C02">
        <w:rPr>
          <w:kern w:val="2"/>
          <w:sz w:val="20"/>
          <w:szCs w:val="20"/>
          <w:lang w:val="es-ES" w:eastAsia="en-US"/>
        </w:rPr>
        <w:t>un peritaje ginecológico debe ser motivada detalladamente y, en caso de no ser procedente o no contar con el consentimiento informado de la víctima, el examen debe ser omitido, lo que en ninguna circunstancia debe servir de excusa para desacreditar</w:t>
      </w:r>
      <w:r w:rsidR="002E57DE" w:rsidRPr="00975C02">
        <w:rPr>
          <w:kern w:val="2"/>
          <w:sz w:val="20"/>
          <w:szCs w:val="20"/>
          <w:lang w:val="es-ES" w:eastAsia="en-US"/>
        </w:rPr>
        <w:t>l</w:t>
      </w:r>
      <w:r w:rsidR="00CD579C" w:rsidRPr="00975C02">
        <w:rPr>
          <w:kern w:val="2"/>
          <w:sz w:val="20"/>
          <w:szCs w:val="20"/>
          <w:lang w:val="es-ES" w:eastAsia="en-US"/>
        </w:rPr>
        <w:t>a y/o impedir una investigación</w:t>
      </w:r>
      <w:r w:rsidR="00CD579C" w:rsidRPr="00975C02">
        <w:rPr>
          <w:rStyle w:val="FootnoteReference"/>
          <w:kern w:val="2"/>
          <w:sz w:val="20"/>
          <w:szCs w:val="20"/>
          <w:lang w:val="es-ES" w:eastAsia="en-US"/>
        </w:rPr>
        <w:footnoteReference w:id="255"/>
      </w:r>
      <w:r w:rsidR="00CD579C" w:rsidRPr="00975C02">
        <w:rPr>
          <w:kern w:val="2"/>
          <w:sz w:val="20"/>
          <w:szCs w:val="20"/>
          <w:lang w:val="es-ES" w:eastAsia="en-US"/>
        </w:rPr>
        <w:t>.</w:t>
      </w:r>
    </w:p>
    <w:p w14:paraId="490D5AE2" w14:textId="77777777" w:rsidR="00422D55" w:rsidRPr="00975C02" w:rsidRDefault="00422D55" w:rsidP="00422D55">
      <w:pPr>
        <w:widowControl/>
        <w:tabs>
          <w:tab w:val="left" w:pos="567"/>
        </w:tabs>
        <w:adjustRightInd/>
        <w:spacing w:line="240" w:lineRule="auto"/>
        <w:textAlignment w:val="auto"/>
        <w:rPr>
          <w:b/>
          <w:kern w:val="2"/>
          <w:sz w:val="20"/>
          <w:szCs w:val="20"/>
          <w:lang w:val="es-ES" w:eastAsia="en-US"/>
        </w:rPr>
      </w:pPr>
    </w:p>
    <w:p w14:paraId="2064667F" w14:textId="58D38EE3" w:rsidR="00B5625C" w:rsidRPr="00975C02" w:rsidRDefault="00B5625C" w:rsidP="00FA044E">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Ahora bien, la Corte considera que la debida diligencia del Estado no solo abarca las medidas de protección reforzada antes y durante el desarrollo de las investigaciones y proceso penal, sino que </w:t>
      </w:r>
      <w:r w:rsidR="006078AE" w:rsidRPr="00975C02">
        <w:rPr>
          <w:kern w:val="2"/>
          <w:sz w:val="20"/>
          <w:szCs w:val="20"/>
          <w:lang w:val="es-ES" w:eastAsia="en-US"/>
        </w:rPr>
        <w:t>debe incorporar también</w:t>
      </w:r>
      <w:r w:rsidRPr="00975C02">
        <w:rPr>
          <w:kern w:val="2"/>
          <w:sz w:val="20"/>
          <w:szCs w:val="20"/>
          <w:lang w:val="es-ES" w:eastAsia="en-US"/>
        </w:rPr>
        <w:t xml:space="preserve"> medidas a ser adoptadas con posterioridad, para lograr la recuperación, rehabilitación </w:t>
      </w:r>
      <w:r w:rsidR="002E57DE" w:rsidRPr="00975C02">
        <w:rPr>
          <w:kern w:val="2"/>
          <w:sz w:val="20"/>
          <w:szCs w:val="20"/>
          <w:lang w:val="es-ES" w:eastAsia="en-US"/>
        </w:rPr>
        <w:t>y</w:t>
      </w:r>
      <w:r w:rsidRPr="00975C02">
        <w:rPr>
          <w:kern w:val="2"/>
          <w:sz w:val="20"/>
          <w:szCs w:val="20"/>
          <w:lang w:val="es-ES" w:eastAsia="en-US"/>
        </w:rPr>
        <w:t xml:space="preserve"> reintegración social de</w:t>
      </w:r>
      <w:r w:rsidR="006078AE" w:rsidRPr="00975C02">
        <w:rPr>
          <w:kern w:val="2"/>
          <w:sz w:val="20"/>
          <w:szCs w:val="20"/>
          <w:lang w:val="es-ES" w:eastAsia="en-US"/>
        </w:rPr>
        <w:t xml:space="preserve"> </w:t>
      </w:r>
      <w:r w:rsidRPr="00975C02">
        <w:rPr>
          <w:kern w:val="2"/>
          <w:sz w:val="20"/>
          <w:szCs w:val="20"/>
          <w:lang w:val="es-ES" w:eastAsia="en-US"/>
        </w:rPr>
        <w:t>l</w:t>
      </w:r>
      <w:r w:rsidR="006078AE" w:rsidRPr="00975C02">
        <w:rPr>
          <w:kern w:val="2"/>
          <w:sz w:val="20"/>
          <w:szCs w:val="20"/>
          <w:lang w:val="es-ES" w:eastAsia="en-US"/>
        </w:rPr>
        <w:t>a</w:t>
      </w:r>
      <w:r w:rsidRPr="00975C02">
        <w:rPr>
          <w:kern w:val="2"/>
          <w:sz w:val="20"/>
          <w:szCs w:val="20"/>
          <w:lang w:val="es-ES" w:eastAsia="en-US"/>
        </w:rPr>
        <w:t xml:space="preserve"> niñ</w:t>
      </w:r>
      <w:r w:rsidR="006078AE" w:rsidRPr="00975C02">
        <w:rPr>
          <w:kern w:val="2"/>
          <w:sz w:val="20"/>
          <w:szCs w:val="20"/>
          <w:lang w:val="es-ES" w:eastAsia="en-US"/>
        </w:rPr>
        <w:t>a</w:t>
      </w:r>
      <w:r w:rsidRPr="00975C02">
        <w:rPr>
          <w:kern w:val="2"/>
          <w:sz w:val="20"/>
          <w:szCs w:val="20"/>
          <w:lang w:val="es-ES" w:eastAsia="en-US"/>
        </w:rPr>
        <w:t>, niñ</w:t>
      </w:r>
      <w:r w:rsidR="006078AE" w:rsidRPr="00975C02">
        <w:rPr>
          <w:kern w:val="2"/>
          <w:sz w:val="20"/>
          <w:szCs w:val="20"/>
          <w:lang w:val="es-ES" w:eastAsia="en-US"/>
        </w:rPr>
        <w:t>o</w:t>
      </w:r>
      <w:r w:rsidRPr="00975C02">
        <w:rPr>
          <w:kern w:val="2"/>
          <w:sz w:val="20"/>
          <w:szCs w:val="20"/>
          <w:lang w:val="es-ES" w:eastAsia="en-US"/>
        </w:rPr>
        <w:t xml:space="preserve"> o adolescente</w:t>
      </w:r>
      <w:r w:rsidRPr="00975C02">
        <w:rPr>
          <w:kern w:val="2"/>
          <w:sz w:val="20"/>
          <w:szCs w:val="20"/>
          <w:vertAlign w:val="superscript"/>
          <w:lang w:val="es-ES" w:eastAsia="en-US"/>
        </w:rPr>
        <w:footnoteReference w:id="256"/>
      </w:r>
      <w:r w:rsidR="00AB0ECA" w:rsidRPr="00975C02">
        <w:rPr>
          <w:kern w:val="2"/>
          <w:sz w:val="20"/>
          <w:szCs w:val="20"/>
          <w:lang w:val="es-ES" w:eastAsia="en-US"/>
        </w:rPr>
        <w:t xml:space="preserve">, teniendo en cuenta su derecho a </w:t>
      </w:r>
      <w:r w:rsidR="00AB0ECA" w:rsidRPr="00975C02">
        <w:rPr>
          <w:rFonts w:eastAsia="Batang"/>
          <w:kern w:val="2"/>
          <w:sz w:val="20"/>
          <w:szCs w:val="20"/>
          <w:lang w:val="es-ES"/>
        </w:rPr>
        <w:t xml:space="preserve">la supervivencia y </w:t>
      </w:r>
      <w:r w:rsidR="002E57DE" w:rsidRPr="00975C02">
        <w:rPr>
          <w:rFonts w:eastAsia="Batang"/>
          <w:kern w:val="2"/>
          <w:sz w:val="20"/>
          <w:szCs w:val="20"/>
          <w:lang w:val="es-ES"/>
        </w:rPr>
        <w:t>a</w:t>
      </w:r>
      <w:r w:rsidR="00AB0ECA" w:rsidRPr="00975C02">
        <w:rPr>
          <w:rFonts w:eastAsia="Batang"/>
          <w:kern w:val="2"/>
          <w:sz w:val="20"/>
          <w:szCs w:val="20"/>
          <w:lang w:val="es-ES"/>
        </w:rPr>
        <w:t>l desarrollo integral</w:t>
      </w:r>
      <w:r w:rsidR="00AB0ECA" w:rsidRPr="00975C02">
        <w:rPr>
          <w:rFonts w:eastAsia="Batang"/>
          <w:kern w:val="2"/>
          <w:sz w:val="20"/>
          <w:szCs w:val="20"/>
          <w:vertAlign w:val="superscript"/>
          <w:lang w:val="es-ES"/>
        </w:rPr>
        <w:footnoteReference w:id="257"/>
      </w:r>
      <w:r w:rsidRPr="00975C02">
        <w:rPr>
          <w:kern w:val="2"/>
          <w:sz w:val="20"/>
          <w:szCs w:val="20"/>
          <w:lang w:val="es-ES" w:eastAsia="en-US"/>
        </w:rPr>
        <w:t>.</w:t>
      </w:r>
      <w:r w:rsidR="00FA044E" w:rsidRPr="00975C02">
        <w:rPr>
          <w:kern w:val="2"/>
          <w:sz w:val="20"/>
          <w:szCs w:val="20"/>
          <w:lang w:val="es-ES" w:eastAsia="en-US"/>
        </w:rPr>
        <w:t xml:space="preserve"> </w:t>
      </w:r>
      <w:r w:rsidR="006078AE" w:rsidRPr="00975C02">
        <w:rPr>
          <w:kern w:val="2"/>
          <w:sz w:val="20"/>
          <w:szCs w:val="20"/>
          <w:lang w:val="es-ES" w:eastAsia="en-US"/>
        </w:rPr>
        <w:t>A</w:t>
      </w:r>
      <w:r w:rsidRPr="00975C02">
        <w:rPr>
          <w:kern w:val="2"/>
          <w:sz w:val="20"/>
          <w:szCs w:val="20"/>
          <w:lang w:val="es-ES" w:eastAsia="en-US"/>
        </w:rPr>
        <w:t xml:space="preserve">quellas medidas deberán ser </w:t>
      </w:r>
      <w:r w:rsidRPr="00975C02">
        <w:rPr>
          <w:kern w:val="2"/>
          <w:sz w:val="20"/>
          <w:szCs w:val="20"/>
          <w:lang w:val="es-ES" w:eastAsia="en-US"/>
        </w:rPr>
        <w:lastRenderedPageBreak/>
        <w:t xml:space="preserve">extendidas además a los familiares de las víctimas, en lo que corresponda. Es decir que, la atención médica y </w:t>
      </w:r>
      <w:r w:rsidR="006078AE" w:rsidRPr="00975C02">
        <w:rPr>
          <w:kern w:val="2"/>
          <w:sz w:val="20"/>
          <w:szCs w:val="20"/>
          <w:lang w:val="es-ES" w:eastAsia="en-US"/>
        </w:rPr>
        <w:t>psicosocial</w:t>
      </w:r>
      <w:r w:rsidRPr="00975C02">
        <w:rPr>
          <w:kern w:val="2"/>
          <w:sz w:val="20"/>
          <w:szCs w:val="20"/>
          <w:lang w:val="es-ES" w:eastAsia="en-US"/>
        </w:rPr>
        <w:t xml:space="preserve"> se adoptará de forma inmediata y desde conocidos los hechos, se mantendrá de forma continuada, si así se requiere, y se extenderá más allá del proceso de investigación.</w:t>
      </w:r>
    </w:p>
    <w:p w14:paraId="46BCDA2C" w14:textId="77777777" w:rsidR="00B5625C" w:rsidRPr="00975C02" w:rsidRDefault="00B5625C" w:rsidP="00B5625C">
      <w:pPr>
        <w:widowControl/>
        <w:adjustRightInd/>
        <w:spacing w:line="240" w:lineRule="auto"/>
        <w:jc w:val="left"/>
        <w:textAlignment w:val="auto"/>
        <w:rPr>
          <w:b/>
          <w:kern w:val="2"/>
          <w:sz w:val="20"/>
          <w:szCs w:val="20"/>
          <w:lang w:val="es-ES" w:eastAsia="en-US"/>
        </w:rPr>
      </w:pPr>
    </w:p>
    <w:p w14:paraId="560AA120" w14:textId="68514612" w:rsidR="00B5625C" w:rsidRPr="00975C02" w:rsidRDefault="00B5625C" w:rsidP="00E7485E">
      <w:pPr>
        <w:widowControl/>
        <w:numPr>
          <w:ilvl w:val="0"/>
          <w:numId w:val="2"/>
        </w:numPr>
        <w:tabs>
          <w:tab w:val="left" w:pos="567"/>
          <w:tab w:val="num" w:pos="12305"/>
        </w:tabs>
        <w:adjustRightInd/>
        <w:spacing w:line="240" w:lineRule="auto"/>
        <w:ind w:left="0" w:firstLine="0"/>
        <w:textAlignment w:val="auto"/>
        <w:rPr>
          <w:b/>
          <w:kern w:val="2"/>
          <w:sz w:val="20"/>
          <w:szCs w:val="20"/>
          <w:lang w:val="es-ES" w:eastAsia="en-US"/>
        </w:rPr>
      </w:pPr>
      <w:r w:rsidRPr="00975C02">
        <w:rPr>
          <w:kern w:val="2"/>
          <w:sz w:val="20"/>
          <w:szCs w:val="20"/>
          <w:lang w:val="es-ES" w:eastAsia="en-US"/>
        </w:rPr>
        <w:t xml:space="preserve">Teniendo en cuenta los criterios desarrollados anteriormente, con base en los artículos pertinentes de la Convención Americana y de la Convención de Belém do Pará y </w:t>
      </w:r>
      <w:r w:rsidRPr="00975C02">
        <w:rPr>
          <w:sz w:val="20"/>
          <w:szCs w:val="20"/>
          <w:lang w:val="es-ES" w:eastAsia="en-US"/>
        </w:rPr>
        <w:t xml:space="preserve">a la luz del </w:t>
      </w:r>
      <w:r w:rsidRPr="00975C02">
        <w:rPr>
          <w:i/>
          <w:iCs/>
          <w:sz w:val="20"/>
          <w:szCs w:val="20"/>
          <w:lang w:val="es-ES" w:eastAsia="en-US"/>
        </w:rPr>
        <w:t xml:space="preserve">corpus juris </w:t>
      </w:r>
      <w:r w:rsidRPr="00975C02">
        <w:rPr>
          <w:sz w:val="20"/>
          <w:szCs w:val="20"/>
          <w:lang w:val="es-ES" w:eastAsia="en-US"/>
        </w:rPr>
        <w:t xml:space="preserve">internacional de protección de las niñas, niños y adolescentes, la Corte analizará a continuación si, </w:t>
      </w:r>
      <w:r w:rsidRPr="00975C02">
        <w:rPr>
          <w:kern w:val="2"/>
          <w:sz w:val="20"/>
          <w:szCs w:val="20"/>
          <w:lang w:val="es-ES" w:eastAsia="en-US"/>
        </w:rPr>
        <w:t>en el marco del desarrollo de las investigaciones y proceso penal por la violación sexual de V.R.P., el Estado incurrió en la violación de su deber de debida diligencia</w:t>
      </w:r>
      <w:r w:rsidR="00A61888" w:rsidRPr="00975C02">
        <w:rPr>
          <w:kern w:val="2"/>
          <w:sz w:val="20"/>
          <w:szCs w:val="20"/>
          <w:lang w:val="es-ES" w:eastAsia="en-US"/>
        </w:rPr>
        <w:t xml:space="preserve"> reforzada, protección especial y no revictimización</w:t>
      </w:r>
      <w:r w:rsidRPr="00975C02">
        <w:rPr>
          <w:kern w:val="2"/>
          <w:sz w:val="20"/>
          <w:szCs w:val="20"/>
          <w:lang w:val="es-ES" w:eastAsia="en-US"/>
        </w:rPr>
        <w:t xml:space="preserve">, </w:t>
      </w:r>
      <w:r w:rsidR="00A61888" w:rsidRPr="00975C02">
        <w:rPr>
          <w:kern w:val="2"/>
          <w:sz w:val="20"/>
          <w:szCs w:val="20"/>
          <w:lang w:val="es-ES" w:eastAsia="en-US"/>
        </w:rPr>
        <w:t xml:space="preserve">así como </w:t>
      </w:r>
      <w:r w:rsidRPr="00975C02">
        <w:rPr>
          <w:kern w:val="2"/>
          <w:sz w:val="20"/>
          <w:szCs w:val="20"/>
          <w:lang w:val="es-ES" w:eastAsia="en-US"/>
        </w:rPr>
        <w:t>de</w:t>
      </w:r>
      <w:r w:rsidR="00A61888" w:rsidRPr="00975C02">
        <w:rPr>
          <w:kern w:val="2"/>
          <w:sz w:val="20"/>
          <w:szCs w:val="20"/>
          <w:lang w:val="es-ES" w:eastAsia="en-US"/>
        </w:rPr>
        <w:t xml:space="preserve"> </w:t>
      </w:r>
      <w:r w:rsidRPr="00975C02">
        <w:rPr>
          <w:kern w:val="2"/>
          <w:sz w:val="20"/>
          <w:szCs w:val="20"/>
          <w:lang w:val="es-ES" w:eastAsia="en-US"/>
        </w:rPr>
        <w:t>l</w:t>
      </w:r>
      <w:r w:rsidR="00A61888" w:rsidRPr="00975C02">
        <w:rPr>
          <w:kern w:val="2"/>
          <w:sz w:val="20"/>
          <w:szCs w:val="20"/>
          <w:lang w:val="es-ES" w:eastAsia="en-US"/>
        </w:rPr>
        <w:t>os</w:t>
      </w:r>
      <w:r w:rsidRPr="00975C02">
        <w:rPr>
          <w:kern w:val="2"/>
          <w:sz w:val="20"/>
          <w:szCs w:val="20"/>
          <w:lang w:val="es-ES" w:eastAsia="en-US"/>
        </w:rPr>
        <w:t xml:space="preserve"> derecho</w:t>
      </w:r>
      <w:r w:rsidR="00A61888" w:rsidRPr="00975C02">
        <w:rPr>
          <w:kern w:val="2"/>
          <w:sz w:val="20"/>
          <w:szCs w:val="20"/>
          <w:lang w:val="es-ES" w:eastAsia="en-US"/>
        </w:rPr>
        <w:t>s</w:t>
      </w:r>
      <w:r w:rsidRPr="00975C02">
        <w:rPr>
          <w:kern w:val="2"/>
          <w:sz w:val="20"/>
          <w:szCs w:val="20"/>
          <w:lang w:val="es-ES" w:eastAsia="en-US"/>
        </w:rPr>
        <w:t xml:space="preserve"> a la integridad personal, a la vida privada y familiar de la niña V.R.P. Para ello, analizará si las diligencias investigativas y actuaciones judiciales se adecuaron a los criterios en la materia desarrollados o si</w:t>
      </w:r>
      <w:r w:rsidR="007E669E" w:rsidRPr="00975C02">
        <w:rPr>
          <w:kern w:val="2"/>
          <w:sz w:val="20"/>
          <w:szCs w:val="20"/>
          <w:lang w:val="es-ES" w:eastAsia="en-US"/>
        </w:rPr>
        <w:t>,</w:t>
      </w:r>
      <w:r w:rsidRPr="00975C02">
        <w:rPr>
          <w:kern w:val="2"/>
          <w:sz w:val="20"/>
          <w:szCs w:val="20"/>
          <w:lang w:val="es-ES" w:eastAsia="en-US"/>
        </w:rPr>
        <w:t xml:space="preserve"> por el contrario</w:t>
      </w:r>
      <w:r w:rsidR="007E669E" w:rsidRPr="00975C02">
        <w:rPr>
          <w:kern w:val="2"/>
          <w:sz w:val="20"/>
          <w:szCs w:val="20"/>
          <w:lang w:val="es-ES" w:eastAsia="en-US"/>
        </w:rPr>
        <w:t>,</w:t>
      </w:r>
      <w:r w:rsidRPr="00975C02">
        <w:rPr>
          <w:kern w:val="2"/>
          <w:sz w:val="20"/>
          <w:szCs w:val="20"/>
          <w:lang w:val="es-ES" w:eastAsia="en-US"/>
        </w:rPr>
        <w:t xml:space="preserve"> sometieron a la víctima a una revictimización. Al respecto, la Corte considera importante resaltar que</w:t>
      </w:r>
      <w:r w:rsidR="007E669E" w:rsidRPr="00975C02">
        <w:rPr>
          <w:kern w:val="2"/>
          <w:sz w:val="20"/>
          <w:szCs w:val="20"/>
          <w:lang w:val="es-ES" w:eastAsia="en-US"/>
        </w:rPr>
        <w:t>,</w:t>
      </w:r>
      <w:r w:rsidR="00745492" w:rsidRPr="00975C02">
        <w:rPr>
          <w:kern w:val="2"/>
          <w:sz w:val="20"/>
          <w:szCs w:val="20"/>
          <w:lang w:val="es-ES" w:eastAsia="en-US"/>
        </w:rPr>
        <w:t xml:space="preserve"> en casos de violencia sexual, é</w:t>
      </w:r>
      <w:r w:rsidRPr="00975C02">
        <w:rPr>
          <w:kern w:val="2"/>
          <w:sz w:val="20"/>
          <w:szCs w:val="20"/>
          <w:lang w:val="es-ES" w:eastAsia="en-US"/>
        </w:rPr>
        <w:t xml:space="preserve">sta ha destacado que la investigación debe intentar </w:t>
      </w:r>
      <w:r w:rsidRPr="00975C02">
        <w:rPr>
          <w:bCs/>
          <w:iCs/>
          <w:kern w:val="2"/>
          <w:sz w:val="20"/>
          <w:szCs w:val="20"/>
          <w:lang w:val="es-ES" w:eastAsia="en-US"/>
        </w:rPr>
        <w:t>evitar</w:t>
      </w:r>
      <w:r w:rsidRPr="00975C02">
        <w:rPr>
          <w:kern w:val="2"/>
          <w:sz w:val="20"/>
          <w:szCs w:val="20"/>
          <w:lang w:val="es-ES" w:eastAsia="en-US"/>
        </w:rPr>
        <w:t xml:space="preserve"> en lo posible la </w:t>
      </w:r>
      <w:r w:rsidRPr="00975C02">
        <w:rPr>
          <w:bCs/>
          <w:iCs/>
          <w:kern w:val="2"/>
          <w:sz w:val="20"/>
          <w:szCs w:val="20"/>
          <w:lang w:val="es-ES" w:eastAsia="en-US"/>
        </w:rPr>
        <w:t>revictimización</w:t>
      </w:r>
      <w:r w:rsidRPr="00975C02">
        <w:rPr>
          <w:kern w:val="2"/>
          <w:sz w:val="20"/>
          <w:szCs w:val="20"/>
          <w:lang w:val="es-ES" w:eastAsia="en-US"/>
        </w:rPr>
        <w:t xml:space="preserve"> o re</w:t>
      </w:r>
      <w:r w:rsidR="004246C9" w:rsidRPr="00975C02">
        <w:rPr>
          <w:kern w:val="2"/>
          <w:sz w:val="20"/>
          <w:szCs w:val="20"/>
          <w:lang w:val="es-ES" w:eastAsia="en-US"/>
        </w:rPr>
        <w:t>-</w:t>
      </w:r>
      <w:r w:rsidRPr="00975C02">
        <w:rPr>
          <w:kern w:val="2"/>
          <w:sz w:val="20"/>
          <w:szCs w:val="20"/>
          <w:lang w:val="es-ES" w:eastAsia="en-US"/>
        </w:rPr>
        <w:t xml:space="preserve">experimentación de la profunda experiencia traumática </w:t>
      </w:r>
      <w:r w:rsidR="00760A5E" w:rsidRPr="00975C02">
        <w:rPr>
          <w:kern w:val="2"/>
          <w:sz w:val="20"/>
          <w:szCs w:val="20"/>
          <w:lang w:val="es-ES" w:eastAsia="en-US"/>
        </w:rPr>
        <w:t>de</w:t>
      </w:r>
      <w:r w:rsidRPr="00975C02">
        <w:rPr>
          <w:kern w:val="2"/>
          <w:sz w:val="20"/>
          <w:szCs w:val="20"/>
          <w:lang w:val="es-ES" w:eastAsia="en-US"/>
        </w:rPr>
        <w:t xml:space="preserve"> la víctima</w:t>
      </w:r>
      <w:r w:rsidRPr="00975C02">
        <w:rPr>
          <w:kern w:val="2"/>
          <w:sz w:val="20"/>
          <w:szCs w:val="20"/>
          <w:vertAlign w:val="superscript"/>
          <w:lang w:val="es-ES" w:eastAsia="en-US"/>
        </w:rPr>
        <w:footnoteReference w:id="258"/>
      </w:r>
      <w:r w:rsidRPr="00975C02">
        <w:rPr>
          <w:kern w:val="2"/>
          <w:sz w:val="20"/>
          <w:szCs w:val="20"/>
          <w:lang w:val="es-ES" w:eastAsia="en-US"/>
        </w:rPr>
        <w:t>. Esto adquiere especial relevancia en el caso de niñas, en virtud del deber de diligencia reforzad</w:t>
      </w:r>
      <w:r w:rsidR="00A87980" w:rsidRPr="00975C02">
        <w:rPr>
          <w:kern w:val="2"/>
          <w:sz w:val="20"/>
          <w:szCs w:val="20"/>
          <w:lang w:val="es-ES" w:eastAsia="en-US"/>
        </w:rPr>
        <w:t>a</w:t>
      </w:r>
      <w:r w:rsidRPr="00975C02">
        <w:rPr>
          <w:kern w:val="2"/>
          <w:sz w:val="20"/>
          <w:szCs w:val="20"/>
          <w:lang w:val="es-ES" w:eastAsia="en-US"/>
        </w:rPr>
        <w:t xml:space="preserve"> del Estado y de la situación agravada de vulnerabilidad en la que se encuentran al haber sido víctimas de violencia sexual. En este sentido, el Tribunal se centrará en las siguientes diligencias y actuaciones: </w:t>
      </w:r>
      <w:r w:rsidR="00BD2FA8" w:rsidRPr="00975C02">
        <w:rPr>
          <w:kern w:val="2"/>
          <w:sz w:val="20"/>
          <w:szCs w:val="20"/>
          <w:lang w:val="es-ES" w:eastAsia="en-US"/>
        </w:rPr>
        <w:t>i</w:t>
      </w:r>
      <w:r w:rsidRPr="00975C02">
        <w:rPr>
          <w:kern w:val="2"/>
          <w:sz w:val="20"/>
          <w:szCs w:val="20"/>
          <w:lang w:val="es-ES" w:eastAsia="en-US"/>
        </w:rPr>
        <w:t>) el examen médico forense al que fue sometida la niña V.R.P.</w:t>
      </w:r>
      <w:r w:rsidR="00831337" w:rsidRPr="00975C02">
        <w:rPr>
          <w:kern w:val="2"/>
          <w:sz w:val="20"/>
          <w:szCs w:val="20"/>
          <w:lang w:val="es-ES" w:eastAsia="en-US"/>
        </w:rPr>
        <w:t xml:space="preserve">; </w:t>
      </w:r>
      <w:r w:rsidR="00BD2FA8" w:rsidRPr="00975C02">
        <w:rPr>
          <w:kern w:val="2"/>
          <w:sz w:val="20"/>
          <w:szCs w:val="20"/>
          <w:lang w:val="es-ES" w:eastAsia="en-US"/>
        </w:rPr>
        <w:t>ii</w:t>
      </w:r>
      <w:r w:rsidR="00831337" w:rsidRPr="00975C02">
        <w:rPr>
          <w:kern w:val="2"/>
          <w:sz w:val="20"/>
          <w:szCs w:val="20"/>
          <w:lang w:val="es-ES" w:eastAsia="en-US"/>
        </w:rPr>
        <w:t>)</w:t>
      </w:r>
      <w:r w:rsidRPr="00975C02">
        <w:rPr>
          <w:kern w:val="2"/>
          <w:sz w:val="20"/>
          <w:szCs w:val="20"/>
          <w:lang w:val="es-ES" w:eastAsia="en-US"/>
        </w:rPr>
        <w:t xml:space="preserve"> </w:t>
      </w:r>
      <w:r w:rsidR="00831337" w:rsidRPr="00975C02">
        <w:rPr>
          <w:kern w:val="2"/>
          <w:sz w:val="20"/>
          <w:szCs w:val="20"/>
          <w:lang w:val="es-ES" w:eastAsia="en-US"/>
        </w:rPr>
        <w:t>la</w:t>
      </w:r>
      <w:r w:rsidRPr="00975C02">
        <w:rPr>
          <w:kern w:val="2"/>
          <w:sz w:val="20"/>
          <w:szCs w:val="20"/>
          <w:lang w:val="es-ES" w:eastAsia="en-US"/>
        </w:rPr>
        <w:t xml:space="preserve"> declaración testimonial</w:t>
      </w:r>
      <w:r w:rsidR="00831337" w:rsidRPr="00975C02">
        <w:rPr>
          <w:kern w:val="2"/>
          <w:sz w:val="20"/>
          <w:szCs w:val="20"/>
          <w:lang w:val="es-ES" w:eastAsia="en-US"/>
        </w:rPr>
        <w:t xml:space="preserve"> de V.R.P.</w:t>
      </w:r>
      <w:r w:rsidRPr="00975C02">
        <w:rPr>
          <w:kern w:val="2"/>
          <w:sz w:val="20"/>
          <w:szCs w:val="20"/>
          <w:lang w:val="es-ES" w:eastAsia="en-US"/>
        </w:rPr>
        <w:t xml:space="preserve">; </w:t>
      </w:r>
      <w:r w:rsidR="00BD2FA8" w:rsidRPr="00975C02">
        <w:rPr>
          <w:kern w:val="2"/>
          <w:sz w:val="20"/>
          <w:szCs w:val="20"/>
          <w:lang w:val="es-ES" w:eastAsia="en-US"/>
        </w:rPr>
        <w:t>iii)</w:t>
      </w:r>
      <w:r w:rsidRPr="00975C02">
        <w:rPr>
          <w:kern w:val="2"/>
          <w:sz w:val="20"/>
          <w:szCs w:val="20"/>
          <w:lang w:val="es-ES" w:eastAsia="en-US"/>
        </w:rPr>
        <w:t xml:space="preserve"> </w:t>
      </w:r>
      <w:r w:rsidR="00831337" w:rsidRPr="00975C02">
        <w:rPr>
          <w:kern w:val="2"/>
          <w:sz w:val="20"/>
          <w:szCs w:val="20"/>
          <w:lang w:val="es-ES" w:eastAsia="en-US"/>
        </w:rPr>
        <w:t xml:space="preserve">la participación de la niña V.R.P. en </w:t>
      </w:r>
      <w:r w:rsidRPr="00975C02">
        <w:rPr>
          <w:kern w:val="2"/>
          <w:sz w:val="20"/>
          <w:szCs w:val="20"/>
          <w:lang w:val="es-ES" w:eastAsia="en-US"/>
        </w:rPr>
        <w:t>la inspección ocular y la reconstrucción de los hechos</w:t>
      </w:r>
      <w:r w:rsidR="00831337" w:rsidRPr="00975C02">
        <w:rPr>
          <w:kern w:val="2"/>
          <w:sz w:val="20"/>
          <w:szCs w:val="20"/>
          <w:lang w:val="es-ES" w:eastAsia="en-US"/>
        </w:rPr>
        <w:t xml:space="preserve">, y </w:t>
      </w:r>
      <w:r w:rsidR="00BD2FA8" w:rsidRPr="00975C02">
        <w:rPr>
          <w:kern w:val="2"/>
          <w:sz w:val="20"/>
          <w:szCs w:val="20"/>
          <w:lang w:val="es-ES" w:eastAsia="en-US"/>
        </w:rPr>
        <w:t>iv</w:t>
      </w:r>
      <w:r w:rsidR="00831337" w:rsidRPr="00975C02">
        <w:rPr>
          <w:kern w:val="2"/>
          <w:sz w:val="20"/>
          <w:szCs w:val="20"/>
          <w:lang w:val="es-ES" w:eastAsia="en-US"/>
        </w:rPr>
        <w:t>) la</w:t>
      </w:r>
      <w:r w:rsidR="00BD2FA8" w:rsidRPr="00975C02">
        <w:rPr>
          <w:kern w:val="2"/>
          <w:sz w:val="20"/>
          <w:szCs w:val="20"/>
          <w:lang w:val="es-ES" w:eastAsia="en-US"/>
        </w:rPr>
        <w:t xml:space="preserve"> falta de </w:t>
      </w:r>
      <w:r w:rsidRPr="00975C02">
        <w:rPr>
          <w:kern w:val="2"/>
          <w:sz w:val="20"/>
          <w:szCs w:val="20"/>
          <w:lang w:val="es-ES" w:eastAsia="en-US"/>
        </w:rPr>
        <w:t xml:space="preserve">acompañamiento </w:t>
      </w:r>
      <w:r w:rsidR="00BD2FA8" w:rsidRPr="00975C02">
        <w:rPr>
          <w:kern w:val="2"/>
          <w:sz w:val="20"/>
          <w:szCs w:val="20"/>
          <w:lang w:val="es-ES" w:eastAsia="en-US"/>
        </w:rPr>
        <w:t>y atención integral a la niña V.R.P</w:t>
      </w:r>
      <w:r w:rsidRPr="00975C02">
        <w:rPr>
          <w:kern w:val="2"/>
          <w:sz w:val="20"/>
          <w:szCs w:val="20"/>
          <w:lang w:val="es-ES" w:eastAsia="en-US"/>
        </w:rPr>
        <w:t>.</w:t>
      </w:r>
    </w:p>
    <w:p w14:paraId="70D42BFA" w14:textId="77777777" w:rsidR="00B5625C" w:rsidRPr="00975C02" w:rsidRDefault="00B5625C" w:rsidP="00B5625C">
      <w:pPr>
        <w:widowControl/>
        <w:adjustRightInd/>
        <w:spacing w:line="240" w:lineRule="auto"/>
        <w:jc w:val="left"/>
        <w:textAlignment w:val="auto"/>
        <w:rPr>
          <w:b/>
          <w:kern w:val="2"/>
          <w:sz w:val="20"/>
          <w:szCs w:val="20"/>
          <w:lang w:val="es-ES" w:eastAsia="en-US"/>
        </w:rPr>
      </w:pPr>
    </w:p>
    <w:p w14:paraId="16A8107B" w14:textId="77777777" w:rsidR="00B5625C" w:rsidRPr="00975C02" w:rsidRDefault="00A92F94" w:rsidP="00A92F94">
      <w:pPr>
        <w:pStyle w:val="Heading3"/>
        <w:rPr>
          <w:b w:val="0"/>
          <w:i/>
        </w:rPr>
      </w:pPr>
      <w:bookmarkStart w:id="127" w:name="_Toc514172632"/>
      <w:r w:rsidRPr="00975C02">
        <w:rPr>
          <w:b w:val="0"/>
          <w:i/>
        </w:rPr>
        <w:t>A</w:t>
      </w:r>
      <w:r w:rsidR="00F977EC" w:rsidRPr="00975C02">
        <w:rPr>
          <w:b w:val="0"/>
          <w:i/>
        </w:rPr>
        <w:t>.2.b</w:t>
      </w:r>
      <w:r w:rsidR="00B5625C" w:rsidRPr="00975C02">
        <w:rPr>
          <w:b w:val="0"/>
          <w:i/>
        </w:rPr>
        <w:t xml:space="preserve"> </w:t>
      </w:r>
      <w:r w:rsidR="00F55296" w:rsidRPr="00975C02">
        <w:rPr>
          <w:b w:val="0"/>
          <w:i/>
        </w:rPr>
        <w:tab/>
      </w:r>
      <w:r w:rsidR="00B5625C" w:rsidRPr="00975C02">
        <w:rPr>
          <w:b w:val="0"/>
          <w:i/>
        </w:rPr>
        <w:t>El examen médico forense al que fue sometida la niña V.R.P.</w:t>
      </w:r>
      <w:bookmarkEnd w:id="127"/>
    </w:p>
    <w:p w14:paraId="488CFF7F" w14:textId="77777777" w:rsidR="00B5625C" w:rsidRPr="00975C02" w:rsidRDefault="00B5625C" w:rsidP="00B5625C">
      <w:pPr>
        <w:widowControl/>
        <w:adjustRightInd/>
        <w:spacing w:line="240" w:lineRule="auto"/>
        <w:jc w:val="left"/>
        <w:textAlignment w:val="auto"/>
        <w:rPr>
          <w:i/>
          <w:kern w:val="2"/>
          <w:sz w:val="20"/>
          <w:szCs w:val="20"/>
          <w:lang w:val="es-ES" w:eastAsia="en-US"/>
        </w:rPr>
      </w:pPr>
    </w:p>
    <w:p w14:paraId="6432898B" w14:textId="60E0D9BD" w:rsidR="00B5625C" w:rsidRPr="00975C02" w:rsidRDefault="00A51640" w:rsidP="00E7485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sz w:val="20"/>
          <w:szCs w:val="20"/>
          <w:lang w:val="es-ES"/>
        </w:rPr>
        <w:t>La Corte resalta que el presente caso se trata de la violación sexual de una niña cuando tenía ocho años, hechos que habría cometido su padre, quien se encontraba en una situación de poder sobre la misma, no solo por constituir una figura de autoridad frente a su hija, sino sobre todo, por la confianza que una niña deposita en la persona que estaba llamada a protegerla.</w:t>
      </w:r>
      <w:r w:rsidRPr="00975C02">
        <w:rPr>
          <w:kern w:val="2"/>
          <w:sz w:val="20"/>
          <w:szCs w:val="20"/>
          <w:lang w:val="es-ES" w:eastAsia="en-US"/>
        </w:rPr>
        <w:t xml:space="preserve"> L</w:t>
      </w:r>
      <w:r w:rsidR="00B5625C" w:rsidRPr="00975C02">
        <w:rPr>
          <w:kern w:val="2"/>
          <w:sz w:val="20"/>
          <w:szCs w:val="20"/>
          <w:lang w:val="es-ES" w:eastAsia="en-US"/>
        </w:rPr>
        <w:t xml:space="preserve">a Corte nota que </w:t>
      </w:r>
      <w:r w:rsidR="006C4F66" w:rsidRPr="00975C02">
        <w:rPr>
          <w:kern w:val="2"/>
          <w:sz w:val="20"/>
          <w:szCs w:val="20"/>
          <w:lang w:val="es-ES" w:eastAsia="en-US"/>
        </w:rPr>
        <w:t xml:space="preserve">la denuncia penal realizada por la señora </w:t>
      </w:r>
      <w:r w:rsidR="00B5625C" w:rsidRPr="00975C02">
        <w:rPr>
          <w:kern w:val="2"/>
          <w:sz w:val="20"/>
          <w:szCs w:val="20"/>
          <w:lang w:val="es-ES" w:eastAsia="en-US"/>
        </w:rPr>
        <w:t>V.P.C.</w:t>
      </w:r>
      <w:r w:rsidR="006C4F66" w:rsidRPr="00975C02">
        <w:rPr>
          <w:kern w:val="2"/>
          <w:sz w:val="20"/>
          <w:szCs w:val="20"/>
          <w:lang w:val="es-ES" w:eastAsia="en-US"/>
        </w:rPr>
        <w:t xml:space="preserve"> fue a consecuencia de los síntomas físicos que presentaba la niña V.R.P.</w:t>
      </w:r>
      <w:r w:rsidR="00B5625C" w:rsidRPr="00975C02">
        <w:rPr>
          <w:kern w:val="2"/>
          <w:sz w:val="20"/>
          <w:szCs w:val="20"/>
          <w:lang w:val="es-ES" w:eastAsia="en-US"/>
        </w:rPr>
        <w:t>,</w:t>
      </w:r>
      <w:r w:rsidR="006C4F66" w:rsidRPr="00975C02">
        <w:rPr>
          <w:kern w:val="2"/>
          <w:sz w:val="20"/>
          <w:szCs w:val="20"/>
          <w:lang w:val="es-ES" w:eastAsia="en-US"/>
        </w:rPr>
        <w:t xml:space="preserve"> quien</w:t>
      </w:r>
      <w:r w:rsidR="00B5625C" w:rsidRPr="00975C02">
        <w:rPr>
          <w:kern w:val="2"/>
          <w:sz w:val="20"/>
          <w:szCs w:val="20"/>
          <w:lang w:val="es-ES" w:eastAsia="en-US"/>
        </w:rPr>
        <w:t xml:space="preserve"> ante los problemas para defecar y dolores en la región anal, </w:t>
      </w:r>
      <w:r w:rsidR="006C4F66" w:rsidRPr="00975C02">
        <w:rPr>
          <w:kern w:val="2"/>
          <w:sz w:val="20"/>
          <w:szCs w:val="20"/>
          <w:lang w:val="es-ES" w:eastAsia="en-US"/>
        </w:rPr>
        <w:t xml:space="preserve">fue llevada a dos </w:t>
      </w:r>
      <w:r w:rsidR="00B5625C" w:rsidRPr="00975C02">
        <w:rPr>
          <w:kern w:val="2"/>
          <w:sz w:val="20"/>
          <w:szCs w:val="20"/>
          <w:lang w:val="es-ES" w:eastAsia="en-US"/>
        </w:rPr>
        <w:t>médicos</w:t>
      </w:r>
      <w:r w:rsidR="00BD0129" w:rsidRPr="00975C02">
        <w:rPr>
          <w:kern w:val="2"/>
          <w:sz w:val="20"/>
          <w:szCs w:val="20"/>
          <w:lang w:val="es-ES" w:eastAsia="en-US"/>
        </w:rPr>
        <w:t>. Éstos</w:t>
      </w:r>
      <w:r w:rsidR="006C4F66" w:rsidRPr="00975C02">
        <w:rPr>
          <w:kern w:val="2"/>
          <w:sz w:val="20"/>
          <w:szCs w:val="20"/>
          <w:lang w:val="es-ES" w:eastAsia="en-US"/>
        </w:rPr>
        <w:t xml:space="preserve"> </w:t>
      </w:r>
      <w:r w:rsidR="00B5625C" w:rsidRPr="00975C02">
        <w:rPr>
          <w:kern w:val="2"/>
          <w:sz w:val="20"/>
          <w:szCs w:val="20"/>
          <w:lang w:val="es-ES" w:eastAsia="en-US"/>
        </w:rPr>
        <w:t>concluyeron</w:t>
      </w:r>
      <w:r w:rsidR="006C4F66" w:rsidRPr="00975C02">
        <w:rPr>
          <w:kern w:val="2"/>
          <w:sz w:val="20"/>
          <w:szCs w:val="20"/>
          <w:lang w:val="es-ES" w:eastAsia="en-US"/>
        </w:rPr>
        <w:t xml:space="preserve"> de forma conteste</w:t>
      </w:r>
      <w:r w:rsidR="00B5625C" w:rsidRPr="00975C02">
        <w:rPr>
          <w:kern w:val="2"/>
          <w:sz w:val="20"/>
          <w:szCs w:val="20"/>
          <w:lang w:val="es-ES" w:eastAsia="en-US"/>
        </w:rPr>
        <w:t xml:space="preserve"> que l</w:t>
      </w:r>
      <w:r w:rsidR="006C4F66" w:rsidRPr="00975C02">
        <w:rPr>
          <w:kern w:val="2"/>
          <w:sz w:val="20"/>
          <w:szCs w:val="20"/>
          <w:lang w:val="es-ES" w:eastAsia="en-US"/>
        </w:rPr>
        <w:t xml:space="preserve">os hallazgos médicos </w:t>
      </w:r>
      <w:r w:rsidR="00A87980" w:rsidRPr="00975C02">
        <w:rPr>
          <w:kern w:val="2"/>
          <w:sz w:val="20"/>
          <w:szCs w:val="20"/>
          <w:lang w:val="es-ES" w:eastAsia="en-US"/>
        </w:rPr>
        <w:t xml:space="preserve">de </w:t>
      </w:r>
      <w:r w:rsidR="006C4F66" w:rsidRPr="00975C02">
        <w:rPr>
          <w:kern w:val="2"/>
          <w:sz w:val="20"/>
          <w:szCs w:val="20"/>
          <w:lang w:val="es-ES" w:eastAsia="en-US"/>
        </w:rPr>
        <w:t xml:space="preserve">V.R.P. correspondían a una </w:t>
      </w:r>
      <w:r w:rsidR="00B5625C" w:rsidRPr="00975C02">
        <w:rPr>
          <w:kern w:val="2"/>
          <w:sz w:val="20"/>
          <w:szCs w:val="20"/>
          <w:lang w:val="es-ES" w:eastAsia="en-US"/>
        </w:rPr>
        <w:t xml:space="preserve">víctima de </w:t>
      </w:r>
      <w:r w:rsidR="00451739" w:rsidRPr="00975C02">
        <w:rPr>
          <w:kern w:val="2"/>
          <w:sz w:val="20"/>
          <w:szCs w:val="20"/>
          <w:lang w:val="es-ES" w:eastAsia="en-US"/>
        </w:rPr>
        <w:t>abuso</w:t>
      </w:r>
      <w:r w:rsidR="00BD0129" w:rsidRPr="00975C02">
        <w:rPr>
          <w:kern w:val="2"/>
          <w:sz w:val="20"/>
          <w:szCs w:val="20"/>
          <w:lang w:val="es-ES" w:eastAsia="en-US"/>
        </w:rPr>
        <w:t xml:space="preserve"> </w:t>
      </w:r>
      <w:r w:rsidR="00B5625C" w:rsidRPr="00975C02">
        <w:rPr>
          <w:kern w:val="2"/>
          <w:sz w:val="20"/>
          <w:szCs w:val="20"/>
          <w:lang w:val="es-ES" w:eastAsia="en-US"/>
        </w:rPr>
        <w:t>sexual</w:t>
      </w:r>
      <w:r w:rsidR="00BD0129" w:rsidRPr="00975C02">
        <w:rPr>
          <w:kern w:val="2"/>
          <w:sz w:val="20"/>
          <w:szCs w:val="20"/>
          <w:lang w:val="es-ES" w:eastAsia="en-US"/>
        </w:rPr>
        <w:t>,</w:t>
      </w:r>
      <w:r w:rsidR="00B5625C" w:rsidRPr="00975C02">
        <w:rPr>
          <w:kern w:val="2"/>
          <w:sz w:val="20"/>
          <w:szCs w:val="20"/>
          <w:lang w:val="es-ES" w:eastAsia="en-US"/>
        </w:rPr>
        <w:t xml:space="preserve"> </w:t>
      </w:r>
      <w:r w:rsidR="006C4F66" w:rsidRPr="00975C02">
        <w:rPr>
          <w:kern w:val="2"/>
          <w:sz w:val="20"/>
          <w:szCs w:val="20"/>
          <w:lang w:val="es-ES" w:eastAsia="en-US"/>
        </w:rPr>
        <w:t>qu</w:t>
      </w:r>
      <w:r w:rsidR="00BD0129" w:rsidRPr="00975C02">
        <w:rPr>
          <w:kern w:val="2"/>
          <w:sz w:val="20"/>
          <w:szCs w:val="20"/>
          <w:lang w:val="es-ES" w:eastAsia="en-US"/>
        </w:rPr>
        <w:t>i</w:t>
      </w:r>
      <w:r w:rsidR="006C4F66" w:rsidRPr="00975C02">
        <w:rPr>
          <w:kern w:val="2"/>
          <w:sz w:val="20"/>
          <w:szCs w:val="20"/>
          <w:lang w:val="es-ES" w:eastAsia="en-US"/>
        </w:rPr>
        <w:t>e</w:t>
      </w:r>
      <w:r w:rsidR="00BD0129" w:rsidRPr="00975C02">
        <w:rPr>
          <w:kern w:val="2"/>
          <w:sz w:val="20"/>
          <w:szCs w:val="20"/>
          <w:lang w:val="es-ES" w:eastAsia="en-US"/>
        </w:rPr>
        <w:t>n</w:t>
      </w:r>
      <w:r w:rsidR="006C4F66" w:rsidRPr="00975C02">
        <w:rPr>
          <w:kern w:val="2"/>
          <w:sz w:val="20"/>
          <w:szCs w:val="20"/>
          <w:lang w:val="es-ES" w:eastAsia="en-US"/>
        </w:rPr>
        <w:t xml:space="preserve"> </w:t>
      </w:r>
      <w:r w:rsidR="00B5625C" w:rsidRPr="00975C02">
        <w:rPr>
          <w:kern w:val="2"/>
          <w:sz w:val="20"/>
          <w:szCs w:val="20"/>
          <w:lang w:val="es-ES" w:eastAsia="en-US"/>
        </w:rPr>
        <w:t>había sufrido penetración</w:t>
      </w:r>
      <w:r w:rsidR="00BD0129" w:rsidRPr="00975C02">
        <w:rPr>
          <w:kern w:val="2"/>
          <w:sz w:val="20"/>
          <w:szCs w:val="20"/>
          <w:lang w:val="es-ES" w:eastAsia="en-US"/>
        </w:rPr>
        <w:t xml:space="preserve"> </w:t>
      </w:r>
      <w:r w:rsidR="00B5625C" w:rsidRPr="00975C02">
        <w:rPr>
          <w:kern w:val="2"/>
          <w:sz w:val="20"/>
          <w:szCs w:val="20"/>
          <w:lang w:val="es-ES" w:eastAsia="en-US"/>
        </w:rPr>
        <w:t>anal</w:t>
      </w:r>
      <w:r w:rsidR="006C4F66" w:rsidRPr="00975C02">
        <w:rPr>
          <w:kern w:val="2"/>
          <w:sz w:val="20"/>
          <w:szCs w:val="20"/>
          <w:lang w:val="es-ES" w:eastAsia="en-US"/>
        </w:rPr>
        <w:t xml:space="preserve"> (</w:t>
      </w:r>
      <w:r w:rsidR="006C4F66" w:rsidRPr="00975C02">
        <w:rPr>
          <w:i/>
          <w:kern w:val="2"/>
          <w:sz w:val="20"/>
          <w:szCs w:val="20"/>
          <w:lang w:val="es-ES" w:eastAsia="en-US"/>
        </w:rPr>
        <w:t>supra</w:t>
      </w:r>
      <w:r w:rsidR="006C4F66" w:rsidRPr="00975C02">
        <w:rPr>
          <w:kern w:val="2"/>
          <w:sz w:val="20"/>
          <w:szCs w:val="20"/>
          <w:lang w:val="es-ES" w:eastAsia="en-US"/>
        </w:rPr>
        <w:t xml:space="preserve"> párr. </w:t>
      </w:r>
      <w:r w:rsidR="00342199" w:rsidRPr="00975C02">
        <w:rPr>
          <w:kern w:val="2"/>
          <w:sz w:val="20"/>
          <w:szCs w:val="20"/>
          <w:lang w:val="es-ES" w:eastAsia="en-US"/>
        </w:rPr>
        <w:t>71</w:t>
      </w:r>
      <w:r w:rsidR="006C4F66" w:rsidRPr="00975C02">
        <w:rPr>
          <w:kern w:val="2"/>
          <w:sz w:val="20"/>
          <w:szCs w:val="20"/>
          <w:lang w:val="es-ES" w:eastAsia="en-US"/>
        </w:rPr>
        <w:t>)</w:t>
      </w:r>
      <w:r w:rsidR="00B5625C" w:rsidRPr="00975C02">
        <w:rPr>
          <w:kern w:val="2"/>
          <w:sz w:val="20"/>
          <w:szCs w:val="20"/>
          <w:lang w:val="es-ES" w:eastAsia="en-US"/>
        </w:rPr>
        <w:t>.</w:t>
      </w:r>
    </w:p>
    <w:p w14:paraId="01D3949B"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2CF8C27F" w14:textId="4A6BE066" w:rsidR="00FB0A69" w:rsidRPr="00975C02" w:rsidRDefault="00B5625C" w:rsidP="00FB0A69">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A pesar de que V.R.P</w:t>
      </w:r>
      <w:r w:rsidR="009F412E" w:rsidRPr="00975C02">
        <w:rPr>
          <w:kern w:val="2"/>
          <w:sz w:val="20"/>
          <w:szCs w:val="20"/>
          <w:lang w:val="es-ES" w:eastAsia="en-US"/>
        </w:rPr>
        <w:t>.</w:t>
      </w:r>
      <w:r w:rsidRPr="00975C02">
        <w:rPr>
          <w:kern w:val="2"/>
          <w:sz w:val="20"/>
          <w:szCs w:val="20"/>
          <w:lang w:val="es-ES" w:eastAsia="en-US"/>
        </w:rPr>
        <w:t xml:space="preserve"> fue sometida a dos revisiones médicas </w:t>
      </w:r>
      <w:r w:rsidR="00081AC2" w:rsidRPr="00975C02">
        <w:rPr>
          <w:kern w:val="2"/>
          <w:sz w:val="20"/>
          <w:szCs w:val="20"/>
          <w:lang w:val="es-ES" w:eastAsia="en-US"/>
        </w:rPr>
        <w:t xml:space="preserve">a raíz de </w:t>
      </w:r>
      <w:r w:rsidR="00754D7B" w:rsidRPr="00975C02">
        <w:rPr>
          <w:kern w:val="2"/>
          <w:sz w:val="20"/>
          <w:szCs w:val="20"/>
          <w:lang w:val="es-ES" w:eastAsia="en-US"/>
        </w:rPr>
        <w:t xml:space="preserve">consultas </w:t>
      </w:r>
      <w:r w:rsidRPr="00975C02">
        <w:rPr>
          <w:kern w:val="2"/>
          <w:sz w:val="20"/>
          <w:szCs w:val="20"/>
          <w:lang w:val="es-ES" w:eastAsia="en-US"/>
        </w:rPr>
        <w:t>privadas y que</w:t>
      </w:r>
      <w:r w:rsidR="00D25F59" w:rsidRPr="00975C02">
        <w:rPr>
          <w:kern w:val="2"/>
          <w:sz w:val="20"/>
          <w:szCs w:val="20"/>
          <w:lang w:val="es-ES" w:eastAsia="en-US"/>
        </w:rPr>
        <w:t>,</w:t>
      </w:r>
      <w:r w:rsidRPr="00975C02">
        <w:rPr>
          <w:kern w:val="2"/>
          <w:sz w:val="20"/>
          <w:szCs w:val="20"/>
          <w:lang w:val="es-ES" w:eastAsia="en-US"/>
        </w:rPr>
        <w:t xml:space="preserve"> con base en los hallazgos encontrados</w:t>
      </w:r>
      <w:r w:rsidR="00D25F59" w:rsidRPr="00975C02">
        <w:rPr>
          <w:kern w:val="2"/>
          <w:sz w:val="20"/>
          <w:szCs w:val="20"/>
          <w:lang w:val="es-ES" w:eastAsia="en-US"/>
        </w:rPr>
        <w:t>,</w:t>
      </w:r>
      <w:r w:rsidRPr="00975C02">
        <w:rPr>
          <w:kern w:val="2"/>
          <w:sz w:val="20"/>
          <w:szCs w:val="20"/>
          <w:lang w:val="es-ES" w:eastAsia="en-US"/>
        </w:rPr>
        <w:t xml:space="preserve"> se concluyó la existencia de </w:t>
      </w:r>
      <w:r w:rsidR="00E004AB" w:rsidRPr="00975C02">
        <w:rPr>
          <w:kern w:val="2"/>
          <w:sz w:val="20"/>
          <w:szCs w:val="20"/>
          <w:lang w:val="es-ES" w:eastAsia="en-US"/>
        </w:rPr>
        <w:t>violación</w:t>
      </w:r>
      <w:r w:rsidRPr="00975C02">
        <w:rPr>
          <w:kern w:val="2"/>
          <w:sz w:val="20"/>
          <w:szCs w:val="20"/>
          <w:lang w:val="es-ES" w:eastAsia="en-US"/>
        </w:rPr>
        <w:t xml:space="preserve"> sexual, esta información no fue considerada con suficiencia probatoria por el Estado, sino que ordenó la realización de otro examen médico a cargo de un médico forense</w:t>
      </w:r>
      <w:r w:rsidRPr="00975C02">
        <w:rPr>
          <w:kern w:val="2"/>
          <w:sz w:val="20"/>
          <w:szCs w:val="20"/>
          <w:vertAlign w:val="superscript"/>
          <w:lang w:val="es-ES" w:eastAsia="en-US"/>
        </w:rPr>
        <w:footnoteReference w:id="259"/>
      </w:r>
      <w:r w:rsidRPr="00975C02">
        <w:rPr>
          <w:kern w:val="2"/>
          <w:sz w:val="20"/>
          <w:szCs w:val="20"/>
          <w:lang w:val="es-ES" w:eastAsia="en-US"/>
        </w:rPr>
        <w:t>. La Corte nota que</w:t>
      </w:r>
      <w:r w:rsidR="00341624" w:rsidRPr="00975C02">
        <w:rPr>
          <w:kern w:val="2"/>
          <w:sz w:val="20"/>
          <w:szCs w:val="20"/>
          <w:lang w:val="es-ES" w:eastAsia="en-US"/>
        </w:rPr>
        <w:t xml:space="preserve"> se intentó someter a</w:t>
      </w:r>
      <w:r w:rsidRPr="00975C02">
        <w:rPr>
          <w:kern w:val="2"/>
          <w:sz w:val="20"/>
          <w:szCs w:val="20"/>
          <w:lang w:val="es-ES" w:eastAsia="en-US"/>
        </w:rPr>
        <w:t xml:space="preserve"> V.R.P</w:t>
      </w:r>
      <w:r w:rsidR="009F412E" w:rsidRPr="00975C02">
        <w:rPr>
          <w:kern w:val="2"/>
          <w:sz w:val="20"/>
          <w:szCs w:val="20"/>
          <w:lang w:val="es-ES" w:eastAsia="en-US"/>
        </w:rPr>
        <w:t>.</w:t>
      </w:r>
      <w:r w:rsidRPr="00975C02">
        <w:rPr>
          <w:kern w:val="2"/>
          <w:sz w:val="20"/>
          <w:szCs w:val="20"/>
          <w:lang w:val="es-ES" w:eastAsia="en-US"/>
        </w:rPr>
        <w:t xml:space="preserve"> a este examen médico en tres oportunidades, debido a su negativa a someterse a la revisión ginecológica</w:t>
      </w:r>
      <w:r w:rsidR="009F412E" w:rsidRPr="00975C02">
        <w:rPr>
          <w:kern w:val="2"/>
          <w:sz w:val="20"/>
          <w:szCs w:val="20"/>
          <w:lang w:val="es-ES" w:eastAsia="en-US"/>
        </w:rPr>
        <w:t xml:space="preserve"> </w:t>
      </w:r>
      <w:r w:rsidR="000A1265" w:rsidRPr="00975C02">
        <w:rPr>
          <w:kern w:val="2"/>
          <w:sz w:val="20"/>
          <w:szCs w:val="20"/>
          <w:lang w:val="es-ES" w:eastAsia="en-US"/>
        </w:rPr>
        <w:t>por</w:t>
      </w:r>
      <w:r w:rsidR="009F412E" w:rsidRPr="00975C02">
        <w:rPr>
          <w:kern w:val="2"/>
          <w:sz w:val="20"/>
          <w:szCs w:val="20"/>
          <w:lang w:val="es-ES" w:eastAsia="en-US"/>
        </w:rPr>
        <w:t xml:space="preserve"> las condiciones </w:t>
      </w:r>
      <w:r w:rsidR="000A1265" w:rsidRPr="00975C02">
        <w:rPr>
          <w:kern w:val="2"/>
          <w:sz w:val="20"/>
          <w:szCs w:val="20"/>
          <w:lang w:val="es-ES" w:eastAsia="en-US"/>
        </w:rPr>
        <w:t xml:space="preserve">vejatorias </w:t>
      </w:r>
      <w:r w:rsidR="009F412E" w:rsidRPr="00975C02">
        <w:rPr>
          <w:kern w:val="2"/>
          <w:sz w:val="20"/>
          <w:szCs w:val="20"/>
          <w:lang w:val="es-ES" w:eastAsia="en-US"/>
        </w:rPr>
        <w:t>en que se desarrollaba el examen</w:t>
      </w:r>
      <w:r w:rsidR="000A1265" w:rsidRPr="00975C02">
        <w:rPr>
          <w:kern w:val="2"/>
          <w:sz w:val="20"/>
          <w:szCs w:val="20"/>
          <w:lang w:val="es-ES" w:eastAsia="en-US"/>
        </w:rPr>
        <w:t xml:space="preserve"> (</w:t>
      </w:r>
      <w:r w:rsidR="000A1265" w:rsidRPr="00975C02">
        <w:rPr>
          <w:i/>
          <w:kern w:val="2"/>
          <w:sz w:val="20"/>
          <w:szCs w:val="20"/>
          <w:lang w:val="es-ES" w:eastAsia="en-US"/>
        </w:rPr>
        <w:t>supra</w:t>
      </w:r>
      <w:r w:rsidR="000A1265" w:rsidRPr="00975C02">
        <w:rPr>
          <w:kern w:val="2"/>
          <w:sz w:val="20"/>
          <w:szCs w:val="20"/>
          <w:lang w:val="es-ES" w:eastAsia="en-US"/>
        </w:rPr>
        <w:t xml:space="preserve"> párr</w:t>
      </w:r>
      <w:r w:rsidR="003A3D9D" w:rsidRPr="00975C02">
        <w:rPr>
          <w:kern w:val="2"/>
          <w:sz w:val="20"/>
          <w:szCs w:val="20"/>
          <w:lang w:val="es-ES" w:eastAsia="en-US"/>
        </w:rPr>
        <w:t>s</w:t>
      </w:r>
      <w:r w:rsidR="000A1265" w:rsidRPr="00975C02">
        <w:rPr>
          <w:kern w:val="2"/>
          <w:sz w:val="20"/>
          <w:szCs w:val="20"/>
          <w:lang w:val="es-ES" w:eastAsia="en-US"/>
        </w:rPr>
        <w:t xml:space="preserve">. </w:t>
      </w:r>
      <w:r w:rsidR="003A3D9D" w:rsidRPr="00975C02">
        <w:rPr>
          <w:kern w:val="2"/>
          <w:sz w:val="20"/>
          <w:szCs w:val="20"/>
          <w:lang w:val="es-ES" w:eastAsia="en-US"/>
        </w:rPr>
        <w:t>77 y 78</w:t>
      </w:r>
      <w:r w:rsidR="000A1265" w:rsidRPr="00975C02">
        <w:rPr>
          <w:kern w:val="2"/>
          <w:sz w:val="20"/>
          <w:szCs w:val="20"/>
          <w:lang w:val="es-ES" w:eastAsia="en-US"/>
        </w:rPr>
        <w:t>). En la tercera oportunidad se efectuó</w:t>
      </w:r>
      <w:r w:rsidRPr="00975C02">
        <w:rPr>
          <w:kern w:val="2"/>
          <w:sz w:val="20"/>
          <w:szCs w:val="20"/>
          <w:lang w:val="es-ES" w:eastAsia="en-US"/>
        </w:rPr>
        <w:t xml:space="preserve">, bajo sedación de la niña, la revisión </w:t>
      </w:r>
      <w:r w:rsidRPr="00975C02">
        <w:rPr>
          <w:kern w:val="2"/>
          <w:sz w:val="20"/>
          <w:szCs w:val="20"/>
          <w:lang w:val="es-ES" w:eastAsia="en-US"/>
        </w:rPr>
        <w:lastRenderedPageBreak/>
        <w:t xml:space="preserve">ginecológica. </w:t>
      </w:r>
      <w:r w:rsidR="000A1265" w:rsidRPr="00975C02">
        <w:rPr>
          <w:kern w:val="2"/>
          <w:sz w:val="20"/>
          <w:szCs w:val="20"/>
          <w:lang w:val="es-ES" w:eastAsia="en-US"/>
        </w:rPr>
        <w:t>La Corte advierte que e</w:t>
      </w:r>
      <w:r w:rsidRPr="00975C02">
        <w:rPr>
          <w:kern w:val="2"/>
          <w:sz w:val="20"/>
          <w:szCs w:val="20"/>
          <w:lang w:val="es-ES" w:eastAsia="en-US"/>
        </w:rPr>
        <w:t xml:space="preserve">l Estado no consideró como una medida de protección el otorgarle suficiencia probatoria a los dictámenes médicos ya existentes, lo cual podría haber evitado someter a la </w:t>
      </w:r>
      <w:r w:rsidR="00F903D6" w:rsidRPr="00975C02">
        <w:rPr>
          <w:kern w:val="2"/>
          <w:sz w:val="20"/>
          <w:szCs w:val="20"/>
          <w:lang w:val="es-ES" w:eastAsia="en-US"/>
        </w:rPr>
        <w:t>niña</w:t>
      </w:r>
      <w:r w:rsidRPr="00975C02">
        <w:rPr>
          <w:kern w:val="2"/>
          <w:sz w:val="20"/>
          <w:szCs w:val="20"/>
          <w:lang w:val="es-ES" w:eastAsia="en-US"/>
        </w:rPr>
        <w:t xml:space="preserve"> a una reactualización del momento traumático ya experimentado, ni tampoco respetó su derecho a ser oída respecto a la realización de dicha diligencia, de conformidad con su edad, </w:t>
      </w:r>
      <w:r w:rsidR="009F412E" w:rsidRPr="00975C02">
        <w:rPr>
          <w:kern w:val="2"/>
          <w:sz w:val="20"/>
          <w:szCs w:val="20"/>
          <w:lang w:val="es-ES" w:eastAsia="en-US"/>
        </w:rPr>
        <w:t xml:space="preserve">madurez y grado de desarrollo. </w:t>
      </w:r>
      <w:r w:rsidRPr="00975C02">
        <w:rPr>
          <w:kern w:val="2"/>
          <w:sz w:val="20"/>
          <w:szCs w:val="20"/>
          <w:lang w:val="es-ES" w:eastAsia="en-US"/>
        </w:rPr>
        <w:t>La Corte estima que el sometimiento de la niña a revisiones ginecol</w:t>
      </w:r>
      <w:r w:rsidR="009F412E" w:rsidRPr="00975C02">
        <w:rPr>
          <w:kern w:val="2"/>
          <w:sz w:val="20"/>
          <w:szCs w:val="20"/>
          <w:lang w:val="es-ES" w:eastAsia="en-US"/>
        </w:rPr>
        <w:t>ógicas de forma reiterada no at</w:t>
      </w:r>
      <w:r w:rsidRPr="00975C02">
        <w:rPr>
          <w:kern w:val="2"/>
          <w:sz w:val="20"/>
          <w:szCs w:val="20"/>
          <w:lang w:val="es-ES" w:eastAsia="en-US"/>
        </w:rPr>
        <w:t>end</w:t>
      </w:r>
      <w:r w:rsidR="009F412E" w:rsidRPr="00975C02">
        <w:rPr>
          <w:kern w:val="2"/>
          <w:sz w:val="20"/>
          <w:szCs w:val="20"/>
          <w:lang w:val="es-ES" w:eastAsia="en-US"/>
        </w:rPr>
        <w:t>ió</w:t>
      </w:r>
      <w:r w:rsidRPr="00975C02">
        <w:rPr>
          <w:kern w:val="2"/>
          <w:sz w:val="20"/>
          <w:szCs w:val="20"/>
          <w:lang w:val="es-ES" w:eastAsia="en-US"/>
        </w:rPr>
        <w:t xml:space="preserve"> al objetivo de minimizar el trauma derivado de una violación sexual, sino que lo fortalec</w:t>
      </w:r>
      <w:r w:rsidR="000A1265" w:rsidRPr="00975C02">
        <w:rPr>
          <w:kern w:val="2"/>
          <w:sz w:val="20"/>
          <w:szCs w:val="20"/>
          <w:lang w:val="es-ES" w:eastAsia="en-US"/>
        </w:rPr>
        <w:t>ió</w:t>
      </w:r>
      <w:r w:rsidRPr="00975C02">
        <w:rPr>
          <w:kern w:val="2"/>
          <w:sz w:val="20"/>
          <w:szCs w:val="20"/>
          <w:lang w:val="es-ES" w:eastAsia="en-US"/>
        </w:rPr>
        <w:t>.</w:t>
      </w:r>
      <w:r w:rsidR="00FB0A69" w:rsidRPr="00975C02">
        <w:rPr>
          <w:kern w:val="2"/>
          <w:sz w:val="20"/>
          <w:szCs w:val="20"/>
          <w:lang w:val="es-ES" w:eastAsia="en-US"/>
        </w:rPr>
        <w:t xml:space="preserve"> En suma, la Corte considera que, en las circunstancias de este caso, no fue justificada la necesidad de realizar un examen médico ginecológico.</w:t>
      </w:r>
    </w:p>
    <w:p w14:paraId="5E4A40DA" w14:textId="77777777" w:rsidR="00FB0A69" w:rsidRPr="00975C02" w:rsidRDefault="00FB0A69" w:rsidP="00FB0A69">
      <w:pPr>
        <w:widowControl/>
        <w:adjustRightInd/>
        <w:spacing w:line="240" w:lineRule="auto"/>
        <w:jc w:val="left"/>
        <w:textAlignment w:val="auto"/>
        <w:rPr>
          <w:kern w:val="2"/>
          <w:sz w:val="20"/>
          <w:szCs w:val="20"/>
          <w:lang w:val="es-ES" w:eastAsia="en-US"/>
        </w:rPr>
      </w:pPr>
    </w:p>
    <w:p w14:paraId="61A6DD4F" w14:textId="6127A81D" w:rsidR="005E0CFA" w:rsidRPr="00975C02" w:rsidRDefault="00FB0A69" w:rsidP="005E0CFA">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Sin perjuicio de lo anterior</w:t>
      </w:r>
      <w:r w:rsidR="00B5625C" w:rsidRPr="00975C02">
        <w:rPr>
          <w:kern w:val="2"/>
          <w:sz w:val="20"/>
          <w:szCs w:val="20"/>
          <w:lang w:val="es-ES" w:eastAsia="en-US"/>
        </w:rPr>
        <w:t>,</w:t>
      </w:r>
      <w:r w:rsidRPr="00975C02">
        <w:rPr>
          <w:kern w:val="2"/>
          <w:sz w:val="20"/>
          <w:szCs w:val="20"/>
          <w:lang w:val="es-ES" w:eastAsia="en-US"/>
        </w:rPr>
        <w:t xml:space="preserve"> la Corte </w:t>
      </w:r>
      <w:r w:rsidR="00537F77">
        <w:rPr>
          <w:kern w:val="2"/>
          <w:sz w:val="20"/>
          <w:szCs w:val="20"/>
          <w:lang w:val="es-ES" w:eastAsia="en-US"/>
        </w:rPr>
        <w:t>subraya</w:t>
      </w:r>
      <w:r w:rsidR="00754D7B" w:rsidRPr="00975C02">
        <w:rPr>
          <w:kern w:val="2"/>
          <w:sz w:val="20"/>
          <w:szCs w:val="20"/>
          <w:lang w:val="es-ES" w:eastAsia="en-US"/>
        </w:rPr>
        <w:t>,</w:t>
      </w:r>
      <w:r w:rsidRPr="00975C02">
        <w:rPr>
          <w:kern w:val="2"/>
          <w:sz w:val="20"/>
          <w:szCs w:val="20"/>
          <w:lang w:val="es-ES" w:eastAsia="en-US"/>
        </w:rPr>
        <w:t xml:space="preserve"> además</w:t>
      </w:r>
      <w:r w:rsidR="00754D7B" w:rsidRPr="00975C02">
        <w:rPr>
          <w:kern w:val="2"/>
          <w:sz w:val="20"/>
          <w:szCs w:val="20"/>
          <w:lang w:val="es-ES" w:eastAsia="en-US"/>
        </w:rPr>
        <w:t>,</w:t>
      </w:r>
      <w:r w:rsidRPr="00975C02">
        <w:rPr>
          <w:kern w:val="2"/>
          <w:sz w:val="20"/>
          <w:szCs w:val="20"/>
          <w:lang w:val="es-ES" w:eastAsia="en-US"/>
        </w:rPr>
        <w:t xml:space="preserve"> una serie de omisiones y falencias</w:t>
      </w:r>
      <w:r w:rsidR="001E43C6" w:rsidRPr="00975C02">
        <w:rPr>
          <w:kern w:val="2"/>
          <w:sz w:val="20"/>
          <w:szCs w:val="20"/>
          <w:lang w:val="es-ES" w:eastAsia="en-US"/>
        </w:rPr>
        <w:t xml:space="preserve"> en la realización del primer examen médico forense</w:t>
      </w:r>
      <w:r w:rsidRPr="00975C02">
        <w:rPr>
          <w:kern w:val="2"/>
          <w:sz w:val="20"/>
          <w:szCs w:val="20"/>
          <w:lang w:val="es-ES" w:eastAsia="en-US"/>
        </w:rPr>
        <w:t xml:space="preserve"> que resultan incompatibles con los requerimientos de una debida diligencia estricta</w:t>
      </w:r>
      <w:r w:rsidR="00185F9F" w:rsidRPr="00975C02">
        <w:rPr>
          <w:kern w:val="2"/>
          <w:sz w:val="20"/>
          <w:szCs w:val="20"/>
          <w:lang w:val="es-ES" w:eastAsia="en-US"/>
        </w:rPr>
        <w:t xml:space="preserve">: i) </w:t>
      </w:r>
      <w:r w:rsidR="00B5625C" w:rsidRPr="00975C02">
        <w:rPr>
          <w:kern w:val="2"/>
          <w:sz w:val="20"/>
          <w:szCs w:val="20"/>
          <w:lang w:val="es-ES" w:eastAsia="en-US"/>
        </w:rPr>
        <w:t xml:space="preserve">no consta que se brindara a la niña ni a la madre </w:t>
      </w:r>
      <w:r w:rsidR="00894B93" w:rsidRPr="00975C02">
        <w:rPr>
          <w:kern w:val="2"/>
          <w:sz w:val="20"/>
          <w:szCs w:val="20"/>
          <w:lang w:val="es-ES" w:eastAsia="en-US"/>
        </w:rPr>
        <w:t xml:space="preserve">información sobre en qué consistirían dichos exámenes o cuál sería la </w:t>
      </w:r>
      <w:r w:rsidR="000A1265" w:rsidRPr="00975C02">
        <w:rPr>
          <w:kern w:val="2"/>
          <w:sz w:val="20"/>
          <w:szCs w:val="20"/>
          <w:lang w:val="es-ES" w:eastAsia="en-US"/>
        </w:rPr>
        <w:t>práctica</w:t>
      </w:r>
      <w:r w:rsidR="00894B93" w:rsidRPr="00975C02">
        <w:rPr>
          <w:kern w:val="2"/>
          <w:sz w:val="20"/>
          <w:szCs w:val="20"/>
          <w:lang w:val="es-ES" w:eastAsia="en-US"/>
        </w:rPr>
        <w:t xml:space="preserve"> médica</w:t>
      </w:r>
      <w:r w:rsidR="00185F9F" w:rsidRPr="00975C02">
        <w:rPr>
          <w:kern w:val="2"/>
          <w:sz w:val="20"/>
          <w:szCs w:val="20"/>
          <w:lang w:val="es-ES" w:eastAsia="en-US"/>
        </w:rPr>
        <w:t xml:space="preserve">; ii) no se brindó </w:t>
      </w:r>
      <w:r w:rsidR="00B5625C" w:rsidRPr="00975C02">
        <w:rPr>
          <w:kern w:val="2"/>
          <w:sz w:val="20"/>
          <w:szCs w:val="20"/>
          <w:lang w:val="es-ES" w:eastAsia="en-US"/>
        </w:rPr>
        <w:t>la oportunidad de elegir el sexo del especialista forense</w:t>
      </w:r>
      <w:r w:rsidR="00B5625C" w:rsidRPr="00975C02">
        <w:rPr>
          <w:kern w:val="2"/>
          <w:sz w:val="20"/>
          <w:szCs w:val="20"/>
          <w:vertAlign w:val="superscript"/>
          <w:lang w:val="es-ES" w:eastAsia="en-US"/>
        </w:rPr>
        <w:footnoteReference w:id="260"/>
      </w:r>
      <w:r w:rsidR="00185F9F" w:rsidRPr="00975C02">
        <w:rPr>
          <w:kern w:val="2"/>
          <w:sz w:val="20"/>
          <w:szCs w:val="20"/>
          <w:lang w:val="es-ES" w:eastAsia="en-US"/>
        </w:rPr>
        <w:t xml:space="preserve">; iii) no fue comprobado que el médico forense asignado fuera un profesional especialmente capacitado en atender a víctimas menores de edad, </w:t>
      </w:r>
      <w:r w:rsidR="000E0708">
        <w:rPr>
          <w:rFonts w:eastAsia="Times"/>
          <w:sz w:val="20"/>
          <w:szCs w:val="20"/>
          <w:lang w:val="es-ES"/>
        </w:rPr>
        <w:t>específicamente</w:t>
      </w:r>
      <w:r w:rsidR="000E0708" w:rsidRPr="00657097">
        <w:rPr>
          <w:rFonts w:eastAsia="Times"/>
          <w:sz w:val="20"/>
          <w:szCs w:val="20"/>
          <w:lang w:val="es-ES"/>
        </w:rPr>
        <w:t xml:space="preserve"> </w:t>
      </w:r>
      <w:r w:rsidR="00185F9F" w:rsidRPr="00975C02">
        <w:rPr>
          <w:kern w:val="2"/>
          <w:sz w:val="20"/>
          <w:szCs w:val="20"/>
          <w:lang w:val="es-ES" w:eastAsia="en-US"/>
        </w:rPr>
        <w:t xml:space="preserve">de corta edad, o que fuera un especialista en ginecología con entrenamiento para este tipo de exámenes en casos de abuso </w:t>
      </w:r>
      <w:r w:rsidR="00BB0086">
        <w:rPr>
          <w:kern w:val="2"/>
          <w:sz w:val="20"/>
          <w:szCs w:val="20"/>
          <w:lang w:val="es-ES" w:eastAsia="en-US"/>
        </w:rPr>
        <w:t>y violación sexual</w:t>
      </w:r>
      <w:r w:rsidR="00185F9F" w:rsidRPr="00975C02">
        <w:rPr>
          <w:kern w:val="2"/>
          <w:sz w:val="20"/>
          <w:szCs w:val="20"/>
          <w:lang w:val="es-ES" w:eastAsia="en-US"/>
        </w:rPr>
        <w:t xml:space="preserve">; iv) </w:t>
      </w:r>
      <w:r w:rsidR="00D2788D" w:rsidRPr="00975C02">
        <w:rPr>
          <w:kern w:val="2"/>
          <w:sz w:val="20"/>
          <w:szCs w:val="20"/>
          <w:lang w:val="es-ES" w:eastAsia="en-US"/>
        </w:rPr>
        <w:t>a pesar de</w:t>
      </w:r>
      <w:r w:rsidR="00894B93" w:rsidRPr="00975C02">
        <w:rPr>
          <w:kern w:val="2"/>
          <w:sz w:val="20"/>
          <w:szCs w:val="20"/>
          <w:lang w:val="es-ES" w:eastAsia="en-US"/>
        </w:rPr>
        <w:t xml:space="preserve"> la presencia de </w:t>
      </w:r>
      <w:r w:rsidR="00D2788D" w:rsidRPr="00975C02">
        <w:rPr>
          <w:kern w:val="2"/>
          <w:sz w:val="20"/>
          <w:szCs w:val="20"/>
          <w:lang w:val="es-ES" w:eastAsia="en-US"/>
        </w:rPr>
        <w:t>una</w:t>
      </w:r>
      <w:r w:rsidR="00894B93" w:rsidRPr="00975C02">
        <w:rPr>
          <w:kern w:val="2"/>
          <w:sz w:val="20"/>
          <w:szCs w:val="20"/>
          <w:lang w:val="es-ES" w:eastAsia="en-US"/>
        </w:rPr>
        <w:t xml:space="preserve"> médica</w:t>
      </w:r>
      <w:r w:rsidR="00B5625C" w:rsidRPr="00975C02">
        <w:rPr>
          <w:kern w:val="2"/>
          <w:sz w:val="20"/>
          <w:szCs w:val="20"/>
          <w:lang w:val="es-ES" w:eastAsia="en-US"/>
        </w:rPr>
        <w:t xml:space="preserve"> psiquiatra</w:t>
      </w:r>
      <w:r w:rsidR="00894B93" w:rsidRPr="00975C02">
        <w:rPr>
          <w:kern w:val="2"/>
          <w:sz w:val="20"/>
          <w:szCs w:val="20"/>
          <w:lang w:val="es-ES" w:eastAsia="en-US"/>
        </w:rPr>
        <w:t>, no es claro</w:t>
      </w:r>
      <w:r w:rsidR="00B5625C" w:rsidRPr="00975C02">
        <w:rPr>
          <w:kern w:val="2"/>
          <w:sz w:val="20"/>
          <w:szCs w:val="20"/>
          <w:lang w:val="es-ES" w:eastAsia="en-US"/>
        </w:rPr>
        <w:t xml:space="preserve"> </w:t>
      </w:r>
      <w:r w:rsidR="00894B93" w:rsidRPr="00975C02">
        <w:rPr>
          <w:kern w:val="2"/>
          <w:sz w:val="20"/>
          <w:szCs w:val="20"/>
          <w:lang w:val="es-ES" w:eastAsia="en-US"/>
        </w:rPr>
        <w:t xml:space="preserve">en qué consistió </w:t>
      </w:r>
      <w:r w:rsidR="00B5625C" w:rsidRPr="00975C02">
        <w:rPr>
          <w:kern w:val="2"/>
          <w:sz w:val="20"/>
          <w:szCs w:val="20"/>
          <w:lang w:val="es-ES" w:eastAsia="en-US"/>
        </w:rPr>
        <w:t>el actuar de la misma y</w:t>
      </w:r>
      <w:r w:rsidR="00894B93" w:rsidRPr="00975C02">
        <w:rPr>
          <w:kern w:val="2"/>
          <w:sz w:val="20"/>
          <w:szCs w:val="20"/>
          <w:lang w:val="es-ES" w:eastAsia="en-US"/>
        </w:rPr>
        <w:t xml:space="preserve">, concretamente, </w:t>
      </w:r>
      <w:r w:rsidR="00B5625C" w:rsidRPr="00975C02">
        <w:rPr>
          <w:kern w:val="2"/>
          <w:sz w:val="20"/>
          <w:szCs w:val="20"/>
          <w:lang w:val="es-ES" w:eastAsia="en-US"/>
        </w:rPr>
        <w:t>el acompañamiento brindado a V.R.P. en relación con esta diligencia</w:t>
      </w:r>
      <w:r w:rsidR="00B5625C" w:rsidRPr="00975C02">
        <w:rPr>
          <w:kern w:val="2"/>
          <w:sz w:val="20"/>
          <w:szCs w:val="20"/>
          <w:vertAlign w:val="superscript"/>
          <w:lang w:val="es-ES" w:eastAsia="en-US"/>
        </w:rPr>
        <w:footnoteReference w:id="261"/>
      </w:r>
      <w:r w:rsidR="005E0CFA" w:rsidRPr="00975C02">
        <w:rPr>
          <w:kern w:val="2"/>
          <w:sz w:val="20"/>
          <w:szCs w:val="20"/>
          <w:lang w:val="es-ES" w:eastAsia="en-US"/>
        </w:rPr>
        <w:t>; v) el examen no fue realizado en una sala ginecológica</w:t>
      </w:r>
      <w:r w:rsidR="00754D7B" w:rsidRPr="00975C02">
        <w:rPr>
          <w:kern w:val="2"/>
          <w:sz w:val="20"/>
          <w:szCs w:val="20"/>
          <w:lang w:val="es-ES" w:eastAsia="en-US"/>
        </w:rPr>
        <w:t>,</w:t>
      </w:r>
      <w:r w:rsidR="005E0CFA" w:rsidRPr="00975C02">
        <w:rPr>
          <w:kern w:val="2"/>
          <w:sz w:val="20"/>
          <w:szCs w:val="20"/>
          <w:lang w:val="es-ES" w:eastAsia="en-US"/>
        </w:rPr>
        <w:t xml:space="preserve"> sino, según declaró V.P.C., </w:t>
      </w:r>
      <w:r w:rsidR="00754D7B" w:rsidRPr="00975C02">
        <w:rPr>
          <w:kern w:val="2"/>
          <w:sz w:val="20"/>
          <w:szCs w:val="20"/>
          <w:lang w:val="es-ES" w:eastAsia="en-US"/>
        </w:rPr>
        <w:t xml:space="preserve">en un lugar parecido </w:t>
      </w:r>
      <w:r w:rsidR="005E0CFA" w:rsidRPr="00975C02">
        <w:rPr>
          <w:kern w:val="2"/>
          <w:sz w:val="20"/>
          <w:szCs w:val="20"/>
          <w:lang w:val="es-ES" w:eastAsia="en-US"/>
        </w:rPr>
        <w:t>a “la morgue de un hospital, porque habían planchas de aluminio […] y era un lugar donde entraban y salían muchas personas”</w:t>
      </w:r>
      <w:r w:rsidR="005E0CFA" w:rsidRPr="00975C02">
        <w:rPr>
          <w:kern w:val="2"/>
          <w:sz w:val="20"/>
          <w:szCs w:val="20"/>
          <w:vertAlign w:val="superscript"/>
          <w:lang w:val="es-ES" w:eastAsia="en-US"/>
        </w:rPr>
        <w:footnoteReference w:id="262"/>
      </w:r>
      <w:r w:rsidR="001E43C6" w:rsidRPr="00975C02">
        <w:rPr>
          <w:kern w:val="2"/>
          <w:sz w:val="20"/>
          <w:szCs w:val="20"/>
          <w:lang w:val="es-ES" w:eastAsia="en-US"/>
        </w:rPr>
        <w:t>, y vi)</w:t>
      </w:r>
      <w:r w:rsidR="00B47822" w:rsidRPr="00975C02">
        <w:rPr>
          <w:kern w:val="2"/>
          <w:sz w:val="20"/>
          <w:szCs w:val="20"/>
          <w:lang w:val="es-ES" w:eastAsia="en-US"/>
        </w:rPr>
        <w:t xml:space="preserve"> se constató</w:t>
      </w:r>
      <w:r w:rsidR="001E43C6" w:rsidRPr="00975C02">
        <w:rPr>
          <w:kern w:val="2"/>
          <w:sz w:val="20"/>
          <w:szCs w:val="20"/>
          <w:lang w:val="es-ES" w:eastAsia="en-US"/>
        </w:rPr>
        <w:t xml:space="preserve"> la presencia de una cantidad excesiva de personal de salud.</w:t>
      </w:r>
    </w:p>
    <w:p w14:paraId="5985120A" w14:textId="77777777" w:rsidR="005E0CFA" w:rsidRPr="00975C02" w:rsidRDefault="005E0CFA" w:rsidP="005E0CFA">
      <w:pPr>
        <w:widowControl/>
        <w:tabs>
          <w:tab w:val="left" w:pos="567"/>
        </w:tabs>
        <w:adjustRightInd/>
        <w:spacing w:line="240" w:lineRule="auto"/>
        <w:textAlignment w:val="auto"/>
        <w:rPr>
          <w:kern w:val="2"/>
          <w:sz w:val="20"/>
          <w:szCs w:val="20"/>
          <w:lang w:val="es-ES" w:eastAsia="en-US"/>
        </w:rPr>
      </w:pPr>
    </w:p>
    <w:p w14:paraId="6111EA83" w14:textId="43D441BE" w:rsidR="005E0CFA" w:rsidRPr="00975C02" w:rsidRDefault="00D2788D" w:rsidP="005E0CFA">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Sobre lo anterior, l</w:t>
      </w:r>
      <w:r w:rsidR="005E0CFA" w:rsidRPr="00975C02">
        <w:rPr>
          <w:kern w:val="2"/>
          <w:sz w:val="20"/>
          <w:szCs w:val="20"/>
          <w:lang w:val="es-ES" w:eastAsia="en-US"/>
        </w:rPr>
        <w:t>a Corte considera que era de trascendental importancia no sólo que el médico esté capacitado</w:t>
      </w:r>
      <w:r w:rsidR="005E0CFA" w:rsidRPr="00975C02">
        <w:rPr>
          <w:kern w:val="2"/>
          <w:lang w:val="es-ES" w:eastAsia="en-US"/>
        </w:rPr>
        <w:t xml:space="preserve"> </w:t>
      </w:r>
      <w:r w:rsidR="005E0CFA" w:rsidRPr="00975C02">
        <w:rPr>
          <w:kern w:val="2"/>
          <w:sz w:val="20"/>
          <w:szCs w:val="20"/>
          <w:lang w:val="es-ES" w:eastAsia="en-US"/>
        </w:rPr>
        <w:t xml:space="preserve">para atender a una niña de nueve años víctima de </w:t>
      </w:r>
      <w:r w:rsidR="0076442B">
        <w:rPr>
          <w:kern w:val="2"/>
          <w:sz w:val="20"/>
          <w:szCs w:val="20"/>
          <w:lang w:val="es-ES" w:eastAsia="en-US"/>
        </w:rPr>
        <w:t>violación</w:t>
      </w:r>
      <w:r w:rsidR="005E0CFA" w:rsidRPr="00975C02">
        <w:rPr>
          <w:kern w:val="2"/>
          <w:sz w:val="20"/>
          <w:szCs w:val="20"/>
          <w:lang w:val="es-ES" w:eastAsia="en-US"/>
        </w:rPr>
        <w:t xml:space="preserve"> sexual, sino que las salas de entrevistas y</w:t>
      </w:r>
      <w:r w:rsidR="00B47822" w:rsidRPr="00975C02">
        <w:rPr>
          <w:kern w:val="2"/>
          <w:sz w:val="20"/>
          <w:szCs w:val="20"/>
          <w:lang w:val="es-ES" w:eastAsia="en-US"/>
        </w:rPr>
        <w:t>,</w:t>
      </w:r>
      <w:r w:rsidR="005E0CFA" w:rsidRPr="00975C02">
        <w:rPr>
          <w:kern w:val="2"/>
          <w:sz w:val="20"/>
          <w:szCs w:val="20"/>
          <w:lang w:val="es-ES" w:eastAsia="en-US"/>
        </w:rPr>
        <w:t xml:space="preserve"> en particular, de revisiones médicas, representen un entorno seguro, adecuado y no intimidatorio, hostil o insensible para la niña. De ahí la importancia de que constituyan ambientes que generen en la niña la confianza y protección necesaria, que pro</w:t>
      </w:r>
      <w:r w:rsidRPr="00975C02">
        <w:rPr>
          <w:kern w:val="2"/>
          <w:sz w:val="20"/>
          <w:szCs w:val="20"/>
          <w:lang w:val="es-ES" w:eastAsia="en-US"/>
        </w:rPr>
        <w:t>teja su intimidad y privacidad.</w:t>
      </w:r>
    </w:p>
    <w:p w14:paraId="075E9E7A" w14:textId="77777777" w:rsidR="005E0CFA" w:rsidRPr="00975C02" w:rsidRDefault="005E0CFA" w:rsidP="005E0CFA">
      <w:pPr>
        <w:widowControl/>
        <w:adjustRightInd/>
        <w:spacing w:line="240" w:lineRule="auto"/>
        <w:jc w:val="left"/>
        <w:textAlignment w:val="auto"/>
        <w:rPr>
          <w:kern w:val="2"/>
          <w:sz w:val="20"/>
          <w:szCs w:val="20"/>
          <w:lang w:val="es-ES" w:eastAsia="en-US"/>
        </w:rPr>
      </w:pPr>
    </w:p>
    <w:p w14:paraId="53F25D99" w14:textId="7F56FEC1" w:rsidR="005E0CFA" w:rsidRPr="00975C02" w:rsidRDefault="005E0CFA" w:rsidP="005E0CFA">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En </w:t>
      </w:r>
      <w:r w:rsidR="00D2788D" w:rsidRPr="00975C02">
        <w:rPr>
          <w:kern w:val="2"/>
          <w:sz w:val="20"/>
          <w:szCs w:val="20"/>
          <w:lang w:val="es-ES" w:eastAsia="en-US"/>
        </w:rPr>
        <w:t>esta línea</w:t>
      </w:r>
      <w:r w:rsidRPr="00975C02">
        <w:rPr>
          <w:kern w:val="2"/>
          <w:sz w:val="20"/>
          <w:szCs w:val="20"/>
          <w:lang w:val="es-ES" w:eastAsia="en-US"/>
        </w:rPr>
        <w:t>,</w:t>
      </w:r>
      <w:r w:rsidR="00D2788D" w:rsidRPr="00975C02">
        <w:rPr>
          <w:kern w:val="2"/>
          <w:sz w:val="20"/>
          <w:szCs w:val="20"/>
          <w:lang w:val="es-ES" w:eastAsia="en-US"/>
        </w:rPr>
        <w:t xml:space="preserve"> la Corte </w:t>
      </w:r>
      <w:r w:rsidRPr="00975C02">
        <w:rPr>
          <w:kern w:val="2"/>
          <w:sz w:val="20"/>
          <w:szCs w:val="20"/>
          <w:lang w:val="es-ES" w:eastAsia="en-US"/>
        </w:rPr>
        <w:t>considera que la presencia de</w:t>
      </w:r>
      <w:r w:rsidR="002F42DF" w:rsidRPr="00975C02">
        <w:rPr>
          <w:kern w:val="2"/>
          <w:sz w:val="20"/>
          <w:szCs w:val="20"/>
          <w:lang w:val="es-ES" w:eastAsia="en-US"/>
        </w:rPr>
        <w:t xml:space="preserve"> una multiplicidad de</w:t>
      </w:r>
      <w:r w:rsidRPr="00975C02">
        <w:rPr>
          <w:kern w:val="2"/>
          <w:sz w:val="20"/>
          <w:szCs w:val="20"/>
          <w:lang w:val="es-ES" w:eastAsia="en-US"/>
        </w:rPr>
        <w:t xml:space="preserve"> persona</w:t>
      </w:r>
      <w:r w:rsidR="002F42DF" w:rsidRPr="00975C02">
        <w:rPr>
          <w:kern w:val="2"/>
          <w:sz w:val="20"/>
          <w:szCs w:val="20"/>
          <w:lang w:val="es-ES" w:eastAsia="en-US"/>
        </w:rPr>
        <w:t>s</w:t>
      </w:r>
      <w:r w:rsidRPr="00975C02">
        <w:rPr>
          <w:kern w:val="2"/>
          <w:sz w:val="20"/>
          <w:szCs w:val="20"/>
          <w:lang w:val="es-ES" w:eastAsia="en-US"/>
        </w:rPr>
        <w:t xml:space="preserve"> durante la revisión ginecológica de una niña de nueve años víctima de </w:t>
      </w:r>
      <w:r w:rsidR="0076442B">
        <w:rPr>
          <w:kern w:val="2"/>
          <w:sz w:val="20"/>
          <w:szCs w:val="20"/>
          <w:lang w:val="es-ES" w:eastAsia="en-US"/>
        </w:rPr>
        <w:t>violación</w:t>
      </w:r>
      <w:r w:rsidRPr="00975C02">
        <w:rPr>
          <w:kern w:val="2"/>
          <w:sz w:val="20"/>
          <w:szCs w:val="20"/>
          <w:lang w:val="es-ES" w:eastAsia="en-US"/>
        </w:rPr>
        <w:t xml:space="preserve"> sexual, es contraria a los estándares en la materia, pues la niña se encuentra desnuda, exponiendo sus genitales ante un grupo de personas a quienes no les correspondía estar presentes en una diligencia de dicha naturaleza, lo que implica una intromisión arbitraria en su vida privada e intimidad. La Corte estima que este tipo de exámenes deben ser llevados a cabo en una sola oportunidad, por un médico capacitado en la materia y experto en casos de niñas víctimas de abuso</w:t>
      </w:r>
      <w:r w:rsidR="0076442B">
        <w:rPr>
          <w:kern w:val="2"/>
          <w:sz w:val="20"/>
          <w:szCs w:val="20"/>
          <w:lang w:val="es-ES" w:eastAsia="en-US"/>
        </w:rPr>
        <w:t xml:space="preserve"> y violación</w:t>
      </w:r>
      <w:r w:rsidRPr="00975C02">
        <w:rPr>
          <w:kern w:val="2"/>
          <w:sz w:val="20"/>
          <w:szCs w:val="20"/>
          <w:lang w:val="es-ES" w:eastAsia="en-US"/>
        </w:rPr>
        <w:t xml:space="preserve"> sexual, y con la presencia de las personas estrictamente necesarias (</w:t>
      </w:r>
      <w:r w:rsidRPr="00975C02">
        <w:rPr>
          <w:i/>
          <w:kern w:val="2"/>
          <w:sz w:val="20"/>
          <w:szCs w:val="20"/>
          <w:lang w:val="es-ES" w:eastAsia="en-US"/>
        </w:rPr>
        <w:t>supra</w:t>
      </w:r>
      <w:r w:rsidRPr="00975C02">
        <w:rPr>
          <w:kern w:val="2"/>
          <w:sz w:val="20"/>
          <w:szCs w:val="20"/>
          <w:lang w:val="es-ES" w:eastAsia="en-US"/>
        </w:rPr>
        <w:t xml:space="preserve"> párr. </w:t>
      </w:r>
      <w:r w:rsidR="003A3D9D" w:rsidRPr="00975C02">
        <w:rPr>
          <w:kern w:val="2"/>
          <w:sz w:val="20"/>
          <w:szCs w:val="20"/>
          <w:lang w:val="es-ES" w:eastAsia="en-US"/>
        </w:rPr>
        <w:t>169</w:t>
      </w:r>
      <w:r w:rsidRPr="00975C02">
        <w:rPr>
          <w:kern w:val="2"/>
          <w:sz w:val="20"/>
          <w:szCs w:val="20"/>
          <w:lang w:val="es-ES" w:eastAsia="en-US"/>
        </w:rPr>
        <w:t xml:space="preserve">). El Tribunal entiende que este acto, especialmente grave, en contravención de la debida diligencia, expuso a V.R.P. a una situación </w:t>
      </w:r>
      <w:r w:rsidRPr="00975C02">
        <w:rPr>
          <w:kern w:val="2"/>
          <w:sz w:val="20"/>
          <w:szCs w:val="20"/>
          <w:lang w:val="es-ES" w:eastAsia="en-US"/>
        </w:rPr>
        <w:lastRenderedPageBreak/>
        <w:t>de reactualización del trauma existente y denota la falta de profesionalización en la materia del forense a cargo de dicha diligencia. La Corte considera irrelevante si la madre solicitó la presencia de todo el personal que participó durante dicho examen</w:t>
      </w:r>
      <w:r w:rsidRPr="00975C02">
        <w:rPr>
          <w:kern w:val="2"/>
          <w:sz w:val="20"/>
          <w:szCs w:val="20"/>
          <w:vertAlign w:val="superscript"/>
          <w:lang w:val="es-ES" w:eastAsia="en-US"/>
        </w:rPr>
        <w:footnoteReference w:id="263"/>
      </w:r>
      <w:r w:rsidRPr="00975C02">
        <w:rPr>
          <w:kern w:val="2"/>
          <w:sz w:val="20"/>
          <w:szCs w:val="20"/>
          <w:lang w:val="es-ES" w:eastAsia="en-US"/>
        </w:rPr>
        <w:t xml:space="preserve"> y ello no desvirtúa responsabilidad del Estado, ya que es el Estado quien debe adoptar las medidas de protección necesarias para que sus instituciones actúen bajo el principio del interés superior de la niña, y eviten que diligencias</w:t>
      </w:r>
      <w:r w:rsidR="00B47822" w:rsidRPr="00975C02">
        <w:rPr>
          <w:kern w:val="2"/>
          <w:sz w:val="20"/>
          <w:szCs w:val="20"/>
          <w:lang w:val="es-ES" w:eastAsia="en-US"/>
        </w:rPr>
        <w:t>,</w:t>
      </w:r>
      <w:r w:rsidRPr="00975C02">
        <w:rPr>
          <w:kern w:val="2"/>
          <w:sz w:val="20"/>
          <w:szCs w:val="20"/>
          <w:lang w:val="es-ES" w:eastAsia="en-US"/>
        </w:rPr>
        <w:t xml:space="preserve"> que de por sí pueden traer consigo elementos de reactualización del trauma, constituyan un a</w:t>
      </w:r>
      <w:r w:rsidR="00C003A2" w:rsidRPr="00975C02">
        <w:rPr>
          <w:kern w:val="2"/>
          <w:sz w:val="20"/>
          <w:szCs w:val="20"/>
          <w:lang w:val="es-ES" w:eastAsia="en-US"/>
        </w:rPr>
        <w:t>cto de violencia institucional.</w:t>
      </w:r>
    </w:p>
    <w:p w14:paraId="13FDA807" w14:textId="77777777" w:rsidR="005E0CFA" w:rsidRPr="00975C02" w:rsidRDefault="005E0CFA" w:rsidP="00B5625C">
      <w:pPr>
        <w:widowControl/>
        <w:adjustRightInd/>
        <w:spacing w:line="240" w:lineRule="auto"/>
        <w:jc w:val="left"/>
        <w:textAlignment w:val="auto"/>
        <w:rPr>
          <w:kern w:val="2"/>
          <w:sz w:val="20"/>
          <w:szCs w:val="20"/>
          <w:lang w:val="es-ES" w:eastAsia="en-US"/>
        </w:rPr>
      </w:pPr>
    </w:p>
    <w:p w14:paraId="0523C82C" w14:textId="2FD85C13" w:rsidR="00CD565D" w:rsidRPr="00975C02" w:rsidRDefault="00185F9F"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Aunado a ello</w:t>
      </w:r>
      <w:r w:rsidR="00B5625C" w:rsidRPr="00975C02">
        <w:rPr>
          <w:kern w:val="2"/>
          <w:sz w:val="20"/>
          <w:szCs w:val="20"/>
          <w:lang w:val="es-ES" w:eastAsia="en-US"/>
        </w:rPr>
        <w:t xml:space="preserve">, </w:t>
      </w:r>
      <w:r w:rsidR="00545CA0" w:rsidRPr="00975C02">
        <w:rPr>
          <w:kern w:val="2"/>
          <w:sz w:val="20"/>
          <w:szCs w:val="20"/>
          <w:lang w:val="es-ES" w:eastAsia="en-US"/>
        </w:rPr>
        <w:t xml:space="preserve">surge </w:t>
      </w:r>
      <w:r w:rsidR="00B5625C" w:rsidRPr="00975C02">
        <w:rPr>
          <w:kern w:val="2"/>
          <w:sz w:val="20"/>
          <w:szCs w:val="20"/>
          <w:lang w:val="es-ES" w:eastAsia="en-US"/>
        </w:rPr>
        <w:t>de las declaraciones de V.R.P. y V.P.C. ante esta Corte, así como de las quejas interpuestas a nivel interno contra el médico forense</w:t>
      </w:r>
      <w:r w:rsidR="00545CA0" w:rsidRPr="00975C02">
        <w:rPr>
          <w:kern w:val="2"/>
          <w:sz w:val="20"/>
          <w:szCs w:val="20"/>
          <w:lang w:val="es-ES" w:eastAsia="en-US"/>
        </w:rPr>
        <w:t>, que</w:t>
      </w:r>
      <w:r w:rsidR="00B5625C" w:rsidRPr="00975C02">
        <w:rPr>
          <w:kern w:val="2"/>
          <w:sz w:val="20"/>
          <w:szCs w:val="20"/>
          <w:lang w:val="es-ES" w:eastAsia="en-US"/>
        </w:rPr>
        <w:t xml:space="preserve"> la actuación del funcionario de salud durante la diligencia fue </w:t>
      </w:r>
      <w:r w:rsidR="00894B93" w:rsidRPr="00975C02">
        <w:rPr>
          <w:kern w:val="2"/>
          <w:sz w:val="20"/>
          <w:szCs w:val="20"/>
          <w:lang w:val="es-ES" w:eastAsia="en-US"/>
        </w:rPr>
        <w:t>revictimizante</w:t>
      </w:r>
      <w:r w:rsidR="00B5625C" w:rsidRPr="00975C02">
        <w:rPr>
          <w:kern w:val="2"/>
          <w:sz w:val="20"/>
          <w:szCs w:val="20"/>
          <w:lang w:val="es-ES" w:eastAsia="en-US"/>
        </w:rPr>
        <w:t>, contraria al interés superior de V.R.P</w:t>
      </w:r>
      <w:r w:rsidR="00B47822" w:rsidRPr="00975C02">
        <w:rPr>
          <w:kern w:val="2"/>
          <w:sz w:val="20"/>
          <w:szCs w:val="20"/>
          <w:lang w:val="es-ES" w:eastAsia="en-US"/>
        </w:rPr>
        <w:t>.</w:t>
      </w:r>
      <w:r w:rsidR="00B5625C" w:rsidRPr="00975C02">
        <w:rPr>
          <w:kern w:val="2"/>
          <w:sz w:val="20"/>
          <w:szCs w:val="20"/>
          <w:lang w:val="es-ES" w:eastAsia="en-US"/>
        </w:rPr>
        <w:t xml:space="preserve"> y su derecho a ser oída, y contravino el deber reforzado de protección debida a favor de l</w:t>
      </w:r>
      <w:r w:rsidR="00B47822" w:rsidRPr="00975C02">
        <w:rPr>
          <w:kern w:val="2"/>
          <w:sz w:val="20"/>
          <w:szCs w:val="20"/>
          <w:lang w:val="es-ES" w:eastAsia="en-US"/>
        </w:rPr>
        <w:t>a</w:t>
      </w:r>
      <w:r w:rsidR="00B5625C" w:rsidRPr="00975C02">
        <w:rPr>
          <w:kern w:val="2"/>
          <w:sz w:val="20"/>
          <w:szCs w:val="20"/>
          <w:lang w:val="es-ES" w:eastAsia="en-US"/>
        </w:rPr>
        <w:t>s niñ</w:t>
      </w:r>
      <w:r w:rsidR="00B47822" w:rsidRPr="00975C02">
        <w:rPr>
          <w:kern w:val="2"/>
          <w:sz w:val="20"/>
          <w:szCs w:val="20"/>
          <w:lang w:val="es-ES" w:eastAsia="en-US"/>
        </w:rPr>
        <w:t>a</w:t>
      </w:r>
      <w:r w:rsidR="00B5625C" w:rsidRPr="00975C02">
        <w:rPr>
          <w:kern w:val="2"/>
          <w:sz w:val="20"/>
          <w:szCs w:val="20"/>
          <w:lang w:val="es-ES" w:eastAsia="en-US"/>
        </w:rPr>
        <w:t>s, niñ</w:t>
      </w:r>
      <w:r w:rsidR="00B47822" w:rsidRPr="00975C02">
        <w:rPr>
          <w:kern w:val="2"/>
          <w:sz w:val="20"/>
          <w:szCs w:val="20"/>
          <w:lang w:val="es-ES" w:eastAsia="en-US"/>
        </w:rPr>
        <w:t>o</w:t>
      </w:r>
      <w:r w:rsidR="00B5625C" w:rsidRPr="00975C02">
        <w:rPr>
          <w:kern w:val="2"/>
          <w:sz w:val="20"/>
          <w:szCs w:val="20"/>
          <w:lang w:val="es-ES" w:eastAsia="en-US"/>
        </w:rPr>
        <w:t xml:space="preserve">s y adolescentes víctimas de </w:t>
      </w:r>
      <w:r w:rsidR="00545CA0" w:rsidRPr="00975C02">
        <w:rPr>
          <w:kern w:val="2"/>
          <w:sz w:val="20"/>
          <w:szCs w:val="20"/>
          <w:lang w:val="es-ES" w:eastAsia="en-US"/>
        </w:rPr>
        <w:t>violencia</w:t>
      </w:r>
      <w:r w:rsidR="00B5625C" w:rsidRPr="00975C02">
        <w:rPr>
          <w:kern w:val="2"/>
          <w:sz w:val="20"/>
          <w:szCs w:val="20"/>
          <w:lang w:val="es-ES" w:eastAsia="en-US"/>
        </w:rPr>
        <w:t xml:space="preserve"> sexual. En efecto, la Corte constata que la señora V.P.C. presentó una queja ante </w:t>
      </w:r>
      <w:r w:rsidR="00B47822" w:rsidRPr="00975C02">
        <w:rPr>
          <w:kern w:val="2"/>
          <w:sz w:val="20"/>
          <w:szCs w:val="20"/>
          <w:lang w:val="es-ES" w:eastAsia="en-US"/>
        </w:rPr>
        <w:t xml:space="preserve">el </w:t>
      </w:r>
      <w:r w:rsidR="00B5625C" w:rsidRPr="00975C02">
        <w:rPr>
          <w:kern w:val="2"/>
          <w:sz w:val="20"/>
          <w:szCs w:val="20"/>
          <w:lang w:val="es-ES" w:eastAsia="en-US"/>
        </w:rPr>
        <w:t>Director del Sistema Local de Atención Integral en Salud (SILAIS) del Departamento de Jinotega, mediante la cual expuso que existió un “comportamiento antiético, grotesco y vulgar” por parte del profesional médico interviniente, al momento de examinar a su hija</w:t>
      </w:r>
      <w:r w:rsidR="00B47822" w:rsidRPr="00975C02">
        <w:rPr>
          <w:kern w:val="2"/>
          <w:sz w:val="20"/>
          <w:szCs w:val="20"/>
          <w:lang w:val="es-ES" w:eastAsia="en-US"/>
        </w:rPr>
        <w:t>,</w:t>
      </w:r>
      <w:r w:rsidR="00B5625C" w:rsidRPr="00975C02">
        <w:rPr>
          <w:kern w:val="2"/>
          <w:sz w:val="20"/>
          <w:szCs w:val="20"/>
          <w:lang w:val="es-ES" w:eastAsia="en-US"/>
        </w:rPr>
        <w:t xml:space="preserve"> ya que el médico habría proferido que la niña “tenía que someterse al trato vulgar de él y que ni siquiera tenía derecho a dar[le] algún sedante”</w:t>
      </w:r>
      <w:r w:rsidR="00B5625C" w:rsidRPr="00975C02">
        <w:rPr>
          <w:kern w:val="2"/>
          <w:sz w:val="20"/>
          <w:szCs w:val="20"/>
          <w:vertAlign w:val="superscript"/>
          <w:lang w:val="es-ES" w:eastAsia="en-US"/>
        </w:rPr>
        <w:footnoteReference w:id="264"/>
      </w:r>
      <w:r w:rsidR="00B5625C" w:rsidRPr="00975C02">
        <w:rPr>
          <w:kern w:val="2"/>
          <w:sz w:val="20"/>
          <w:szCs w:val="20"/>
          <w:lang w:val="es-ES" w:eastAsia="en-US"/>
        </w:rPr>
        <w:t>. Asimismo, presentó un escrito en contra de dicho galeno ante la Comisión Disciplinaria de la Corte Suprema de Justicia en ese mismo sentido</w:t>
      </w:r>
      <w:r w:rsidR="008C14F4" w:rsidRPr="00975C02">
        <w:rPr>
          <w:kern w:val="2"/>
          <w:sz w:val="20"/>
          <w:szCs w:val="20"/>
          <w:lang w:val="es-ES" w:eastAsia="en-US"/>
        </w:rPr>
        <w:t xml:space="preserve"> (</w:t>
      </w:r>
      <w:r w:rsidR="008C14F4" w:rsidRPr="00975C02">
        <w:rPr>
          <w:i/>
          <w:kern w:val="2"/>
          <w:sz w:val="20"/>
          <w:szCs w:val="20"/>
          <w:lang w:val="es-ES" w:eastAsia="en-US"/>
        </w:rPr>
        <w:t>supra</w:t>
      </w:r>
      <w:r w:rsidR="008C14F4" w:rsidRPr="00975C02">
        <w:rPr>
          <w:kern w:val="2"/>
          <w:sz w:val="20"/>
          <w:szCs w:val="20"/>
          <w:lang w:val="es-ES" w:eastAsia="en-US"/>
        </w:rPr>
        <w:t xml:space="preserve"> párr. 127)</w:t>
      </w:r>
      <w:r w:rsidR="00B5625C" w:rsidRPr="00975C02">
        <w:rPr>
          <w:kern w:val="2"/>
          <w:sz w:val="20"/>
          <w:szCs w:val="20"/>
          <w:lang w:val="es-ES" w:eastAsia="en-US"/>
        </w:rPr>
        <w:t>. Asimismo, no s</w:t>
      </w:r>
      <w:r w:rsidR="00B47822" w:rsidRPr="00975C02">
        <w:rPr>
          <w:kern w:val="2"/>
          <w:sz w:val="20"/>
          <w:szCs w:val="20"/>
          <w:lang w:val="es-ES" w:eastAsia="en-US"/>
        </w:rPr>
        <w:t>ó</w:t>
      </w:r>
      <w:r w:rsidR="00B5625C" w:rsidRPr="00975C02">
        <w:rPr>
          <w:kern w:val="2"/>
          <w:sz w:val="20"/>
          <w:szCs w:val="20"/>
          <w:lang w:val="es-ES" w:eastAsia="en-US"/>
        </w:rPr>
        <w:t>lo solicitó que la forense suplente hiciera el dictamen con motivo del actuar del médico, sino que resaltó que “[</w:t>
      </w:r>
      <w:r w:rsidR="0003095B" w:rsidRPr="00975C02">
        <w:rPr>
          <w:kern w:val="2"/>
          <w:sz w:val="20"/>
          <w:szCs w:val="20"/>
          <w:lang w:val="es-ES" w:eastAsia="en-US"/>
        </w:rPr>
        <w:t>el médico</w:t>
      </w:r>
      <w:r w:rsidR="00B5625C" w:rsidRPr="00975C02">
        <w:rPr>
          <w:kern w:val="2"/>
          <w:sz w:val="20"/>
          <w:szCs w:val="20"/>
          <w:lang w:val="es-ES" w:eastAsia="en-US"/>
        </w:rPr>
        <w:t>] se encontraba fuera de sí, lo que puso nerviosa a [su] hija y por ello [su] renuencia a que él específicamente se lo hiciera”</w:t>
      </w:r>
      <w:r w:rsidR="00B5625C" w:rsidRPr="00975C02">
        <w:rPr>
          <w:kern w:val="2"/>
          <w:sz w:val="20"/>
          <w:szCs w:val="20"/>
          <w:vertAlign w:val="superscript"/>
          <w:lang w:val="es-ES" w:eastAsia="en-US"/>
        </w:rPr>
        <w:footnoteReference w:id="265"/>
      </w:r>
      <w:r w:rsidR="00B5625C" w:rsidRPr="00975C02">
        <w:rPr>
          <w:kern w:val="2"/>
          <w:sz w:val="20"/>
          <w:szCs w:val="20"/>
          <w:lang w:val="es-ES" w:eastAsia="en-US"/>
        </w:rPr>
        <w:t xml:space="preserve">. </w:t>
      </w:r>
      <w:r w:rsidR="00E12E88" w:rsidRPr="00975C02">
        <w:rPr>
          <w:kern w:val="2"/>
          <w:sz w:val="20"/>
          <w:szCs w:val="20"/>
          <w:lang w:val="es-ES" w:eastAsia="en-US"/>
        </w:rPr>
        <w:t xml:space="preserve">La señora </w:t>
      </w:r>
      <w:r w:rsidR="00B5625C" w:rsidRPr="00975C02">
        <w:rPr>
          <w:kern w:val="2"/>
          <w:sz w:val="20"/>
          <w:szCs w:val="20"/>
          <w:lang w:val="es-ES" w:eastAsia="en-US"/>
        </w:rPr>
        <w:t xml:space="preserve">V.P.C. declaró que el médico no permitió ponerle una colcha debajo de la niña para alivianar sus heridas, y ante la renuencia de V.R.P. a someterse al examen, luego de gritos y llantos, el médico señaló que “si ella no se va a dejar examinar, porque las niñas del campo normalmente lo hacen, vienen aquí, abren las piernas y yo les hago los exámenes y ellas no se quejan […] </w:t>
      </w:r>
      <w:r w:rsidR="00E12E88" w:rsidRPr="00975C02">
        <w:rPr>
          <w:kern w:val="2"/>
          <w:sz w:val="20"/>
          <w:szCs w:val="20"/>
          <w:lang w:val="es-ES" w:eastAsia="en-US"/>
        </w:rPr>
        <w:t>¿Q</w:t>
      </w:r>
      <w:r w:rsidR="00B5625C" w:rsidRPr="00975C02">
        <w:rPr>
          <w:kern w:val="2"/>
          <w:sz w:val="20"/>
          <w:szCs w:val="20"/>
          <w:lang w:val="es-ES" w:eastAsia="en-US"/>
        </w:rPr>
        <w:t>ué va a pasar cuando yo vaya a examinar el ano</w:t>
      </w:r>
      <w:r w:rsidR="00E12E88" w:rsidRPr="00975C02">
        <w:rPr>
          <w:kern w:val="2"/>
          <w:sz w:val="20"/>
          <w:szCs w:val="20"/>
          <w:lang w:val="es-ES" w:eastAsia="en-US"/>
        </w:rPr>
        <w:t>?</w:t>
      </w:r>
      <w:r w:rsidR="00B5625C" w:rsidRPr="00975C02">
        <w:rPr>
          <w:kern w:val="2"/>
          <w:sz w:val="20"/>
          <w:szCs w:val="20"/>
          <w:lang w:val="es-ES" w:eastAsia="en-US"/>
        </w:rPr>
        <w:t>”</w:t>
      </w:r>
      <w:r w:rsidR="00B5625C" w:rsidRPr="00975C02">
        <w:rPr>
          <w:kern w:val="2"/>
          <w:sz w:val="20"/>
          <w:szCs w:val="20"/>
          <w:vertAlign w:val="superscript"/>
          <w:lang w:val="es-ES" w:eastAsia="en-US"/>
        </w:rPr>
        <w:footnoteReference w:id="266"/>
      </w:r>
      <w:r w:rsidR="00B5625C" w:rsidRPr="00975C02">
        <w:rPr>
          <w:kern w:val="2"/>
          <w:sz w:val="20"/>
          <w:szCs w:val="20"/>
          <w:lang w:val="es-ES" w:eastAsia="en-US"/>
        </w:rPr>
        <w:t>. Estas declaraciones fueron corroboradas por la declaración de V.R.P. ante esta Corte, quien además resaltó que</w:t>
      </w:r>
      <w:r w:rsidR="00497035" w:rsidRPr="00975C02">
        <w:rPr>
          <w:kern w:val="2"/>
          <w:sz w:val="20"/>
          <w:szCs w:val="20"/>
          <w:lang w:val="es-ES" w:eastAsia="en-US"/>
        </w:rPr>
        <w:t>,</w:t>
      </w:r>
      <w:r w:rsidR="00B5625C" w:rsidRPr="00975C02">
        <w:rPr>
          <w:kern w:val="2"/>
          <w:sz w:val="20"/>
          <w:szCs w:val="20"/>
          <w:lang w:val="es-ES" w:eastAsia="en-US"/>
        </w:rPr>
        <w:t xml:space="preserve"> ante el maltrato y rudeza del médico al examinarla, sintió “como que había sido violada, pero [le] dijeron que el examen se tenía que hacer para que [su] papá no saliera [de la prisión]”</w:t>
      </w:r>
      <w:r w:rsidR="00B5625C" w:rsidRPr="00975C02">
        <w:rPr>
          <w:kern w:val="2"/>
          <w:sz w:val="20"/>
          <w:szCs w:val="20"/>
          <w:vertAlign w:val="superscript"/>
          <w:lang w:val="es-ES" w:eastAsia="en-US"/>
        </w:rPr>
        <w:footnoteReference w:id="267"/>
      </w:r>
      <w:r w:rsidR="00B5625C" w:rsidRPr="00975C02">
        <w:rPr>
          <w:kern w:val="2"/>
          <w:sz w:val="20"/>
          <w:szCs w:val="20"/>
          <w:lang w:val="es-ES" w:eastAsia="en-US"/>
        </w:rPr>
        <w:t>.</w:t>
      </w:r>
    </w:p>
    <w:p w14:paraId="48C2F93B"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7AE01D94" w14:textId="00436AD5" w:rsidR="000304E8" w:rsidRPr="00975C02" w:rsidRDefault="00B5625C" w:rsidP="000304E8">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 Corte considera que, si bien existe controversia respecto al lenguaje preciso y el contenido de las expresiones del médico legista en contra de V.R.P. (</w:t>
      </w:r>
      <w:r w:rsidRPr="00975C02">
        <w:rPr>
          <w:i/>
          <w:kern w:val="2"/>
          <w:sz w:val="20"/>
          <w:szCs w:val="20"/>
          <w:lang w:val="es-ES" w:eastAsia="en-US"/>
        </w:rPr>
        <w:t xml:space="preserve">supra </w:t>
      </w:r>
      <w:r w:rsidRPr="00975C02">
        <w:rPr>
          <w:kern w:val="2"/>
          <w:sz w:val="20"/>
          <w:szCs w:val="20"/>
          <w:lang w:val="es-ES" w:eastAsia="en-US"/>
        </w:rPr>
        <w:t xml:space="preserve">párr. </w:t>
      </w:r>
      <w:r w:rsidR="00D66702" w:rsidRPr="00975C02">
        <w:rPr>
          <w:kern w:val="2"/>
          <w:sz w:val="20"/>
          <w:szCs w:val="20"/>
          <w:lang w:val="es-ES" w:eastAsia="en-US"/>
        </w:rPr>
        <w:t>146</w:t>
      </w:r>
      <w:r w:rsidRPr="00975C02">
        <w:rPr>
          <w:kern w:val="2"/>
          <w:sz w:val="20"/>
          <w:szCs w:val="20"/>
          <w:lang w:val="es-ES" w:eastAsia="en-US"/>
        </w:rPr>
        <w:t xml:space="preserve">), está comprobado que la niña se negó rotundamente a realizarse el examen y el profesional médico intentó continuar con el </w:t>
      </w:r>
      <w:r w:rsidRPr="00975C02">
        <w:rPr>
          <w:kern w:val="2"/>
          <w:sz w:val="20"/>
          <w:szCs w:val="20"/>
          <w:lang w:val="es-ES" w:eastAsia="en-US"/>
        </w:rPr>
        <w:lastRenderedPageBreak/>
        <w:t>mismo en contra de la voluntad de V.R.P</w:t>
      </w:r>
      <w:r w:rsidR="00036D73" w:rsidRPr="00975C02">
        <w:rPr>
          <w:kern w:val="2"/>
          <w:sz w:val="20"/>
          <w:szCs w:val="20"/>
          <w:lang w:val="es-ES" w:eastAsia="en-US"/>
        </w:rPr>
        <w:t>.</w:t>
      </w:r>
      <w:r w:rsidRPr="00975C02">
        <w:rPr>
          <w:kern w:val="2"/>
          <w:sz w:val="20"/>
          <w:szCs w:val="20"/>
          <w:lang w:val="es-ES" w:eastAsia="en-US"/>
        </w:rPr>
        <w:t>, sin tomar en cuenta su parecer y su consentimiento</w:t>
      </w:r>
      <w:r w:rsidR="00BB7562" w:rsidRPr="00975C02">
        <w:rPr>
          <w:rStyle w:val="FootnoteReference"/>
          <w:kern w:val="2"/>
          <w:sz w:val="20"/>
          <w:szCs w:val="20"/>
          <w:lang w:val="es-ES" w:eastAsia="en-US"/>
        </w:rPr>
        <w:footnoteReference w:id="268"/>
      </w:r>
      <w:r w:rsidRPr="00975C02">
        <w:rPr>
          <w:kern w:val="2"/>
          <w:sz w:val="20"/>
          <w:szCs w:val="20"/>
          <w:lang w:val="es-ES" w:eastAsia="en-US"/>
        </w:rPr>
        <w:t xml:space="preserve">. </w:t>
      </w:r>
      <w:r w:rsidR="000304E8" w:rsidRPr="00975C02">
        <w:rPr>
          <w:kern w:val="2"/>
          <w:sz w:val="20"/>
          <w:szCs w:val="20"/>
          <w:lang w:val="es-ES" w:eastAsia="en-US"/>
        </w:rPr>
        <w:t>Incluso, de la declaración de V.R.P. en audiencia privada ante esta Corte, ella manifestó que la jueza solicitó la cooperación de la niña bajo la premisa de que</w:t>
      </w:r>
      <w:r w:rsidR="00D960A1" w:rsidRPr="00975C02">
        <w:rPr>
          <w:kern w:val="2"/>
          <w:sz w:val="20"/>
          <w:szCs w:val="20"/>
          <w:lang w:val="es-ES" w:eastAsia="en-US"/>
        </w:rPr>
        <w:t>,</w:t>
      </w:r>
      <w:r w:rsidR="000304E8" w:rsidRPr="00975C02">
        <w:rPr>
          <w:kern w:val="2"/>
          <w:sz w:val="20"/>
          <w:szCs w:val="20"/>
          <w:lang w:val="es-ES" w:eastAsia="en-US"/>
        </w:rPr>
        <w:t xml:space="preserve"> si la diligencia no se efectuaba y </w:t>
      </w:r>
      <w:r w:rsidR="00D960A1" w:rsidRPr="00975C02">
        <w:rPr>
          <w:kern w:val="2"/>
          <w:sz w:val="20"/>
          <w:szCs w:val="20"/>
          <w:lang w:val="es-ES" w:eastAsia="en-US"/>
        </w:rPr>
        <w:t>é</w:t>
      </w:r>
      <w:r w:rsidR="000304E8" w:rsidRPr="00975C02">
        <w:rPr>
          <w:kern w:val="2"/>
          <w:sz w:val="20"/>
          <w:szCs w:val="20"/>
          <w:lang w:val="es-ES" w:eastAsia="en-US"/>
        </w:rPr>
        <w:t>sta no cooperaba, su padre saldría en libertad. Asimismo, la madre de V.R.P. presentó</w:t>
      </w:r>
      <w:r w:rsidR="00D960A1" w:rsidRPr="00975C02">
        <w:rPr>
          <w:kern w:val="2"/>
          <w:sz w:val="20"/>
          <w:szCs w:val="20"/>
          <w:lang w:val="es-ES" w:eastAsia="en-US"/>
        </w:rPr>
        <w:t>,</w:t>
      </w:r>
      <w:r w:rsidR="000304E8" w:rsidRPr="00975C02">
        <w:rPr>
          <w:kern w:val="2"/>
          <w:sz w:val="20"/>
          <w:szCs w:val="20"/>
          <w:lang w:val="es-ES" w:eastAsia="en-US"/>
        </w:rPr>
        <w:t xml:space="preserve"> al menos en dos oportunidades (</w:t>
      </w:r>
      <w:r w:rsidR="000304E8" w:rsidRPr="00975C02">
        <w:rPr>
          <w:i/>
          <w:kern w:val="2"/>
          <w:sz w:val="20"/>
          <w:szCs w:val="20"/>
          <w:lang w:val="es-ES" w:eastAsia="en-US"/>
        </w:rPr>
        <w:t>supra</w:t>
      </w:r>
      <w:r w:rsidR="000304E8" w:rsidRPr="00975C02">
        <w:rPr>
          <w:kern w:val="2"/>
          <w:sz w:val="20"/>
          <w:szCs w:val="20"/>
          <w:lang w:val="es-ES" w:eastAsia="en-US"/>
        </w:rPr>
        <w:t xml:space="preserve"> pár</w:t>
      </w:r>
      <w:r w:rsidR="00D960A1" w:rsidRPr="00975C02">
        <w:rPr>
          <w:kern w:val="2"/>
          <w:sz w:val="20"/>
          <w:szCs w:val="20"/>
          <w:lang w:val="es-ES" w:eastAsia="en-US"/>
        </w:rPr>
        <w:t>r</w:t>
      </w:r>
      <w:r w:rsidR="00D66702" w:rsidRPr="00975C02">
        <w:rPr>
          <w:kern w:val="2"/>
          <w:sz w:val="20"/>
          <w:szCs w:val="20"/>
          <w:lang w:val="es-ES" w:eastAsia="en-US"/>
        </w:rPr>
        <w:t>s</w:t>
      </w:r>
      <w:r w:rsidR="000304E8" w:rsidRPr="00975C02">
        <w:rPr>
          <w:kern w:val="2"/>
          <w:sz w:val="20"/>
          <w:szCs w:val="20"/>
          <w:lang w:val="es-ES" w:eastAsia="en-US"/>
        </w:rPr>
        <w:t xml:space="preserve">. </w:t>
      </w:r>
      <w:r w:rsidR="00D66702" w:rsidRPr="00975C02">
        <w:rPr>
          <w:kern w:val="2"/>
          <w:sz w:val="20"/>
          <w:szCs w:val="20"/>
          <w:lang w:val="es-ES" w:eastAsia="en-US"/>
        </w:rPr>
        <w:t>126 y 127</w:t>
      </w:r>
      <w:r w:rsidR="000304E8" w:rsidRPr="00975C02">
        <w:rPr>
          <w:kern w:val="2"/>
          <w:sz w:val="20"/>
          <w:szCs w:val="20"/>
          <w:lang w:val="es-ES" w:eastAsia="en-US"/>
        </w:rPr>
        <w:t>)</w:t>
      </w:r>
      <w:r w:rsidR="00D960A1" w:rsidRPr="00975C02">
        <w:rPr>
          <w:kern w:val="2"/>
          <w:sz w:val="20"/>
          <w:szCs w:val="20"/>
          <w:lang w:val="es-ES" w:eastAsia="en-US"/>
        </w:rPr>
        <w:t>,</w:t>
      </w:r>
      <w:r w:rsidR="000304E8" w:rsidRPr="00975C02">
        <w:rPr>
          <w:kern w:val="2"/>
          <w:sz w:val="20"/>
          <w:szCs w:val="20"/>
          <w:lang w:val="es-ES" w:eastAsia="en-US"/>
        </w:rPr>
        <w:t xml:space="preserve"> quejas a nivel interno a este respecto y de la información proporcionada por el Estado, la presentada ante la Corte Suprema de Justicia no fue tramitada por falta de pruebas, por lo que se ordenó su archivo</w:t>
      </w:r>
      <w:r w:rsidR="00D960A1" w:rsidRPr="00975C02">
        <w:rPr>
          <w:kern w:val="2"/>
          <w:sz w:val="20"/>
          <w:szCs w:val="20"/>
          <w:lang w:val="es-ES" w:eastAsia="en-US"/>
        </w:rPr>
        <w:t xml:space="preserve"> (</w:t>
      </w:r>
      <w:r w:rsidR="00D960A1" w:rsidRPr="00975C02">
        <w:rPr>
          <w:i/>
          <w:kern w:val="2"/>
          <w:sz w:val="20"/>
          <w:szCs w:val="20"/>
          <w:lang w:val="es-ES" w:eastAsia="en-US"/>
        </w:rPr>
        <w:t>supra</w:t>
      </w:r>
      <w:r w:rsidR="00D960A1" w:rsidRPr="00975C02">
        <w:rPr>
          <w:kern w:val="2"/>
          <w:sz w:val="20"/>
          <w:szCs w:val="20"/>
          <w:lang w:val="es-ES" w:eastAsia="en-US"/>
        </w:rPr>
        <w:t xml:space="preserve"> párr. </w:t>
      </w:r>
      <w:r w:rsidR="00D66702" w:rsidRPr="00975C02">
        <w:rPr>
          <w:kern w:val="2"/>
          <w:sz w:val="20"/>
          <w:szCs w:val="20"/>
          <w:lang w:val="es-ES" w:eastAsia="en-US"/>
        </w:rPr>
        <w:t>127</w:t>
      </w:r>
      <w:r w:rsidR="00D960A1" w:rsidRPr="00975C02">
        <w:rPr>
          <w:kern w:val="2"/>
          <w:sz w:val="20"/>
          <w:szCs w:val="20"/>
          <w:lang w:val="es-ES" w:eastAsia="en-US"/>
        </w:rPr>
        <w:t>)</w:t>
      </w:r>
      <w:r w:rsidR="000304E8" w:rsidRPr="00975C02">
        <w:rPr>
          <w:kern w:val="2"/>
          <w:sz w:val="20"/>
          <w:szCs w:val="20"/>
          <w:lang w:val="es-ES" w:eastAsia="en-US"/>
        </w:rPr>
        <w:t>. La presentación de estas quejas, luego de ocurrido el actuar revictimizante del médico forense, demuestra la inconformidad de V.P.C. respecto de la capacidad profesional del galeno, ante lo cual el Estado no solo no dio respuesta, sino que culpabilizó a la niña por no haber contribuido con la realización de la diligencia.</w:t>
      </w:r>
    </w:p>
    <w:p w14:paraId="02DBAC1B" w14:textId="77777777" w:rsidR="00545CA0" w:rsidRPr="00975C02" w:rsidRDefault="00545CA0" w:rsidP="000304E8">
      <w:pPr>
        <w:widowControl/>
        <w:tabs>
          <w:tab w:val="left" w:pos="567"/>
        </w:tabs>
        <w:adjustRightInd/>
        <w:spacing w:line="240" w:lineRule="auto"/>
        <w:textAlignment w:val="auto"/>
        <w:rPr>
          <w:kern w:val="2"/>
          <w:sz w:val="20"/>
          <w:szCs w:val="20"/>
          <w:lang w:val="es-ES" w:eastAsia="en-US"/>
        </w:rPr>
      </w:pPr>
    </w:p>
    <w:p w14:paraId="40664CAB" w14:textId="4F224602" w:rsidR="00B5625C" w:rsidRPr="00975C02" w:rsidRDefault="00B5625C"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Con base en todo lo señalado, la Corte entiende que el médico legista no llevó a cabo la evaluación </w:t>
      </w:r>
      <w:r w:rsidR="005F73CB" w:rsidRPr="00975C02">
        <w:rPr>
          <w:kern w:val="2"/>
          <w:sz w:val="20"/>
          <w:szCs w:val="20"/>
          <w:lang w:val="es-ES" w:eastAsia="en-US"/>
        </w:rPr>
        <w:t xml:space="preserve">médica de forma adecuada </w:t>
      </w:r>
      <w:r w:rsidRPr="00975C02">
        <w:rPr>
          <w:kern w:val="2"/>
          <w:sz w:val="20"/>
          <w:szCs w:val="20"/>
          <w:lang w:val="es-ES" w:eastAsia="en-US"/>
        </w:rPr>
        <w:t>con el trato</w:t>
      </w:r>
      <w:r w:rsidR="005F73CB" w:rsidRPr="00975C02">
        <w:rPr>
          <w:kern w:val="2"/>
          <w:sz w:val="20"/>
          <w:szCs w:val="20"/>
          <w:lang w:val="es-ES" w:eastAsia="en-US"/>
        </w:rPr>
        <w:t xml:space="preserve"> debido</w:t>
      </w:r>
      <w:r w:rsidRPr="00975C02">
        <w:rPr>
          <w:kern w:val="2"/>
          <w:sz w:val="20"/>
          <w:szCs w:val="20"/>
          <w:lang w:val="es-ES" w:eastAsia="en-US"/>
        </w:rPr>
        <w:t xml:space="preserve"> a una niña víctima de violación sexual, reactualizando </w:t>
      </w:r>
      <w:r w:rsidR="006F2074" w:rsidRPr="00975C02">
        <w:rPr>
          <w:kern w:val="2"/>
          <w:sz w:val="20"/>
          <w:szCs w:val="20"/>
          <w:lang w:val="es-ES" w:eastAsia="en-US"/>
        </w:rPr>
        <w:t xml:space="preserve">su </w:t>
      </w:r>
      <w:r w:rsidRPr="00975C02">
        <w:rPr>
          <w:kern w:val="2"/>
          <w:sz w:val="20"/>
          <w:szCs w:val="20"/>
          <w:lang w:val="es-ES" w:eastAsia="en-US"/>
        </w:rPr>
        <w:t>situación traumática, en vez de protegerla y brindarle mecanismos de contención que la hagan sentir</w:t>
      </w:r>
      <w:r w:rsidR="00D960A1" w:rsidRPr="00975C02">
        <w:rPr>
          <w:kern w:val="2"/>
          <w:sz w:val="20"/>
          <w:szCs w:val="20"/>
          <w:lang w:val="es-ES" w:eastAsia="en-US"/>
        </w:rPr>
        <w:t>se</w:t>
      </w:r>
      <w:r w:rsidRPr="00975C02">
        <w:rPr>
          <w:kern w:val="2"/>
          <w:sz w:val="20"/>
          <w:szCs w:val="20"/>
          <w:lang w:val="es-ES" w:eastAsia="en-US"/>
        </w:rPr>
        <w:t xml:space="preserve"> segura, entendida y escuchada en el desarrollo de la diligencia para evitar su revictimización</w:t>
      </w:r>
      <w:r w:rsidRPr="00975C02">
        <w:rPr>
          <w:kern w:val="2"/>
          <w:sz w:val="20"/>
          <w:szCs w:val="20"/>
          <w:vertAlign w:val="superscript"/>
          <w:lang w:val="es-ES" w:eastAsia="en-US"/>
        </w:rPr>
        <w:footnoteReference w:id="269"/>
      </w:r>
      <w:r w:rsidRPr="00975C02">
        <w:rPr>
          <w:kern w:val="2"/>
          <w:sz w:val="20"/>
          <w:szCs w:val="20"/>
          <w:lang w:val="es-ES" w:eastAsia="en-US"/>
        </w:rPr>
        <w:t xml:space="preserve">. </w:t>
      </w:r>
      <w:r w:rsidR="00BB7562" w:rsidRPr="00975C02">
        <w:rPr>
          <w:kern w:val="2"/>
          <w:sz w:val="20"/>
          <w:szCs w:val="20"/>
          <w:lang w:val="es-ES" w:eastAsia="en-US"/>
        </w:rPr>
        <w:t>Aún más,</w:t>
      </w:r>
      <w:r w:rsidR="00D960A1" w:rsidRPr="00975C02">
        <w:rPr>
          <w:kern w:val="2"/>
          <w:sz w:val="20"/>
          <w:szCs w:val="20"/>
          <w:lang w:val="es-ES" w:eastAsia="en-US"/>
        </w:rPr>
        <w:t xml:space="preserve"> para esta Corte,</w:t>
      </w:r>
      <w:r w:rsidR="00BB7562" w:rsidRPr="00975C02">
        <w:rPr>
          <w:kern w:val="2"/>
          <w:sz w:val="20"/>
          <w:szCs w:val="20"/>
          <w:lang w:val="es-ES" w:eastAsia="en-US"/>
        </w:rPr>
        <w:t xml:space="preserve"> la utilización de fuerza para proceder al examen ante la negativa de la víctima </w:t>
      </w:r>
      <w:r w:rsidR="00545CA0" w:rsidRPr="00975C02">
        <w:rPr>
          <w:kern w:val="2"/>
          <w:sz w:val="20"/>
          <w:szCs w:val="20"/>
          <w:lang w:val="es-ES" w:eastAsia="en-US"/>
        </w:rPr>
        <w:t>claramente constituyó un acto de violencia institucional de índole sexual.</w:t>
      </w:r>
    </w:p>
    <w:p w14:paraId="2F981331"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78250BD3" w14:textId="72A939A2" w:rsidR="00B5625C" w:rsidRPr="00975C02" w:rsidRDefault="00DA305A"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Finalmente</w:t>
      </w:r>
      <w:r w:rsidR="00B5625C" w:rsidRPr="00975C02">
        <w:rPr>
          <w:kern w:val="2"/>
          <w:sz w:val="20"/>
          <w:szCs w:val="20"/>
          <w:lang w:val="es-ES" w:eastAsia="en-US"/>
        </w:rPr>
        <w:t>, la Corte comprueba que</w:t>
      </w:r>
      <w:r w:rsidR="00A824D2" w:rsidRPr="00975C02">
        <w:rPr>
          <w:kern w:val="2"/>
          <w:sz w:val="20"/>
          <w:szCs w:val="20"/>
          <w:lang w:val="es-ES" w:eastAsia="en-US"/>
        </w:rPr>
        <w:t>,</w:t>
      </w:r>
      <w:r w:rsidR="00B5625C" w:rsidRPr="00975C02">
        <w:rPr>
          <w:kern w:val="2"/>
          <w:sz w:val="20"/>
          <w:szCs w:val="20"/>
          <w:lang w:val="es-ES" w:eastAsia="en-US"/>
        </w:rPr>
        <w:t xml:space="preserve"> el </w:t>
      </w:r>
      <w:r w:rsidRPr="00975C02">
        <w:rPr>
          <w:kern w:val="2"/>
          <w:sz w:val="20"/>
          <w:szCs w:val="20"/>
          <w:lang w:val="es-ES" w:eastAsia="en-US"/>
        </w:rPr>
        <w:t xml:space="preserve">mismo </w:t>
      </w:r>
      <w:r w:rsidR="00B5625C" w:rsidRPr="00975C02">
        <w:rPr>
          <w:kern w:val="2"/>
          <w:sz w:val="20"/>
          <w:szCs w:val="20"/>
          <w:lang w:val="es-ES" w:eastAsia="en-US"/>
        </w:rPr>
        <w:t xml:space="preserve">día </w:t>
      </w:r>
      <w:r w:rsidRPr="00975C02">
        <w:rPr>
          <w:kern w:val="2"/>
          <w:sz w:val="20"/>
          <w:szCs w:val="20"/>
          <w:lang w:val="es-ES" w:eastAsia="en-US"/>
        </w:rPr>
        <w:t xml:space="preserve">en que se realizó el </w:t>
      </w:r>
      <w:r w:rsidR="00B5625C" w:rsidRPr="00975C02">
        <w:rPr>
          <w:kern w:val="2"/>
          <w:sz w:val="20"/>
          <w:szCs w:val="20"/>
          <w:lang w:val="es-ES" w:eastAsia="en-US"/>
        </w:rPr>
        <w:t>examen por una médica forense en Managua, bajo sedación</w:t>
      </w:r>
      <w:r w:rsidR="004E51EA" w:rsidRPr="00975C02">
        <w:rPr>
          <w:kern w:val="2"/>
          <w:sz w:val="20"/>
          <w:szCs w:val="20"/>
          <w:lang w:val="es-ES" w:eastAsia="en-US"/>
        </w:rPr>
        <w:t xml:space="preserve"> luego de que V.R.P. </w:t>
      </w:r>
      <w:r w:rsidR="00511E89" w:rsidRPr="00975C02">
        <w:rPr>
          <w:kern w:val="2"/>
          <w:sz w:val="20"/>
          <w:szCs w:val="20"/>
          <w:lang w:val="es-ES" w:eastAsia="en-US"/>
        </w:rPr>
        <w:t>expresara</w:t>
      </w:r>
      <w:r w:rsidR="004E51EA" w:rsidRPr="00975C02">
        <w:rPr>
          <w:kern w:val="2"/>
          <w:sz w:val="20"/>
          <w:szCs w:val="20"/>
          <w:lang w:val="es-ES" w:eastAsia="en-US"/>
        </w:rPr>
        <w:t xml:space="preserve"> su </w:t>
      </w:r>
      <w:r w:rsidR="00511E89" w:rsidRPr="00975C02">
        <w:rPr>
          <w:kern w:val="2"/>
          <w:sz w:val="20"/>
          <w:szCs w:val="20"/>
          <w:lang w:val="es-ES" w:eastAsia="en-US"/>
        </w:rPr>
        <w:t>conformidad</w:t>
      </w:r>
      <w:r w:rsidR="00511E89" w:rsidRPr="00975C02">
        <w:rPr>
          <w:rStyle w:val="FootnoteReference"/>
          <w:kern w:val="2"/>
          <w:sz w:val="20"/>
          <w:szCs w:val="20"/>
          <w:lang w:val="es-ES" w:eastAsia="en-US"/>
        </w:rPr>
        <w:footnoteReference w:id="270"/>
      </w:r>
      <w:r w:rsidR="004E51EA" w:rsidRPr="00975C02">
        <w:rPr>
          <w:kern w:val="2"/>
          <w:sz w:val="20"/>
          <w:szCs w:val="20"/>
          <w:lang w:val="es-ES" w:eastAsia="en-US"/>
        </w:rPr>
        <w:t>,</w:t>
      </w:r>
      <w:r w:rsidR="00B5625C" w:rsidRPr="00975C02">
        <w:rPr>
          <w:kern w:val="2"/>
          <w:sz w:val="20"/>
          <w:szCs w:val="20"/>
          <w:lang w:val="es-ES" w:eastAsia="en-US"/>
        </w:rPr>
        <w:t xml:space="preserve"> </w:t>
      </w:r>
      <w:r w:rsidRPr="00975C02">
        <w:rPr>
          <w:kern w:val="2"/>
          <w:sz w:val="20"/>
          <w:szCs w:val="20"/>
          <w:lang w:val="es-ES" w:eastAsia="en-US"/>
        </w:rPr>
        <w:t>el</w:t>
      </w:r>
      <w:r w:rsidR="00B5625C" w:rsidRPr="00975C02">
        <w:rPr>
          <w:kern w:val="2"/>
          <w:sz w:val="20"/>
          <w:szCs w:val="20"/>
          <w:lang w:val="es-ES" w:eastAsia="en-US"/>
        </w:rPr>
        <w:t xml:space="preserve"> padre y presunto agresor</w:t>
      </w:r>
      <w:r w:rsidRPr="00975C02">
        <w:rPr>
          <w:kern w:val="2"/>
          <w:sz w:val="20"/>
          <w:szCs w:val="20"/>
          <w:lang w:val="es-ES" w:eastAsia="en-US"/>
        </w:rPr>
        <w:t xml:space="preserve"> de V.R.P.</w:t>
      </w:r>
      <w:r w:rsidR="00B5625C" w:rsidRPr="00975C02">
        <w:rPr>
          <w:kern w:val="2"/>
          <w:sz w:val="20"/>
          <w:szCs w:val="20"/>
          <w:lang w:val="es-ES" w:eastAsia="en-US"/>
        </w:rPr>
        <w:t xml:space="preserve"> fue citado con el fin de someterse a una examinación médica ante la misma entidad</w:t>
      </w:r>
      <w:r w:rsidRPr="00975C02">
        <w:rPr>
          <w:kern w:val="2"/>
          <w:sz w:val="20"/>
          <w:szCs w:val="20"/>
          <w:lang w:val="es-ES" w:eastAsia="en-US"/>
        </w:rPr>
        <w:t xml:space="preserve"> (</w:t>
      </w:r>
      <w:r w:rsidRPr="00975C02">
        <w:rPr>
          <w:i/>
          <w:kern w:val="2"/>
          <w:sz w:val="20"/>
          <w:szCs w:val="20"/>
          <w:lang w:val="es-ES" w:eastAsia="en-US"/>
        </w:rPr>
        <w:t>supra</w:t>
      </w:r>
      <w:r w:rsidR="00A824D2" w:rsidRPr="00975C02">
        <w:rPr>
          <w:kern w:val="2"/>
          <w:sz w:val="20"/>
          <w:szCs w:val="20"/>
          <w:lang w:val="es-ES" w:eastAsia="en-US"/>
        </w:rPr>
        <w:t xml:space="preserve"> párr. 91</w:t>
      </w:r>
      <w:r w:rsidRPr="00975C02">
        <w:rPr>
          <w:kern w:val="2"/>
          <w:sz w:val="20"/>
          <w:szCs w:val="20"/>
          <w:lang w:val="es-ES" w:eastAsia="en-US"/>
        </w:rPr>
        <w:t>)</w:t>
      </w:r>
      <w:r w:rsidR="00B5625C" w:rsidRPr="00975C02">
        <w:rPr>
          <w:kern w:val="2"/>
          <w:sz w:val="20"/>
          <w:szCs w:val="20"/>
          <w:lang w:val="es-ES" w:eastAsia="en-US"/>
        </w:rPr>
        <w:t xml:space="preserve">. </w:t>
      </w:r>
      <w:r w:rsidRPr="00975C02">
        <w:rPr>
          <w:kern w:val="2"/>
          <w:sz w:val="20"/>
          <w:szCs w:val="20"/>
          <w:lang w:val="es-ES" w:eastAsia="en-US"/>
        </w:rPr>
        <w:t>Al respecto</w:t>
      </w:r>
      <w:r w:rsidR="00B5625C" w:rsidRPr="00975C02">
        <w:rPr>
          <w:kern w:val="2"/>
          <w:sz w:val="20"/>
          <w:szCs w:val="20"/>
          <w:lang w:val="es-ES" w:eastAsia="en-US"/>
        </w:rPr>
        <w:t>, la señora V.P.C. declaró durante la audiencia pública que “[fueron] al Instituto de Medicina Legal y sorpresivamente[,] en ese momento[,] cuando [ellos] llegaron, en la sala estaba el procesado también, que la juez</w:t>
      </w:r>
      <w:r w:rsidR="003C0254" w:rsidRPr="00975C02">
        <w:rPr>
          <w:kern w:val="2"/>
          <w:sz w:val="20"/>
          <w:szCs w:val="20"/>
          <w:lang w:val="es-ES" w:eastAsia="en-US"/>
        </w:rPr>
        <w:t>a</w:t>
      </w:r>
      <w:r w:rsidR="00B5625C" w:rsidRPr="00975C02">
        <w:rPr>
          <w:kern w:val="2"/>
          <w:sz w:val="20"/>
          <w:szCs w:val="20"/>
          <w:lang w:val="es-ES" w:eastAsia="en-US"/>
        </w:rPr>
        <w:t xml:space="preserve"> le había ordenado de que llegara también a hacerse un examen […]”</w:t>
      </w:r>
      <w:r w:rsidR="00FC5879">
        <w:rPr>
          <w:kern w:val="2"/>
          <w:sz w:val="20"/>
          <w:szCs w:val="20"/>
          <w:lang w:val="es-ES" w:eastAsia="en-US"/>
        </w:rPr>
        <w:t>.</w:t>
      </w:r>
      <w:r w:rsidR="00B5625C" w:rsidRPr="00975C02">
        <w:rPr>
          <w:kern w:val="2"/>
          <w:sz w:val="20"/>
          <w:szCs w:val="20"/>
          <w:lang w:val="es-ES" w:eastAsia="en-US"/>
        </w:rPr>
        <w:t xml:space="preserve"> La señora V.P.C. señaló que intentaron evitar que su hija viera al agresor, y no pudo precisar con certeza si ella lo visualizó.</w:t>
      </w:r>
    </w:p>
    <w:p w14:paraId="4043935D"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7B793E68" w14:textId="2B57FEAA" w:rsidR="00B5625C" w:rsidRPr="00975C02" w:rsidRDefault="00DA305A"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Sobre el particular</w:t>
      </w:r>
      <w:r w:rsidR="00B5625C" w:rsidRPr="00975C02">
        <w:rPr>
          <w:kern w:val="2"/>
          <w:sz w:val="20"/>
          <w:szCs w:val="20"/>
          <w:lang w:val="es-ES" w:eastAsia="en-US"/>
        </w:rPr>
        <w:t>,</w:t>
      </w:r>
      <w:r w:rsidRPr="00975C02">
        <w:rPr>
          <w:kern w:val="2"/>
          <w:sz w:val="20"/>
          <w:szCs w:val="20"/>
          <w:lang w:val="es-ES" w:eastAsia="en-US"/>
        </w:rPr>
        <w:t xml:space="preserve"> la Corte resalta que</w:t>
      </w:r>
      <w:r w:rsidR="00B5625C" w:rsidRPr="00975C02">
        <w:rPr>
          <w:kern w:val="2"/>
          <w:sz w:val="20"/>
          <w:szCs w:val="20"/>
          <w:lang w:val="es-ES" w:eastAsia="en-US"/>
        </w:rPr>
        <w:t xml:space="preserve"> los dos peritos que declararon en la audiencia pública del caso coincidieron en señalar que las autoridades a nivel interno, en este caso concreto la jueza a cargo de la investigación, debieron haber </w:t>
      </w:r>
      <w:r w:rsidR="0031520C" w:rsidRPr="00975C02">
        <w:rPr>
          <w:kern w:val="2"/>
          <w:sz w:val="20"/>
          <w:szCs w:val="20"/>
          <w:lang w:val="es-ES" w:eastAsia="en-US"/>
        </w:rPr>
        <w:t xml:space="preserve">adoptado </w:t>
      </w:r>
      <w:r w:rsidR="00B5625C" w:rsidRPr="00975C02">
        <w:rPr>
          <w:kern w:val="2"/>
          <w:sz w:val="20"/>
          <w:szCs w:val="20"/>
          <w:lang w:val="es-ES" w:eastAsia="en-US"/>
        </w:rPr>
        <w:t>las medidas de protección necesarias para evitar que la víctima tenga cualquier tipo de contacto con su perpetrador, por ser revictimizante</w:t>
      </w:r>
      <w:r w:rsidR="000F1648" w:rsidRPr="00975C02">
        <w:rPr>
          <w:kern w:val="2"/>
          <w:sz w:val="20"/>
          <w:szCs w:val="20"/>
          <w:vertAlign w:val="superscript"/>
          <w:lang w:val="es-ES" w:eastAsia="en-US"/>
        </w:rPr>
        <w:footnoteReference w:id="271"/>
      </w:r>
      <w:r w:rsidR="00B5625C" w:rsidRPr="00975C02">
        <w:rPr>
          <w:kern w:val="2"/>
          <w:sz w:val="20"/>
          <w:szCs w:val="20"/>
          <w:lang w:val="es-ES" w:eastAsia="en-US"/>
        </w:rPr>
        <w:t>. E</w:t>
      </w:r>
      <w:r w:rsidR="0031520C" w:rsidRPr="00975C02">
        <w:rPr>
          <w:kern w:val="2"/>
          <w:sz w:val="20"/>
          <w:szCs w:val="20"/>
          <w:lang w:val="es-ES" w:eastAsia="en-US"/>
        </w:rPr>
        <w:t>specíficamente, e</w:t>
      </w:r>
      <w:r w:rsidR="00B5625C" w:rsidRPr="00975C02">
        <w:rPr>
          <w:kern w:val="2"/>
          <w:sz w:val="20"/>
          <w:szCs w:val="20"/>
          <w:lang w:val="es-ES" w:eastAsia="en-US"/>
        </w:rPr>
        <w:t xml:space="preserve">l perito </w:t>
      </w:r>
      <w:r w:rsidR="00A824D2" w:rsidRPr="00975C02">
        <w:rPr>
          <w:kern w:val="2"/>
          <w:sz w:val="20"/>
          <w:szCs w:val="20"/>
          <w:lang w:val="es-ES" w:eastAsia="en-US"/>
        </w:rPr>
        <w:t>Enrique Oscar Stola señaló que:</w:t>
      </w:r>
    </w:p>
    <w:p w14:paraId="755C23FF"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ADDF687" w14:textId="0E91346B" w:rsidR="00B5625C" w:rsidRPr="00240256" w:rsidRDefault="005C259E" w:rsidP="007171C1">
      <w:pPr>
        <w:widowControl/>
        <w:tabs>
          <w:tab w:val="left" w:pos="9072"/>
        </w:tabs>
        <w:adjustRightInd/>
        <w:spacing w:line="240" w:lineRule="auto"/>
        <w:ind w:left="567" w:right="582"/>
        <w:textAlignment w:val="auto"/>
        <w:rPr>
          <w:kern w:val="2"/>
          <w:sz w:val="16"/>
          <w:szCs w:val="16"/>
          <w:lang w:val="es-ES" w:eastAsia="en-US"/>
        </w:rPr>
      </w:pPr>
      <w:r w:rsidRPr="00240256">
        <w:rPr>
          <w:kern w:val="2"/>
          <w:sz w:val="16"/>
          <w:szCs w:val="16"/>
          <w:lang w:val="es-ES" w:eastAsia="en-US"/>
        </w:rPr>
        <w:t xml:space="preserve">[…] </w:t>
      </w:r>
      <w:r w:rsidR="00B5625C" w:rsidRPr="00240256">
        <w:rPr>
          <w:kern w:val="2"/>
          <w:sz w:val="16"/>
          <w:szCs w:val="16"/>
          <w:lang w:val="es-ES" w:eastAsia="en-US"/>
        </w:rPr>
        <w:t>nunca ni niños, ni niñas abusadas, ni mujeres que están sufriendo violencia de género extrema se tienen que encontrar con sus agresores, jamás. Cuando eso se produce, lo único que puede registrar la víctima es el inmenso poder que tiene el agresor, es una cuestión de poder que se está jugando</w:t>
      </w:r>
      <w:r w:rsidR="0031520C" w:rsidRPr="00240256">
        <w:rPr>
          <w:kern w:val="2"/>
          <w:sz w:val="16"/>
          <w:szCs w:val="16"/>
          <w:lang w:val="es-ES" w:eastAsia="en-US"/>
        </w:rPr>
        <w:t xml:space="preserve"> […]</w:t>
      </w:r>
      <w:r w:rsidR="00B5625C" w:rsidRPr="00240256">
        <w:rPr>
          <w:kern w:val="2"/>
          <w:sz w:val="16"/>
          <w:szCs w:val="16"/>
          <w:lang w:val="es-ES" w:eastAsia="en-US"/>
        </w:rPr>
        <w:t>. Entonces</w:t>
      </w:r>
      <w:r w:rsidR="0031520C" w:rsidRPr="00240256">
        <w:rPr>
          <w:kern w:val="2"/>
          <w:sz w:val="16"/>
          <w:szCs w:val="16"/>
          <w:lang w:val="es-ES" w:eastAsia="en-US"/>
        </w:rPr>
        <w:t>,</w:t>
      </w:r>
      <w:r w:rsidR="00B5625C" w:rsidRPr="00240256">
        <w:rPr>
          <w:kern w:val="2"/>
          <w:sz w:val="16"/>
          <w:szCs w:val="16"/>
          <w:lang w:val="es-ES" w:eastAsia="en-US"/>
        </w:rPr>
        <w:t xml:space="preserve"> tiene que ser citado otro día, las víctimas tienen que ir al espacio judicial sabiendo que cuentan con todas </w:t>
      </w:r>
      <w:r w:rsidR="0031520C" w:rsidRPr="00240256">
        <w:rPr>
          <w:kern w:val="2"/>
          <w:sz w:val="16"/>
          <w:szCs w:val="16"/>
          <w:lang w:val="es-ES" w:eastAsia="en-US"/>
        </w:rPr>
        <w:t xml:space="preserve">las </w:t>
      </w:r>
      <w:r w:rsidR="00B5625C" w:rsidRPr="00240256">
        <w:rPr>
          <w:kern w:val="2"/>
          <w:sz w:val="16"/>
          <w:szCs w:val="16"/>
          <w:lang w:val="es-ES" w:eastAsia="en-US"/>
        </w:rPr>
        <w:t>seguridades, que no se van a encontrar con el agresor nunca. El solo hecho que conozcan que está en un piso superior ya produce angustia, inquietud y muchísima tensión. Eso es revictimizante, cualquiera sea la edad de la persona</w:t>
      </w:r>
      <w:r w:rsidR="00B5625C" w:rsidRPr="00240256">
        <w:rPr>
          <w:kern w:val="2"/>
          <w:sz w:val="16"/>
          <w:szCs w:val="16"/>
          <w:vertAlign w:val="superscript"/>
          <w:lang w:val="es-ES" w:eastAsia="en-US"/>
        </w:rPr>
        <w:footnoteReference w:id="272"/>
      </w:r>
      <w:r w:rsidR="00B5625C" w:rsidRPr="00240256">
        <w:rPr>
          <w:kern w:val="2"/>
          <w:sz w:val="16"/>
          <w:szCs w:val="16"/>
          <w:lang w:val="es-ES" w:eastAsia="en-US"/>
        </w:rPr>
        <w:t>.</w:t>
      </w:r>
    </w:p>
    <w:p w14:paraId="604793D9"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34FFE0F2" w14:textId="2EEA0F13" w:rsidR="00B5625C" w:rsidRPr="00975C02" w:rsidRDefault="00B5625C"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En este sentido, la Corte considera que el hecho de que la niña haya visto o no a su padre en el recinto del Instituto de Medicina Legal es irrelevante</w:t>
      </w:r>
      <w:r w:rsidR="0031520C" w:rsidRPr="00975C02">
        <w:rPr>
          <w:kern w:val="2"/>
          <w:sz w:val="20"/>
          <w:szCs w:val="20"/>
          <w:lang w:val="es-ES" w:eastAsia="en-US"/>
        </w:rPr>
        <w:t>,</w:t>
      </w:r>
      <w:r w:rsidRPr="00975C02">
        <w:rPr>
          <w:kern w:val="2"/>
          <w:sz w:val="20"/>
          <w:szCs w:val="20"/>
          <w:lang w:val="es-ES" w:eastAsia="en-US"/>
        </w:rPr>
        <w:t xml:space="preserve"> ya que la autoridad judicial debió haber adoptado las medidas necesarias, </w:t>
      </w:r>
      <w:r w:rsidR="0031520C" w:rsidRPr="00975C02">
        <w:rPr>
          <w:kern w:val="2"/>
          <w:sz w:val="20"/>
          <w:szCs w:val="20"/>
          <w:lang w:val="es-ES" w:eastAsia="en-US"/>
        </w:rPr>
        <w:t>por ejemplo</w:t>
      </w:r>
      <w:r w:rsidRPr="00975C02">
        <w:rPr>
          <w:kern w:val="2"/>
          <w:sz w:val="20"/>
          <w:szCs w:val="20"/>
          <w:lang w:val="es-ES" w:eastAsia="en-US"/>
        </w:rPr>
        <w:t xml:space="preserve"> citarlo en otra oportunidad, para impedir que dicho encuentro suceda. La sola potencialidad de encuentro derivada de la falta de debida diligencia </w:t>
      </w:r>
      <w:r w:rsidR="002740A1" w:rsidRPr="00975C02">
        <w:rPr>
          <w:kern w:val="2"/>
          <w:sz w:val="20"/>
          <w:szCs w:val="20"/>
          <w:lang w:val="es-ES" w:eastAsia="en-US"/>
        </w:rPr>
        <w:t xml:space="preserve">estricta </w:t>
      </w:r>
      <w:r w:rsidRPr="00975C02">
        <w:rPr>
          <w:kern w:val="2"/>
          <w:sz w:val="20"/>
          <w:szCs w:val="20"/>
          <w:lang w:val="es-ES" w:eastAsia="en-US"/>
        </w:rPr>
        <w:t>en el actuar de las autoridades judiciales durante las diligencias de investigación consist</w:t>
      </w:r>
      <w:r w:rsidR="009764EF">
        <w:rPr>
          <w:kern w:val="2"/>
          <w:sz w:val="20"/>
          <w:szCs w:val="20"/>
          <w:lang w:val="es-ES" w:eastAsia="en-US"/>
        </w:rPr>
        <w:t>ió</w:t>
      </w:r>
      <w:r w:rsidRPr="00975C02">
        <w:rPr>
          <w:kern w:val="2"/>
          <w:sz w:val="20"/>
          <w:szCs w:val="20"/>
          <w:lang w:val="es-ES" w:eastAsia="en-US"/>
        </w:rPr>
        <w:t xml:space="preserve"> en un acto de revictimización y un acto de violencia institucional.</w:t>
      </w:r>
    </w:p>
    <w:p w14:paraId="57657A15"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B094D1F" w14:textId="77777777" w:rsidR="00AD1B18" w:rsidRPr="00975C02" w:rsidRDefault="00AD1B18" w:rsidP="00AD1B18">
      <w:pPr>
        <w:pStyle w:val="Heading3"/>
        <w:rPr>
          <w:b w:val="0"/>
          <w:i/>
        </w:rPr>
      </w:pPr>
      <w:bookmarkStart w:id="128" w:name="_Toc514172633"/>
      <w:r w:rsidRPr="00975C02">
        <w:rPr>
          <w:b w:val="0"/>
          <w:i/>
        </w:rPr>
        <w:t xml:space="preserve">A.2.c </w:t>
      </w:r>
      <w:r w:rsidRPr="00975C02">
        <w:rPr>
          <w:b w:val="0"/>
          <w:i/>
        </w:rPr>
        <w:tab/>
        <w:t>La declaración testimonial de V.R.P.</w:t>
      </w:r>
      <w:bookmarkEnd w:id="128"/>
    </w:p>
    <w:p w14:paraId="5EE081C4" w14:textId="77777777" w:rsidR="00AD1B18" w:rsidRPr="00975C02" w:rsidRDefault="00AD1B18" w:rsidP="00B5625C">
      <w:pPr>
        <w:widowControl/>
        <w:adjustRightInd/>
        <w:spacing w:line="240" w:lineRule="auto"/>
        <w:jc w:val="left"/>
        <w:textAlignment w:val="auto"/>
        <w:rPr>
          <w:kern w:val="2"/>
          <w:sz w:val="20"/>
          <w:szCs w:val="20"/>
          <w:lang w:val="es-ES" w:eastAsia="en-US"/>
        </w:rPr>
      </w:pPr>
    </w:p>
    <w:p w14:paraId="65DF1E6F" w14:textId="374D94EB" w:rsidR="00B5625C" w:rsidRPr="00975C02" w:rsidRDefault="002740A1" w:rsidP="009F412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w:t>
      </w:r>
      <w:r w:rsidR="009F412E" w:rsidRPr="00975C02">
        <w:rPr>
          <w:kern w:val="2"/>
          <w:sz w:val="20"/>
          <w:szCs w:val="20"/>
          <w:lang w:val="es-ES" w:eastAsia="en-US"/>
        </w:rPr>
        <w:t>a Corte nota que l</w:t>
      </w:r>
      <w:r w:rsidR="00B5625C" w:rsidRPr="00975C02">
        <w:rPr>
          <w:kern w:val="2"/>
          <w:sz w:val="20"/>
          <w:szCs w:val="20"/>
          <w:lang w:val="es-ES" w:eastAsia="en-US"/>
        </w:rPr>
        <w:t xml:space="preserve">a declaración de V.R.P. fue recibida el 21 de noviembre de 2001, con la presencia de su madre y ante la </w:t>
      </w:r>
      <w:r w:rsidR="003C0254" w:rsidRPr="00975C02">
        <w:rPr>
          <w:kern w:val="2"/>
          <w:sz w:val="20"/>
          <w:szCs w:val="20"/>
          <w:lang w:val="es-ES" w:eastAsia="en-US"/>
        </w:rPr>
        <w:t>Jueza de Distrito de lo Penal</w:t>
      </w:r>
      <w:r w:rsidR="00B5625C" w:rsidRPr="00975C02">
        <w:rPr>
          <w:kern w:val="2"/>
          <w:sz w:val="20"/>
          <w:szCs w:val="20"/>
          <w:lang w:val="es-ES" w:eastAsia="en-US"/>
        </w:rPr>
        <w:t>, en las instalaciones del despacho judicial y sin la participación de un profesional de salud específicamente capacitado en el acompañamiento de este tipo de casos</w:t>
      </w:r>
      <w:r w:rsidR="00B5625C" w:rsidRPr="00975C02">
        <w:rPr>
          <w:kern w:val="2"/>
          <w:sz w:val="20"/>
          <w:szCs w:val="20"/>
          <w:vertAlign w:val="superscript"/>
          <w:lang w:val="es-ES" w:eastAsia="en-US"/>
        </w:rPr>
        <w:footnoteReference w:id="273"/>
      </w:r>
      <w:r w:rsidR="00B5625C" w:rsidRPr="00975C02">
        <w:rPr>
          <w:kern w:val="2"/>
          <w:sz w:val="20"/>
          <w:szCs w:val="20"/>
          <w:lang w:val="es-ES" w:eastAsia="en-US"/>
        </w:rPr>
        <w:t>. A este respecto, la Corte estima que</w:t>
      </w:r>
      <w:r w:rsidR="0031520C" w:rsidRPr="00975C02">
        <w:rPr>
          <w:kern w:val="2"/>
          <w:sz w:val="20"/>
          <w:szCs w:val="20"/>
          <w:lang w:val="es-ES" w:eastAsia="en-US"/>
        </w:rPr>
        <w:t>,</w:t>
      </w:r>
      <w:r w:rsidR="00B5625C" w:rsidRPr="00975C02">
        <w:rPr>
          <w:kern w:val="2"/>
          <w:sz w:val="20"/>
          <w:szCs w:val="20"/>
          <w:lang w:val="es-ES" w:eastAsia="en-US"/>
        </w:rPr>
        <w:t xml:space="preserve"> dependiendo del caso y de la necesidad de </w:t>
      </w:r>
      <w:r w:rsidR="00443303" w:rsidRPr="00975C02">
        <w:rPr>
          <w:kern w:val="2"/>
          <w:sz w:val="20"/>
          <w:szCs w:val="20"/>
          <w:lang w:val="es-ES" w:eastAsia="en-US"/>
        </w:rPr>
        <w:t>recibir</w:t>
      </w:r>
      <w:r w:rsidR="00B5625C" w:rsidRPr="00975C02">
        <w:rPr>
          <w:kern w:val="2"/>
          <w:sz w:val="20"/>
          <w:szCs w:val="20"/>
          <w:lang w:val="es-ES" w:eastAsia="en-US"/>
        </w:rPr>
        <w:t xml:space="preserve"> la declaración de un</w:t>
      </w:r>
      <w:r w:rsidR="00C05D37" w:rsidRPr="00975C02">
        <w:rPr>
          <w:kern w:val="2"/>
          <w:sz w:val="20"/>
          <w:szCs w:val="20"/>
          <w:lang w:val="es-ES" w:eastAsia="en-US"/>
        </w:rPr>
        <w:t>a</w:t>
      </w:r>
      <w:r w:rsidR="00B5625C" w:rsidRPr="00975C02">
        <w:rPr>
          <w:kern w:val="2"/>
          <w:sz w:val="20"/>
          <w:szCs w:val="20"/>
          <w:lang w:val="es-ES" w:eastAsia="en-US"/>
        </w:rPr>
        <w:t xml:space="preserve"> </w:t>
      </w:r>
      <w:r w:rsidR="00F903D6" w:rsidRPr="00975C02">
        <w:rPr>
          <w:kern w:val="2"/>
          <w:sz w:val="20"/>
          <w:szCs w:val="20"/>
          <w:lang w:val="es-ES" w:eastAsia="en-US"/>
        </w:rPr>
        <w:t>niña</w:t>
      </w:r>
      <w:r w:rsidR="00B5625C" w:rsidRPr="00975C02">
        <w:rPr>
          <w:kern w:val="2"/>
          <w:sz w:val="20"/>
          <w:szCs w:val="20"/>
          <w:lang w:val="es-ES" w:eastAsia="en-US"/>
        </w:rPr>
        <w:t xml:space="preserve">, si ésta decide recabarse, se debe hacer </w:t>
      </w:r>
      <w:r w:rsidR="00443303" w:rsidRPr="00975C02">
        <w:rPr>
          <w:kern w:val="2"/>
          <w:sz w:val="20"/>
          <w:szCs w:val="20"/>
          <w:lang w:val="es-ES" w:eastAsia="en-US"/>
        </w:rPr>
        <w:t>generando las condiciones adecuadas para un entorno seguro</w:t>
      </w:r>
      <w:r w:rsidR="00B5625C" w:rsidRPr="00975C02">
        <w:rPr>
          <w:kern w:val="2"/>
          <w:sz w:val="20"/>
          <w:szCs w:val="20"/>
          <w:lang w:val="es-ES" w:eastAsia="en-US"/>
        </w:rPr>
        <w:t>. El Tribunal considera que la declaración de la niña V.R.P. buscó obtener información precisa, confiable y completa sobre los hechos denunciados a través de</w:t>
      </w:r>
      <w:r w:rsidR="0031520C" w:rsidRPr="00975C02">
        <w:rPr>
          <w:kern w:val="2"/>
          <w:sz w:val="20"/>
          <w:szCs w:val="20"/>
          <w:lang w:val="es-ES" w:eastAsia="en-US"/>
        </w:rPr>
        <w:t xml:space="preserve"> su</w:t>
      </w:r>
      <w:r w:rsidR="00B5625C" w:rsidRPr="00975C02">
        <w:rPr>
          <w:kern w:val="2"/>
          <w:sz w:val="20"/>
          <w:szCs w:val="20"/>
          <w:lang w:val="es-ES" w:eastAsia="en-US"/>
        </w:rPr>
        <w:t xml:space="preserve"> relato. La jueza del caso preguntó si V.R.P. se sentía ofendida, por qué y por quién. Ante ello, de la declaración de la niña se denota que su relato fue libre y brindado con sus propias palabras. Sin embargo, la Corte </w:t>
      </w:r>
      <w:r w:rsidR="00251A24">
        <w:rPr>
          <w:kern w:val="2"/>
          <w:sz w:val="20"/>
          <w:szCs w:val="20"/>
          <w:lang w:val="es-ES" w:eastAsia="en-US"/>
        </w:rPr>
        <w:t>nota</w:t>
      </w:r>
      <w:r w:rsidR="00B5625C" w:rsidRPr="00975C02">
        <w:rPr>
          <w:kern w:val="2"/>
          <w:sz w:val="20"/>
          <w:szCs w:val="20"/>
          <w:lang w:val="es-ES" w:eastAsia="en-US"/>
        </w:rPr>
        <w:t xml:space="preserve"> que V.R.P. fue citada al despacho judicial a declarar como si fuera una adulta, la entrevista no se llevó a cabo en un ambiente especialmente acondicionado para este fin y por una profesional específicamente capacitad</w:t>
      </w:r>
      <w:r w:rsidR="0031520C" w:rsidRPr="00975C02">
        <w:rPr>
          <w:kern w:val="2"/>
          <w:sz w:val="20"/>
          <w:szCs w:val="20"/>
          <w:lang w:val="es-ES" w:eastAsia="en-US"/>
        </w:rPr>
        <w:t>a</w:t>
      </w:r>
      <w:r w:rsidR="00B5625C" w:rsidRPr="00975C02">
        <w:rPr>
          <w:kern w:val="2"/>
          <w:sz w:val="20"/>
          <w:szCs w:val="20"/>
          <w:lang w:val="es-ES" w:eastAsia="en-US"/>
        </w:rPr>
        <w:t xml:space="preserve"> para interrogar, interactuar y conducir un intercambio con la </w:t>
      </w:r>
      <w:r w:rsidR="00F903D6" w:rsidRPr="00975C02">
        <w:rPr>
          <w:kern w:val="2"/>
          <w:sz w:val="20"/>
          <w:szCs w:val="20"/>
          <w:lang w:val="es-ES" w:eastAsia="en-US"/>
        </w:rPr>
        <w:t>niña</w:t>
      </w:r>
      <w:r w:rsidR="00B5625C" w:rsidRPr="00975C02">
        <w:rPr>
          <w:kern w:val="2"/>
          <w:sz w:val="20"/>
          <w:szCs w:val="20"/>
          <w:lang w:val="es-ES" w:eastAsia="en-US"/>
        </w:rPr>
        <w:t>. Por ello, es necesario que estas declaraciones sean llevadas a cabo por psicólogos especialistas</w:t>
      </w:r>
      <w:r w:rsidR="000334E9" w:rsidRPr="00975C02">
        <w:rPr>
          <w:kern w:val="2"/>
          <w:sz w:val="20"/>
          <w:szCs w:val="20"/>
          <w:lang w:val="es-ES" w:eastAsia="en-US"/>
        </w:rPr>
        <w:t xml:space="preserve"> o</w:t>
      </w:r>
      <w:r w:rsidR="00B5625C" w:rsidRPr="00975C02">
        <w:rPr>
          <w:kern w:val="2"/>
          <w:sz w:val="20"/>
          <w:szCs w:val="20"/>
          <w:lang w:val="es-ES" w:eastAsia="en-US"/>
        </w:rPr>
        <w:t xml:space="preserve"> profesionales de disciplinas afines específicamente </w:t>
      </w:r>
      <w:r w:rsidR="00443303" w:rsidRPr="00975C02">
        <w:rPr>
          <w:kern w:val="2"/>
          <w:sz w:val="20"/>
          <w:szCs w:val="20"/>
          <w:lang w:val="es-ES" w:eastAsia="en-US"/>
        </w:rPr>
        <w:t>capacitad</w:t>
      </w:r>
      <w:r w:rsidR="0031520C" w:rsidRPr="00975C02">
        <w:rPr>
          <w:kern w:val="2"/>
          <w:sz w:val="20"/>
          <w:szCs w:val="20"/>
          <w:lang w:val="es-ES" w:eastAsia="en-US"/>
        </w:rPr>
        <w:t>o</w:t>
      </w:r>
      <w:r w:rsidR="00443303" w:rsidRPr="00975C02">
        <w:rPr>
          <w:kern w:val="2"/>
          <w:sz w:val="20"/>
          <w:szCs w:val="20"/>
          <w:lang w:val="es-ES" w:eastAsia="en-US"/>
        </w:rPr>
        <w:t>s</w:t>
      </w:r>
      <w:r w:rsidR="00B5625C" w:rsidRPr="00975C02">
        <w:rPr>
          <w:kern w:val="2"/>
          <w:sz w:val="20"/>
          <w:szCs w:val="20"/>
          <w:lang w:val="es-ES" w:eastAsia="en-US"/>
        </w:rPr>
        <w:t xml:space="preserve"> para recibir estos testimonios</w:t>
      </w:r>
      <w:r w:rsidR="00476DA8" w:rsidRPr="00975C02">
        <w:rPr>
          <w:kern w:val="2"/>
          <w:sz w:val="20"/>
          <w:szCs w:val="20"/>
          <w:lang w:val="es-ES" w:eastAsia="en-US"/>
        </w:rPr>
        <w:t>.</w:t>
      </w:r>
      <w:r w:rsidR="00B5625C" w:rsidRPr="00975C02">
        <w:rPr>
          <w:kern w:val="2"/>
          <w:sz w:val="20"/>
          <w:szCs w:val="20"/>
          <w:lang w:val="es-ES" w:eastAsia="en-US"/>
        </w:rPr>
        <w:t xml:space="preserve"> La Corte considera que ninguna de estas salvaguardias fue proporcionada a V.R.P. durante su declaración </w:t>
      </w:r>
      <w:r w:rsidR="0089570C" w:rsidRPr="00975C02">
        <w:rPr>
          <w:kern w:val="2"/>
          <w:sz w:val="20"/>
          <w:szCs w:val="20"/>
          <w:lang w:val="es-ES" w:eastAsia="en-US"/>
        </w:rPr>
        <w:t>rendida en el proceso penal interno</w:t>
      </w:r>
      <w:r w:rsidR="00B5625C" w:rsidRPr="00975C02">
        <w:rPr>
          <w:kern w:val="2"/>
          <w:sz w:val="20"/>
          <w:szCs w:val="20"/>
          <w:lang w:val="es-ES" w:eastAsia="en-US"/>
        </w:rPr>
        <w:t>.</w:t>
      </w:r>
    </w:p>
    <w:p w14:paraId="3B9F672F" w14:textId="77777777" w:rsidR="00B5625C" w:rsidRPr="00975C02" w:rsidRDefault="00B5625C" w:rsidP="00B5625C">
      <w:pPr>
        <w:widowControl/>
        <w:adjustRightInd/>
        <w:spacing w:line="240" w:lineRule="auto"/>
        <w:jc w:val="left"/>
        <w:textAlignment w:val="auto"/>
        <w:rPr>
          <w:i/>
          <w:kern w:val="2"/>
          <w:sz w:val="20"/>
          <w:szCs w:val="20"/>
          <w:lang w:val="es-ES" w:eastAsia="en-US"/>
        </w:rPr>
      </w:pPr>
    </w:p>
    <w:p w14:paraId="6D464E43" w14:textId="77777777" w:rsidR="00B5625C" w:rsidRPr="00975C02" w:rsidRDefault="00A92F94" w:rsidP="00A92F94">
      <w:pPr>
        <w:pStyle w:val="Heading3"/>
        <w:rPr>
          <w:b w:val="0"/>
          <w:i/>
        </w:rPr>
      </w:pPr>
      <w:bookmarkStart w:id="129" w:name="_Toc514172634"/>
      <w:r w:rsidRPr="00975C02">
        <w:rPr>
          <w:b w:val="0"/>
          <w:i/>
        </w:rPr>
        <w:t>A</w:t>
      </w:r>
      <w:r w:rsidR="00AD1B18" w:rsidRPr="00975C02">
        <w:rPr>
          <w:b w:val="0"/>
          <w:i/>
        </w:rPr>
        <w:t>.2.d</w:t>
      </w:r>
      <w:r w:rsidR="00F977EC" w:rsidRPr="00975C02">
        <w:rPr>
          <w:b w:val="0"/>
          <w:i/>
        </w:rPr>
        <w:tab/>
      </w:r>
      <w:r w:rsidR="00B5625C" w:rsidRPr="00975C02">
        <w:rPr>
          <w:b w:val="0"/>
          <w:i/>
        </w:rPr>
        <w:t>La</w:t>
      </w:r>
      <w:r w:rsidR="00CA175F" w:rsidRPr="00975C02">
        <w:rPr>
          <w:b w:val="0"/>
          <w:i/>
        </w:rPr>
        <w:t xml:space="preserve"> participación de la niña V.R.P. en</w:t>
      </w:r>
      <w:r w:rsidR="00B5625C" w:rsidRPr="00975C02">
        <w:rPr>
          <w:b w:val="0"/>
          <w:i/>
        </w:rPr>
        <w:t xml:space="preserve"> </w:t>
      </w:r>
      <w:r w:rsidR="00CA175F" w:rsidRPr="00975C02">
        <w:rPr>
          <w:b w:val="0"/>
          <w:i/>
        </w:rPr>
        <w:t xml:space="preserve">la </w:t>
      </w:r>
      <w:r w:rsidR="00B5625C" w:rsidRPr="00975C02">
        <w:rPr>
          <w:b w:val="0"/>
          <w:i/>
        </w:rPr>
        <w:t>inspección ocular y la reconstrucción de los hechos</w:t>
      </w:r>
      <w:bookmarkEnd w:id="129"/>
    </w:p>
    <w:p w14:paraId="3D355886" w14:textId="77777777" w:rsidR="00B5625C" w:rsidRPr="00975C02" w:rsidRDefault="00B5625C" w:rsidP="00B5625C">
      <w:pPr>
        <w:widowControl/>
        <w:adjustRightInd/>
        <w:spacing w:line="240" w:lineRule="auto"/>
        <w:jc w:val="left"/>
        <w:textAlignment w:val="auto"/>
        <w:rPr>
          <w:i/>
          <w:kern w:val="2"/>
          <w:sz w:val="20"/>
          <w:szCs w:val="20"/>
          <w:lang w:val="es-ES" w:eastAsia="en-US"/>
        </w:rPr>
      </w:pPr>
    </w:p>
    <w:p w14:paraId="4291F402" w14:textId="74C18B01" w:rsidR="00C602E9" w:rsidRPr="00975C02" w:rsidRDefault="00B5625C" w:rsidP="00005FB3">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El 29 de noviembre de 2001 se practicó la diligencia de inspección ocular en el lugar en el que ocurrió la violación sexual de V.R.P. y se procedió a reconstruir los hechos con la participación directa de la niña en la diligencia</w:t>
      </w:r>
      <w:r w:rsidR="00005FB3" w:rsidRPr="00975C02">
        <w:rPr>
          <w:kern w:val="2"/>
          <w:sz w:val="20"/>
          <w:szCs w:val="20"/>
          <w:lang w:val="es-ES" w:eastAsia="en-US"/>
        </w:rPr>
        <w:t xml:space="preserve"> (</w:t>
      </w:r>
      <w:r w:rsidR="00005FB3" w:rsidRPr="00975C02">
        <w:rPr>
          <w:i/>
          <w:kern w:val="2"/>
          <w:sz w:val="20"/>
          <w:szCs w:val="20"/>
          <w:lang w:val="es-ES" w:eastAsia="en-US"/>
        </w:rPr>
        <w:t>supra</w:t>
      </w:r>
      <w:r w:rsidR="00005FB3" w:rsidRPr="00975C02">
        <w:rPr>
          <w:kern w:val="2"/>
          <w:sz w:val="20"/>
          <w:szCs w:val="20"/>
          <w:lang w:val="es-ES" w:eastAsia="en-US"/>
        </w:rPr>
        <w:t xml:space="preserve"> párr. </w:t>
      </w:r>
      <w:r w:rsidR="00316EA1" w:rsidRPr="00975C02">
        <w:rPr>
          <w:kern w:val="2"/>
          <w:sz w:val="20"/>
          <w:szCs w:val="20"/>
          <w:lang w:val="es-ES" w:eastAsia="en-US"/>
        </w:rPr>
        <w:t>88</w:t>
      </w:r>
      <w:r w:rsidR="00005FB3" w:rsidRPr="00975C02">
        <w:rPr>
          <w:kern w:val="2"/>
          <w:sz w:val="20"/>
          <w:szCs w:val="20"/>
          <w:lang w:val="es-ES" w:eastAsia="en-US"/>
        </w:rPr>
        <w:t>)</w:t>
      </w:r>
      <w:r w:rsidRPr="00975C02">
        <w:rPr>
          <w:kern w:val="2"/>
          <w:sz w:val="20"/>
          <w:szCs w:val="20"/>
          <w:lang w:val="es-ES" w:eastAsia="en-US"/>
        </w:rPr>
        <w:t>.</w:t>
      </w:r>
    </w:p>
    <w:p w14:paraId="744AB6B5" w14:textId="77777777" w:rsidR="00C602E9" w:rsidRPr="00975C02" w:rsidRDefault="00C602E9" w:rsidP="00C602E9">
      <w:pPr>
        <w:widowControl/>
        <w:tabs>
          <w:tab w:val="left" w:pos="567"/>
        </w:tabs>
        <w:adjustRightInd/>
        <w:spacing w:line="240" w:lineRule="auto"/>
        <w:textAlignment w:val="auto"/>
        <w:rPr>
          <w:kern w:val="2"/>
          <w:sz w:val="20"/>
          <w:szCs w:val="20"/>
          <w:lang w:val="es-ES" w:eastAsia="en-US"/>
        </w:rPr>
      </w:pPr>
    </w:p>
    <w:p w14:paraId="7150309E" w14:textId="61B31FBC" w:rsidR="00C602E9" w:rsidRPr="00975C02" w:rsidRDefault="00C602E9" w:rsidP="002C5137">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La Corte ha señalado que las niñas víctimas de un delito, especialmente de una violación sexual, deben participar en las diligencias que sean estrictamente necesarias (</w:t>
      </w:r>
      <w:r w:rsidRPr="00975C02">
        <w:rPr>
          <w:i/>
          <w:kern w:val="2"/>
          <w:sz w:val="20"/>
          <w:szCs w:val="20"/>
          <w:lang w:val="es-ES" w:eastAsia="en-US"/>
        </w:rPr>
        <w:t>supra</w:t>
      </w:r>
      <w:r w:rsidRPr="00975C02">
        <w:rPr>
          <w:kern w:val="2"/>
          <w:sz w:val="20"/>
          <w:szCs w:val="20"/>
          <w:lang w:val="es-ES" w:eastAsia="en-US"/>
        </w:rPr>
        <w:t xml:space="preserve"> párr. </w:t>
      </w:r>
      <w:r w:rsidR="00316EA1" w:rsidRPr="00975C02">
        <w:rPr>
          <w:kern w:val="2"/>
          <w:sz w:val="20"/>
          <w:szCs w:val="20"/>
          <w:lang w:val="es-ES" w:eastAsia="en-US"/>
        </w:rPr>
        <w:t>163</w:t>
      </w:r>
      <w:r w:rsidRPr="00975C02">
        <w:rPr>
          <w:kern w:val="2"/>
          <w:sz w:val="20"/>
          <w:szCs w:val="20"/>
          <w:lang w:val="es-ES" w:eastAsia="en-US"/>
        </w:rPr>
        <w:t xml:space="preserve">). </w:t>
      </w:r>
      <w:r w:rsidR="002C5137" w:rsidRPr="00975C02">
        <w:rPr>
          <w:kern w:val="2"/>
          <w:sz w:val="20"/>
          <w:szCs w:val="20"/>
          <w:lang w:val="es-ES" w:eastAsia="en-US"/>
        </w:rPr>
        <w:t>La Corte estima que, en casos como el presente, deben extremarse los recaudos para evitar</w:t>
      </w:r>
      <w:r w:rsidR="002C5137" w:rsidRPr="00975C02">
        <w:rPr>
          <w:i/>
          <w:kern w:val="2"/>
          <w:sz w:val="20"/>
          <w:szCs w:val="20"/>
          <w:lang w:val="es-ES" w:eastAsia="en-US"/>
        </w:rPr>
        <w:t xml:space="preserve"> </w:t>
      </w:r>
      <w:r w:rsidR="002C5137" w:rsidRPr="00975C02">
        <w:rPr>
          <w:kern w:val="2"/>
          <w:sz w:val="20"/>
          <w:szCs w:val="20"/>
          <w:lang w:val="es-ES" w:eastAsia="en-US"/>
        </w:rPr>
        <w:t xml:space="preserve">la revictimización o un impacto traumático. Por ello, es </w:t>
      </w:r>
      <w:r w:rsidRPr="00975C02">
        <w:rPr>
          <w:kern w:val="2"/>
          <w:sz w:val="20"/>
          <w:szCs w:val="20"/>
          <w:lang w:val="es-ES" w:eastAsia="en-US"/>
        </w:rPr>
        <w:t xml:space="preserve">especialmente grave que las autoridades judiciales hayan permitido </w:t>
      </w:r>
      <w:r w:rsidR="002C5137" w:rsidRPr="00975C02">
        <w:rPr>
          <w:kern w:val="2"/>
          <w:sz w:val="20"/>
          <w:szCs w:val="20"/>
          <w:lang w:val="es-ES" w:eastAsia="en-US"/>
        </w:rPr>
        <w:t xml:space="preserve">en el presente caso </w:t>
      </w:r>
      <w:r w:rsidRPr="00975C02">
        <w:rPr>
          <w:kern w:val="2"/>
          <w:sz w:val="20"/>
          <w:szCs w:val="20"/>
          <w:lang w:val="es-ES" w:eastAsia="en-US"/>
        </w:rPr>
        <w:t xml:space="preserve">la realización de una inspección ocular y reconstrucción de los hechos con la participación de </w:t>
      </w:r>
      <w:r w:rsidR="002C5137" w:rsidRPr="00975C02">
        <w:rPr>
          <w:kern w:val="2"/>
          <w:sz w:val="20"/>
          <w:szCs w:val="20"/>
          <w:lang w:val="es-ES" w:eastAsia="en-US"/>
        </w:rPr>
        <w:t>V.R.P., quien contaba en ese momento con</w:t>
      </w:r>
      <w:r w:rsidRPr="00975C02">
        <w:rPr>
          <w:kern w:val="2"/>
          <w:sz w:val="20"/>
          <w:szCs w:val="20"/>
          <w:lang w:val="es-ES" w:eastAsia="en-US"/>
        </w:rPr>
        <w:t xml:space="preserve"> nueve años, es decir una niña de corta edad. Mediante su participación, V.R.P. revivió experiencias sumamente dolorosas y traumáticas, tuvo que narrar nuevamente los hechos, a pesar de que ya lo había hecho ante la jueza en su declaración testimonial, e incluso tuvo que experimentar nuevamente el hecho de colocarse en la posición en la que recordó encontrarse luego de despertar con posterioridad al abuso </w:t>
      </w:r>
      <w:r w:rsidR="00A37EC3" w:rsidRPr="00975C02">
        <w:rPr>
          <w:kern w:val="2"/>
          <w:sz w:val="20"/>
          <w:szCs w:val="20"/>
          <w:lang w:val="es-ES" w:eastAsia="en-US"/>
        </w:rPr>
        <w:t xml:space="preserve">al que fue </w:t>
      </w:r>
      <w:r w:rsidRPr="00975C02">
        <w:rPr>
          <w:kern w:val="2"/>
          <w:sz w:val="20"/>
          <w:szCs w:val="20"/>
          <w:lang w:val="es-ES" w:eastAsia="en-US"/>
        </w:rPr>
        <w:t>sometid</w:t>
      </w:r>
      <w:r w:rsidR="00A37EC3" w:rsidRPr="00975C02">
        <w:rPr>
          <w:kern w:val="2"/>
          <w:sz w:val="20"/>
          <w:szCs w:val="20"/>
          <w:lang w:val="es-ES" w:eastAsia="en-US"/>
        </w:rPr>
        <w:t>a</w:t>
      </w:r>
      <w:r w:rsidRPr="00975C02">
        <w:rPr>
          <w:kern w:val="2"/>
          <w:sz w:val="20"/>
          <w:szCs w:val="20"/>
          <w:lang w:val="es-ES" w:eastAsia="en-US"/>
        </w:rPr>
        <w:t>, momento que fue fotografiado.</w:t>
      </w:r>
    </w:p>
    <w:p w14:paraId="2C6608C6" w14:textId="77777777" w:rsidR="00C602E9" w:rsidRPr="00975C02" w:rsidRDefault="00C602E9" w:rsidP="00C602E9">
      <w:pPr>
        <w:widowControl/>
        <w:tabs>
          <w:tab w:val="left" w:pos="567"/>
        </w:tabs>
        <w:adjustRightInd/>
        <w:spacing w:line="240" w:lineRule="auto"/>
        <w:textAlignment w:val="auto"/>
        <w:rPr>
          <w:kern w:val="2"/>
          <w:sz w:val="20"/>
          <w:szCs w:val="20"/>
          <w:lang w:val="es-ES" w:eastAsia="en-US"/>
        </w:rPr>
      </w:pPr>
    </w:p>
    <w:p w14:paraId="616B52A5" w14:textId="3E0A987F" w:rsidR="00364DCD" w:rsidRPr="00975C02" w:rsidRDefault="00B5625C" w:rsidP="00005FB3">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V.R.P. señaló ante esta Corte que su participación en la citada diligencia significó volver a vivir una situación extremadamente traumática, la cual la hizo sentir “como que estaba ahí otra vez, l</w:t>
      </w:r>
      <w:r w:rsidR="00A1408D" w:rsidRPr="00975C02">
        <w:rPr>
          <w:kern w:val="2"/>
          <w:sz w:val="20"/>
          <w:szCs w:val="20"/>
          <w:lang w:val="es-ES" w:eastAsia="en-US"/>
        </w:rPr>
        <w:t>os</w:t>
      </w:r>
      <w:r w:rsidRPr="00975C02">
        <w:rPr>
          <w:kern w:val="2"/>
          <w:sz w:val="20"/>
          <w:szCs w:val="20"/>
          <w:lang w:val="es-ES" w:eastAsia="en-US"/>
        </w:rPr>
        <w:t xml:space="preserve"> </w:t>
      </w:r>
      <w:r w:rsidRPr="00975C02">
        <w:rPr>
          <w:kern w:val="2"/>
          <w:sz w:val="20"/>
          <w:szCs w:val="20"/>
          <w:lang w:val="es-ES" w:eastAsia="en-US"/>
        </w:rPr>
        <w:lastRenderedPageBreak/>
        <w:t>mismo</w:t>
      </w:r>
      <w:r w:rsidR="00A1408D" w:rsidRPr="00975C02">
        <w:rPr>
          <w:kern w:val="2"/>
          <w:sz w:val="20"/>
          <w:szCs w:val="20"/>
          <w:lang w:val="es-ES" w:eastAsia="en-US"/>
        </w:rPr>
        <w:t>s</w:t>
      </w:r>
      <w:r w:rsidRPr="00975C02">
        <w:rPr>
          <w:kern w:val="2"/>
          <w:sz w:val="20"/>
          <w:szCs w:val="20"/>
          <w:lang w:val="es-ES" w:eastAsia="en-US"/>
        </w:rPr>
        <w:t xml:space="preserve"> sentimiento</w:t>
      </w:r>
      <w:r w:rsidR="00A1408D" w:rsidRPr="00975C02">
        <w:rPr>
          <w:kern w:val="2"/>
          <w:sz w:val="20"/>
          <w:szCs w:val="20"/>
          <w:lang w:val="es-ES" w:eastAsia="en-US"/>
        </w:rPr>
        <w:t>s</w:t>
      </w:r>
      <w:r w:rsidRPr="00975C02">
        <w:rPr>
          <w:kern w:val="2"/>
          <w:sz w:val="20"/>
          <w:szCs w:val="20"/>
          <w:lang w:val="es-ES" w:eastAsia="en-US"/>
        </w:rPr>
        <w:t>,</w:t>
      </w:r>
      <w:r w:rsidR="00A1408D" w:rsidRPr="00975C02">
        <w:rPr>
          <w:kern w:val="2"/>
          <w:sz w:val="20"/>
          <w:szCs w:val="20"/>
          <w:lang w:val="es-ES" w:eastAsia="en-US"/>
        </w:rPr>
        <w:t xml:space="preserve"> el</w:t>
      </w:r>
      <w:r w:rsidRPr="00975C02">
        <w:rPr>
          <w:kern w:val="2"/>
          <w:sz w:val="20"/>
          <w:szCs w:val="20"/>
          <w:lang w:val="es-ES" w:eastAsia="en-US"/>
        </w:rPr>
        <w:t xml:space="preserve"> mismo dolor,</w:t>
      </w:r>
      <w:r w:rsidR="00A1408D" w:rsidRPr="00975C02">
        <w:rPr>
          <w:kern w:val="2"/>
          <w:sz w:val="20"/>
          <w:szCs w:val="20"/>
          <w:lang w:val="es-ES" w:eastAsia="en-US"/>
        </w:rPr>
        <w:t xml:space="preserve"> las</w:t>
      </w:r>
      <w:r w:rsidRPr="00975C02">
        <w:rPr>
          <w:kern w:val="2"/>
          <w:sz w:val="20"/>
          <w:szCs w:val="20"/>
          <w:lang w:val="es-ES" w:eastAsia="en-US"/>
        </w:rPr>
        <w:t xml:space="preserve"> mismas cosas”. </w:t>
      </w:r>
      <w:r w:rsidR="00D126F8" w:rsidRPr="00975C02">
        <w:rPr>
          <w:kern w:val="2"/>
          <w:sz w:val="20"/>
          <w:szCs w:val="20"/>
          <w:lang w:val="es-ES" w:eastAsia="en-US"/>
        </w:rPr>
        <w:t>Asimismo,</w:t>
      </w:r>
      <w:r w:rsidRPr="00975C02">
        <w:rPr>
          <w:kern w:val="2"/>
          <w:sz w:val="20"/>
          <w:szCs w:val="20"/>
          <w:lang w:val="es-ES" w:eastAsia="en-US"/>
        </w:rPr>
        <w:t xml:space="preserve"> indicó que cuando iban a Managua se tapaba o se escondía en el carro cuando pasaban por el lugar donde fue agredida sexualmente, ya que no quería volver a ver ese lugar. </w:t>
      </w:r>
      <w:r w:rsidR="00992B00">
        <w:rPr>
          <w:kern w:val="2"/>
          <w:sz w:val="20"/>
          <w:szCs w:val="20"/>
          <w:lang w:val="es-ES" w:eastAsia="en-US"/>
        </w:rPr>
        <w:t xml:space="preserve">Asimismo, </w:t>
      </w:r>
      <w:r w:rsidRPr="00975C02">
        <w:rPr>
          <w:kern w:val="2"/>
          <w:sz w:val="20"/>
          <w:szCs w:val="20"/>
          <w:lang w:val="es-ES" w:eastAsia="en-US"/>
        </w:rPr>
        <w:t xml:space="preserve">V.R.P. narró cómo, a pesar de esto, en contra de su voluntad y su consentimiento, la jueza le solicitó su participación en la diligencia para mantener a su padre en prisión, a quien incluso vio cuando llegaron al lugar de la reconstrucción de los hechos. En efecto, declaró ante esta Corte que “la </w:t>
      </w:r>
      <w:r w:rsidRPr="00975C02">
        <w:rPr>
          <w:sz w:val="20"/>
          <w:szCs w:val="20"/>
          <w:lang w:val="es-ES" w:eastAsia="en-US"/>
        </w:rPr>
        <w:t>juez[a] dijo que si no se hacía [la diligencia] iba tener que sacar a [su] papá a la calle [… por eso,] simplemente hi[zo] lo que [l]e pidieron para poder salir de ahí y</w:t>
      </w:r>
      <w:r w:rsidR="00D126F8" w:rsidRPr="00975C02">
        <w:rPr>
          <w:sz w:val="20"/>
          <w:szCs w:val="20"/>
          <w:lang w:val="es-ES" w:eastAsia="en-US"/>
        </w:rPr>
        <w:t>,</w:t>
      </w:r>
      <w:r w:rsidRPr="00975C02">
        <w:rPr>
          <w:sz w:val="20"/>
          <w:szCs w:val="20"/>
          <w:lang w:val="es-ES" w:eastAsia="en-US"/>
        </w:rPr>
        <w:t xml:space="preserve"> después de todo eso, aun así, [su] papá salió”. Agregó que </w:t>
      </w:r>
      <w:r w:rsidRPr="00975C02">
        <w:rPr>
          <w:kern w:val="2"/>
          <w:sz w:val="20"/>
          <w:szCs w:val="20"/>
          <w:lang w:val="es-ES" w:eastAsia="en-US"/>
        </w:rPr>
        <w:t xml:space="preserve">no solo tuvo que recorrer el mismo lugar y colocarse en la misma posición en la que fue abusada, sino que le hicieron utilizar la misma ropa </w:t>
      </w:r>
      <w:r w:rsidR="00D126F8" w:rsidRPr="00975C02">
        <w:rPr>
          <w:kern w:val="2"/>
          <w:sz w:val="20"/>
          <w:szCs w:val="20"/>
          <w:lang w:val="es-ES" w:eastAsia="en-US"/>
        </w:rPr>
        <w:t>que vestía ese día</w:t>
      </w:r>
      <w:r w:rsidR="00AF3CE7" w:rsidRPr="00975C02">
        <w:rPr>
          <w:sz w:val="20"/>
          <w:szCs w:val="20"/>
          <w:vertAlign w:val="superscript"/>
          <w:lang w:val="es-ES" w:eastAsia="en-US"/>
        </w:rPr>
        <w:footnoteReference w:id="274"/>
      </w:r>
      <w:r w:rsidRPr="00975C02">
        <w:rPr>
          <w:kern w:val="2"/>
          <w:sz w:val="20"/>
          <w:szCs w:val="20"/>
          <w:lang w:val="es-ES" w:eastAsia="en-US"/>
        </w:rPr>
        <w:t>.</w:t>
      </w:r>
    </w:p>
    <w:p w14:paraId="72A17120"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367DDF1F" w14:textId="0DB7B378"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Los peritos que declararon ante </w:t>
      </w:r>
      <w:r w:rsidR="00A37EC3" w:rsidRPr="00975C02">
        <w:rPr>
          <w:kern w:val="2"/>
          <w:sz w:val="20"/>
          <w:szCs w:val="20"/>
          <w:lang w:val="es-ES" w:eastAsia="en-US"/>
        </w:rPr>
        <w:t>esta Corte</w:t>
      </w:r>
      <w:r w:rsidRPr="00975C02">
        <w:rPr>
          <w:kern w:val="2"/>
          <w:sz w:val="20"/>
          <w:szCs w:val="20"/>
          <w:lang w:val="es-ES" w:eastAsia="en-US"/>
        </w:rPr>
        <w:t xml:space="preserve"> coincidieron en señalar que la participación de V.R.P. en la diligencia de inspección ocular y reconstrucción de los hechos constituyó un hecho grave de violencia institucional. El perito Enrique Oscar Stola </w:t>
      </w:r>
      <w:r w:rsidR="0056725D" w:rsidRPr="00975C02">
        <w:rPr>
          <w:kern w:val="2"/>
          <w:sz w:val="20"/>
          <w:szCs w:val="20"/>
          <w:lang w:val="es-ES" w:eastAsia="en-US"/>
        </w:rPr>
        <w:t xml:space="preserve">sostuvo </w:t>
      </w:r>
      <w:r w:rsidRPr="00975C02">
        <w:rPr>
          <w:kern w:val="2"/>
          <w:sz w:val="20"/>
          <w:szCs w:val="20"/>
          <w:lang w:val="es-ES" w:eastAsia="en-US"/>
        </w:rPr>
        <w:t xml:space="preserve">que “[era] la primera vez en [su] historia profesional de 40 años [que veía] que a una niña violada, </w:t>
      </w:r>
      <w:r w:rsidR="00A37EC3" w:rsidRPr="00975C02">
        <w:rPr>
          <w:kern w:val="2"/>
          <w:sz w:val="20"/>
          <w:szCs w:val="20"/>
          <w:lang w:val="es-ES" w:eastAsia="en-US"/>
        </w:rPr>
        <w:t>[…]</w:t>
      </w:r>
      <w:r w:rsidRPr="00975C02">
        <w:rPr>
          <w:kern w:val="2"/>
          <w:sz w:val="20"/>
          <w:szCs w:val="20"/>
          <w:lang w:val="es-ES" w:eastAsia="en-US"/>
        </w:rPr>
        <w:t xml:space="preserve"> se la lleva[ra] al lugar para reconstruir, eso no se debería haber hecho […].</w:t>
      </w:r>
      <w:r w:rsidR="0056725D" w:rsidRPr="00975C02">
        <w:rPr>
          <w:rFonts w:eastAsia="Calibri"/>
          <w:sz w:val="20"/>
          <w:szCs w:val="20"/>
          <w:lang w:val="es-ES" w:eastAsia="en-US"/>
        </w:rPr>
        <w:t>Todo lo que se hizo [fue] revictimizante.</w:t>
      </w:r>
      <w:r w:rsidR="00975C02">
        <w:rPr>
          <w:rFonts w:eastAsia="Calibri"/>
          <w:sz w:val="20"/>
          <w:szCs w:val="20"/>
          <w:lang w:val="es-ES" w:eastAsia="en-US"/>
        </w:rPr>
        <w:t xml:space="preserve"> </w:t>
      </w:r>
      <w:r w:rsidRPr="00975C02">
        <w:rPr>
          <w:kern w:val="2"/>
          <w:sz w:val="20"/>
          <w:szCs w:val="20"/>
          <w:lang w:val="es-ES" w:eastAsia="en-US"/>
        </w:rPr>
        <w:t>Entre esas cosas</w:t>
      </w:r>
      <w:r w:rsidR="005C08A3" w:rsidRPr="00975C02">
        <w:rPr>
          <w:kern w:val="2"/>
          <w:sz w:val="20"/>
          <w:szCs w:val="20"/>
          <w:lang w:val="es-ES" w:eastAsia="en-US"/>
        </w:rPr>
        <w:t>,</w:t>
      </w:r>
      <w:r w:rsidRPr="00975C02">
        <w:rPr>
          <w:kern w:val="2"/>
          <w:sz w:val="20"/>
          <w:szCs w:val="20"/>
          <w:lang w:val="es-ES" w:eastAsia="en-US"/>
        </w:rPr>
        <w:t xml:space="preserve"> hacerla tomar una posición que tiene que ver con la que tuvo cuando fue agredida sexualmente o el hecho de que existan fotografías</w:t>
      </w:r>
      <w:r w:rsidR="007B6CCF" w:rsidRPr="00975C02">
        <w:rPr>
          <w:kern w:val="2"/>
          <w:sz w:val="20"/>
          <w:szCs w:val="20"/>
          <w:lang w:val="es-ES" w:eastAsia="en-US"/>
        </w:rPr>
        <w:t xml:space="preserve"> […] </w:t>
      </w:r>
      <w:r w:rsidRPr="00975C02">
        <w:rPr>
          <w:kern w:val="2"/>
          <w:sz w:val="20"/>
          <w:szCs w:val="20"/>
          <w:lang w:val="es-ES" w:eastAsia="en-US"/>
        </w:rPr>
        <w:t>de esa situación tan traumática. El revivir esa situación traumática no le ayuda en nada, lo único que hace es profundizar el trauma”. Agregó que “[n]unca una niña o una joven que ha sido violada, abusada, ni a una mujer que ha sido violada tiene que ir a recrear”</w:t>
      </w:r>
      <w:r w:rsidRPr="00975C02">
        <w:rPr>
          <w:kern w:val="2"/>
          <w:sz w:val="20"/>
          <w:szCs w:val="20"/>
          <w:vertAlign w:val="superscript"/>
          <w:lang w:val="es-ES" w:eastAsia="en-US"/>
        </w:rPr>
        <w:footnoteReference w:id="275"/>
      </w:r>
      <w:r w:rsidRPr="00975C02">
        <w:rPr>
          <w:kern w:val="2"/>
          <w:sz w:val="20"/>
          <w:szCs w:val="20"/>
          <w:lang w:val="es-ES" w:eastAsia="en-US"/>
        </w:rPr>
        <w:t>.</w:t>
      </w:r>
    </w:p>
    <w:p w14:paraId="15E583E7"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2101EE04" w14:textId="54684C1F"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Por su parte, el perito Miguel Cillero Bruñol </w:t>
      </w:r>
      <w:r w:rsidR="005C08A3" w:rsidRPr="00975C02">
        <w:rPr>
          <w:kern w:val="2"/>
          <w:sz w:val="20"/>
          <w:szCs w:val="20"/>
          <w:lang w:val="es-ES" w:eastAsia="en-US"/>
        </w:rPr>
        <w:t xml:space="preserve">señaló </w:t>
      </w:r>
      <w:r w:rsidRPr="00975C02">
        <w:rPr>
          <w:kern w:val="2"/>
          <w:sz w:val="20"/>
          <w:szCs w:val="20"/>
          <w:lang w:val="es-ES" w:eastAsia="en-US"/>
        </w:rPr>
        <w:t>que “la reconstrucción de los hechos</w:t>
      </w:r>
      <w:r w:rsidR="00A37EC3" w:rsidRPr="00975C02">
        <w:rPr>
          <w:kern w:val="2"/>
          <w:sz w:val="20"/>
          <w:szCs w:val="20"/>
          <w:lang w:val="es-ES" w:eastAsia="en-US"/>
        </w:rPr>
        <w:t>,</w:t>
      </w:r>
      <w:r w:rsidRPr="00975C02">
        <w:rPr>
          <w:kern w:val="2"/>
          <w:sz w:val="20"/>
          <w:szCs w:val="20"/>
          <w:lang w:val="es-ES" w:eastAsia="en-US"/>
        </w:rPr>
        <w:t xml:space="preserve"> como una diligencia probatoria que en general no es recomendada, ha sido eliminada prácticamente de todo el derecho comparado en aquellos casos en los cuales estamos en presencia de niñas víctimas de delitos sexuales y</w:t>
      </w:r>
      <w:r w:rsidR="00A37EC3" w:rsidRPr="00975C02">
        <w:rPr>
          <w:kern w:val="2"/>
          <w:sz w:val="20"/>
          <w:szCs w:val="20"/>
          <w:lang w:val="es-ES" w:eastAsia="en-US"/>
        </w:rPr>
        <w:t>,</w:t>
      </w:r>
      <w:r w:rsidRPr="00975C02">
        <w:rPr>
          <w:kern w:val="2"/>
          <w:sz w:val="20"/>
          <w:szCs w:val="20"/>
          <w:lang w:val="es-ES" w:eastAsia="en-US"/>
        </w:rPr>
        <w:t xml:space="preserve"> además</w:t>
      </w:r>
      <w:r w:rsidR="00A37EC3" w:rsidRPr="00975C02">
        <w:rPr>
          <w:kern w:val="2"/>
          <w:sz w:val="20"/>
          <w:szCs w:val="20"/>
          <w:lang w:val="es-ES" w:eastAsia="en-US"/>
        </w:rPr>
        <w:t>,</w:t>
      </w:r>
      <w:r w:rsidRPr="00975C02">
        <w:rPr>
          <w:kern w:val="2"/>
          <w:sz w:val="20"/>
          <w:szCs w:val="20"/>
          <w:lang w:val="es-ES" w:eastAsia="en-US"/>
        </w:rPr>
        <w:t xml:space="preserve"> las condiciones en que esa reconstrucción de hechos se realizó, en este caso en particular, denota una extrema falta de cuidado y de especialización en el sentido de haberla hecho exactamente igual como si se tratara de un caso de una víctima adulta”</w:t>
      </w:r>
      <w:r w:rsidRPr="00975C02">
        <w:rPr>
          <w:kern w:val="2"/>
          <w:sz w:val="20"/>
          <w:szCs w:val="20"/>
          <w:vertAlign w:val="superscript"/>
          <w:lang w:val="es-ES" w:eastAsia="en-US"/>
        </w:rPr>
        <w:footnoteReference w:id="276"/>
      </w:r>
      <w:r w:rsidRPr="00975C02">
        <w:rPr>
          <w:kern w:val="2"/>
          <w:sz w:val="20"/>
          <w:szCs w:val="20"/>
          <w:lang w:val="es-ES" w:eastAsia="en-US"/>
        </w:rPr>
        <w:t>.</w:t>
      </w:r>
    </w:p>
    <w:p w14:paraId="6214D2A9"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53E29AF9" w14:textId="484B32BD" w:rsidR="00EB7709"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Adicionalmente, V.R.P. manifestó ante esta Corte que comunicó su negativa de participar en la reconstrucción de los hechos a la psiquiatra que la acompañaba, quien a su vez lo puso en conocimiento de la jueza, la cual decidió continuar con la diligencia</w:t>
      </w:r>
      <w:r w:rsidR="00ED78D3" w:rsidRPr="00975C02">
        <w:rPr>
          <w:kern w:val="2"/>
          <w:sz w:val="20"/>
          <w:szCs w:val="20"/>
          <w:lang w:val="es-ES" w:eastAsia="en-US"/>
        </w:rPr>
        <w:t>,</w:t>
      </w:r>
      <w:r w:rsidRPr="00975C02">
        <w:rPr>
          <w:kern w:val="2"/>
          <w:sz w:val="20"/>
          <w:szCs w:val="20"/>
          <w:lang w:val="es-ES" w:eastAsia="en-US"/>
        </w:rPr>
        <w:t xml:space="preserve"> e incluso manifestó que</w:t>
      </w:r>
      <w:r w:rsidR="00A37EC3" w:rsidRPr="00975C02">
        <w:rPr>
          <w:kern w:val="2"/>
          <w:sz w:val="20"/>
          <w:szCs w:val="20"/>
          <w:lang w:val="es-ES" w:eastAsia="en-US"/>
        </w:rPr>
        <w:t>,</w:t>
      </w:r>
      <w:r w:rsidRPr="00975C02">
        <w:rPr>
          <w:kern w:val="2"/>
          <w:sz w:val="20"/>
          <w:szCs w:val="20"/>
          <w:lang w:val="es-ES" w:eastAsia="en-US"/>
        </w:rPr>
        <w:t xml:space="preserve"> de no realizarse, el padre de la niña tendría que salir de prisión</w:t>
      </w:r>
      <w:r w:rsidRPr="00975C02">
        <w:rPr>
          <w:kern w:val="2"/>
          <w:sz w:val="20"/>
          <w:szCs w:val="20"/>
          <w:vertAlign w:val="superscript"/>
          <w:lang w:val="es-ES" w:eastAsia="en-US"/>
        </w:rPr>
        <w:footnoteReference w:id="277"/>
      </w:r>
      <w:r w:rsidRPr="00975C02">
        <w:rPr>
          <w:kern w:val="2"/>
          <w:sz w:val="20"/>
          <w:szCs w:val="20"/>
          <w:lang w:val="es-ES" w:eastAsia="en-US"/>
        </w:rPr>
        <w:t>. La Corte considera que la diligencia</w:t>
      </w:r>
      <w:r w:rsidR="00AC10DE" w:rsidRPr="00975C02">
        <w:rPr>
          <w:kern w:val="2"/>
          <w:sz w:val="20"/>
          <w:szCs w:val="20"/>
          <w:lang w:val="es-ES" w:eastAsia="en-US"/>
        </w:rPr>
        <w:t>,</w:t>
      </w:r>
      <w:r w:rsidRPr="00975C02">
        <w:rPr>
          <w:kern w:val="2"/>
          <w:sz w:val="20"/>
          <w:szCs w:val="20"/>
          <w:lang w:val="es-ES" w:eastAsia="en-US"/>
        </w:rPr>
        <w:t xml:space="preserve"> además de revictimizante, no consideró como relevante que la niña, con su nivel de madurez y de acuerdo a su grado de desarrollo y entendimiento de los hechos, podía consentir u opinar respecto a su deseo de participar en la misma. Incluso, nuevamente, la jueza estableció la necesidad de la participación de la niña, ya que de lo contrario su padre saldría en libertad (</w:t>
      </w:r>
      <w:r w:rsidRPr="00975C02">
        <w:rPr>
          <w:i/>
          <w:kern w:val="2"/>
          <w:sz w:val="20"/>
          <w:szCs w:val="20"/>
          <w:lang w:val="es-ES" w:eastAsia="en-US"/>
        </w:rPr>
        <w:t>supra</w:t>
      </w:r>
      <w:r w:rsidRPr="00975C02">
        <w:rPr>
          <w:kern w:val="2"/>
          <w:sz w:val="20"/>
          <w:szCs w:val="20"/>
          <w:lang w:val="es-ES" w:eastAsia="en-US"/>
        </w:rPr>
        <w:t xml:space="preserve"> párr. </w:t>
      </w:r>
      <w:r w:rsidR="00250F3D" w:rsidRPr="00975C02">
        <w:rPr>
          <w:kern w:val="2"/>
          <w:sz w:val="20"/>
          <w:szCs w:val="20"/>
          <w:lang w:val="es-ES" w:eastAsia="en-US"/>
        </w:rPr>
        <w:t>178</w:t>
      </w:r>
      <w:r w:rsidRPr="00975C02">
        <w:rPr>
          <w:kern w:val="2"/>
          <w:sz w:val="20"/>
          <w:szCs w:val="20"/>
          <w:lang w:val="es-ES" w:eastAsia="en-US"/>
        </w:rPr>
        <w:t>), lo que obligó a que V.R.P. partic</w:t>
      </w:r>
      <w:r w:rsidR="00EB7709" w:rsidRPr="00975C02">
        <w:rPr>
          <w:kern w:val="2"/>
          <w:sz w:val="20"/>
          <w:szCs w:val="20"/>
          <w:lang w:val="es-ES" w:eastAsia="en-US"/>
        </w:rPr>
        <w:t>ipara en contra de su voluntad. Por consiguiente, la Corte considera que la participación de V.R.P. fue concebida únicamente en términos de objeto de prueba y no como titular de derechos</w:t>
      </w:r>
      <w:r w:rsidR="002E6061" w:rsidRPr="00975C02">
        <w:rPr>
          <w:kern w:val="2"/>
          <w:sz w:val="20"/>
          <w:szCs w:val="20"/>
          <w:lang w:val="es-ES" w:eastAsia="en-US"/>
        </w:rPr>
        <w:t>, cuyas opiniones debían ser tomadas en cuenta</w:t>
      </w:r>
      <w:r w:rsidR="00EB7709" w:rsidRPr="00975C02">
        <w:rPr>
          <w:kern w:val="2"/>
          <w:sz w:val="20"/>
          <w:szCs w:val="20"/>
          <w:lang w:val="es-ES" w:eastAsia="en-US"/>
        </w:rPr>
        <w:t>.</w:t>
      </w:r>
    </w:p>
    <w:p w14:paraId="37602CC8" w14:textId="77777777" w:rsidR="00EB7709" w:rsidRPr="00975C02" w:rsidRDefault="00EB7709" w:rsidP="00EB7709">
      <w:pPr>
        <w:widowControl/>
        <w:tabs>
          <w:tab w:val="left" w:pos="567"/>
        </w:tabs>
        <w:adjustRightInd/>
        <w:spacing w:line="240" w:lineRule="auto"/>
        <w:textAlignment w:val="auto"/>
        <w:rPr>
          <w:kern w:val="2"/>
          <w:sz w:val="20"/>
          <w:szCs w:val="20"/>
          <w:lang w:val="es-ES" w:eastAsia="en-US"/>
        </w:rPr>
      </w:pPr>
    </w:p>
    <w:p w14:paraId="7FA2C4D3" w14:textId="027A10C6" w:rsidR="00B5625C" w:rsidRPr="00975C02" w:rsidRDefault="00B5625C" w:rsidP="00101574">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 </w:t>
      </w:r>
      <w:r w:rsidR="00C84565" w:rsidRPr="00975C02">
        <w:rPr>
          <w:kern w:val="2"/>
          <w:sz w:val="20"/>
          <w:szCs w:val="20"/>
          <w:lang w:val="es-ES" w:eastAsia="en-US"/>
        </w:rPr>
        <w:t>diligencia</w:t>
      </w:r>
      <w:r w:rsidRPr="00975C02">
        <w:rPr>
          <w:kern w:val="2"/>
          <w:sz w:val="20"/>
          <w:szCs w:val="20"/>
          <w:lang w:val="es-ES" w:eastAsia="en-US"/>
        </w:rPr>
        <w:t xml:space="preserve"> tampoco contó con la presencia de una autoridad que pudiera velar por los derechos de la niña, ya que ni el </w:t>
      </w:r>
      <w:r w:rsidR="00407664" w:rsidRPr="00975C02">
        <w:rPr>
          <w:kern w:val="2"/>
          <w:sz w:val="20"/>
          <w:szCs w:val="20"/>
          <w:lang w:val="es-ES" w:eastAsia="en-US"/>
        </w:rPr>
        <w:t>f</w:t>
      </w:r>
      <w:r w:rsidRPr="00975C02">
        <w:rPr>
          <w:kern w:val="2"/>
          <w:sz w:val="20"/>
          <w:szCs w:val="20"/>
          <w:lang w:val="es-ES" w:eastAsia="en-US"/>
        </w:rPr>
        <w:t xml:space="preserve">iscal del caso ni ninguna otra autoridad especializada en su protección estuvieron presentes. Si bien la psiquiatra estuvo presente en la diligencia, como una </w:t>
      </w:r>
      <w:r w:rsidRPr="00975C02">
        <w:rPr>
          <w:kern w:val="2"/>
          <w:sz w:val="20"/>
          <w:szCs w:val="20"/>
          <w:lang w:val="es-ES" w:eastAsia="en-US"/>
        </w:rPr>
        <w:lastRenderedPageBreak/>
        <w:t xml:space="preserve">medida de acompañamiento de la niña, dicha profesional no se encontraba en la posición de autoridad de impedir la participación de V.R.P., ni de evitar el efecto revictimizante o las experiencias perjudiciales nuevamente vividas por la niña. </w:t>
      </w:r>
      <w:r w:rsidR="00101574" w:rsidRPr="00975C02">
        <w:rPr>
          <w:kern w:val="2"/>
          <w:sz w:val="20"/>
          <w:szCs w:val="20"/>
          <w:lang w:val="es-ES" w:eastAsia="en-US"/>
        </w:rPr>
        <w:t>Además</w:t>
      </w:r>
      <w:r w:rsidRPr="00975C02">
        <w:rPr>
          <w:kern w:val="2"/>
          <w:sz w:val="20"/>
          <w:szCs w:val="20"/>
          <w:lang w:val="es-ES" w:eastAsia="en-US"/>
        </w:rPr>
        <w:t>, las autoridades estatales debieron evitar que el progenitor de V.R.P. participara en la reconstrucción de los hechos el mismo día que su hija, ya que la presencia de dicha persona en las inmediaciones del lugar potencializaba la posibilidad de un encuentro entre ambos y</w:t>
      </w:r>
      <w:r w:rsidR="00407664" w:rsidRPr="00975C02">
        <w:rPr>
          <w:kern w:val="2"/>
          <w:sz w:val="20"/>
          <w:szCs w:val="20"/>
          <w:lang w:val="es-ES" w:eastAsia="en-US"/>
        </w:rPr>
        <w:t>,</w:t>
      </w:r>
      <w:r w:rsidRPr="00975C02">
        <w:rPr>
          <w:kern w:val="2"/>
          <w:sz w:val="20"/>
          <w:szCs w:val="20"/>
          <w:lang w:val="es-ES" w:eastAsia="en-US"/>
        </w:rPr>
        <w:t xml:space="preserve"> por ello, colocó a la víctima en una situac</w:t>
      </w:r>
      <w:r w:rsidR="0017365B">
        <w:rPr>
          <w:kern w:val="2"/>
          <w:sz w:val="20"/>
          <w:szCs w:val="20"/>
          <w:lang w:val="es-ES" w:eastAsia="en-US"/>
        </w:rPr>
        <w:t>ión agravada de vulnerabilidad.</w:t>
      </w:r>
    </w:p>
    <w:p w14:paraId="2265E07E"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396215C5" w14:textId="27983752"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 Corte entiende que, </w:t>
      </w:r>
      <w:r w:rsidR="00692B75" w:rsidRPr="00975C02">
        <w:rPr>
          <w:kern w:val="2"/>
          <w:sz w:val="20"/>
          <w:szCs w:val="20"/>
          <w:lang w:val="es-ES" w:eastAsia="en-US"/>
        </w:rPr>
        <w:t xml:space="preserve">aun si </w:t>
      </w:r>
      <w:r w:rsidRPr="00975C02">
        <w:rPr>
          <w:kern w:val="2"/>
          <w:sz w:val="20"/>
          <w:szCs w:val="20"/>
          <w:lang w:val="es-ES" w:eastAsia="en-US"/>
        </w:rPr>
        <w:t>conf</w:t>
      </w:r>
      <w:r w:rsidR="00692B75" w:rsidRPr="00975C02">
        <w:rPr>
          <w:kern w:val="2"/>
          <w:sz w:val="20"/>
          <w:szCs w:val="20"/>
          <w:lang w:val="es-ES" w:eastAsia="en-US"/>
        </w:rPr>
        <w:t>orme a la normativa de la época</w:t>
      </w:r>
      <w:r w:rsidRPr="00975C02">
        <w:rPr>
          <w:kern w:val="2"/>
          <w:sz w:val="20"/>
          <w:szCs w:val="20"/>
          <w:lang w:val="es-ES" w:eastAsia="en-US"/>
        </w:rPr>
        <w:t xml:space="preserve"> la diligencia de inspección ocular y reconstrucción de los hechos era necesaria, aquella pudo haberse realizado con base en los hechos relatados por V.R.P. y sin necesidad de su participación directa. El Tribunal estima que</w:t>
      </w:r>
      <w:r w:rsidR="00407664" w:rsidRPr="00975C02">
        <w:rPr>
          <w:kern w:val="2"/>
          <w:sz w:val="20"/>
          <w:szCs w:val="20"/>
          <w:lang w:val="es-ES" w:eastAsia="en-US"/>
        </w:rPr>
        <w:t>,</w:t>
      </w:r>
      <w:r w:rsidRPr="00975C02">
        <w:rPr>
          <w:kern w:val="2"/>
          <w:sz w:val="20"/>
          <w:szCs w:val="20"/>
          <w:lang w:val="es-ES" w:eastAsia="en-US"/>
        </w:rPr>
        <w:t xml:space="preserve"> si la jueza encargada hubiera estado específicamente capacitada en la materia, conforme a las características del caso y a la situación en la que se encontraba V.R.P., no habría requerido su participación en u</w:t>
      </w:r>
      <w:r w:rsidR="00692B75" w:rsidRPr="00975C02">
        <w:rPr>
          <w:kern w:val="2"/>
          <w:sz w:val="20"/>
          <w:szCs w:val="20"/>
          <w:lang w:val="es-ES" w:eastAsia="en-US"/>
        </w:rPr>
        <w:t xml:space="preserve">na diligencia de tal naturaleza, a fin de evitar una contravención de lo que mandata la </w:t>
      </w:r>
      <w:r w:rsidR="00407664" w:rsidRPr="00975C02">
        <w:rPr>
          <w:kern w:val="2"/>
          <w:sz w:val="20"/>
          <w:szCs w:val="20"/>
          <w:lang w:val="es-ES" w:eastAsia="en-US"/>
        </w:rPr>
        <w:t xml:space="preserve">Convención Americana y la </w:t>
      </w:r>
      <w:r w:rsidR="00692B75" w:rsidRPr="00975C02">
        <w:rPr>
          <w:kern w:val="2"/>
          <w:sz w:val="20"/>
          <w:szCs w:val="20"/>
          <w:lang w:val="es-ES" w:eastAsia="en-US"/>
        </w:rPr>
        <w:t>Convención de Belém do Pará, en cuanto a las medidas de protección en procesos judiciales.</w:t>
      </w:r>
    </w:p>
    <w:p w14:paraId="02E9F1CC"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3EDE0AB" w14:textId="463FC197"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Por otro lado, la Corte considera que el hecho de que la madre de V.R.P. solicitara la reconstrucción de los hechos no exime de responsabilidad al Estado de Nicaragua, ya que como se mencionó </w:t>
      </w:r>
      <w:r w:rsidRPr="00975C02">
        <w:rPr>
          <w:i/>
          <w:kern w:val="2"/>
          <w:sz w:val="20"/>
          <w:szCs w:val="20"/>
          <w:lang w:val="es-ES" w:eastAsia="en-US"/>
        </w:rPr>
        <w:t>supra</w:t>
      </w:r>
      <w:r w:rsidRPr="00975C02">
        <w:rPr>
          <w:kern w:val="2"/>
          <w:sz w:val="20"/>
          <w:szCs w:val="20"/>
          <w:lang w:val="es-ES" w:eastAsia="en-US"/>
        </w:rPr>
        <w:t xml:space="preserve">, son las autoridades estatales las que deben decidir qué diligencias practicar, así como conducir las investigaciones y recabar las pruebas brindando las medidas de protección necesarias, con miras al bienestar y cuidado de la niña. En este sentido, que el Estado intente trasladar la responsabilidad por la realización de la reconstrucción de </w:t>
      </w:r>
      <w:r w:rsidR="00407664" w:rsidRPr="00975C02">
        <w:rPr>
          <w:kern w:val="2"/>
          <w:sz w:val="20"/>
          <w:szCs w:val="20"/>
          <w:lang w:val="es-ES" w:eastAsia="en-US"/>
        </w:rPr>
        <w:t xml:space="preserve">los </w:t>
      </w:r>
      <w:r w:rsidRPr="00975C02">
        <w:rPr>
          <w:kern w:val="2"/>
          <w:sz w:val="20"/>
          <w:szCs w:val="20"/>
          <w:lang w:val="es-ES" w:eastAsia="en-US"/>
        </w:rPr>
        <w:t>hechos con la participación de V.R.P. a su madre, constituye una forma de culpabilizarla y victimizarla, lo cual a su vez, implica un incumplimiento de su deber de debida diligencia reforzad</w:t>
      </w:r>
      <w:r w:rsidR="00407664" w:rsidRPr="00975C02">
        <w:rPr>
          <w:kern w:val="2"/>
          <w:sz w:val="20"/>
          <w:szCs w:val="20"/>
          <w:lang w:val="es-ES" w:eastAsia="en-US"/>
        </w:rPr>
        <w:t>a</w:t>
      </w:r>
      <w:r w:rsidRPr="00975C02">
        <w:rPr>
          <w:kern w:val="2"/>
          <w:sz w:val="20"/>
          <w:szCs w:val="20"/>
          <w:lang w:val="es-ES" w:eastAsia="en-US"/>
        </w:rPr>
        <w:t>.</w:t>
      </w:r>
    </w:p>
    <w:p w14:paraId="37D0FDDB"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7A77D18" w14:textId="75CEC105"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Con base en todo lo expuesto, la Corte concluye que la participación de V.R.P. en la diligencia de inspección ocular y reconstrucción de los hechos constituyó una grave infracción al deber de diligencia reforzad</w:t>
      </w:r>
      <w:r w:rsidR="00407664" w:rsidRPr="00975C02">
        <w:rPr>
          <w:kern w:val="2"/>
          <w:sz w:val="20"/>
          <w:szCs w:val="20"/>
          <w:lang w:val="es-ES" w:eastAsia="en-US"/>
        </w:rPr>
        <w:t>a</w:t>
      </w:r>
      <w:r w:rsidRPr="00975C02">
        <w:rPr>
          <w:kern w:val="2"/>
          <w:sz w:val="20"/>
          <w:szCs w:val="20"/>
          <w:lang w:val="es-ES" w:eastAsia="en-US"/>
        </w:rPr>
        <w:t xml:space="preserve"> </w:t>
      </w:r>
      <w:r w:rsidR="00407664" w:rsidRPr="00975C02">
        <w:rPr>
          <w:kern w:val="2"/>
          <w:sz w:val="20"/>
          <w:szCs w:val="20"/>
          <w:lang w:val="es-ES" w:eastAsia="en-US"/>
        </w:rPr>
        <w:t>y protección especial,</w:t>
      </w:r>
      <w:r w:rsidRPr="00975C02">
        <w:rPr>
          <w:kern w:val="2"/>
          <w:sz w:val="20"/>
          <w:szCs w:val="20"/>
          <w:lang w:val="es-ES" w:eastAsia="en-US"/>
        </w:rPr>
        <w:t xml:space="preserve"> y constituyó un acto de victimización secundaria y violencia institucional.</w:t>
      </w:r>
    </w:p>
    <w:p w14:paraId="1F76E6F3"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2F86BAF7" w14:textId="77777777" w:rsidR="00B5625C" w:rsidRPr="00975C02" w:rsidRDefault="00A92F94" w:rsidP="00A92F94">
      <w:pPr>
        <w:pStyle w:val="Heading3"/>
        <w:rPr>
          <w:b w:val="0"/>
          <w:i/>
        </w:rPr>
      </w:pPr>
      <w:bookmarkStart w:id="130" w:name="_Toc514172635"/>
      <w:r w:rsidRPr="00975C02">
        <w:rPr>
          <w:b w:val="0"/>
          <w:i/>
        </w:rPr>
        <w:t>A</w:t>
      </w:r>
      <w:r w:rsidR="00F977EC" w:rsidRPr="00975C02">
        <w:rPr>
          <w:b w:val="0"/>
          <w:i/>
        </w:rPr>
        <w:t>.2.</w:t>
      </w:r>
      <w:r w:rsidR="00AD1B18" w:rsidRPr="00975C02">
        <w:rPr>
          <w:b w:val="0"/>
          <w:i/>
        </w:rPr>
        <w:t>e</w:t>
      </w:r>
      <w:r w:rsidR="00B5625C" w:rsidRPr="00975C02">
        <w:rPr>
          <w:b w:val="0"/>
          <w:i/>
        </w:rPr>
        <w:t xml:space="preserve"> </w:t>
      </w:r>
      <w:r w:rsidR="00490C6F" w:rsidRPr="00975C02">
        <w:rPr>
          <w:b w:val="0"/>
          <w:i/>
        </w:rPr>
        <w:tab/>
      </w:r>
      <w:r w:rsidR="00B5625C" w:rsidRPr="00975C02">
        <w:rPr>
          <w:b w:val="0"/>
          <w:i/>
        </w:rPr>
        <w:t xml:space="preserve">La </w:t>
      </w:r>
      <w:r w:rsidR="00490C6F" w:rsidRPr="00975C02">
        <w:rPr>
          <w:b w:val="0"/>
          <w:i/>
        </w:rPr>
        <w:t>falta de</w:t>
      </w:r>
      <w:r w:rsidR="00EA114D" w:rsidRPr="00975C02">
        <w:rPr>
          <w:b w:val="0"/>
          <w:i/>
        </w:rPr>
        <w:t xml:space="preserve"> acompañamiento y</w:t>
      </w:r>
      <w:r w:rsidR="00490C6F" w:rsidRPr="00975C02">
        <w:rPr>
          <w:b w:val="0"/>
          <w:i/>
        </w:rPr>
        <w:t xml:space="preserve"> </w:t>
      </w:r>
      <w:r w:rsidR="00B5625C" w:rsidRPr="00975C02">
        <w:rPr>
          <w:b w:val="0"/>
          <w:i/>
        </w:rPr>
        <w:t>atenció</w:t>
      </w:r>
      <w:r w:rsidR="00490C6F" w:rsidRPr="00975C02">
        <w:rPr>
          <w:b w:val="0"/>
          <w:i/>
        </w:rPr>
        <w:t xml:space="preserve">n integral </w:t>
      </w:r>
      <w:r w:rsidR="00215F77" w:rsidRPr="00975C02">
        <w:rPr>
          <w:b w:val="0"/>
          <w:i/>
        </w:rPr>
        <w:t>a la niña</w:t>
      </w:r>
      <w:r w:rsidR="00B5625C" w:rsidRPr="00975C02">
        <w:rPr>
          <w:b w:val="0"/>
          <w:i/>
        </w:rPr>
        <w:t xml:space="preserve"> V.R.P</w:t>
      </w:r>
      <w:r w:rsidR="00490C6F" w:rsidRPr="00975C02">
        <w:rPr>
          <w:b w:val="0"/>
          <w:i/>
        </w:rPr>
        <w:t>.</w:t>
      </w:r>
      <w:bookmarkEnd w:id="130"/>
    </w:p>
    <w:p w14:paraId="5EBF6288" w14:textId="77777777" w:rsidR="00B5625C" w:rsidRPr="00975C02" w:rsidRDefault="00B5625C" w:rsidP="00B5625C">
      <w:pPr>
        <w:widowControl/>
        <w:adjustRightInd/>
        <w:spacing w:line="240" w:lineRule="auto"/>
        <w:jc w:val="left"/>
        <w:textAlignment w:val="auto"/>
        <w:rPr>
          <w:b/>
          <w:kern w:val="2"/>
          <w:sz w:val="20"/>
          <w:szCs w:val="20"/>
          <w:lang w:val="es-ES" w:eastAsia="en-US"/>
        </w:rPr>
      </w:pPr>
    </w:p>
    <w:p w14:paraId="6F33DC36" w14:textId="5EC10BAF"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La Corte ha </w:t>
      </w:r>
      <w:r w:rsidR="00963F2B" w:rsidRPr="00975C02">
        <w:rPr>
          <w:kern w:val="2"/>
          <w:sz w:val="20"/>
          <w:szCs w:val="20"/>
          <w:lang w:val="es-ES" w:eastAsia="en-US"/>
        </w:rPr>
        <w:t>destacado</w:t>
      </w:r>
      <w:r w:rsidRPr="00975C02">
        <w:rPr>
          <w:kern w:val="2"/>
          <w:sz w:val="20"/>
          <w:szCs w:val="20"/>
          <w:lang w:val="es-ES" w:eastAsia="en-US"/>
        </w:rPr>
        <w:t xml:space="preserve"> que la atención integral a un</w:t>
      </w:r>
      <w:r w:rsidR="0043278C" w:rsidRPr="00975C02">
        <w:rPr>
          <w:kern w:val="2"/>
          <w:sz w:val="20"/>
          <w:szCs w:val="20"/>
          <w:lang w:val="es-ES" w:eastAsia="en-US"/>
        </w:rPr>
        <w:t>a</w:t>
      </w:r>
      <w:r w:rsidRPr="00975C02">
        <w:rPr>
          <w:kern w:val="2"/>
          <w:sz w:val="20"/>
          <w:szCs w:val="20"/>
          <w:lang w:val="es-ES" w:eastAsia="en-US"/>
        </w:rPr>
        <w:t xml:space="preserve"> niña víctima no solo se circunscribe a las actuaciones de las autoridades judiciales durante el desarrollo del proceso penal con el fin de proteger</w:t>
      </w:r>
      <w:r w:rsidR="00505711" w:rsidRPr="00975C02">
        <w:rPr>
          <w:kern w:val="2"/>
          <w:sz w:val="20"/>
          <w:szCs w:val="20"/>
          <w:lang w:val="es-ES" w:eastAsia="en-US"/>
        </w:rPr>
        <w:t xml:space="preserve"> sus derechos y asegurar una participación no revictimizante</w:t>
      </w:r>
      <w:r w:rsidRPr="00975C02">
        <w:rPr>
          <w:kern w:val="2"/>
          <w:sz w:val="20"/>
          <w:szCs w:val="20"/>
          <w:lang w:val="es-ES" w:eastAsia="en-US"/>
        </w:rPr>
        <w:t xml:space="preserve">, sino que esta atención debe ser integral y multidisciplinaria antes, durante y después de las investigaciones y proceso penal. Asimismo, la Corte ha considerado que debe existir un enfoque coordinado e integrado que brinde distintos servicios de atención y </w:t>
      </w:r>
      <w:r w:rsidR="00505711" w:rsidRPr="00975C02">
        <w:rPr>
          <w:kern w:val="2"/>
          <w:sz w:val="20"/>
          <w:szCs w:val="20"/>
          <w:lang w:val="es-ES" w:eastAsia="en-US"/>
        </w:rPr>
        <w:t>apoyo</w:t>
      </w:r>
      <w:r w:rsidRPr="00975C02">
        <w:rPr>
          <w:kern w:val="2"/>
          <w:sz w:val="20"/>
          <w:szCs w:val="20"/>
          <w:lang w:val="es-ES" w:eastAsia="en-US"/>
        </w:rPr>
        <w:t xml:space="preserve"> a</w:t>
      </w:r>
      <w:r w:rsidR="00505711" w:rsidRPr="00975C02">
        <w:rPr>
          <w:kern w:val="2"/>
          <w:sz w:val="20"/>
          <w:szCs w:val="20"/>
          <w:lang w:val="es-ES" w:eastAsia="en-US"/>
        </w:rPr>
        <w:t xml:space="preserve"> </w:t>
      </w:r>
      <w:r w:rsidRPr="00975C02">
        <w:rPr>
          <w:kern w:val="2"/>
          <w:sz w:val="20"/>
          <w:szCs w:val="20"/>
          <w:lang w:val="es-ES" w:eastAsia="en-US"/>
        </w:rPr>
        <w:t>l</w:t>
      </w:r>
      <w:r w:rsidR="00505711" w:rsidRPr="00975C02">
        <w:rPr>
          <w:kern w:val="2"/>
          <w:sz w:val="20"/>
          <w:szCs w:val="20"/>
          <w:lang w:val="es-ES" w:eastAsia="en-US"/>
        </w:rPr>
        <w:t>a</w:t>
      </w:r>
      <w:r w:rsidRPr="00975C02">
        <w:rPr>
          <w:kern w:val="2"/>
          <w:sz w:val="20"/>
          <w:szCs w:val="20"/>
          <w:lang w:val="es-ES" w:eastAsia="en-US"/>
        </w:rPr>
        <w:t xml:space="preserve"> niñ</w:t>
      </w:r>
      <w:r w:rsidR="00505711" w:rsidRPr="00975C02">
        <w:rPr>
          <w:kern w:val="2"/>
          <w:sz w:val="20"/>
          <w:szCs w:val="20"/>
          <w:lang w:val="es-ES" w:eastAsia="en-US"/>
        </w:rPr>
        <w:t>a</w:t>
      </w:r>
      <w:r w:rsidRPr="00975C02">
        <w:rPr>
          <w:kern w:val="2"/>
          <w:sz w:val="20"/>
          <w:szCs w:val="20"/>
          <w:lang w:val="es-ES" w:eastAsia="en-US"/>
        </w:rPr>
        <w:t xml:space="preserve"> para salvaguardar su bienestar actual y posterior desarrollo</w:t>
      </w:r>
      <w:r w:rsidR="00CB3296" w:rsidRPr="00975C02">
        <w:rPr>
          <w:kern w:val="2"/>
          <w:sz w:val="20"/>
          <w:szCs w:val="20"/>
          <w:lang w:val="es-ES" w:eastAsia="en-US"/>
        </w:rPr>
        <w:t xml:space="preserve"> (</w:t>
      </w:r>
      <w:r w:rsidR="00CB3296" w:rsidRPr="00975C02">
        <w:rPr>
          <w:i/>
          <w:kern w:val="2"/>
          <w:sz w:val="20"/>
          <w:szCs w:val="20"/>
          <w:lang w:val="es-ES" w:eastAsia="en-US"/>
        </w:rPr>
        <w:t>supra</w:t>
      </w:r>
      <w:r w:rsidR="00CB3296" w:rsidRPr="00975C02">
        <w:rPr>
          <w:kern w:val="2"/>
          <w:sz w:val="20"/>
          <w:szCs w:val="20"/>
          <w:lang w:val="es-ES" w:eastAsia="en-US"/>
        </w:rPr>
        <w:t xml:space="preserve"> párr. </w:t>
      </w:r>
      <w:r w:rsidR="000432BF" w:rsidRPr="00975C02">
        <w:rPr>
          <w:kern w:val="2"/>
          <w:sz w:val="20"/>
          <w:szCs w:val="20"/>
          <w:lang w:val="es-ES" w:eastAsia="en-US"/>
        </w:rPr>
        <w:t>164</w:t>
      </w:r>
      <w:r w:rsidR="00CB3296" w:rsidRPr="00975C02">
        <w:rPr>
          <w:kern w:val="2"/>
          <w:sz w:val="20"/>
          <w:szCs w:val="20"/>
          <w:lang w:val="es-ES" w:eastAsia="en-US"/>
        </w:rPr>
        <w:t>)</w:t>
      </w:r>
      <w:r w:rsidRPr="00975C02">
        <w:rPr>
          <w:kern w:val="2"/>
          <w:sz w:val="20"/>
          <w:szCs w:val="20"/>
          <w:lang w:val="es-ES" w:eastAsia="en-US"/>
        </w:rPr>
        <w:t>.</w:t>
      </w:r>
    </w:p>
    <w:p w14:paraId="3393F788"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4E8BF63F" w14:textId="1B2E2846"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A este respecto, el perito Miguel Cillero Bruñol declaró </w:t>
      </w:r>
      <w:r w:rsidR="003908D0" w:rsidRPr="00975C02">
        <w:rPr>
          <w:kern w:val="2"/>
          <w:sz w:val="20"/>
          <w:szCs w:val="20"/>
          <w:lang w:val="es-ES" w:eastAsia="en-US"/>
        </w:rPr>
        <w:t>ante esta Corte</w:t>
      </w:r>
      <w:r w:rsidR="00C003A2" w:rsidRPr="00975C02">
        <w:rPr>
          <w:kern w:val="2"/>
          <w:sz w:val="20"/>
          <w:szCs w:val="20"/>
          <w:lang w:val="es-ES" w:eastAsia="en-US"/>
        </w:rPr>
        <w:t xml:space="preserve"> que</w:t>
      </w:r>
      <w:r w:rsidRPr="00975C02">
        <w:rPr>
          <w:kern w:val="2"/>
          <w:sz w:val="20"/>
          <w:szCs w:val="20"/>
          <w:lang w:val="es-ES" w:eastAsia="en-US"/>
        </w:rPr>
        <w:t>:</w:t>
      </w:r>
    </w:p>
    <w:p w14:paraId="6A72A08E" w14:textId="77777777" w:rsidR="00B5625C" w:rsidRPr="00975C02" w:rsidRDefault="00B5625C" w:rsidP="00B5625C">
      <w:pPr>
        <w:widowControl/>
        <w:adjustRightInd/>
        <w:spacing w:line="240" w:lineRule="auto"/>
        <w:ind w:left="567" w:right="332"/>
        <w:jc w:val="left"/>
        <w:textAlignment w:val="auto"/>
        <w:rPr>
          <w:kern w:val="2"/>
          <w:sz w:val="20"/>
          <w:szCs w:val="20"/>
          <w:lang w:val="es-ES" w:eastAsia="en-US"/>
        </w:rPr>
      </w:pPr>
    </w:p>
    <w:p w14:paraId="4A866757" w14:textId="5FFB9A57" w:rsidR="00B5625C" w:rsidRPr="00240256" w:rsidRDefault="00B5625C" w:rsidP="00C821A3">
      <w:pPr>
        <w:widowControl/>
        <w:adjustRightInd/>
        <w:spacing w:line="240" w:lineRule="auto"/>
        <w:ind w:left="567" w:right="582"/>
        <w:textAlignment w:val="auto"/>
        <w:rPr>
          <w:kern w:val="2"/>
          <w:sz w:val="16"/>
          <w:szCs w:val="16"/>
          <w:lang w:val="es-ES" w:eastAsia="en-US"/>
        </w:rPr>
      </w:pPr>
      <w:r w:rsidRPr="00240256">
        <w:rPr>
          <w:kern w:val="2"/>
          <w:sz w:val="16"/>
          <w:szCs w:val="16"/>
          <w:lang w:val="es-ES" w:eastAsia="en-US"/>
        </w:rPr>
        <w:t xml:space="preserve">[u]no de los objetivos más claros de las reformas legales en América Latina vinculadas a la creación de códigos, estatutos de protección de los derechos de la niñez y la adolescencia […] exigen […] cuestiones fundamentales: [l]a coordinación de todas las actuaciones de asistencia, y eso está en toda la normativa y eso significa la coordinación de los sistemas de protección especial de niños víctimas o vulnerados sus derechos con los sistemas de políticas universales; un sistema de justicia completo que sea adecuado a las necesidades de los niños, particularmente </w:t>
      </w:r>
      <w:r w:rsidR="00963F2B" w:rsidRPr="00240256">
        <w:rPr>
          <w:kern w:val="2"/>
          <w:sz w:val="16"/>
          <w:szCs w:val="16"/>
          <w:lang w:val="es-ES" w:eastAsia="en-US"/>
        </w:rPr>
        <w:t>[…]</w:t>
      </w:r>
      <w:r w:rsidRPr="00240256">
        <w:rPr>
          <w:kern w:val="2"/>
          <w:sz w:val="16"/>
          <w:szCs w:val="16"/>
          <w:lang w:val="es-ES" w:eastAsia="en-US"/>
        </w:rPr>
        <w:t xml:space="preserve"> en aspectos probatorios y</w:t>
      </w:r>
      <w:r w:rsidR="00963F2B" w:rsidRPr="00240256">
        <w:rPr>
          <w:kern w:val="2"/>
          <w:sz w:val="16"/>
          <w:szCs w:val="16"/>
          <w:lang w:val="es-ES" w:eastAsia="en-US"/>
        </w:rPr>
        <w:t>,</w:t>
      </w:r>
      <w:r w:rsidRPr="00240256">
        <w:rPr>
          <w:kern w:val="2"/>
          <w:sz w:val="16"/>
          <w:szCs w:val="16"/>
          <w:lang w:val="es-ES" w:eastAsia="en-US"/>
        </w:rPr>
        <w:t xml:space="preserve"> fundamentalmente</w:t>
      </w:r>
      <w:r w:rsidR="00963F2B" w:rsidRPr="00240256">
        <w:rPr>
          <w:kern w:val="2"/>
          <w:sz w:val="16"/>
          <w:szCs w:val="16"/>
          <w:lang w:val="es-ES" w:eastAsia="en-US"/>
        </w:rPr>
        <w:t>,</w:t>
      </w:r>
      <w:r w:rsidRPr="00240256">
        <w:rPr>
          <w:kern w:val="2"/>
          <w:sz w:val="16"/>
          <w:szCs w:val="16"/>
          <w:lang w:val="es-ES" w:eastAsia="en-US"/>
        </w:rPr>
        <w:t xml:space="preserve"> en aspectos que tengan que ver con exámenes de salud u otros tipos de reparaciones; un sistema de terapias específicas y de asistencia espec</w:t>
      </w:r>
      <w:r w:rsidR="003908D0" w:rsidRPr="00240256">
        <w:rPr>
          <w:kern w:val="2"/>
          <w:sz w:val="16"/>
          <w:szCs w:val="16"/>
          <w:lang w:val="es-ES" w:eastAsia="en-US"/>
        </w:rPr>
        <w:t>í</w:t>
      </w:r>
      <w:r w:rsidRPr="00240256">
        <w:rPr>
          <w:kern w:val="2"/>
          <w:sz w:val="16"/>
          <w:szCs w:val="16"/>
          <w:lang w:val="es-ES" w:eastAsia="en-US"/>
        </w:rPr>
        <w:t>fica terapéutica respecto a estas víctimas para tratarl</w:t>
      </w:r>
      <w:r w:rsidR="003908D0" w:rsidRPr="00240256">
        <w:rPr>
          <w:kern w:val="2"/>
          <w:sz w:val="16"/>
          <w:szCs w:val="16"/>
          <w:lang w:val="es-ES" w:eastAsia="en-US"/>
        </w:rPr>
        <w:t>a</w:t>
      </w:r>
      <w:r w:rsidRPr="00240256">
        <w:rPr>
          <w:kern w:val="2"/>
          <w:sz w:val="16"/>
          <w:szCs w:val="16"/>
          <w:lang w:val="es-ES" w:eastAsia="en-US"/>
        </w:rPr>
        <w:t>s sobre su trauma; y finalmente</w:t>
      </w:r>
      <w:r w:rsidR="003908D0" w:rsidRPr="00240256">
        <w:rPr>
          <w:kern w:val="2"/>
          <w:sz w:val="16"/>
          <w:szCs w:val="16"/>
          <w:lang w:val="es-ES" w:eastAsia="en-US"/>
        </w:rPr>
        <w:t>,</w:t>
      </w:r>
      <w:r w:rsidRPr="00240256">
        <w:rPr>
          <w:kern w:val="2"/>
          <w:sz w:val="16"/>
          <w:szCs w:val="16"/>
          <w:lang w:val="es-ES" w:eastAsia="en-US"/>
        </w:rPr>
        <w:t xml:space="preserve"> un conjunto de condiciones específicas en las cuales la familia de ese niño va a tener los apoyos necesarios (en </w:t>
      </w:r>
      <w:r w:rsidRPr="00240256">
        <w:rPr>
          <w:kern w:val="2"/>
          <w:sz w:val="16"/>
          <w:szCs w:val="16"/>
          <w:lang w:val="es-ES" w:eastAsia="en-US"/>
        </w:rPr>
        <w:lastRenderedPageBreak/>
        <w:t>los casos que ello sea conveniente y no sea contrario a los intereses superiores) mantener el ámbito familiar o bien soluciones alternativas para re</w:t>
      </w:r>
      <w:r w:rsidR="00963F2B" w:rsidRPr="00240256">
        <w:rPr>
          <w:kern w:val="2"/>
          <w:sz w:val="16"/>
          <w:szCs w:val="16"/>
          <w:lang w:val="es-ES" w:eastAsia="en-US"/>
        </w:rPr>
        <w:t>construir ese vínculo familiar</w:t>
      </w:r>
      <w:r w:rsidR="005D7234">
        <w:rPr>
          <w:rStyle w:val="FootnoteReference"/>
          <w:kern w:val="2"/>
          <w:sz w:val="16"/>
          <w:szCs w:val="16"/>
          <w:lang w:val="es-ES" w:eastAsia="en-US"/>
        </w:rPr>
        <w:footnoteReference w:id="278"/>
      </w:r>
      <w:r w:rsidR="00963F2B" w:rsidRPr="00240256">
        <w:rPr>
          <w:kern w:val="2"/>
          <w:sz w:val="16"/>
          <w:szCs w:val="16"/>
          <w:lang w:val="es-ES" w:eastAsia="en-US"/>
        </w:rPr>
        <w:t>.</w:t>
      </w:r>
    </w:p>
    <w:p w14:paraId="213742D5"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600BB121" w14:textId="77777777"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Del expediente de</w:t>
      </w:r>
      <w:r w:rsidR="00660708" w:rsidRPr="00975C02">
        <w:rPr>
          <w:kern w:val="2"/>
          <w:sz w:val="20"/>
          <w:szCs w:val="20"/>
          <w:lang w:val="es-ES" w:eastAsia="en-US"/>
        </w:rPr>
        <w:t xml:space="preserve"> este</w:t>
      </w:r>
      <w:r w:rsidRPr="00975C02">
        <w:rPr>
          <w:kern w:val="2"/>
          <w:sz w:val="20"/>
          <w:szCs w:val="20"/>
          <w:lang w:val="es-ES" w:eastAsia="en-US"/>
        </w:rPr>
        <w:t xml:space="preserve"> caso, la Corte no ha podido constatar que el Estado, a través de alguna de sus instituciones, haya requerido la participación inmediata</w:t>
      </w:r>
      <w:r w:rsidR="003F4FDF" w:rsidRPr="00975C02">
        <w:rPr>
          <w:kern w:val="2"/>
          <w:sz w:val="20"/>
          <w:szCs w:val="20"/>
          <w:lang w:val="es-ES" w:eastAsia="en-US"/>
        </w:rPr>
        <w:t xml:space="preserve"> después de interpuesta la denuncia</w:t>
      </w:r>
      <w:r w:rsidRPr="00975C02">
        <w:rPr>
          <w:kern w:val="2"/>
          <w:sz w:val="20"/>
          <w:szCs w:val="20"/>
          <w:lang w:val="es-ES" w:eastAsia="en-US"/>
        </w:rPr>
        <w:t xml:space="preserve"> de algún profesional especializado con el fin de</w:t>
      </w:r>
      <w:r w:rsidR="005C729D" w:rsidRPr="00975C02">
        <w:rPr>
          <w:kern w:val="2"/>
          <w:sz w:val="20"/>
          <w:szCs w:val="20"/>
          <w:lang w:val="es-ES" w:eastAsia="en-US"/>
        </w:rPr>
        <w:t xml:space="preserve"> que</w:t>
      </w:r>
      <w:r w:rsidRPr="00975C02">
        <w:rPr>
          <w:kern w:val="2"/>
          <w:sz w:val="20"/>
          <w:szCs w:val="20"/>
          <w:lang w:val="es-ES" w:eastAsia="en-US"/>
        </w:rPr>
        <w:t xml:space="preserve"> </w:t>
      </w:r>
      <w:r w:rsidR="005C729D" w:rsidRPr="00975C02">
        <w:rPr>
          <w:kern w:val="2"/>
          <w:sz w:val="20"/>
          <w:szCs w:val="20"/>
          <w:lang w:val="es-ES" w:eastAsia="en-US"/>
        </w:rPr>
        <w:t>informara</w:t>
      </w:r>
      <w:r w:rsidR="00660708" w:rsidRPr="00975C02">
        <w:rPr>
          <w:kern w:val="2"/>
          <w:sz w:val="20"/>
          <w:szCs w:val="20"/>
          <w:lang w:val="es-ES" w:eastAsia="en-US"/>
        </w:rPr>
        <w:t xml:space="preserve"> a la víctima o a su familia sobre el desarrollo del proceso y de las diligencias</w:t>
      </w:r>
      <w:r w:rsidR="005C729D" w:rsidRPr="00975C02">
        <w:rPr>
          <w:kern w:val="2"/>
          <w:sz w:val="20"/>
          <w:szCs w:val="20"/>
          <w:lang w:val="es-ES" w:eastAsia="en-US"/>
        </w:rPr>
        <w:t>, así como</w:t>
      </w:r>
      <w:r w:rsidR="00660708" w:rsidRPr="00975C02">
        <w:rPr>
          <w:kern w:val="2"/>
          <w:sz w:val="20"/>
          <w:szCs w:val="20"/>
          <w:lang w:val="es-ES" w:eastAsia="en-US"/>
        </w:rPr>
        <w:t xml:space="preserve"> </w:t>
      </w:r>
      <w:r w:rsidR="005C729D" w:rsidRPr="00975C02">
        <w:rPr>
          <w:kern w:val="2"/>
          <w:sz w:val="20"/>
          <w:szCs w:val="20"/>
          <w:lang w:val="es-ES" w:eastAsia="en-US"/>
        </w:rPr>
        <w:t>sobre la disponibilidad de atención en salud y</w:t>
      </w:r>
      <w:r w:rsidRPr="00975C02">
        <w:rPr>
          <w:kern w:val="2"/>
          <w:sz w:val="20"/>
          <w:szCs w:val="20"/>
          <w:lang w:val="es-ES" w:eastAsia="en-US"/>
        </w:rPr>
        <w:t xml:space="preserve"> </w:t>
      </w:r>
      <w:r w:rsidR="005C729D" w:rsidRPr="00975C02">
        <w:rPr>
          <w:kern w:val="2"/>
          <w:sz w:val="20"/>
          <w:szCs w:val="20"/>
          <w:lang w:val="es-ES" w:eastAsia="en-US"/>
        </w:rPr>
        <w:t>psicosocial, individual y como grupo familiar, y de las</w:t>
      </w:r>
      <w:r w:rsidRPr="00975C02">
        <w:rPr>
          <w:kern w:val="2"/>
          <w:sz w:val="20"/>
          <w:szCs w:val="20"/>
          <w:lang w:val="es-ES" w:eastAsia="en-US"/>
        </w:rPr>
        <w:t xml:space="preserve"> instituciones especializadas</w:t>
      </w:r>
      <w:r w:rsidR="005C729D" w:rsidRPr="00975C02">
        <w:rPr>
          <w:kern w:val="2"/>
          <w:sz w:val="20"/>
          <w:szCs w:val="20"/>
          <w:lang w:val="es-ES" w:eastAsia="en-US"/>
        </w:rPr>
        <w:t xml:space="preserve"> existentes </w:t>
      </w:r>
      <w:r w:rsidRPr="00975C02">
        <w:rPr>
          <w:kern w:val="2"/>
          <w:sz w:val="20"/>
          <w:szCs w:val="20"/>
          <w:lang w:val="es-ES" w:eastAsia="en-US"/>
        </w:rPr>
        <w:t>para</w:t>
      </w:r>
      <w:r w:rsidR="005C729D" w:rsidRPr="00975C02">
        <w:rPr>
          <w:kern w:val="2"/>
          <w:sz w:val="20"/>
          <w:szCs w:val="20"/>
          <w:lang w:val="es-ES" w:eastAsia="en-US"/>
        </w:rPr>
        <w:t xml:space="preserve"> brindar acompañamiento</w:t>
      </w:r>
      <w:r w:rsidRPr="00975C02">
        <w:rPr>
          <w:kern w:val="2"/>
          <w:sz w:val="20"/>
          <w:szCs w:val="20"/>
          <w:lang w:val="es-ES" w:eastAsia="en-US"/>
        </w:rPr>
        <w:t>.</w:t>
      </w:r>
    </w:p>
    <w:p w14:paraId="3B973154"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324C4466" w14:textId="518028A7"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A su vez, </w:t>
      </w:r>
      <w:r w:rsidR="00783185" w:rsidRPr="00975C02">
        <w:rPr>
          <w:kern w:val="2"/>
          <w:sz w:val="20"/>
          <w:szCs w:val="20"/>
          <w:lang w:val="es-ES" w:eastAsia="en-US"/>
        </w:rPr>
        <w:t>la Corte constata</w:t>
      </w:r>
      <w:r w:rsidRPr="00975C02">
        <w:rPr>
          <w:kern w:val="2"/>
          <w:sz w:val="20"/>
          <w:szCs w:val="20"/>
          <w:lang w:val="es-ES" w:eastAsia="en-US"/>
        </w:rPr>
        <w:t xml:space="preserve"> que la única acción que el Estado adoptó como medida de acompañamiento, consistió en el nombramiento de una psiquiatra el 23 de noviembre de 2001, para que “d[iera] seguimiento a la niña V.R.P., para que en su momento[,] se evacúe informe de [su] estado emocional” (</w:t>
      </w:r>
      <w:r w:rsidRPr="00975C02">
        <w:rPr>
          <w:i/>
          <w:kern w:val="2"/>
          <w:sz w:val="20"/>
          <w:szCs w:val="20"/>
          <w:lang w:val="es-ES" w:eastAsia="en-US"/>
        </w:rPr>
        <w:t>supra</w:t>
      </w:r>
      <w:r w:rsidRPr="00975C02">
        <w:rPr>
          <w:kern w:val="2"/>
          <w:sz w:val="20"/>
          <w:szCs w:val="20"/>
          <w:lang w:val="es-ES" w:eastAsia="en-US"/>
        </w:rPr>
        <w:t xml:space="preserve"> párr. </w:t>
      </w:r>
      <w:r w:rsidR="001701D3" w:rsidRPr="00975C02">
        <w:rPr>
          <w:kern w:val="2"/>
          <w:sz w:val="20"/>
          <w:szCs w:val="20"/>
          <w:lang w:val="es-ES" w:eastAsia="en-US"/>
        </w:rPr>
        <w:t>80</w:t>
      </w:r>
      <w:r w:rsidRPr="00975C02">
        <w:rPr>
          <w:kern w:val="2"/>
          <w:sz w:val="20"/>
          <w:szCs w:val="20"/>
          <w:lang w:val="es-ES" w:eastAsia="en-US"/>
        </w:rPr>
        <w:t xml:space="preserve">). La psiquiatra participó en las siguientes diligencias y emitió los siguientes informes: a) el 26 de noviembre de 2001 realizó una consulta externa de psiquiatría en el Hospital Victoria </w:t>
      </w:r>
      <w:r w:rsidR="003908D0" w:rsidRPr="00975C02">
        <w:rPr>
          <w:kern w:val="2"/>
          <w:sz w:val="20"/>
          <w:szCs w:val="20"/>
          <w:lang w:val="es-ES" w:eastAsia="en-US"/>
        </w:rPr>
        <w:t xml:space="preserve">Motta </w:t>
      </w:r>
      <w:r w:rsidRPr="00975C02">
        <w:rPr>
          <w:kern w:val="2"/>
          <w:sz w:val="20"/>
          <w:szCs w:val="20"/>
          <w:lang w:val="es-ES" w:eastAsia="en-US"/>
        </w:rPr>
        <w:t xml:space="preserve">de Jinotega, en donde concluyó que el relato de los hechos de V.R.P. era confiable, claro y veraz, que sufría de estrés post-traumático y que recomendaba verificar sus lesiones genitales con anestesia en el Instituto de Medicina Legal de Managua; b) estuvo presente en la inspección ocular y reconstrucción de los hechos y durante el intento del primer examen médico legal; c) el 21 de febrero de 2002 emitió un informe de seguimiento de V.R.P. donde recomendó que la niña “necesitará, casi siempre, hasta alcanzar su madurez biológica y emocional, ayuda de </w:t>
      </w:r>
      <w:r w:rsidR="003908D0" w:rsidRPr="00975C02">
        <w:rPr>
          <w:kern w:val="2"/>
          <w:sz w:val="20"/>
          <w:szCs w:val="20"/>
          <w:lang w:val="es-ES" w:eastAsia="en-US"/>
        </w:rPr>
        <w:t>[p]</w:t>
      </w:r>
      <w:r w:rsidRPr="00975C02">
        <w:rPr>
          <w:kern w:val="2"/>
          <w:sz w:val="20"/>
          <w:szCs w:val="20"/>
          <w:lang w:val="es-ES" w:eastAsia="en-US"/>
        </w:rPr>
        <w:t xml:space="preserve">sicoterapeuta, ya que el daño recibido en su esfera física y </w:t>
      </w:r>
      <w:r w:rsidR="003908D0" w:rsidRPr="00975C02">
        <w:rPr>
          <w:kern w:val="2"/>
          <w:sz w:val="20"/>
          <w:szCs w:val="20"/>
          <w:lang w:val="es-ES" w:eastAsia="en-US"/>
        </w:rPr>
        <w:t>[p]</w:t>
      </w:r>
      <w:r w:rsidRPr="00975C02">
        <w:rPr>
          <w:kern w:val="2"/>
          <w:sz w:val="20"/>
          <w:szCs w:val="20"/>
          <w:lang w:val="es-ES" w:eastAsia="en-US"/>
        </w:rPr>
        <w:t>síquica, es de secuelas y lesiones duraderas […]. Si no se atiende terapéuticamente, puede llegar a desarrollar ideación suicida o hundirse en la depresión endógena. Por lo tanto, por precaución a no hacer más daño en su persona, se indica evitar la revictimización de la paciente, no permitiendo que ella siga estando presente en los recuerdos del hecho acaecido o de perjuicio que le haya sucedido o interrogándosele al respecto”, y d) el 22 de abril de 2001 emitió una epicrisis en la cual concluyó que V.R.P. sufría de estrés post-traumático a nivel psicológico y derivó su tratamiento a psicología por “prevención de secuelas por abuso sexual que podrían interferir en su conducta futura a nivel de comunicación y relación de su entorno”.</w:t>
      </w:r>
    </w:p>
    <w:p w14:paraId="32E8D193"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28BCCA0C" w14:textId="3CB3FEA8" w:rsidR="00E54EE1" w:rsidRPr="00975C02" w:rsidRDefault="00A01C02" w:rsidP="00E54EE1">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El Tribunal comprueba que, desde la valoración psicológica inicial realizada a V.R.P. el 27 de noviembre de 2001 por una psicóloga del Instituto de Medicina Legal a solicitud de la jueza penal del caso (</w:t>
      </w:r>
      <w:r w:rsidRPr="00975C02">
        <w:rPr>
          <w:i/>
          <w:kern w:val="2"/>
          <w:sz w:val="20"/>
          <w:szCs w:val="20"/>
          <w:lang w:val="es-ES" w:eastAsia="en-US"/>
        </w:rPr>
        <w:t xml:space="preserve">supra </w:t>
      </w:r>
      <w:r w:rsidRPr="00975C02">
        <w:rPr>
          <w:kern w:val="2"/>
          <w:sz w:val="20"/>
          <w:szCs w:val="20"/>
          <w:lang w:val="es-ES" w:eastAsia="en-US"/>
        </w:rPr>
        <w:t xml:space="preserve">párr. </w:t>
      </w:r>
      <w:r w:rsidR="001701D3" w:rsidRPr="00975C02">
        <w:rPr>
          <w:kern w:val="2"/>
          <w:sz w:val="20"/>
          <w:szCs w:val="20"/>
          <w:lang w:val="es-ES" w:eastAsia="en-US"/>
        </w:rPr>
        <w:t>84</w:t>
      </w:r>
      <w:r w:rsidRPr="00975C02">
        <w:rPr>
          <w:kern w:val="2"/>
          <w:sz w:val="20"/>
          <w:szCs w:val="20"/>
          <w:lang w:val="es-ES" w:eastAsia="en-US"/>
        </w:rPr>
        <w:t>), se indicó que la niña requería un tratamiento terapéutico a largo plazo. Asimismo, en las evaluaciones posteriores</w:t>
      </w:r>
      <w:r w:rsidR="00E54EE1" w:rsidRPr="00975C02">
        <w:rPr>
          <w:kern w:val="2"/>
          <w:sz w:val="20"/>
          <w:szCs w:val="20"/>
          <w:lang w:val="es-ES" w:eastAsia="en-US"/>
        </w:rPr>
        <w:t xml:space="preserve"> realizadas por la psiquiatra</w:t>
      </w:r>
      <w:r w:rsidRPr="00975C02">
        <w:rPr>
          <w:kern w:val="2"/>
          <w:sz w:val="20"/>
          <w:szCs w:val="20"/>
          <w:lang w:val="es-ES" w:eastAsia="en-US"/>
        </w:rPr>
        <w:t xml:space="preserve"> se reiteró dicha solicitud debido a las afectaciones psicológicas y al estrés post-traumático diagnosticado. Ante tales indicaciones claras en cuanto a la necesidad de un tratamiento psicológico, no consta que el Estado lo haya proveído a través de sus instituciones públicas de salud.</w:t>
      </w:r>
      <w:r w:rsidR="00E54EE1" w:rsidRPr="00975C02">
        <w:rPr>
          <w:kern w:val="2"/>
          <w:sz w:val="20"/>
          <w:szCs w:val="20"/>
          <w:lang w:val="es-ES" w:eastAsia="en-US"/>
        </w:rPr>
        <w:t xml:space="preserve"> Tampoco </w:t>
      </w:r>
      <w:r w:rsidR="00E31BCA" w:rsidRPr="00975C02">
        <w:rPr>
          <w:kern w:val="2"/>
          <w:sz w:val="20"/>
          <w:szCs w:val="20"/>
          <w:lang w:val="es-ES" w:eastAsia="en-US"/>
        </w:rPr>
        <w:t>es claro</w:t>
      </w:r>
      <w:r w:rsidR="00B5625C" w:rsidRPr="00975C02">
        <w:rPr>
          <w:kern w:val="2"/>
          <w:sz w:val="20"/>
          <w:szCs w:val="20"/>
          <w:lang w:val="es-ES" w:eastAsia="en-US"/>
        </w:rPr>
        <w:t xml:space="preserve"> si la psiquiatra brindó un tratamiento terapéutico a V.R.P. de manera constante, con el objetivo de</w:t>
      </w:r>
      <w:r w:rsidR="003908D0" w:rsidRPr="00975C02">
        <w:rPr>
          <w:kern w:val="2"/>
          <w:sz w:val="20"/>
          <w:szCs w:val="20"/>
          <w:lang w:val="es-ES" w:eastAsia="en-US"/>
        </w:rPr>
        <w:t xml:space="preserve"> que</w:t>
      </w:r>
      <w:r w:rsidR="00B5625C" w:rsidRPr="00975C02">
        <w:rPr>
          <w:kern w:val="2"/>
          <w:sz w:val="20"/>
          <w:szCs w:val="20"/>
          <w:lang w:val="es-ES" w:eastAsia="en-US"/>
        </w:rPr>
        <w:t xml:space="preserve"> la niña iniciara un proceso de rehabilitación y reintegración, ya que desde su nombramiento el 23 de noviembre de 2001 </w:t>
      </w:r>
      <w:r w:rsidR="003908D0" w:rsidRPr="00975C02">
        <w:rPr>
          <w:kern w:val="2"/>
          <w:sz w:val="20"/>
          <w:szCs w:val="20"/>
          <w:lang w:val="es-ES" w:eastAsia="en-US"/>
        </w:rPr>
        <w:t>hasta e</w:t>
      </w:r>
      <w:r w:rsidR="00B5625C" w:rsidRPr="00975C02">
        <w:rPr>
          <w:kern w:val="2"/>
          <w:sz w:val="20"/>
          <w:szCs w:val="20"/>
          <w:lang w:val="es-ES" w:eastAsia="en-US"/>
        </w:rPr>
        <w:t xml:space="preserve">l 22 de abril de 2002, fecha en la cual la derivó a </w:t>
      </w:r>
      <w:r w:rsidR="00E31BCA" w:rsidRPr="00975C02">
        <w:rPr>
          <w:kern w:val="2"/>
          <w:sz w:val="20"/>
          <w:szCs w:val="20"/>
          <w:lang w:val="es-ES" w:eastAsia="en-US"/>
        </w:rPr>
        <w:t>terapia psicológica</w:t>
      </w:r>
      <w:r w:rsidR="00B5625C" w:rsidRPr="00975C02">
        <w:rPr>
          <w:kern w:val="2"/>
          <w:sz w:val="20"/>
          <w:szCs w:val="20"/>
          <w:lang w:val="es-ES" w:eastAsia="en-US"/>
        </w:rPr>
        <w:t xml:space="preserve">, solo consta en </w:t>
      </w:r>
      <w:r w:rsidR="00B75585" w:rsidRPr="00975C02">
        <w:rPr>
          <w:kern w:val="2"/>
          <w:sz w:val="20"/>
          <w:szCs w:val="20"/>
          <w:lang w:val="es-ES" w:eastAsia="en-US"/>
        </w:rPr>
        <w:t xml:space="preserve">la prueba aportada ante esta Corte que </w:t>
      </w:r>
      <w:r w:rsidR="00B5625C" w:rsidRPr="00975C02">
        <w:rPr>
          <w:kern w:val="2"/>
          <w:sz w:val="20"/>
          <w:szCs w:val="20"/>
          <w:lang w:val="es-ES" w:eastAsia="en-US"/>
        </w:rPr>
        <w:t>trat</w:t>
      </w:r>
      <w:r w:rsidR="00B75585" w:rsidRPr="00975C02">
        <w:rPr>
          <w:kern w:val="2"/>
          <w:sz w:val="20"/>
          <w:szCs w:val="20"/>
          <w:lang w:val="es-ES" w:eastAsia="en-US"/>
        </w:rPr>
        <w:t>ó</w:t>
      </w:r>
      <w:r w:rsidR="00B5625C" w:rsidRPr="00975C02">
        <w:rPr>
          <w:kern w:val="2"/>
          <w:sz w:val="20"/>
          <w:szCs w:val="20"/>
          <w:lang w:val="es-ES" w:eastAsia="en-US"/>
        </w:rPr>
        <w:t xml:space="preserve"> a V.R.P. en con</w:t>
      </w:r>
      <w:r w:rsidR="00E54EE1" w:rsidRPr="00975C02">
        <w:rPr>
          <w:kern w:val="2"/>
          <w:sz w:val="20"/>
          <w:szCs w:val="20"/>
          <w:lang w:val="es-ES" w:eastAsia="en-US"/>
        </w:rPr>
        <w:t>tadas ocasiones.</w:t>
      </w:r>
    </w:p>
    <w:p w14:paraId="6D9FF96F" w14:textId="77777777" w:rsidR="00E54EE1" w:rsidRPr="00975C02" w:rsidRDefault="00E54EE1" w:rsidP="00E54EE1">
      <w:pPr>
        <w:widowControl/>
        <w:tabs>
          <w:tab w:val="left" w:pos="567"/>
        </w:tabs>
        <w:adjustRightInd/>
        <w:spacing w:line="240" w:lineRule="auto"/>
        <w:textAlignment w:val="auto"/>
        <w:rPr>
          <w:kern w:val="2"/>
          <w:sz w:val="20"/>
          <w:szCs w:val="20"/>
          <w:lang w:val="es-ES" w:eastAsia="en-US"/>
        </w:rPr>
      </w:pPr>
    </w:p>
    <w:p w14:paraId="2D3117AE" w14:textId="3F0EE152" w:rsidR="00B5625C" w:rsidRPr="00975C02" w:rsidRDefault="00B5625C" w:rsidP="00E54EE1">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Si bien V.R.P., V.P.C. y N.R.P. salieron de Nicaragua el 6 de diciembre de 2002, la Corte constata que transcurrieron casi ocho meses sin que la niña ni su familia </w:t>
      </w:r>
      <w:r w:rsidR="009C3DF0" w:rsidRPr="00975C02">
        <w:rPr>
          <w:kern w:val="2"/>
          <w:sz w:val="20"/>
          <w:szCs w:val="20"/>
          <w:lang w:val="es-ES" w:eastAsia="en-US"/>
        </w:rPr>
        <w:t xml:space="preserve">recibieran </w:t>
      </w:r>
      <w:r w:rsidRPr="00975C02">
        <w:rPr>
          <w:kern w:val="2"/>
          <w:sz w:val="20"/>
          <w:szCs w:val="20"/>
          <w:lang w:val="es-ES" w:eastAsia="en-US"/>
        </w:rPr>
        <w:t>tratamiento psicológic</w:t>
      </w:r>
      <w:r w:rsidR="009C3DF0" w:rsidRPr="00975C02">
        <w:rPr>
          <w:kern w:val="2"/>
          <w:sz w:val="20"/>
          <w:szCs w:val="20"/>
          <w:lang w:val="es-ES" w:eastAsia="en-US"/>
        </w:rPr>
        <w:t>o</w:t>
      </w:r>
      <w:r w:rsidRPr="00975C02">
        <w:rPr>
          <w:kern w:val="2"/>
          <w:sz w:val="20"/>
          <w:szCs w:val="20"/>
          <w:lang w:val="es-ES" w:eastAsia="en-US"/>
        </w:rPr>
        <w:t xml:space="preserve">. La Corte resalta que V.R.P., quien cuenta con 25 años de edad en la actualidad, continúa sufriendo las secuelas psicológicas de la violación sexual y de la falta de atención médica oportuna y continua que el Estado debió brindarle a efectos de recuperarse del cuadro estrés </w:t>
      </w:r>
      <w:r w:rsidR="003908D0" w:rsidRPr="00975C02">
        <w:rPr>
          <w:kern w:val="2"/>
          <w:sz w:val="20"/>
          <w:szCs w:val="20"/>
          <w:lang w:val="es-ES" w:eastAsia="en-US"/>
        </w:rPr>
        <w:t xml:space="preserve">de </w:t>
      </w:r>
      <w:r w:rsidRPr="00975C02">
        <w:rPr>
          <w:kern w:val="2"/>
          <w:sz w:val="20"/>
          <w:szCs w:val="20"/>
          <w:lang w:val="es-ES" w:eastAsia="en-US"/>
        </w:rPr>
        <w:t xml:space="preserve">post-traumático diagnosticado. A su vez, tampoco se brindó atención psicoterapéutica continua al </w:t>
      </w:r>
      <w:r w:rsidRPr="00975C02">
        <w:rPr>
          <w:kern w:val="2"/>
          <w:sz w:val="20"/>
          <w:szCs w:val="20"/>
          <w:lang w:val="es-ES" w:eastAsia="en-US"/>
        </w:rPr>
        <w:lastRenderedPageBreak/>
        <w:t xml:space="preserve">grupo familiar de V.R.P. quienes debían también recibir medidas de </w:t>
      </w:r>
      <w:r w:rsidR="007A074C" w:rsidRPr="00975C02">
        <w:rPr>
          <w:kern w:val="2"/>
          <w:sz w:val="20"/>
          <w:szCs w:val="20"/>
          <w:lang w:val="es-ES" w:eastAsia="en-US"/>
        </w:rPr>
        <w:t>atención integral</w:t>
      </w:r>
      <w:r w:rsidRPr="00975C02">
        <w:rPr>
          <w:kern w:val="2"/>
          <w:sz w:val="20"/>
          <w:szCs w:val="20"/>
          <w:lang w:val="es-ES" w:eastAsia="en-US"/>
        </w:rPr>
        <w:t xml:space="preserve"> con el fin de brindar un entorno familiar propicio para la recuperación y reintegración de la </w:t>
      </w:r>
      <w:r w:rsidR="00F903D6" w:rsidRPr="00975C02">
        <w:rPr>
          <w:kern w:val="2"/>
          <w:sz w:val="20"/>
          <w:szCs w:val="20"/>
          <w:lang w:val="es-ES" w:eastAsia="en-US"/>
        </w:rPr>
        <w:t>niña</w:t>
      </w:r>
      <w:r w:rsidR="007E2E6F" w:rsidRPr="00975C02">
        <w:rPr>
          <w:kern w:val="2"/>
          <w:sz w:val="20"/>
          <w:szCs w:val="20"/>
          <w:lang w:val="es-ES" w:eastAsia="en-US"/>
        </w:rPr>
        <w:t>.</w:t>
      </w:r>
    </w:p>
    <w:p w14:paraId="4F662788" w14:textId="77777777" w:rsidR="00C003A2" w:rsidRPr="00975C02" w:rsidRDefault="00C003A2" w:rsidP="00C003A2">
      <w:pPr>
        <w:widowControl/>
        <w:tabs>
          <w:tab w:val="left" w:pos="567"/>
        </w:tabs>
        <w:adjustRightInd/>
        <w:spacing w:line="240" w:lineRule="auto"/>
        <w:textAlignment w:val="auto"/>
        <w:rPr>
          <w:kern w:val="2"/>
          <w:sz w:val="20"/>
          <w:szCs w:val="20"/>
          <w:lang w:val="es-ES" w:eastAsia="en-US"/>
        </w:rPr>
      </w:pPr>
    </w:p>
    <w:p w14:paraId="1D076486" w14:textId="21069B90" w:rsidR="00B5625C" w:rsidRPr="00975C02" w:rsidRDefault="00B5625C" w:rsidP="00A422F9">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Asimismo, </w:t>
      </w:r>
      <w:r w:rsidR="00A422F9" w:rsidRPr="00975C02">
        <w:rPr>
          <w:kern w:val="2"/>
          <w:sz w:val="20"/>
          <w:szCs w:val="20"/>
          <w:lang w:val="es-ES" w:eastAsia="en-US"/>
        </w:rPr>
        <w:t xml:space="preserve">según informó el Estado, </w:t>
      </w:r>
      <w:r w:rsidRPr="00975C02">
        <w:rPr>
          <w:kern w:val="2"/>
          <w:sz w:val="20"/>
          <w:szCs w:val="20"/>
          <w:lang w:val="es-ES" w:eastAsia="en-US"/>
        </w:rPr>
        <w:t xml:space="preserve">el Consejo Nacional de Atención y Protección Integral a la Niñez y la Adolescencia solicitó al Ministerio de </w:t>
      </w:r>
      <w:r w:rsidR="007C2E84" w:rsidRPr="00975C02">
        <w:rPr>
          <w:kern w:val="2"/>
          <w:sz w:val="20"/>
          <w:szCs w:val="20"/>
          <w:lang w:val="es-ES" w:eastAsia="en-US"/>
        </w:rPr>
        <w:t xml:space="preserve">la </w:t>
      </w:r>
      <w:r w:rsidRPr="00975C02">
        <w:rPr>
          <w:kern w:val="2"/>
          <w:sz w:val="20"/>
          <w:szCs w:val="20"/>
          <w:lang w:val="es-ES" w:eastAsia="en-US"/>
        </w:rPr>
        <w:t>Familia la realización de un estudio biopsicosocial a V.R.P.</w:t>
      </w:r>
      <w:r w:rsidR="00A422F9" w:rsidRPr="00975C02">
        <w:rPr>
          <w:kern w:val="2"/>
          <w:sz w:val="20"/>
          <w:szCs w:val="20"/>
          <w:lang w:val="es-ES" w:eastAsia="en-US"/>
        </w:rPr>
        <w:t xml:space="preserve"> para la recuperación de las secuelas causadas a la niña</w:t>
      </w:r>
      <w:r w:rsidR="00A422F9" w:rsidRPr="00975C02">
        <w:rPr>
          <w:rStyle w:val="FootnoteReference"/>
          <w:kern w:val="2"/>
          <w:sz w:val="20"/>
          <w:szCs w:val="20"/>
          <w:lang w:val="es-ES" w:eastAsia="en-US"/>
        </w:rPr>
        <w:footnoteReference w:id="279"/>
      </w:r>
      <w:r w:rsidR="00A422F9" w:rsidRPr="00975C02">
        <w:rPr>
          <w:kern w:val="2"/>
          <w:sz w:val="20"/>
          <w:szCs w:val="20"/>
          <w:lang w:val="es-ES" w:eastAsia="en-US"/>
        </w:rPr>
        <w:t>. Éste a su vez</w:t>
      </w:r>
      <w:r w:rsidRPr="00975C02">
        <w:rPr>
          <w:kern w:val="2"/>
          <w:sz w:val="20"/>
          <w:szCs w:val="20"/>
          <w:lang w:val="es-ES" w:eastAsia="en-US"/>
        </w:rPr>
        <w:t xml:space="preserve"> solicitó a un juez civil que se d</w:t>
      </w:r>
      <w:r w:rsidR="00A422F9" w:rsidRPr="00975C02">
        <w:rPr>
          <w:kern w:val="2"/>
          <w:sz w:val="20"/>
          <w:szCs w:val="20"/>
          <w:lang w:val="es-ES" w:eastAsia="en-US"/>
        </w:rPr>
        <w:t>iera</w:t>
      </w:r>
      <w:r w:rsidRPr="00975C02">
        <w:rPr>
          <w:kern w:val="2"/>
          <w:sz w:val="20"/>
          <w:szCs w:val="20"/>
          <w:lang w:val="es-ES" w:eastAsia="en-US"/>
        </w:rPr>
        <w:t xml:space="preserve"> respuesta a la solicitud de nulidad de veredicto de inocencia presentado por V.P.C.</w:t>
      </w:r>
      <w:r w:rsidR="00A422F9" w:rsidRPr="00975C02">
        <w:rPr>
          <w:kern w:val="2"/>
          <w:sz w:val="20"/>
          <w:szCs w:val="20"/>
          <w:lang w:val="es-ES" w:eastAsia="en-US"/>
        </w:rPr>
        <w:t xml:space="preserve"> “con la finalidad de que la retardación de justicia no afecte sus derechos humanos”</w:t>
      </w:r>
      <w:r w:rsidR="00A422F9" w:rsidRPr="00975C02">
        <w:rPr>
          <w:rStyle w:val="FootnoteReference"/>
          <w:kern w:val="2"/>
          <w:sz w:val="20"/>
          <w:szCs w:val="20"/>
          <w:lang w:val="es-ES" w:eastAsia="en-US"/>
        </w:rPr>
        <w:footnoteReference w:id="280"/>
      </w:r>
      <w:r w:rsidR="00A422F9" w:rsidRPr="00975C02">
        <w:rPr>
          <w:kern w:val="2"/>
          <w:sz w:val="20"/>
          <w:szCs w:val="20"/>
          <w:lang w:val="es-ES" w:eastAsia="en-US"/>
        </w:rPr>
        <w:t>.</w:t>
      </w:r>
      <w:r w:rsidR="00053399" w:rsidRPr="00975C02">
        <w:rPr>
          <w:kern w:val="2"/>
          <w:sz w:val="20"/>
          <w:szCs w:val="20"/>
          <w:lang w:val="es-ES" w:eastAsia="en-US"/>
        </w:rPr>
        <w:t xml:space="preserve"> No obstante, el Estado no informó si tal informe efectivamente se llevó a cabo u otras actuaciones que se hubieran derivado del mismo.</w:t>
      </w:r>
    </w:p>
    <w:p w14:paraId="3FA83389" w14:textId="77777777" w:rsidR="00F63EBB" w:rsidRPr="00975C02" w:rsidRDefault="00F63EBB" w:rsidP="00F63EBB">
      <w:pPr>
        <w:widowControl/>
        <w:tabs>
          <w:tab w:val="left" w:pos="567"/>
        </w:tabs>
        <w:adjustRightInd/>
        <w:spacing w:line="240" w:lineRule="auto"/>
        <w:jc w:val="left"/>
        <w:textAlignment w:val="auto"/>
        <w:rPr>
          <w:kern w:val="2"/>
          <w:sz w:val="20"/>
          <w:szCs w:val="20"/>
          <w:lang w:val="es-ES" w:eastAsia="en-US"/>
        </w:rPr>
      </w:pPr>
    </w:p>
    <w:p w14:paraId="32CDD3DB" w14:textId="27223EEF" w:rsidR="00F63EBB" w:rsidRPr="00975C02" w:rsidRDefault="004E6B37" w:rsidP="00F63EBB">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Por otra parte, e</w:t>
      </w:r>
      <w:r w:rsidR="00D87E4C" w:rsidRPr="00975C02">
        <w:rPr>
          <w:kern w:val="2"/>
          <w:sz w:val="20"/>
          <w:szCs w:val="20"/>
          <w:lang w:val="es-ES" w:eastAsia="en-US"/>
        </w:rPr>
        <w:t xml:space="preserve">l Tribunal nota que la Procuraduría para la Defensa de los Derechos Humanos actuó como agente fiscalizador en el proceso penal por violación sexual </w:t>
      </w:r>
      <w:r w:rsidR="00D87E4C" w:rsidRPr="00975C02">
        <w:rPr>
          <w:kern w:val="2"/>
          <w:sz w:val="20"/>
          <w:szCs w:val="20"/>
          <w:lang w:val="es-ES"/>
        </w:rPr>
        <w:t>en perjuicio de la niña</w:t>
      </w:r>
      <w:r w:rsidR="00D87E4C" w:rsidRPr="00975C02">
        <w:rPr>
          <w:kern w:val="2"/>
          <w:sz w:val="20"/>
          <w:szCs w:val="20"/>
          <w:lang w:val="es-ES" w:eastAsia="en-US"/>
        </w:rPr>
        <w:t xml:space="preserve"> y emitió un informe resaltando diversas irregularidades en el proceso</w:t>
      </w:r>
      <w:r w:rsidR="00236DB3" w:rsidRPr="00975C02">
        <w:rPr>
          <w:kern w:val="2"/>
          <w:sz w:val="20"/>
          <w:szCs w:val="20"/>
          <w:lang w:val="es-ES" w:eastAsia="en-US"/>
        </w:rPr>
        <w:t xml:space="preserve"> (</w:t>
      </w:r>
      <w:r w:rsidR="00236DB3" w:rsidRPr="00975C02">
        <w:rPr>
          <w:i/>
          <w:kern w:val="2"/>
          <w:sz w:val="20"/>
          <w:szCs w:val="20"/>
          <w:lang w:val="es-ES" w:eastAsia="en-US"/>
        </w:rPr>
        <w:t>supra</w:t>
      </w:r>
      <w:r w:rsidR="00236DB3" w:rsidRPr="00975C02">
        <w:rPr>
          <w:kern w:val="2"/>
          <w:sz w:val="20"/>
          <w:szCs w:val="20"/>
          <w:lang w:val="es-ES" w:eastAsia="en-US"/>
        </w:rPr>
        <w:t xml:space="preserve"> párr. </w:t>
      </w:r>
      <w:r w:rsidR="009D646B" w:rsidRPr="00975C02">
        <w:rPr>
          <w:kern w:val="2"/>
          <w:sz w:val="20"/>
          <w:szCs w:val="20"/>
          <w:lang w:val="es-ES" w:eastAsia="en-US"/>
        </w:rPr>
        <w:t>100</w:t>
      </w:r>
      <w:r w:rsidR="00236DB3" w:rsidRPr="00975C02">
        <w:rPr>
          <w:kern w:val="2"/>
          <w:sz w:val="20"/>
          <w:szCs w:val="20"/>
          <w:lang w:val="es-ES" w:eastAsia="en-US"/>
        </w:rPr>
        <w:t>)</w:t>
      </w:r>
      <w:r w:rsidRPr="00975C02">
        <w:rPr>
          <w:kern w:val="2"/>
          <w:sz w:val="20"/>
          <w:szCs w:val="20"/>
          <w:lang w:val="es-ES" w:eastAsia="en-US"/>
        </w:rPr>
        <w:t xml:space="preserve">. </w:t>
      </w:r>
      <w:r w:rsidR="00F63EBB" w:rsidRPr="00975C02">
        <w:rPr>
          <w:kern w:val="2"/>
          <w:sz w:val="20"/>
          <w:szCs w:val="20"/>
          <w:lang w:val="es-ES" w:eastAsia="en-US"/>
        </w:rPr>
        <w:t xml:space="preserve">Sin embargo, </w:t>
      </w:r>
      <w:r w:rsidR="00800834" w:rsidRPr="00975C02">
        <w:rPr>
          <w:kern w:val="2"/>
          <w:sz w:val="20"/>
          <w:szCs w:val="20"/>
          <w:lang w:val="es-ES" w:eastAsia="en-US"/>
        </w:rPr>
        <w:t>conforme a la información con la que cuenta la Corte,</w:t>
      </w:r>
      <w:r w:rsidR="00F63EBB" w:rsidRPr="00975C02">
        <w:rPr>
          <w:kern w:val="2"/>
          <w:sz w:val="20"/>
          <w:szCs w:val="20"/>
          <w:lang w:val="es-ES" w:eastAsia="en-US"/>
        </w:rPr>
        <w:t xml:space="preserve"> </w:t>
      </w:r>
      <w:r w:rsidR="00800834" w:rsidRPr="00975C02">
        <w:rPr>
          <w:kern w:val="2"/>
          <w:sz w:val="20"/>
          <w:szCs w:val="20"/>
          <w:lang w:val="es-ES" w:eastAsia="en-US"/>
        </w:rPr>
        <w:t xml:space="preserve">dicha institución no </w:t>
      </w:r>
      <w:r w:rsidR="00F63EBB" w:rsidRPr="00975C02">
        <w:rPr>
          <w:kern w:val="2"/>
          <w:sz w:val="20"/>
          <w:szCs w:val="20"/>
          <w:lang w:val="es-ES" w:eastAsia="en-US"/>
        </w:rPr>
        <w:t xml:space="preserve">tenía las competencias para representar </w:t>
      </w:r>
      <w:r w:rsidR="00800834" w:rsidRPr="00975C02">
        <w:rPr>
          <w:kern w:val="2"/>
          <w:sz w:val="20"/>
          <w:szCs w:val="20"/>
          <w:lang w:val="es-ES" w:eastAsia="en-US"/>
        </w:rPr>
        <w:t>los</w:t>
      </w:r>
      <w:r w:rsidR="00F63EBB" w:rsidRPr="00975C02">
        <w:rPr>
          <w:kern w:val="2"/>
          <w:sz w:val="20"/>
          <w:szCs w:val="20"/>
          <w:lang w:val="es-ES" w:eastAsia="en-US"/>
        </w:rPr>
        <w:t xml:space="preserve"> intereses</w:t>
      </w:r>
      <w:r w:rsidR="00800834" w:rsidRPr="00975C02">
        <w:rPr>
          <w:kern w:val="2"/>
          <w:sz w:val="20"/>
          <w:szCs w:val="20"/>
          <w:lang w:val="es-ES" w:eastAsia="en-US"/>
        </w:rPr>
        <w:t xml:space="preserve"> de V.R.P.</w:t>
      </w:r>
      <w:r w:rsidR="00F63EBB" w:rsidRPr="00975C02">
        <w:rPr>
          <w:kern w:val="2"/>
          <w:sz w:val="20"/>
          <w:szCs w:val="20"/>
          <w:lang w:val="es-ES" w:eastAsia="en-US"/>
        </w:rPr>
        <w:t xml:space="preserve"> durante el proceso penal del caso, lo cual habría podido evitar los actos revictimizantes a los cuales fue sometida V.R.P. durante la sustanciación del proceso.</w:t>
      </w:r>
    </w:p>
    <w:p w14:paraId="1D453E2B" w14:textId="77777777" w:rsidR="00B5625C" w:rsidRPr="00975C02" w:rsidRDefault="00B5625C" w:rsidP="00B5625C">
      <w:pPr>
        <w:widowControl/>
        <w:adjustRightInd/>
        <w:spacing w:line="240" w:lineRule="auto"/>
        <w:jc w:val="left"/>
        <w:textAlignment w:val="auto"/>
        <w:rPr>
          <w:kern w:val="2"/>
          <w:sz w:val="20"/>
          <w:szCs w:val="20"/>
          <w:lang w:val="es-ES" w:eastAsia="en-US"/>
        </w:rPr>
      </w:pPr>
    </w:p>
    <w:p w14:paraId="046EC7A6" w14:textId="77777777" w:rsidR="004D41D9" w:rsidRPr="00975C02" w:rsidRDefault="004D41D9" w:rsidP="004D41D9">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En conclusión, la Corte considera que el Estado no brindó acompañamiento y atención integral a la niña V.R.P. durante la sustanciación del proceso ni con posterioridad, para lograr su recuperación, reintegración y rehabilitación.</w:t>
      </w:r>
    </w:p>
    <w:p w14:paraId="28EDDE7C" w14:textId="77777777" w:rsidR="004D41D9" w:rsidRPr="00975C02" w:rsidRDefault="004D41D9" w:rsidP="00B5625C">
      <w:pPr>
        <w:widowControl/>
        <w:adjustRightInd/>
        <w:spacing w:line="240" w:lineRule="auto"/>
        <w:jc w:val="left"/>
        <w:textAlignment w:val="auto"/>
        <w:rPr>
          <w:kern w:val="2"/>
          <w:sz w:val="20"/>
          <w:szCs w:val="20"/>
          <w:lang w:val="es-ES" w:eastAsia="en-US"/>
        </w:rPr>
      </w:pPr>
    </w:p>
    <w:p w14:paraId="487CF0D8" w14:textId="77777777" w:rsidR="009E077B" w:rsidRPr="00975C02" w:rsidRDefault="009E077B" w:rsidP="009E077B">
      <w:pPr>
        <w:pStyle w:val="Heading3"/>
        <w:rPr>
          <w:b w:val="0"/>
          <w:i/>
        </w:rPr>
      </w:pPr>
      <w:bookmarkStart w:id="131" w:name="_Toc514172636"/>
      <w:r w:rsidRPr="00975C02">
        <w:rPr>
          <w:b w:val="0"/>
          <w:i/>
        </w:rPr>
        <w:t xml:space="preserve">A.2.f </w:t>
      </w:r>
      <w:r w:rsidRPr="00975C02">
        <w:rPr>
          <w:b w:val="0"/>
          <w:i/>
        </w:rPr>
        <w:tab/>
        <w:t>Conclusión</w:t>
      </w:r>
      <w:bookmarkEnd w:id="131"/>
    </w:p>
    <w:p w14:paraId="7C307857" w14:textId="77777777" w:rsidR="009E077B" w:rsidRPr="00975C02" w:rsidRDefault="009E077B" w:rsidP="00B5625C">
      <w:pPr>
        <w:widowControl/>
        <w:adjustRightInd/>
        <w:spacing w:line="240" w:lineRule="auto"/>
        <w:jc w:val="left"/>
        <w:textAlignment w:val="auto"/>
        <w:rPr>
          <w:kern w:val="2"/>
          <w:sz w:val="20"/>
          <w:szCs w:val="20"/>
          <w:lang w:val="es-ES" w:eastAsia="en-US"/>
        </w:rPr>
      </w:pPr>
    </w:p>
    <w:p w14:paraId="6A8594B1" w14:textId="64BC2C1E" w:rsidR="002B490F" w:rsidRPr="00975C02" w:rsidRDefault="002B490F" w:rsidP="00B564C6">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A raíz de las consideraciones precedentes, la Corte concluye que el Estado es responsable por la</w:t>
      </w:r>
      <w:r w:rsidR="00B564C6" w:rsidRPr="00975C02">
        <w:rPr>
          <w:kern w:val="2"/>
          <w:sz w:val="20"/>
          <w:szCs w:val="20"/>
          <w:lang w:val="es-ES" w:eastAsia="en-US"/>
        </w:rPr>
        <w:t xml:space="preserve"> violación </w:t>
      </w:r>
      <w:r w:rsidR="00D526EE" w:rsidRPr="00975C02">
        <w:rPr>
          <w:kern w:val="2"/>
          <w:sz w:val="20"/>
          <w:szCs w:val="20"/>
          <w:lang w:val="es-ES" w:eastAsia="en-US"/>
        </w:rPr>
        <w:t>de los derechos a la integridad personal, a las garantías judiciales, a la vida privada y familiar y a la protección judicial, tanto por acción como por omisión, en los términos de los artículos 5</w:t>
      </w:r>
      <w:r w:rsidR="00D61200" w:rsidRPr="00975C02">
        <w:rPr>
          <w:kern w:val="2"/>
          <w:sz w:val="20"/>
          <w:szCs w:val="20"/>
          <w:lang w:val="es-ES" w:eastAsia="en-US"/>
        </w:rPr>
        <w:t>.1</w:t>
      </w:r>
      <w:r w:rsidR="00D526EE" w:rsidRPr="00975C02">
        <w:rPr>
          <w:kern w:val="2"/>
          <w:sz w:val="20"/>
          <w:szCs w:val="20"/>
          <w:lang w:val="es-ES" w:eastAsia="en-US"/>
        </w:rPr>
        <w:t>, 8.1, 11.2 y 25.1 de la Convención Americana sobre Derechos Humanos, en relación con los artículos 1.1 y 19 de la misma,</w:t>
      </w:r>
      <w:r w:rsidR="00B564C6" w:rsidRPr="00975C02">
        <w:rPr>
          <w:kern w:val="2"/>
          <w:sz w:val="20"/>
          <w:szCs w:val="20"/>
          <w:lang w:val="es-ES" w:eastAsia="en-US"/>
        </w:rPr>
        <w:t xml:space="preserve"> así como por el incumplimiento de las obligaciones derivadas del artículo 7.b) de la Convención de Belém do Pará, en perjuicio de V.R.P. y V.P.C.</w:t>
      </w:r>
    </w:p>
    <w:p w14:paraId="21A64A81" w14:textId="77777777" w:rsidR="009E077B" w:rsidRPr="00975C02" w:rsidRDefault="009E077B" w:rsidP="00B5625C">
      <w:pPr>
        <w:widowControl/>
        <w:adjustRightInd/>
        <w:spacing w:line="240" w:lineRule="auto"/>
        <w:jc w:val="left"/>
        <w:textAlignment w:val="auto"/>
        <w:rPr>
          <w:kern w:val="2"/>
          <w:sz w:val="20"/>
          <w:szCs w:val="20"/>
          <w:lang w:val="es-ES" w:eastAsia="en-US"/>
        </w:rPr>
      </w:pPr>
    </w:p>
    <w:p w14:paraId="0385088A" w14:textId="77777777" w:rsidR="00B5625C" w:rsidRPr="00975C02" w:rsidRDefault="006F71B8" w:rsidP="00A92F94">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32" w:name="_Toc514172637"/>
      <w:bookmarkEnd w:id="103"/>
      <w:bookmarkEnd w:id="104"/>
      <w:bookmarkEnd w:id="105"/>
      <w:r w:rsidRPr="00975C02">
        <w:rPr>
          <w:rFonts w:eastAsia="MS Mincho" w:cs="Arial"/>
          <w:b/>
          <w:bCs/>
          <w:i/>
          <w:kern w:val="2"/>
          <w:sz w:val="20"/>
          <w:szCs w:val="20"/>
          <w:lang w:val="es-ES" w:eastAsia="en-US"/>
        </w:rPr>
        <w:t>La aplicación de las exigencias del debido proceso al juicio por jurados</w:t>
      </w:r>
      <w:bookmarkEnd w:id="132"/>
    </w:p>
    <w:p w14:paraId="21A54929" w14:textId="77777777" w:rsidR="00B5625C" w:rsidRPr="00975C02" w:rsidRDefault="00B5625C" w:rsidP="00B5625C">
      <w:pPr>
        <w:widowControl/>
        <w:adjustRightInd/>
        <w:spacing w:line="240" w:lineRule="auto"/>
        <w:textAlignment w:val="auto"/>
        <w:rPr>
          <w:b/>
          <w:sz w:val="20"/>
          <w:szCs w:val="20"/>
          <w:lang w:val="es-ES" w:eastAsia="en-US"/>
        </w:rPr>
      </w:pPr>
    </w:p>
    <w:p w14:paraId="5CF4781E" w14:textId="77777777" w:rsidR="00B5625C" w:rsidRPr="00975C02" w:rsidRDefault="00A92F94" w:rsidP="00B5625C">
      <w:pPr>
        <w:keepNext/>
        <w:keepLines/>
        <w:tabs>
          <w:tab w:val="left" w:pos="1701"/>
        </w:tabs>
        <w:spacing w:line="240" w:lineRule="auto"/>
        <w:ind w:left="1134"/>
        <w:outlineLvl w:val="1"/>
        <w:rPr>
          <w:bCs/>
          <w:i/>
          <w:sz w:val="20"/>
          <w:szCs w:val="20"/>
          <w:lang w:val="es-ES"/>
        </w:rPr>
      </w:pPr>
      <w:bookmarkStart w:id="133" w:name="_Toc514172638"/>
      <w:r w:rsidRPr="00975C02">
        <w:rPr>
          <w:bCs/>
          <w:i/>
          <w:sz w:val="20"/>
          <w:szCs w:val="20"/>
          <w:lang w:val="es-ES"/>
        </w:rPr>
        <w:t>B</w:t>
      </w:r>
      <w:r w:rsidR="00B5625C" w:rsidRPr="00975C02">
        <w:rPr>
          <w:bCs/>
          <w:i/>
          <w:sz w:val="20"/>
          <w:szCs w:val="20"/>
          <w:lang w:val="es-ES"/>
        </w:rPr>
        <w:t>.</w:t>
      </w:r>
      <w:r w:rsidR="0032081D" w:rsidRPr="00975C02">
        <w:rPr>
          <w:bCs/>
          <w:i/>
          <w:sz w:val="20"/>
          <w:szCs w:val="20"/>
          <w:lang w:val="es-ES"/>
        </w:rPr>
        <w:t>1</w:t>
      </w:r>
      <w:r w:rsidR="00B5625C" w:rsidRPr="00975C02">
        <w:rPr>
          <w:bCs/>
          <w:i/>
          <w:sz w:val="20"/>
          <w:szCs w:val="20"/>
          <w:lang w:val="es-ES"/>
        </w:rPr>
        <w:t xml:space="preserve"> </w:t>
      </w:r>
      <w:r w:rsidR="00B5625C" w:rsidRPr="00975C02">
        <w:rPr>
          <w:bCs/>
          <w:i/>
          <w:sz w:val="20"/>
          <w:szCs w:val="20"/>
          <w:lang w:val="es-ES"/>
        </w:rPr>
        <w:tab/>
        <w:t>Alegatos</w:t>
      </w:r>
      <w:r w:rsidR="006F71B8" w:rsidRPr="00975C02">
        <w:rPr>
          <w:lang w:val="es-ES"/>
        </w:rPr>
        <w:t xml:space="preserve"> </w:t>
      </w:r>
      <w:r w:rsidR="006F71B8" w:rsidRPr="00975C02">
        <w:rPr>
          <w:bCs/>
          <w:i/>
          <w:sz w:val="20"/>
          <w:szCs w:val="20"/>
          <w:lang w:val="es-ES"/>
        </w:rPr>
        <w:t>de las partes y de la Comisión</w:t>
      </w:r>
      <w:r w:rsidR="00B5625C" w:rsidRPr="00975C02">
        <w:rPr>
          <w:bCs/>
          <w:i/>
          <w:sz w:val="20"/>
          <w:szCs w:val="20"/>
          <w:lang w:val="es-ES"/>
        </w:rPr>
        <w:t xml:space="preserve"> en torno a la</w:t>
      </w:r>
      <w:r w:rsidR="00DD31EF" w:rsidRPr="00975C02">
        <w:rPr>
          <w:bCs/>
          <w:i/>
          <w:sz w:val="20"/>
          <w:szCs w:val="20"/>
          <w:lang w:val="es-ES"/>
        </w:rPr>
        <w:t xml:space="preserve"> imparcialidad</w:t>
      </w:r>
      <w:bookmarkEnd w:id="133"/>
    </w:p>
    <w:p w14:paraId="29B10904" w14:textId="77777777" w:rsidR="00B5625C" w:rsidRPr="00975C02" w:rsidRDefault="00B5625C" w:rsidP="00B5625C">
      <w:pPr>
        <w:widowControl/>
        <w:tabs>
          <w:tab w:val="left" w:pos="720"/>
        </w:tabs>
        <w:adjustRightInd/>
        <w:spacing w:line="240" w:lineRule="auto"/>
        <w:jc w:val="left"/>
        <w:textAlignment w:val="auto"/>
        <w:rPr>
          <w:rFonts w:eastAsia="MS Mincho"/>
          <w:b/>
          <w:sz w:val="20"/>
          <w:szCs w:val="20"/>
          <w:lang w:val="es-ES" w:eastAsia="en-US"/>
        </w:rPr>
      </w:pPr>
    </w:p>
    <w:p w14:paraId="07B3AA6F" w14:textId="78963BBC"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20"/>
          <w:szCs w:val="20"/>
          <w:lang w:val="es-ES" w:eastAsia="en-US"/>
        </w:rPr>
      </w:pPr>
      <w:r w:rsidRPr="00975C02">
        <w:rPr>
          <w:rFonts w:eastAsia="Calibri" w:cs="Arial"/>
          <w:sz w:val="20"/>
          <w:szCs w:val="20"/>
          <w:lang w:val="es-ES" w:eastAsia="en-US"/>
        </w:rPr>
        <w:t xml:space="preserve">La </w:t>
      </w:r>
      <w:r w:rsidRPr="00975C02">
        <w:rPr>
          <w:rFonts w:eastAsia="Calibri" w:cs="Arial"/>
          <w:b/>
          <w:i/>
          <w:sz w:val="20"/>
          <w:szCs w:val="20"/>
          <w:lang w:val="es-ES" w:eastAsia="en-US"/>
        </w:rPr>
        <w:t>Comisión</w:t>
      </w:r>
      <w:r w:rsidRPr="00975C02">
        <w:rPr>
          <w:rFonts w:eastAsia="Calibri" w:cs="Arial"/>
          <w:sz w:val="20"/>
          <w:szCs w:val="20"/>
          <w:lang w:val="es-ES" w:eastAsia="en-US"/>
        </w:rPr>
        <w:t xml:space="preserve"> resaltó que existieron denuncias sobre irregularidades en la conformación del jurado y emisión de la sentencia absolutoria en abril de 2002. Al respecto, la Comisión tomó nota de los alegatos de los peticionarios respecto a: i) la suspensión injustificada en dos </w:t>
      </w:r>
      <w:r w:rsidRPr="00975C02">
        <w:rPr>
          <w:rFonts w:eastAsia="MS Mincho"/>
          <w:sz w:val="20"/>
          <w:szCs w:val="20"/>
          <w:lang w:val="es-ES"/>
        </w:rPr>
        <w:t>ocasiones</w:t>
      </w:r>
      <w:r w:rsidRPr="00975C02">
        <w:rPr>
          <w:rFonts w:eastAsia="Calibri" w:cs="Arial"/>
          <w:sz w:val="20"/>
          <w:szCs w:val="20"/>
          <w:lang w:val="es-ES" w:eastAsia="en-US"/>
        </w:rPr>
        <w:t xml:space="preserve"> del jurado; ii) la afectación al derecho de defensa por haberse rechazado la solicitud de contar con dos abogados más durante la audiencia, y iii) la presunta entrega de un sobre al jurado y a la jueza por parte de la representación legal de la defensa al finalizar la audiencia. La Comisión agregó que el Estado no ha esclarecido debidamente las serias dudas que se plantearon en torno a la posible corrupción y presión ejercida por el agresor desde la situación de poder en la que supuestamente se encontraba, por haber estado vinculado en algún m</w:t>
      </w:r>
      <w:r w:rsidR="00BA3245" w:rsidRPr="00975C02">
        <w:rPr>
          <w:rFonts w:eastAsia="Calibri" w:cs="Arial"/>
          <w:sz w:val="20"/>
          <w:szCs w:val="20"/>
          <w:lang w:val="es-ES" w:eastAsia="en-US"/>
        </w:rPr>
        <w:t>omento al poder judicial local.</w:t>
      </w:r>
    </w:p>
    <w:p w14:paraId="129E1ED9" w14:textId="77777777" w:rsidR="00B5625C" w:rsidRPr="00975C02" w:rsidRDefault="00B5625C" w:rsidP="00B5625C">
      <w:pPr>
        <w:widowControl/>
        <w:tabs>
          <w:tab w:val="left" w:pos="720"/>
        </w:tabs>
        <w:adjustRightInd/>
        <w:spacing w:line="240" w:lineRule="auto"/>
        <w:jc w:val="left"/>
        <w:textAlignment w:val="auto"/>
        <w:rPr>
          <w:rFonts w:eastAsia="MS Mincho"/>
          <w:b/>
          <w:sz w:val="20"/>
          <w:szCs w:val="20"/>
          <w:lang w:val="es-ES" w:eastAsia="en-US"/>
        </w:rPr>
      </w:pPr>
    </w:p>
    <w:p w14:paraId="571218FD" w14:textId="56D58CA0"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cs="Arial"/>
          <w:sz w:val="20"/>
          <w:szCs w:val="20"/>
          <w:lang w:val="es-ES" w:eastAsia="en-US"/>
        </w:rPr>
        <w:t xml:space="preserve">Las </w:t>
      </w:r>
      <w:r w:rsidRPr="00975C02">
        <w:rPr>
          <w:rFonts w:eastAsia="Calibri" w:cs="Arial"/>
          <w:b/>
          <w:i/>
          <w:sz w:val="20"/>
          <w:szCs w:val="20"/>
          <w:lang w:val="es-ES" w:eastAsia="en-US"/>
        </w:rPr>
        <w:t>representantes</w:t>
      </w:r>
      <w:r w:rsidRPr="00975C02">
        <w:rPr>
          <w:rFonts w:eastAsia="Calibri" w:cs="Arial"/>
          <w:sz w:val="20"/>
          <w:szCs w:val="20"/>
          <w:lang w:val="es-ES" w:eastAsia="en-US"/>
        </w:rPr>
        <w:t xml:space="preserve"> alegaron que el Estado no garantizó un juicio transparente y libre de influencias, y en él se observa la influencia política, el prejuicio por las creencias religiosas de la </w:t>
      </w:r>
      <w:r w:rsidRPr="00975C02">
        <w:rPr>
          <w:rFonts w:eastAsia="Calibri" w:cs="Arial"/>
          <w:sz w:val="20"/>
          <w:szCs w:val="20"/>
          <w:lang w:val="es-ES" w:eastAsia="en-US"/>
        </w:rPr>
        <w:lastRenderedPageBreak/>
        <w:t xml:space="preserve">madre de la víctima y la afectación del derecho a defensa de la víctima al no darle la oportunidad de contradecir el contenido del papel rosado entregado al jurado para ser visto en privado. De igual forma, señalaron la actitud denigrante que habría tenido la </w:t>
      </w:r>
      <w:r w:rsidR="003C0254" w:rsidRPr="00975C02">
        <w:rPr>
          <w:rFonts w:eastAsia="Calibri" w:cs="Arial"/>
          <w:sz w:val="20"/>
          <w:szCs w:val="20"/>
          <w:lang w:val="es-ES" w:eastAsia="en-US"/>
        </w:rPr>
        <w:t>j</w:t>
      </w:r>
      <w:r w:rsidRPr="00975C02">
        <w:rPr>
          <w:rFonts w:eastAsia="Calibri" w:cs="Arial"/>
          <w:sz w:val="20"/>
          <w:szCs w:val="20"/>
          <w:lang w:val="es-ES" w:eastAsia="en-US"/>
        </w:rPr>
        <w:t>uez</w:t>
      </w:r>
      <w:r w:rsidR="003C0254" w:rsidRPr="00975C02">
        <w:rPr>
          <w:rFonts w:eastAsia="Calibri" w:cs="Arial"/>
          <w:sz w:val="20"/>
          <w:szCs w:val="20"/>
          <w:lang w:val="es-ES" w:eastAsia="en-US"/>
        </w:rPr>
        <w:t>a</w:t>
      </w:r>
      <w:r w:rsidRPr="00975C02">
        <w:rPr>
          <w:rFonts w:eastAsia="Calibri" w:cs="Arial"/>
          <w:sz w:val="20"/>
          <w:szCs w:val="20"/>
          <w:lang w:val="es-ES" w:eastAsia="en-US"/>
        </w:rPr>
        <w:t xml:space="preserve"> hacia la madre de la víctima por el trato dado, por permitirle a la defensa utilizar lenguaje que descalificara a la señora V.P.C. y no permitirle estar presente en el momento de desinsaculación de jurados, afectando la parcialidad y transparencia del juicio. Adicionalmente, señalaron que no se le permitió contar con igual cantidad de abogados que le fue autorizado a la defensa</w:t>
      </w:r>
      <w:r w:rsidR="006233E7" w:rsidRPr="00975C02">
        <w:rPr>
          <w:rFonts w:eastAsia="Calibri" w:cs="Arial"/>
          <w:sz w:val="20"/>
          <w:szCs w:val="20"/>
          <w:lang w:val="es-ES" w:eastAsia="en-US"/>
        </w:rPr>
        <w:t>.</w:t>
      </w:r>
    </w:p>
    <w:p w14:paraId="6C55778D" w14:textId="77777777" w:rsidR="00B5625C" w:rsidRPr="00975C02" w:rsidRDefault="00B5625C" w:rsidP="00B5625C">
      <w:pPr>
        <w:widowControl/>
        <w:tabs>
          <w:tab w:val="left" w:pos="720"/>
        </w:tabs>
        <w:adjustRightInd/>
        <w:spacing w:line="240" w:lineRule="auto"/>
        <w:jc w:val="left"/>
        <w:textAlignment w:val="auto"/>
        <w:rPr>
          <w:rFonts w:eastAsia="MS Mincho"/>
          <w:b/>
          <w:sz w:val="20"/>
          <w:szCs w:val="20"/>
          <w:lang w:val="es-ES" w:eastAsia="en-US"/>
        </w:rPr>
      </w:pPr>
    </w:p>
    <w:p w14:paraId="25D84DAB" w14:textId="2F2B5113"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20"/>
          <w:szCs w:val="20"/>
          <w:lang w:val="es-ES" w:eastAsia="en-US"/>
        </w:rPr>
      </w:pPr>
      <w:r w:rsidRPr="00975C02">
        <w:rPr>
          <w:rFonts w:eastAsia="Calibri" w:cs="Arial"/>
          <w:sz w:val="20"/>
          <w:szCs w:val="20"/>
          <w:lang w:val="es-ES" w:eastAsia="en-US"/>
        </w:rPr>
        <w:t xml:space="preserve">El </w:t>
      </w:r>
      <w:r w:rsidRPr="00975C02">
        <w:rPr>
          <w:rFonts w:eastAsia="Calibri" w:cs="Arial"/>
          <w:b/>
          <w:i/>
          <w:sz w:val="20"/>
          <w:szCs w:val="20"/>
          <w:lang w:val="es-ES" w:eastAsia="en-US"/>
        </w:rPr>
        <w:t>Estado</w:t>
      </w:r>
      <w:r w:rsidRPr="00975C02">
        <w:rPr>
          <w:rFonts w:eastAsia="Calibri" w:cs="Arial"/>
          <w:sz w:val="20"/>
          <w:szCs w:val="20"/>
          <w:lang w:val="es-ES" w:eastAsia="en-US"/>
        </w:rPr>
        <w:t xml:space="preserve"> señaló que no era responsable por el veredicto emitido por los</w:t>
      </w:r>
      <w:r w:rsidR="00A84E71">
        <w:rPr>
          <w:rFonts w:eastAsia="Calibri" w:cs="Arial"/>
          <w:sz w:val="20"/>
          <w:szCs w:val="20"/>
          <w:lang w:val="es-ES" w:eastAsia="en-US"/>
        </w:rPr>
        <w:t xml:space="preserve"> ciudadanos que conformaron el T</w:t>
      </w:r>
      <w:r w:rsidRPr="00975C02">
        <w:rPr>
          <w:rFonts w:eastAsia="Calibri" w:cs="Arial"/>
          <w:sz w:val="20"/>
          <w:szCs w:val="20"/>
          <w:lang w:val="es-ES" w:eastAsia="en-US"/>
        </w:rPr>
        <w:t xml:space="preserve">ribunal de </w:t>
      </w:r>
      <w:r w:rsidR="00A84E71">
        <w:rPr>
          <w:rFonts w:eastAsia="Calibri" w:cs="Arial"/>
          <w:sz w:val="20"/>
          <w:szCs w:val="20"/>
          <w:lang w:val="es-ES" w:eastAsia="en-US"/>
        </w:rPr>
        <w:t>J</w:t>
      </w:r>
      <w:r w:rsidRPr="00975C02">
        <w:rPr>
          <w:rFonts w:eastAsia="Calibri" w:cs="Arial"/>
          <w:sz w:val="20"/>
          <w:szCs w:val="20"/>
          <w:lang w:val="es-ES" w:eastAsia="en-US"/>
        </w:rPr>
        <w:t>urados, quienes luego de debatir la prueba ofrecida en la etapa plenaria del proceso, no encontraron responsabilidad alguna en contra del señor H.R.A. en razón de su sana crítica e íntima convicción. Asimismo, destacó que no existía ninguna denuncia por la conformación de los jurados, ni existió objeción o recusación alguna por parte del abogado de V.P.C.</w:t>
      </w:r>
    </w:p>
    <w:p w14:paraId="76284CE5"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031ADABE" w14:textId="069AAFC9"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iCs/>
          <w:sz w:val="20"/>
          <w:szCs w:val="20"/>
          <w:lang w:val="es-ES" w:eastAsia="en-US"/>
        </w:rPr>
        <w:t>En relación con las reprogramaciones de la audiencia, el Estado alegó que la suspensión del jurado en dos ocasiones se debió</w:t>
      </w:r>
      <w:r w:rsidR="005E5B71" w:rsidRPr="00975C02">
        <w:rPr>
          <w:rFonts w:eastAsia="Calibri"/>
          <w:iCs/>
          <w:sz w:val="20"/>
          <w:szCs w:val="20"/>
          <w:lang w:val="es-ES" w:eastAsia="en-US"/>
        </w:rPr>
        <w:t>,</w:t>
      </w:r>
      <w:r w:rsidRPr="00975C02">
        <w:rPr>
          <w:rFonts w:eastAsia="Calibri"/>
          <w:iCs/>
          <w:sz w:val="20"/>
          <w:szCs w:val="20"/>
          <w:lang w:val="es-ES" w:eastAsia="en-US"/>
        </w:rPr>
        <w:t xml:space="preserve"> en primer lugar</w:t>
      </w:r>
      <w:r w:rsidR="005E5B71" w:rsidRPr="00975C02">
        <w:rPr>
          <w:rFonts w:eastAsia="Calibri"/>
          <w:iCs/>
          <w:sz w:val="20"/>
          <w:szCs w:val="20"/>
          <w:lang w:val="es-ES" w:eastAsia="en-US"/>
        </w:rPr>
        <w:t>,</w:t>
      </w:r>
      <w:r w:rsidRPr="00975C02">
        <w:rPr>
          <w:rFonts w:eastAsia="Calibri"/>
          <w:iCs/>
          <w:sz w:val="20"/>
          <w:szCs w:val="20"/>
          <w:lang w:val="es-ES" w:eastAsia="en-US"/>
        </w:rPr>
        <w:t xml:space="preserve"> por prudencia y</w:t>
      </w:r>
      <w:r w:rsidR="005E5B71" w:rsidRPr="00975C02">
        <w:rPr>
          <w:rFonts w:eastAsia="Calibri"/>
          <w:iCs/>
          <w:sz w:val="20"/>
          <w:szCs w:val="20"/>
          <w:lang w:val="es-ES" w:eastAsia="en-US"/>
        </w:rPr>
        <w:t>,</w:t>
      </w:r>
      <w:r w:rsidRPr="00975C02">
        <w:rPr>
          <w:rFonts w:eastAsia="Calibri"/>
          <w:iCs/>
          <w:sz w:val="20"/>
          <w:szCs w:val="20"/>
          <w:lang w:val="es-ES" w:eastAsia="en-US"/>
        </w:rPr>
        <w:t xml:space="preserve"> en segundo lugar</w:t>
      </w:r>
      <w:r w:rsidR="005E5B71" w:rsidRPr="00975C02">
        <w:rPr>
          <w:rFonts w:eastAsia="Calibri"/>
          <w:iCs/>
          <w:sz w:val="20"/>
          <w:szCs w:val="20"/>
          <w:lang w:val="es-ES" w:eastAsia="en-US"/>
        </w:rPr>
        <w:t>,</w:t>
      </w:r>
      <w:r w:rsidRPr="00975C02">
        <w:rPr>
          <w:rFonts w:eastAsia="Calibri"/>
          <w:iCs/>
          <w:sz w:val="20"/>
          <w:szCs w:val="20"/>
          <w:lang w:val="es-ES" w:eastAsia="en-US"/>
        </w:rPr>
        <w:t xml:space="preserve"> por ser un </w:t>
      </w:r>
      <w:r w:rsidRPr="00975C02">
        <w:rPr>
          <w:rFonts w:eastAsia="Calibri" w:cs="Arial"/>
          <w:sz w:val="20"/>
          <w:szCs w:val="20"/>
          <w:lang w:val="es-ES" w:eastAsia="en-US"/>
        </w:rPr>
        <w:t>acto</w:t>
      </w:r>
      <w:r w:rsidRPr="00975C02">
        <w:rPr>
          <w:rFonts w:eastAsia="Calibri"/>
          <w:iCs/>
          <w:sz w:val="20"/>
          <w:szCs w:val="20"/>
          <w:lang w:val="es-ES" w:eastAsia="en-US"/>
        </w:rPr>
        <w:t xml:space="preserve"> consentido por las partes, entre ellas, el abogado de V.P.C. La segunda reprogramación se hizo porque el abogado defensor presentó constancia médica de reposo en virtud que no estaba apto para realizar el juicio por lo que la juez</w:t>
      </w:r>
      <w:r w:rsidR="003C0254" w:rsidRPr="00975C02">
        <w:rPr>
          <w:rFonts w:eastAsia="Calibri"/>
          <w:iCs/>
          <w:sz w:val="20"/>
          <w:szCs w:val="20"/>
          <w:lang w:val="es-ES" w:eastAsia="en-US"/>
        </w:rPr>
        <w:t>a</w:t>
      </w:r>
      <w:r w:rsidRPr="00975C02">
        <w:rPr>
          <w:rFonts w:eastAsia="Calibri"/>
          <w:iCs/>
          <w:sz w:val="20"/>
          <w:szCs w:val="20"/>
          <w:lang w:val="es-ES" w:eastAsia="en-US"/>
        </w:rPr>
        <w:t xml:space="preserve"> decidió suspender el mismo por no afectar el derecho a la defensa y por estar justificado.</w:t>
      </w:r>
    </w:p>
    <w:p w14:paraId="38464DB7" w14:textId="77777777" w:rsidR="00B5625C" w:rsidRPr="00975C02" w:rsidRDefault="00B5625C" w:rsidP="00B5625C">
      <w:pPr>
        <w:widowControl/>
        <w:autoSpaceDE w:val="0"/>
        <w:autoSpaceDN w:val="0"/>
        <w:adjustRightInd/>
        <w:spacing w:line="240" w:lineRule="auto"/>
        <w:jc w:val="left"/>
        <w:textAlignment w:val="auto"/>
        <w:rPr>
          <w:rFonts w:eastAsia="Calibri" w:cs="Arial"/>
          <w:b/>
          <w:sz w:val="16"/>
          <w:szCs w:val="20"/>
          <w:lang w:val="es-ES" w:eastAsia="en-US"/>
        </w:rPr>
      </w:pPr>
    </w:p>
    <w:p w14:paraId="7C204324" w14:textId="460D400E"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iCs/>
          <w:sz w:val="20"/>
          <w:szCs w:val="20"/>
          <w:lang w:val="es-ES" w:eastAsia="en-US"/>
        </w:rPr>
      </w:pPr>
      <w:r w:rsidRPr="00975C02">
        <w:rPr>
          <w:rFonts w:eastAsia="Calibri"/>
          <w:iCs/>
          <w:sz w:val="20"/>
          <w:szCs w:val="20"/>
          <w:lang w:val="es-ES" w:eastAsia="en-US"/>
        </w:rPr>
        <w:t xml:space="preserve">De igual forma, sobre el incidente de posible corrupción del jurado, el Estado señaló que se abrió a pruebas en forma de incidente en el que tuvieron amplia participación las partes </w:t>
      </w:r>
      <w:r w:rsidRPr="00975C02">
        <w:rPr>
          <w:rFonts w:eastAsia="Calibri" w:cs="Arial"/>
          <w:sz w:val="20"/>
          <w:szCs w:val="20"/>
          <w:lang w:val="es-ES" w:eastAsia="en-US"/>
        </w:rPr>
        <w:t>durante</w:t>
      </w:r>
      <w:r w:rsidRPr="00975C02">
        <w:rPr>
          <w:rFonts w:eastAsia="Calibri"/>
          <w:iCs/>
          <w:sz w:val="20"/>
          <w:szCs w:val="20"/>
          <w:lang w:val="es-ES" w:eastAsia="en-US"/>
        </w:rPr>
        <w:t xml:space="preserve"> el proceso y en la que se recibió la testifical de todos los implicados, se analizó el video y se inspeccionó el expediente en presencia de las partes quienes hicieron uso de sus alegatos y se pronunciaron al respecto. En el acta de inspección del expediente se indicó que en </w:t>
      </w:r>
      <w:r w:rsidR="00AA0CDA" w:rsidRPr="00975C02">
        <w:rPr>
          <w:rFonts w:eastAsia="Calibri"/>
          <w:iCs/>
          <w:sz w:val="20"/>
          <w:szCs w:val="20"/>
          <w:lang w:val="es-ES" w:eastAsia="en-US"/>
        </w:rPr>
        <w:t>éste</w:t>
      </w:r>
      <w:r w:rsidRPr="00975C02">
        <w:rPr>
          <w:rFonts w:eastAsia="Calibri"/>
          <w:iCs/>
          <w:sz w:val="20"/>
          <w:szCs w:val="20"/>
          <w:lang w:val="es-ES" w:eastAsia="en-US"/>
        </w:rPr>
        <w:t xml:space="preserve"> no constaba </w:t>
      </w:r>
      <w:r w:rsidR="00ED2ADE">
        <w:rPr>
          <w:rFonts w:eastAsia="Calibri"/>
          <w:iCs/>
          <w:sz w:val="20"/>
          <w:szCs w:val="20"/>
          <w:lang w:val="es-ES" w:eastAsia="en-US"/>
        </w:rPr>
        <w:t xml:space="preserve">el </w:t>
      </w:r>
      <w:r w:rsidRPr="00975C02">
        <w:rPr>
          <w:rFonts w:eastAsia="Calibri"/>
          <w:iCs/>
          <w:sz w:val="20"/>
          <w:szCs w:val="20"/>
          <w:lang w:val="es-ES" w:eastAsia="en-US"/>
        </w:rPr>
        <w:t xml:space="preserve">documento de color rosado manuscrito entregado por la defensa del procesado al tribunal del jurado, y que las partes involucradas en el proceso manifestaron </w:t>
      </w:r>
      <w:r w:rsidR="004F5B40" w:rsidRPr="00975C02">
        <w:rPr>
          <w:rFonts w:eastAsia="Calibri"/>
          <w:iCs/>
          <w:sz w:val="20"/>
          <w:szCs w:val="20"/>
          <w:lang w:val="es-ES" w:eastAsia="en-US"/>
        </w:rPr>
        <w:t xml:space="preserve">no </w:t>
      </w:r>
      <w:r w:rsidRPr="00975C02">
        <w:rPr>
          <w:rFonts w:eastAsia="Calibri"/>
          <w:iCs/>
          <w:sz w:val="20"/>
          <w:szCs w:val="20"/>
          <w:lang w:val="es-ES" w:eastAsia="en-US"/>
        </w:rPr>
        <w:t>haber observado anomalía ni protesta alguna en el desarrollo del proceso oral y público del jurado, por lo que no se decidió por la nulidad del veredicto.</w:t>
      </w:r>
    </w:p>
    <w:p w14:paraId="7CBCAEDD" w14:textId="77777777" w:rsidR="00B5625C" w:rsidRPr="00975C02" w:rsidRDefault="00B5625C" w:rsidP="00B5625C">
      <w:pPr>
        <w:widowControl/>
        <w:autoSpaceDE w:val="0"/>
        <w:autoSpaceDN w:val="0"/>
        <w:adjustRightInd/>
        <w:spacing w:line="240" w:lineRule="auto"/>
        <w:jc w:val="left"/>
        <w:textAlignment w:val="auto"/>
        <w:rPr>
          <w:rFonts w:eastAsia="Calibri" w:cs="Arial"/>
          <w:b/>
          <w:sz w:val="16"/>
          <w:szCs w:val="20"/>
          <w:lang w:val="es-ES" w:eastAsia="en-US"/>
        </w:rPr>
      </w:pPr>
    </w:p>
    <w:p w14:paraId="6D8D5EFA" w14:textId="61513EF3" w:rsidR="00B5625C" w:rsidRPr="00975C02" w:rsidRDefault="00B5625C" w:rsidP="004F5B40">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cs="Arial"/>
          <w:sz w:val="20"/>
          <w:szCs w:val="20"/>
          <w:lang w:val="es-ES" w:eastAsia="en-US"/>
        </w:rPr>
        <w:t>Por otro lado, respecto a la supuesta influencia política a la que se refir</w:t>
      </w:r>
      <w:r w:rsidR="00AA0CDA" w:rsidRPr="00975C02">
        <w:rPr>
          <w:rFonts w:eastAsia="Calibri" w:cs="Arial"/>
          <w:sz w:val="20"/>
          <w:szCs w:val="20"/>
          <w:lang w:val="es-ES" w:eastAsia="en-US"/>
        </w:rPr>
        <w:t>i</w:t>
      </w:r>
      <w:r w:rsidRPr="00975C02">
        <w:rPr>
          <w:rFonts w:eastAsia="Calibri" w:cs="Arial"/>
          <w:sz w:val="20"/>
          <w:szCs w:val="20"/>
          <w:lang w:val="es-ES" w:eastAsia="en-US"/>
        </w:rPr>
        <w:t>e</w:t>
      </w:r>
      <w:r w:rsidR="00AA0CDA" w:rsidRPr="00975C02">
        <w:rPr>
          <w:rFonts w:eastAsia="Calibri" w:cs="Arial"/>
          <w:sz w:val="20"/>
          <w:szCs w:val="20"/>
          <w:lang w:val="es-ES" w:eastAsia="en-US"/>
        </w:rPr>
        <w:t>ro</w:t>
      </w:r>
      <w:r w:rsidRPr="00975C02">
        <w:rPr>
          <w:rFonts w:eastAsia="Calibri" w:cs="Arial"/>
          <w:sz w:val="20"/>
          <w:szCs w:val="20"/>
          <w:lang w:val="es-ES" w:eastAsia="en-US"/>
        </w:rPr>
        <w:t xml:space="preserve">n las representantes, el Estado señaló que no ha sido comprobada, ni a nivel interno, </w:t>
      </w:r>
      <w:r w:rsidR="00AA0CDA" w:rsidRPr="00975C02">
        <w:rPr>
          <w:rFonts w:eastAsia="Calibri" w:cs="Arial"/>
          <w:sz w:val="20"/>
          <w:szCs w:val="20"/>
          <w:lang w:val="es-ES" w:eastAsia="en-US"/>
        </w:rPr>
        <w:t xml:space="preserve">ni </w:t>
      </w:r>
      <w:r w:rsidRPr="00975C02">
        <w:rPr>
          <w:rFonts w:eastAsia="Calibri" w:cs="Arial"/>
          <w:sz w:val="20"/>
          <w:szCs w:val="20"/>
          <w:lang w:val="es-ES" w:eastAsia="en-US"/>
        </w:rPr>
        <w:t>ante la Comisión</w:t>
      </w:r>
      <w:r w:rsidR="00114139" w:rsidRPr="00975C02">
        <w:rPr>
          <w:rFonts w:eastAsia="Calibri" w:cs="Arial"/>
          <w:sz w:val="20"/>
          <w:szCs w:val="20"/>
          <w:lang w:val="es-ES" w:eastAsia="en-US"/>
        </w:rPr>
        <w:t>,</w:t>
      </w:r>
      <w:r w:rsidRPr="00975C02">
        <w:rPr>
          <w:rFonts w:eastAsia="Calibri" w:cs="Arial"/>
          <w:sz w:val="20"/>
          <w:szCs w:val="20"/>
          <w:lang w:val="es-ES" w:eastAsia="en-US"/>
        </w:rPr>
        <w:t xml:space="preserve"> por lo que </w:t>
      </w:r>
      <w:r w:rsidR="00114139" w:rsidRPr="00975C02">
        <w:rPr>
          <w:rFonts w:eastAsia="Calibri" w:cs="Arial"/>
          <w:sz w:val="20"/>
          <w:szCs w:val="20"/>
          <w:lang w:val="es-ES" w:eastAsia="en-US"/>
        </w:rPr>
        <w:t xml:space="preserve">ello constituye </w:t>
      </w:r>
      <w:r w:rsidRPr="00975C02">
        <w:rPr>
          <w:rFonts w:eastAsia="Calibri" w:cs="Arial"/>
          <w:sz w:val="20"/>
          <w:szCs w:val="20"/>
          <w:lang w:val="es-ES" w:eastAsia="en-US"/>
        </w:rPr>
        <w:t>una aseveración subjetiva e infundada. Asimismo, destacó que el Estado de Nicaragua es un Estado Laico.</w:t>
      </w:r>
    </w:p>
    <w:p w14:paraId="63817F0D" w14:textId="77777777" w:rsidR="00B5625C" w:rsidRPr="00975C02" w:rsidRDefault="00B5625C" w:rsidP="00B5625C">
      <w:pPr>
        <w:widowControl/>
        <w:adjustRightInd/>
        <w:spacing w:line="240" w:lineRule="auto"/>
        <w:textAlignment w:val="auto"/>
        <w:rPr>
          <w:sz w:val="20"/>
          <w:szCs w:val="20"/>
          <w:lang w:val="es-ES" w:eastAsia="en-US"/>
        </w:rPr>
      </w:pPr>
    </w:p>
    <w:p w14:paraId="79F3F4A7" w14:textId="77777777" w:rsidR="00B5625C" w:rsidRPr="00975C02" w:rsidRDefault="00A92F94" w:rsidP="00B5625C">
      <w:pPr>
        <w:keepNext/>
        <w:keepLines/>
        <w:tabs>
          <w:tab w:val="left" w:pos="1701"/>
        </w:tabs>
        <w:spacing w:line="240" w:lineRule="auto"/>
        <w:ind w:left="1134"/>
        <w:outlineLvl w:val="1"/>
        <w:rPr>
          <w:bCs/>
          <w:i/>
          <w:sz w:val="20"/>
          <w:szCs w:val="20"/>
          <w:lang w:val="es-ES"/>
        </w:rPr>
      </w:pPr>
      <w:bookmarkStart w:id="134" w:name="_Toc514172639"/>
      <w:r w:rsidRPr="00975C02">
        <w:rPr>
          <w:bCs/>
          <w:i/>
          <w:sz w:val="20"/>
          <w:szCs w:val="20"/>
          <w:lang w:val="es-ES"/>
        </w:rPr>
        <w:t>B</w:t>
      </w:r>
      <w:r w:rsidR="00B5625C" w:rsidRPr="00975C02">
        <w:rPr>
          <w:bCs/>
          <w:i/>
          <w:sz w:val="20"/>
          <w:szCs w:val="20"/>
          <w:lang w:val="es-ES"/>
        </w:rPr>
        <w:t xml:space="preserve">.2 </w:t>
      </w:r>
      <w:r w:rsidR="00B5625C" w:rsidRPr="00975C02">
        <w:rPr>
          <w:bCs/>
          <w:i/>
          <w:sz w:val="20"/>
          <w:szCs w:val="20"/>
          <w:lang w:val="es-ES"/>
        </w:rPr>
        <w:tab/>
        <w:t>Alegatos</w:t>
      </w:r>
      <w:r w:rsidR="006F71B8" w:rsidRPr="00975C02">
        <w:rPr>
          <w:bCs/>
          <w:i/>
          <w:sz w:val="20"/>
          <w:szCs w:val="20"/>
          <w:lang w:val="es-ES"/>
        </w:rPr>
        <w:t xml:space="preserve"> de las partes y de la Comisión</w:t>
      </w:r>
      <w:r w:rsidR="00B5625C" w:rsidRPr="00975C02">
        <w:rPr>
          <w:bCs/>
          <w:i/>
          <w:sz w:val="20"/>
          <w:szCs w:val="20"/>
          <w:lang w:val="es-ES"/>
        </w:rPr>
        <w:t xml:space="preserve"> en relación con el deber de motivar</w:t>
      </w:r>
      <w:bookmarkEnd w:id="134"/>
    </w:p>
    <w:p w14:paraId="1EFDB031" w14:textId="77777777" w:rsidR="00B5625C" w:rsidRPr="00975C02" w:rsidRDefault="00B5625C" w:rsidP="00B5625C">
      <w:pPr>
        <w:widowControl/>
        <w:tabs>
          <w:tab w:val="left" w:pos="720"/>
        </w:tabs>
        <w:adjustRightInd/>
        <w:spacing w:line="240" w:lineRule="auto"/>
        <w:jc w:val="left"/>
        <w:textAlignment w:val="auto"/>
        <w:rPr>
          <w:rFonts w:eastAsia="MS Mincho"/>
          <w:sz w:val="20"/>
          <w:szCs w:val="20"/>
          <w:lang w:val="es-ES" w:eastAsia="en-US"/>
        </w:rPr>
      </w:pPr>
    </w:p>
    <w:p w14:paraId="055D15A8" w14:textId="70243DBF"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cs="Arial"/>
          <w:sz w:val="20"/>
          <w:szCs w:val="20"/>
          <w:lang w:val="es-ES" w:eastAsia="en-US"/>
        </w:rPr>
        <w:t xml:space="preserve">En relación con el veredicto absolutorio de abril de 2002, la </w:t>
      </w:r>
      <w:r w:rsidRPr="00975C02">
        <w:rPr>
          <w:rFonts w:eastAsia="Calibri" w:cs="Arial"/>
          <w:b/>
          <w:i/>
          <w:sz w:val="20"/>
          <w:szCs w:val="20"/>
          <w:lang w:val="es-ES" w:eastAsia="en-US"/>
        </w:rPr>
        <w:t>Comisión</w:t>
      </w:r>
      <w:r w:rsidRPr="00975C02">
        <w:rPr>
          <w:rFonts w:eastAsia="Calibri" w:cs="Arial"/>
          <w:sz w:val="20"/>
          <w:szCs w:val="20"/>
          <w:lang w:val="es-ES" w:eastAsia="en-US"/>
        </w:rPr>
        <w:t xml:space="preserve"> destacó que el mismo fue inmotivado y en ninguna otra parte del expediente se indicaron las razones por las cuales el jurado llegó a esa determinación. A este respecto, recordó que el deber de motivación es un corolario de las garantías del debido proceso, no sólo desde la legitimidad misma de la decisión y la defensa de una persona acusada, sino también desde la expectativa de acceso a la justicia que tienen las víctimas de violaciones a sus derechos. Asimismo, indicó que el deber de motivar las resoluciones es una garantía vinculada con la correcta administración de justicia, además demuestra a las partes que éstas han sido oídas y, en aquellos casos en que las decisiones son recurribles, les proporciona la posibilidad de criticar la resolución y lograr un nuevo examen de la cuestión ante las instancias superiores.</w:t>
      </w:r>
    </w:p>
    <w:p w14:paraId="5F1476F1"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2F23DC22" w14:textId="2ACBBE95"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sz w:val="20"/>
          <w:szCs w:val="20"/>
          <w:lang w:val="es-ES" w:eastAsia="en-US"/>
        </w:rPr>
      </w:pPr>
      <w:r w:rsidRPr="00975C02">
        <w:rPr>
          <w:rFonts w:eastAsia="Calibri" w:cs="Arial"/>
          <w:sz w:val="20"/>
          <w:szCs w:val="20"/>
          <w:lang w:val="es-ES" w:eastAsia="en-US"/>
        </w:rPr>
        <w:t xml:space="preserve">La Comisión especificó que, “en relación con las víctimas de violencia y violación sexual, el cumplimiento de este deber exige que la propia víctima que denuncia la vivencia de una experiencia severamente traumática, pueda contar con una explicación seria y detallada sobre </w:t>
      </w:r>
      <w:r w:rsidRPr="00975C02">
        <w:rPr>
          <w:rFonts w:eastAsia="Calibri" w:cs="Arial"/>
          <w:sz w:val="20"/>
          <w:szCs w:val="20"/>
          <w:lang w:val="es-ES" w:eastAsia="en-US"/>
        </w:rPr>
        <w:lastRenderedPageBreak/>
        <w:t xml:space="preserve">cómo fue tomado en consideración su testimonio, y no una escueta y/o prejuiciada determinación de que su verdad no fue considerada como creíble”, lo cual está ligado a la forma en que debe valorarse el testimonio de una víctima de violencia y violación sexual como una prueba fundamental en el proceso. Agregó que, por tratarse de una niña de corta edad, su testimonio debía valorarse desde una perspectiva de género y el principio general del interés superior. Así, sostuvo que aún en el caso de procesos adelantados con tribunales de jurado, los Estados deben asegurar el cumplimiento de la obligación relacionada con que toda decisión judicial debe dar cuenta de manera motivada la forma en que </w:t>
      </w:r>
      <w:r w:rsidR="00ED2ADE">
        <w:rPr>
          <w:rFonts w:eastAsia="Calibri" w:cs="Arial"/>
          <w:sz w:val="20"/>
          <w:szCs w:val="20"/>
          <w:lang w:val="es-ES" w:eastAsia="en-US"/>
        </w:rPr>
        <w:t xml:space="preserve">se ha considerado </w:t>
      </w:r>
      <w:r w:rsidRPr="00975C02">
        <w:rPr>
          <w:rFonts w:eastAsia="Calibri" w:cs="Arial"/>
          <w:sz w:val="20"/>
          <w:szCs w:val="20"/>
          <w:lang w:val="es-ES" w:eastAsia="en-US"/>
        </w:rPr>
        <w:t>el parecer del niño o niña involucrado en el proceso. Si bien el Estado indicó que la decisión fue adoptada con base en la normativa penal interna vigente, la Comisión entendió que no pueden oponerse cuestiones de derecho interno para eximir el cumplimiento de las obligaciones internacionales.</w:t>
      </w:r>
    </w:p>
    <w:p w14:paraId="0DC0E35D" w14:textId="77777777" w:rsidR="00B5625C" w:rsidRPr="00975C02" w:rsidRDefault="00B5625C" w:rsidP="00B5625C">
      <w:pPr>
        <w:widowControl/>
        <w:tabs>
          <w:tab w:val="left" w:pos="567"/>
        </w:tabs>
        <w:autoSpaceDE w:val="0"/>
        <w:autoSpaceDN w:val="0"/>
        <w:spacing w:line="240" w:lineRule="auto"/>
        <w:textAlignment w:val="auto"/>
        <w:rPr>
          <w:rFonts w:eastAsia="Calibri" w:cs="Arial"/>
          <w:sz w:val="20"/>
          <w:szCs w:val="20"/>
          <w:lang w:val="es-ES" w:eastAsia="en-US"/>
        </w:rPr>
      </w:pPr>
    </w:p>
    <w:p w14:paraId="3BDF268D" w14:textId="52C17AFC"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sz w:val="20"/>
          <w:szCs w:val="20"/>
          <w:lang w:val="es-ES" w:eastAsia="en-US"/>
        </w:rPr>
      </w:pPr>
      <w:r w:rsidRPr="00975C02">
        <w:rPr>
          <w:rFonts w:eastAsia="Calibri" w:cs="Arial"/>
          <w:sz w:val="20"/>
          <w:szCs w:val="20"/>
          <w:lang w:val="es-ES" w:eastAsia="en-US"/>
        </w:rPr>
        <w:t>La Comisión notó que, luego de la absolución, la representante de V.P.C. presentó distintos recursos a efectos de cuestionar las falencias e irregularidades del proceso. De la información disponible, la Comisión observó que dichos recursos no resultaron efectivos</w:t>
      </w:r>
      <w:r w:rsidR="002A4FDB">
        <w:rPr>
          <w:rFonts w:eastAsia="Calibri" w:cs="Arial"/>
          <w:sz w:val="20"/>
          <w:szCs w:val="20"/>
          <w:lang w:val="es-ES" w:eastAsia="en-US"/>
        </w:rPr>
        <w:t>,</w:t>
      </w:r>
      <w:r w:rsidRPr="00975C02">
        <w:rPr>
          <w:rFonts w:eastAsia="Calibri" w:cs="Arial"/>
          <w:sz w:val="20"/>
          <w:szCs w:val="20"/>
          <w:lang w:val="es-ES" w:eastAsia="en-US"/>
        </w:rPr>
        <w:t xml:space="preserve"> en tanto no proveyeron a V.R.P. y a su madre de la posibilidad de que sus alegatos fueran analizados adecuadamente y se aplicaran los correctivos necesarios a la investigación.</w:t>
      </w:r>
    </w:p>
    <w:p w14:paraId="7AD6B8CD"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1A7C788D" w14:textId="5E21C0BC"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sz w:val="20"/>
          <w:szCs w:val="20"/>
          <w:lang w:val="es-ES" w:eastAsia="en-US"/>
        </w:rPr>
      </w:pPr>
      <w:r w:rsidRPr="00975C02">
        <w:rPr>
          <w:rFonts w:eastAsia="Calibri" w:cs="Arial"/>
          <w:sz w:val="20"/>
          <w:szCs w:val="20"/>
          <w:lang w:val="es-ES" w:eastAsia="en-US"/>
        </w:rPr>
        <w:t xml:space="preserve">Las </w:t>
      </w:r>
      <w:r w:rsidRPr="00975C02">
        <w:rPr>
          <w:rFonts w:eastAsia="Calibri" w:cs="Arial"/>
          <w:b/>
          <w:i/>
          <w:sz w:val="20"/>
          <w:szCs w:val="20"/>
          <w:lang w:val="es-ES" w:eastAsia="en-US"/>
        </w:rPr>
        <w:t>representantes</w:t>
      </w:r>
      <w:r w:rsidRPr="00975C02">
        <w:rPr>
          <w:rFonts w:eastAsia="Calibri" w:cs="Arial"/>
          <w:sz w:val="20"/>
          <w:szCs w:val="20"/>
          <w:lang w:val="es-ES" w:eastAsia="en-US"/>
        </w:rPr>
        <w:t xml:space="preserve"> se refirieron a la jurisprudencia de esta Corte que ha señalado que el deber de motivación es una de las “debidas garantías” incluidas en el artículo 8.1 para salvaguardar el derecho a un debido proceso. Las representantes añadieron que la víctima no tuvo la posibilidad de conocer las razones en las que se basaba el veredicto de inocencia. Sostuvieron que en el presente caso, a 15 años del veredicto por el cual fue absuelto el agresor de la presunta víctima, no ha sido posible recibir una explicación de cuáles fueron los hechos, los motivos, las normas y las pruebas en las que se basó el jurado para tomar la decisión en un espacio de 15 minutos, sin creerle al relato “claro y coherente” de V.R.P. respecto a la culpabilidad de su padre. Indicaron que tampoco fue posible conocer si los alegatos planteados por el abogado acusador fueron tomados en consideración, si el jurado analizó las pruebas, o si por el contrario, fue el contenido del papel rosado que recibieron de uno de los defensores con la instrucción de leerlo en privado lo que influyó en la decisión, o si fue real y efectivamente la influencia política imperante en el país sobre la justicia, y que se puso de manifiesto en el caso. Concluyeron que, con sólo observar el veredicto, establecido en media página de papel, es posible concluir que se trata de una decisión carente de motivación y “a todas luces arbitraria”, que no cumplió con los estándares establecidos por la Corte.</w:t>
      </w:r>
    </w:p>
    <w:p w14:paraId="3429783D"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35F68CC9" w14:textId="24986D51"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cs="Arial"/>
          <w:sz w:val="20"/>
          <w:szCs w:val="20"/>
          <w:lang w:val="es-ES" w:eastAsia="en-US"/>
        </w:rPr>
        <w:t>Aunado a lo anterior, las representantes estimaron que no solo no se conocieron las razones del veredicto de inocencia, sino que tampoco se le ofreció a las víctimas un recurso que les permitiera una revisión efectiva del caso. El Estado no pudo garantizar la sanción del responsable del trauma de agresión sexual, como tampoco la investigación y sanción de los que actuaron con negligencia o irregularidades durante el proceso, ni de los que contribuyeron a la revictimización de la niña.</w:t>
      </w:r>
    </w:p>
    <w:p w14:paraId="4E83BF94"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2F597253" w14:textId="5A1D3F80"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rFonts w:eastAsia="Calibri" w:cs="Arial"/>
          <w:b/>
          <w:sz w:val="16"/>
          <w:szCs w:val="20"/>
          <w:lang w:val="es-ES" w:eastAsia="en-US"/>
        </w:rPr>
      </w:pPr>
      <w:r w:rsidRPr="00975C02">
        <w:rPr>
          <w:rFonts w:eastAsia="Calibri"/>
          <w:sz w:val="20"/>
          <w:szCs w:val="20"/>
          <w:lang w:val="es-ES" w:eastAsia="en-US"/>
        </w:rPr>
        <w:t xml:space="preserve">El </w:t>
      </w:r>
      <w:r w:rsidRPr="00975C02">
        <w:rPr>
          <w:rFonts w:eastAsia="Calibri"/>
          <w:b/>
          <w:i/>
          <w:sz w:val="20"/>
          <w:szCs w:val="20"/>
          <w:lang w:val="es-ES" w:eastAsia="en-US"/>
        </w:rPr>
        <w:t>Estado</w:t>
      </w:r>
      <w:r w:rsidRPr="00975C02">
        <w:rPr>
          <w:rFonts w:eastAsia="Calibri"/>
          <w:sz w:val="20"/>
          <w:szCs w:val="20"/>
          <w:lang w:val="es-ES" w:eastAsia="en-US"/>
        </w:rPr>
        <w:t xml:space="preserve"> </w:t>
      </w:r>
      <w:r w:rsidRPr="00975C02">
        <w:rPr>
          <w:rFonts w:eastAsia="Calibri" w:cs="Arial"/>
          <w:sz w:val="20"/>
          <w:szCs w:val="20"/>
          <w:lang w:val="es-ES" w:eastAsia="en-US"/>
        </w:rPr>
        <w:t>señaló que la institución de jurado en Nicaragua no consistía en una figura excepcional en su ordenamiento jurídico interno, sino que existe en muchos países del mundo, siendo el jurado un juez de los hechos y jamás del derecho. Añadió que, la legislación interna de Nicaragua en el artículo 22 del Código de Instrucción Criminal, establecía en la época que “los delitos comunes que merezcan penas más que correccional deberán ser sometidos al conocimiento del Tribunal de Jurados, quien emitirá su veredicto de íntima convicción, pronunciándose sobre la responsabilidad del procesado declarándolo inocente o culpable. Con este veredicto, el Juez de Distrito dictará su sentencia absolviendo, o imponiendo la pena”.</w:t>
      </w:r>
      <w:r w:rsidRPr="00975C02">
        <w:rPr>
          <w:rFonts w:eastAsia="Calibri" w:cs="Arial"/>
          <w:b/>
          <w:sz w:val="16"/>
          <w:szCs w:val="20"/>
          <w:lang w:val="es-ES" w:eastAsia="en-US"/>
        </w:rPr>
        <w:t xml:space="preserve"> </w:t>
      </w:r>
      <w:r w:rsidRPr="00975C02">
        <w:rPr>
          <w:rFonts w:eastAsia="Calibri" w:cs="Arial"/>
          <w:sz w:val="20"/>
          <w:szCs w:val="20"/>
          <w:lang w:val="es-ES" w:eastAsia="en-US"/>
        </w:rPr>
        <w:t xml:space="preserve">Asimismo, </w:t>
      </w:r>
      <w:r w:rsidRPr="00975C02">
        <w:rPr>
          <w:rFonts w:eastAsia="Calibri"/>
          <w:sz w:val="20"/>
          <w:szCs w:val="20"/>
          <w:lang w:val="es-ES" w:eastAsia="en-US"/>
        </w:rPr>
        <w:t xml:space="preserve">indicó que el Tribunal del Jurado estaba “exento de fundamentar su decisión, la cual se tomaba de acuerdo a la sana lógica y a la íntima convicción”. </w:t>
      </w:r>
      <w:r w:rsidRPr="00975C02">
        <w:rPr>
          <w:rFonts w:eastAsia="Calibri" w:cs="Arial"/>
          <w:sz w:val="20"/>
          <w:szCs w:val="20"/>
          <w:lang w:val="es-ES" w:eastAsia="en-US"/>
        </w:rPr>
        <w:t xml:space="preserve">La ley no impone al juzgador ningún tipo de regla que deba aplicar en la apreciación de los diversos medios probatorios; y la convicción que logra obtener el jurado no </w:t>
      </w:r>
      <w:r w:rsidRPr="00975C02">
        <w:rPr>
          <w:rFonts w:eastAsia="Calibri" w:cs="Arial"/>
          <w:sz w:val="20"/>
          <w:szCs w:val="20"/>
          <w:lang w:val="es-ES" w:eastAsia="en-US"/>
        </w:rPr>
        <w:lastRenderedPageBreak/>
        <w:t xml:space="preserve">se encuentra sujeta a ningún tipo de formalidad preestablecida. </w:t>
      </w:r>
      <w:r w:rsidRPr="00975C02">
        <w:rPr>
          <w:rFonts w:eastAsia="Calibri"/>
          <w:sz w:val="20"/>
          <w:szCs w:val="20"/>
          <w:lang w:val="es-ES" w:eastAsia="en-US"/>
        </w:rPr>
        <w:t>Agregó que, en virtud del m</w:t>
      </w:r>
      <w:r w:rsidR="00A84E71">
        <w:rPr>
          <w:rFonts w:eastAsia="Calibri"/>
          <w:sz w:val="20"/>
          <w:szCs w:val="20"/>
          <w:lang w:val="es-ES" w:eastAsia="en-US"/>
        </w:rPr>
        <w:t>arco jurídico de actuación del T</w:t>
      </w:r>
      <w:r w:rsidRPr="00975C02">
        <w:rPr>
          <w:rFonts w:eastAsia="Calibri"/>
          <w:sz w:val="20"/>
          <w:szCs w:val="20"/>
          <w:lang w:val="es-ES" w:eastAsia="en-US"/>
        </w:rPr>
        <w:t xml:space="preserve">ribunal de </w:t>
      </w:r>
      <w:r w:rsidR="00A84E71">
        <w:rPr>
          <w:rFonts w:eastAsia="Calibri"/>
          <w:sz w:val="20"/>
          <w:szCs w:val="20"/>
          <w:lang w:val="es-ES" w:eastAsia="en-US"/>
        </w:rPr>
        <w:t>J</w:t>
      </w:r>
      <w:r w:rsidRPr="00975C02">
        <w:rPr>
          <w:rFonts w:eastAsia="Calibri"/>
          <w:sz w:val="20"/>
          <w:szCs w:val="20"/>
          <w:lang w:val="es-ES" w:eastAsia="en-US"/>
        </w:rPr>
        <w:t xml:space="preserve">urados, no se les debe pedir razones por las que llegaron a la convicción de condenar o absolver a una persona sujeta a un proceso penal. </w:t>
      </w:r>
      <w:r w:rsidRPr="00975C02">
        <w:rPr>
          <w:rFonts w:eastAsia="Calibri" w:cs="Arial"/>
          <w:sz w:val="20"/>
          <w:szCs w:val="20"/>
          <w:lang w:val="es-ES" w:eastAsia="en-US"/>
        </w:rPr>
        <w:t>Subrayó que lo señalado por la Comisión en cuanto a que la sentencia de abril de 2002 debió motivarse se prestaba a confusión, debido a que lo que se emitió ahí fue un veredicto por el Tribunal de Jurado</w:t>
      </w:r>
      <w:r w:rsidR="00A84E71">
        <w:rPr>
          <w:rFonts w:eastAsia="Calibri" w:cs="Arial"/>
          <w:sz w:val="20"/>
          <w:szCs w:val="20"/>
          <w:lang w:val="es-ES" w:eastAsia="en-US"/>
        </w:rPr>
        <w:t>s</w:t>
      </w:r>
      <w:r w:rsidRPr="00975C02">
        <w:rPr>
          <w:rFonts w:eastAsia="Calibri" w:cs="Arial"/>
          <w:sz w:val="20"/>
          <w:szCs w:val="20"/>
          <w:lang w:val="es-ES" w:eastAsia="en-US"/>
        </w:rPr>
        <w:t xml:space="preserve"> cuya conclusión fue declarar inocente al señor H.R.A. y no una sentencia interlocutoria. Los veredictos no requieren motivarse. Por tanto, el Estado indicó que el jurado no </w:t>
      </w:r>
      <w:r w:rsidR="00FD2B2D" w:rsidRPr="00975C02">
        <w:rPr>
          <w:rFonts w:eastAsia="Calibri" w:cs="Arial"/>
          <w:sz w:val="20"/>
          <w:szCs w:val="20"/>
          <w:lang w:val="es-ES" w:eastAsia="en-US"/>
        </w:rPr>
        <w:t xml:space="preserve">tenía </w:t>
      </w:r>
      <w:r w:rsidRPr="00975C02">
        <w:rPr>
          <w:rFonts w:eastAsia="Calibri" w:cs="Arial"/>
          <w:sz w:val="20"/>
          <w:szCs w:val="20"/>
          <w:lang w:val="es-ES" w:eastAsia="en-US"/>
        </w:rPr>
        <w:t>la obligación ni el deber de razonar o fundamentar los motivos para haber dictado la sentencia, ya que la verdad del proceso se determina a partir de la convicción moral, la conciencia y libre albedrío del jurado popular. Finalmente, el Estado aclaró que, de acuerdo con el artículo 309 del Código de Instrucción Criminal de la época, el veredicto se escribiría con una fórmula prediseñada e indispensable.</w:t>
      </w:r>
    </w:p>
    <w:p w14:paraId="1583A0AA" w14:textId="77777777" w:rsidR="00B5625C" w:rsidRPr="00975C02" w:rsidRDefault="00B5625C" w:rsidP="00B5625C">
      <w:pPr>
        <w:widowControl/>
        <w:adjustRightInd/>
        <w:spacing w:line="240" w:lineRule="auto"/>
        <w:textAlignment w:val="auto"/>
        <w:rPr>
          <w:sz w:val="20"/>
          <w:szCs w:val="20"/>
          <w:lang w:val="es-ES" w:eastAsia="en-US"/>
        </w:rPr>
      </w:pPr>
    </w:p>
    <w:p w14:paraId="75B74A4F" w14:textId="77777777" w:rsidR="00B5625C" w:rsidRPr="00975C02" w:rsidRDefault="00A92F94" w:rsidP="00A92F94">
      <w:pPr>
        <w:keepNext/>
        <w:keepLines/>
        <w:tabs>
          <w:tab w:val="left" w:pos="1701"/>
        </w:tabs>
        <w:spacing w:line="240" w:lineRule="auto"/>
        <w:ind w:left="1134"/>
        <w:outlineLvl w:val="1"/>
        <w:rPr>
          <w:bCs/>
          <w:i/>
          <w:sz w:val="20"/>
          <w:szCs w:val="20"/>
          <w:lang w:val="es-ES"/>
        </w:rPr>
      </w:pPr>
      <w:bookmarkStart w:id="135" w:name="_Toc514172640"/>
      <w:r w:rsidRPr="00975C02">
        <w:rPr>
          <w:bCs/>
          <w:i/>
          <w:sz w:val="20"/>
          <w:szCs w:val="20"/>
          <w:lang w:val="es-ES"/>
        </w:rPr>
        <w:t>B</w:t>
      </w:r>
      <w:r w:rsidR="00B5625C" w:rsidRPr="00975C02">
        <w:rPr>
          <w:bCs/>
          <w:i/>
          <w:sz w:val="20"/>
          <w:szCs w:val="20"/>
          <w:lang w:val="es-ES"/>
        </w:rPr>
        <w:t>.</w:t>
      </w:r>
      <w:r w:rsidR="0032081D" w:rsidRPr="00975C02">
        <w:rPr>
          <w:bCs/>
          <w:i/>
          <w:sz w:val="20"/>
          <w:szCs w:val="20"/>
          <w:lang w:val="es-ES"/>
        </w:rPr>
        <w:t>3</w:t>
      </w:r>
      <w:r w:rsidR="00B5625C" w:rsidRPr="00975C02">
        <w:rPr>
          <w:bCs/>
          <w:i/>
          <w:sz w:val="20"/>
          <w:szCs w:val="20"/>
          <w:lang w:val="es-ES"/>
        </w:rPr>
        <w:tab/>
        <w:t>Consideraciones de la Corte</w:t>
      </w:r>
      <w:bookmarkEnd w:id="135"/>
    </w:p>
    <w:p w14:paraId="13AAAD84" w14:textId="77777777" w:rsidR="00B5625C" w:rsidRPr="00975C02" w:rsidRDefault="00B5625C" w:rsidP="00B5625C">
      <w:pPr>
        <w:widowControl/>
        <w:adjustRightInd/>
        <w:spacing w:line="240" w:lineRule="auto"/>
        <w:textAlignment w:val="auto"/>
        <w:rPr>
          <w:sz w:val="20"/>
          <w:szCs w:val="20"/>
          <w:lang w:val="es-ES" w:eastAsia="en-US"/>
        </w:rPr>
      </w:pPr>
    </w:p>
    <w:p w14:paraId="15CF5B53" w14:textId="13CAA67C" w:rsidR="007814C0" w:rsidRPr="00975C02" w:rsidRDefault="007814C0" w:rsidP="007814C0">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La controversia que la Corte abordará en este apartado se relaciona con los alegatos referidos a la imparcialidad y al deber de motivar los fallos, principalmente en lo que se refiere al accionar del Tribunal de Jurados, que fue el órgano encargado de conocer en la etapa de plenario y de impartir justicia en el presente caso. Ello remite a esta Corte a la cuestión de la aplicabilidad de las garantías del debido proceso al modelo del juicio por jurados, vigente al momento de los hechos en Nicaragua (</w:t>
      </w:r>
      <w:r w:rsidRPr="00975C02">
        <w:rPr>
          <w:i/>
          <w:sz w:val="20"/>
          <w:szCs w:val="20"/>
          <w:lang w:val="es-ES" w:eastAsia="en-US"/>
        </w:rPr>
        <w:t>infra</w:t>
      </w:r>
      <w:r w:rsidRPr="00975C02">
        <w:rPr>
          <w:sz w:val="20"/>
          <w:szCs w:val="20"/>
          <w:lang w:val="es-ES" w:eastAsia="en-US"/>
        </w:rPr>
        <w:t xml:space="preserve"> párr</w:t>
      </w:r>
      <w:r w:rsidR="003D231B" w:rsidRPr="00975C02">
        <w:rPr>
          <w:sz w:val="20"/>
          <w:szCs w:val="20"/>
          <w:lang w:val="es-ES" w:eastAsia="en-US"/>
        </w:rPr>
        <w:t>s</w:t>
      </w:r>
      <w:r w:rsidRPr="00975C02">
        <w:rPr>
          <w:sz w:val="20"/>
          <w:szCs w:val="20"/>
          <w:lang w:val="es-ES" w:eastAsia="en-US"/>
        </w:rPr>
        <w:t xml:space="preserve">. </w:t>
      </w:r>
      <w:r w:rsidR="003D231B" w:rsidRPr="00975C02">
        <w:rPr>
          <w:sz w:val="20"/>
          <w:szCs w:val="20"/>
          <w:lang w:val="es-ES" w:eastAsia="en-US"/>
        </w:rPr>
        <w:t>227 a 235</w:t>
      </w:r>
      <w:r w:rsidRPr="00975C02">
        <w:rPr>
          <w:sz w:val="20"/>
          <w:szCs w:val="20"/>
          <w:lang w:val="es-ES" w:eastAsia="en-US"/>
        </w:rPr>
        <w:t>)</w:t>
      </w:r>
      <w:r w:rsidR="00EA2CA7" w:rsidRPr="00975C02">
        <w:rPr>
          <w:sz w:val="20"/>
          <w:szCs w:val="20"/>
          <w:lang w:val="es-ES" w:eastAsia="en-US"/>
        </w:rPr>
        <w:t>, para luego hacer el análisis del caso en concreto</w:t>
      </w:r>
      <w:r w:rsidRPr="00975C02">
        <w:rPr>
          <w:sz w:val="20"/>
          <w:szCs w:val="20"/>
          <w:lang w:val="es-ES" w:eastAsia="en-US"/>
        </w:rPr>
        <w:t>.</w:t>
      </w:r>
    </w:p>
    <w:p w14:paraId="4EEF45BC" w14:textId="77777777" w:rsidR="007814C0" w:rsidRPr="00975C02" w:rsidRDefault="007814C0" w:rsidP="00B5625C">
      <w:pPr>
        <w:widowControl/>
        <w:adjustRightInd/>
        <w:spacing w:line="240" w:lineRule="auto"/>
        <w:textAlignment w:val="auto"/>
        <w:rPr>
          <w:sz w:val="20"/>
          <w:szCs w:val="20"/>
          <w:lang w:val="es-ES" w:eastAsia="en-US"/>
        </w:rPr>
      </w:pPr>
    </w:p>
    <w:p w14:paraId="4C531B2E" w14:textId="77777777"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La </w:t>
      </w:r>
      <w:r w:rsidRPr="00975C02">
        <w:rPr>
          <w:rFonts w:eastAsiaTheme="minorHAnsi"/>
          <w:sz w:val="20"/>
          <w:szCs w:val="20"/>
          <w:lang w:val="es-ES" w:eastAsia="en-US"/>
        </w:rPr>
        <w:t>Corte</w:t>
      </w:r>
      <w:r w:rsidRPr="00975C02">
        <w:rPr>
          <w:sz w:val="20"/>
          <w:szCs w:val="20"/>
          <w:lang w:val="es-ES" w:eastAsia="en-US"/>
        </w:rPr>
        <w:t xml:space="preserve"> ha definido el debido proceso legal como el conjunto de requisitos que deben observarse en las </w:t>
      </w:r>
      <w:r w:rsidRPr="00975C02">
        <w:rPr>
          <w:rFonts w:eastAsia="Calibri"/>
          <w:sz w:val="20"/>
          <w:szCs w:val="20"/>
          <w:lang w:val="es-ES" w:eastAsia="en-US"/>
        </w:rPr>
        <w:t>instancias</w:t>
      </w:r>
      <w:r w:rsidRPr="00975C02">
        <w:rPr>
          <w:sz w:val="20"/>
          <w:szCs w:val="20"/>
          <w:lang w:val="es-ES" w:eastAsia="en-US"/>
        </w:rPr>
        <w:t xml:space="preserve"> procesales a efectos de que las personas estén en condiciones de defender adecuadamente sus derechos ante cualquier tipo de acto del Estado que pueda afectarlos</w:t>
      </w:r>
      <w:r w:rsidRPr="00975C02">
        <w:rPr>
          <w:sz w:val="20"/>
          <w:szCs w:val="20"/>
          <w:vertAlign w:val="superscript"/>
          <w:lang w:val="es-ES" w:eastAsia="en-US"/>
        </w:rPr>
        <w:footnoteReference w:id="281"/>
      </w:r>
      <w:r w:rsidRPr="00975C02">
        <w:rPr>
          <w:sz w:val="20"/>
          <w:szCs w:val="20"/>
          <w:lang w:val="es-ES" w:eastAsia="en-US"/>
        </w:rPr>
        <w:t xml:space="preserve">. Es así que el artículo 8 contempla un sistema de garantías que condicionan el ejercicio del </w:t>
      </w:r>
      <w:r w:rsidRPr="00975C02">
        <w:rPr>
          <w:i/>
          <w:sz w:val="20"/>
          <w:szCs w:val="20"/>
          <w:lang w:val="es-ES" w:eastAsia="en-US"/>
        </w:rPr>
        <w:t xml:space="preserve">ius puniendi </w:t>
      </w:r>
      <w:r w:rsidRPr="00975C02">
        <w:rPr>
          <w:sz w:val="20"/>
          <w:szCs w:val="20"/>
          <w:lang w:val="es-ES" w:eastAsia="en-US"/>
        </w:rPr>
        <w:t>del Estado</w:t>
      </w:r>
      <w:r w:rsidRPr="00975C02">
        <w:rPr>
          <w:rFonts w:eastAsia="Calibri" w:cs="Verdana"/>
          <w:snapToGrid w:val="0"/>
          <w:sz w:val="20"/>
          <w:szCs w:val="20"/>
          <w:lang w:val="es-ES" w:eastAsia="es-ES"/>
        </w:rPr>
        <w:t xml:space="preserve"> </w:t>
      </w:r>
      <w:r w:rsidRPr="00975C02">
        <w:rPr>
          <w:sz w:val="20"/>
          <w:szCs w:val="20"/>
          <w:lang w:val="es-ES" w:eastAsia="en-US"/>
        </w:rPr>
        <w:t>y que buscan asegurar que el inculpado o imputado no sea sometido a decisiones arbitrarias, toda vez que se deben observar “las debidas garantías” que aseguren, según el procedimiento de que se trate, el derecho al debido proceso</w:t>
      </w:r>
      <w:r w:rsidRPr="00975C02">
        <w:rPr>
          <w:sz w:val="20"/>
          <w:szCs w:val="20"/>
          <w:vertAlign w:val="superscript"/>
          <w:lang w:val="es-ES" w:eastAsia="en-US"/>
        </w:rPr>
        <w:footnoteReference w:id="282"/>
      </w:r>
      <w:r w:rsidRPr="00975C02">
        <w:rPr>
          <w:sz w:val="20"/>
          <w:szCs w:val="20"/>
          <w:lang w:val="es-ES" w:eastAsia="en-US"/>
        </w:rPr>
        <w:t>.</w:t>
      </w:r>
    </w:p>
    <w:p w14:paraId="2B46A468" w14:textId="77777777" w:rsidR="00B5625C" w:rsidRPr="00975C02" w:rsidRDefault="00B5625C" w:rsidP="00B5625C">
      <w:pPr>
        <w:widowControl/>
        <w:adjustRightInd/>
        <w:spacing w:line="240" w:lineRule="auto"/>
        <w:textAlignment w:val="auto"/>
        <w:rPr>
          <w:sz w:val="20"/>
          <w:szCs w:val="20"/>
          <w:lang w:val="es-ES" w:eastAsia="en-US"/>
        </w:rPr>
      </w:pPr>
    </w:p>
    <w:p w14:paraId="501DE473" w14:textId="4124DA6C" w:rsidR="00B5625C" w:rsidRPr="00975C02" w:rsidRDefault="00B5625C" w:rsidP="005B46F8">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el presente caso, quien se reputa presunta víctima de la violación de estas garantías no es el </w:t>
      </w:r>
      <w:r w:rsidRPr="00975C02">
        <w:rPr>
          <w:rFonts w:eastAsiaTheme="minorHAnsi"/>
          <w:sz w:val="20"/>
          <w:szCs w:val="20"/>
          <w:lang w:val="es-ES" w:eastAsia="en-US"/>
        </w:rPr>
        <w:t>inculpado</w:t>
      </w:r>
      <w:r w:rsidRPr="00975C02">
        <w:rPr>
          <w:sz w:val="20"/>
          <w:szCs w:val="20"/>
          <w:lang w:val="es-ES" w:eastAsia="en-US"/>
        </w:rPr>
        <w:t xml:space="preserve"> del delito, destinatario originario de toda la arquitectura ilustrada que procuraba poner coto al avance del poder punitivo del Estado, sino la agraviada del delito y su madre. En esta medida, la Corte recuerda que las “debidas garantías” del artículo 8.1 de la Convención amparan </w:t>
      </w:r>
      <w:r w:rsidRPr="00975C02">
        <w:rPr>
          <w:rFonts w:cs="Arial"/>
          <w:sz w:val="20"/>
          <w:lang w:val="es-ES" w:eastAsia="en-US"/>
        </w:rPr>
        <w:t>el derecho a un debido proceso del imputado y, en casos como el presente,</w:t>
      </w:r>
      <w:r w:rsidRPr="00975C02">
        <w:rPr>
          <w:sz w:val="20"/>
          <w:lang w:val="es-ES" w:eastAsia="en-US"/>
        </w:rPr>
        <w:t xml:space="preserve"> también salvaguardan los derechos de acceso a la justicia </w:t>
      </w:r>
      <w:r w:rsidRPr="00975C02">
        <w:rPr>
          <w:sz w:val="20"/>
          <w:szCs w:val="20"/>
          <w:lang w:val="es-ES" w:eastAsia="en-US"/>
        </w:rPr>
        <w:t xml:space="preserve">de la víctima de un delito o </w:t>
      </w:r>
      <w:r w:rsidR="00FD2B2D" w:rsidRPr="00975C02">
        <w:rPr>
          <w:sz w:val="20"/>
          <w:szCs w:val="20"/>
          <w:lang w:val="es-ES" w:eastAsia="en-US"/>
        </w:rPr>
        <w:t xml:space="preserve">de </w:t>
      </w:r>
      <w:r w:rsidRPr="00975C02">
        <w:rPr>
          <w:sz w:val="20"/>
          <w:szCs w:val="20"/>
          <w:lang w:val="es-ES" w:eastAsia="en-US"/>
        </w:rPr>
        <w:t xml:space="preserve">sus familiares </w:t>
      </w:r>
      <w:r w:rsidRPr="00975C02">
        <w:rPr>
          <w:sz w:val="20"/>
          <w:lang w:val="es-ES" w:eastAsia="en-US"/>
        </w:rPr>
        <w:t>y a conocer la verdad de los familiares</w:t>
      </w:r>
      <w:r w:rsidRPr="00975C02">
        <w:rPr>
          <w:sz w:val="20"/>
          <w:vertAlign w:val="superscript"/>
          <w:lang w:val="es-ES" w:eastAsia="en-US"/>
        </w:rPr>
        <w:footnoteReference w:id="283"/>
      </w:r>
      <w:r w:rsidRPr="00975C02">
        <w:rPr>
          <w:sz w:val="20"/>
          <w:lang w:val="es-ES" w:eastAsia="en-US"/>
        </w:rPr>
        <w:t>.</w:t>
      </w:r>
    </w:p>
    <w:p w14:paraId="25D1F23C" w14:textId="77777777" w:rsidR="00B5625C" w:rsidRPr="00975C02" w:rsidRDefault="00B5625C" w:rsidP="00B5625C">
      <w:pPr>
        <w:widowControl/>
        <w:adjustRightInd/>
        <w:spacing w:line="240" w:lineRule="auto"/>
        <w:textAlignment w:val="auto"/>
        <w:rPr>
          <w:sz w:val="20"/>
          <w:szCs w:val="20"/>
          <w:lang w:val="es-ES" w:eastAsia="en-US"/>
        </w:rPr>
      </w:pPr>
    </w:p>
    <w:p w14:paraId="0246B534"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principio, nada excluye que las garantías judiciales recogidas en la Convención Americana sean aplicables al sistema de juicio por jurados, pues sus redactores no tenían en mente un sistema procesal penal específico. En efecto, la Corte ya ha afirmado que:</w:t>
      </w:r>
    </w:p>
    <w:p w14:paraId="6DA2315A" w14:textId="77777777" w:rsidR="00B5625C" w:rsidRPr="00975C02" w:rsidRDefault="00B5625C" w:rsidP="00B5625C">
      <w:pPr>
        <w:widowControl/>
        <w:adjustRightInd/>
        <w:spacing w:line="240" w:lineRule="auto"/>
        <w:textAlignment w:val="auto"/>
        <w:rPr>
          <w:sz w:val="20"/>
          <w:szCs w:val="20"/>
          <w:lang w:val="es-ES" w:eastAsia="en-US"/>
        </w:rPr>
      </w:pPr>
    </w:p>
    <w:p w14:paraId="024C4303" w14:textId="77777777" w:rsidR="00B5625C" w:rsidRPr="00975C02" w:rsidRDefault="00B5625C" w:rsidP="005B457C">
      <w:pPr>
        <w:widowControl/>
        <w:adjustRightInd/>
        <w:spacing w:line="240" w:lineRule="auto"/>
        <w:ind w:left="567" w:right="582"/>
        <w:textAlignment w:val="auto"/>
        <w:rPr>
          <w:sz w:val="16"/>
          <w:szCs w:val="16"/>
          <w:lang w:val="es-ES" w:eastAsia="en-US"/>
        </w:rPr>
      </w:pPr>
      <w:r w:rsidRPr="00975C02">
        <w:rPr>
          <w:sz w:val="16"/>
          <w:szCs w:val="16"/>
          <w:lang w:val="es-ES" w:eastAsia="en-US"/>
        </w:rPr>
        <w:t xml:space="preserve">[l]a Convención no acoge un sistema procesal penal en particular. Deja a los Estados en libertad para determinar el que consideren preferible, siempre que respeten las garantías establecidas en la propia </w:t>
      </w:r>
      <w:r w:rsidRPr="00975C02">
        <w:rPr>
          <w:sz w:val="16"/>
          <w:szCs w:val="16"/>
          <w:lang w:val="es-ES" w:eastAsia="en-US"/>
        </w:rPr>
        <w:lastRenderedPageBreak/>
        <w:t>Convención, en el derecho interno, en otros tratados internacionales aplicables, en las normas consuetudinarias y en las disposiciones imperativas de derecho internacional</w:t>
      </w:r>
      <w:r w:rsidRPr="00975C02">
        <w:rPr>
          <w:sz w:val="16"/>
          <w:szCs w:val="16"/>
          <w:vertAlign w:val="superscript"/>
          <w:lang w:val="es-ES" w:eastAsia="en-US"/>
        </w:rPr>
        <w:footnoteReference w:id="284"/>
      </w:r>
      <w:r w:rsidRPr="00975C02">
        <w:rPr>
          <w:sz w:val="16"/>
          <w:szCs w:val="16"/>
          <w:lang w:val="es-ES" w:eastAsia="en-US"/>
        </w:rPr>
        <w:t>.</w:t>
      </w:r>
    </w:p>
    <w:p w14:paraId="42B37121" w14:textId="77777777" w:rsidR="00B5625C" w:rsidRPr="00975C02" w:rsidRDefault="00B5625C" w:rsidP="00B5625C">
      <w:pPr>
        <w:widowControl/>
        <w:adjustRightInd/>
        <w:spacing w:line="240" w:lineRule="auto"/>
        <w:textAlignment w:val="auto"/>
        <w:rPr>
          <w:sz w:val="20"/>
          <w:szCs w:val="20"/>
          <w:lang w:val="es-ES" w:eastAsia="en-US"/>
        </w:rPr>
      </w:pPr>
    </w:p>
    <w:p w14:paraId="7907CAD1" w14:textId="51ACAD00"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igual sentido se han expedido los órganos tanto del sistema regional europeo como del sistema universal. En efecto, en el </w:t>
      </w:r>
      <w:r w:rsidR="00FD5E2A" w:rsidRPr="00975C02">
        <w:rPr>
          <w:i/>
          <w:sz w:val="20"/>
          <w:szCs w:val="20"/>
          <w:lang w:val="es-ES" w:eastAsia="en-US"/>
        </w:rPr>
        <w:t>C</w:t>
      </w:r>
      <w:r w:rsidRPr="00975C02">
        <w:rPr>
          <w:i/>
          <w:sz w:val="20"/>
          <w:szCs w:val="20"/>
          <w:lang w:val="es-ES" w:eastAsia="en-US"/>
        </w:rPr>
        <w:t>aso</w:t>
      </w:r>
      <w:r w:rsidRPr="00975C02">
        <w:rPr>
          <w:sz w:val="20"/>
          <w:szCs w:val="20"/>
          <w:lang w:val="es-ES" w:eastAsia="en-US"/>
        </w:rPr>
        <w:t xml:space="preserve"> </w:t>
      </w:r>
      <w:r w:rsidRPr="00975C02">
        <w:rPr>
          <w:i/>
          <w:sz w:val="20"/>
          <w:szCs w:val="20"/>
          <w:lang w:val="es-ES" w:eastAsia="en-US"/>
        </w:rPr>
        <w:t xml:space="preserve">Taxquet </w:t>
      </w:r>
      <w:r w:rsidR="00FD5E2A" w:rsidRPr="00975C02">
        <w:rPr>
          <w:i/>
          <w:sz w:val="20"/>
          <w:szCs w:val="20"/>
          <w:lang w:val="es-ES" w:eastAsia="en-US"/>
        </w:rPr>
        <w:t>Vs</w:t>
      </w:r>
      <w:r w:rsidRPr="00975C02">
        <w:rPr>
          <w:i/>
          <w:sz w:val="20"/>
          <w:szCs w:val="20"/>
          <w:lang w:val="es-ES" w:eastAsia="en-US"/>
        </w:rPr>
        <w:t>. Bélgica</w:t>
      </w:r>
      <w:r w:rsidRPr="00975C02">
        <w:rPr>
          <w:sz w:val="20"/>
          <w:szCs w:val="20"/>
          <w:lang w:val="es-ES" w:eastAsia="en-US"/>
        </w:rPr>
        <w:t>, el Tribunal Europeo de Derechos Humanos señaló que:</w:t>
      </w:r>
    </w:p>
    <w:p w14:paraId="3AFC9DE0" w14:textId="77777777" w:rsidR="00B5625C" w:rsidRPr="00975C02" w:rsidRDefault="00B5625C" w:rsidP="00B5625C">
      <w:pPr>
        <w:widowControl/>
        <w:adjustRightInd/>
        <w:spacing w:line="240" w:lineRule="auto"/>
        <w:textAlignment w:val="auto"/>
        <w:rPr>
          <w:sz w:val="20"/>
          <w:szCs w:val="20"/>
          <w:lang w:val="es-ES" w:eastAsia="en-US"/>
        </w:rPr>
      </w:pPr>
    </w:p>
    <w:p w14:paraId="08416E39" w14:textId="77777777" w:rsidR="00B5625C" w:rsidRPr="00975C02" w:rsidRDefault="00B5625C" w:rsidP="005B457C">
      <w:pPr>
        <w:widowControl/>
        <w:adjustRightInd/>
        <w:spacing w:line="240" w:lineRule="auto"/>
        <w:ind w:left="567" w:right="582"/>
        <w:textAlignment w:val="auto"/>
        <w:rPr>
          <w:sz w:val="16"/>
          <w:szCs w:val="16"/>
          <w:lang w:val="es-ES" w:eastAsia="en-US"/>
        </w:rPr>
      </w:pPr>
      <w:r w:rsidRPr="00975C02">
        <w:rPr>
          <w:sz w:val="16"/>
          <w:szCs w:val="16"/>
          <w:lang w:val="es-ES" w:eastAsia="en-US"/>
        </w:rPr>
        <w:t>[…] varios Estados miembros del Consejo de Europa conocen la institución del jurado popular, que procede de la voluntad legítima de vincular a los ciudadanos con la acción de la justicia, en particular respecto a los delitos más graves. […] Se trata ésta de una ilustración entre otras de la variedad de los sistemas jurídicos existentes en Europa, que no corresponde al Tribunal uniformizar. En efecto, la elección para un Estado de uno u otro sistema penal escapa, en principio, al control europeo que el Tribunal ejerce, siempre y cuando el sistema admitido no vulnere los principios del Convenio […]</w:t>
      </w:r>
      <w:r w:rsidRPr="00975C02">
        <w:rPr>
          <w:sz w:val="16"/>
          <w:szCs w:val="16"/>
          <w:vertAlign w:val="superscript"/>
          <w:lang w:val="es-ES" w:eastAsia="en-US"/>
        </w:rPr>
        <w:footnoteReference w:id="285"/>
      </w:r>
      <w:r w:rsidRPr="00975C02">
        <w:rPr>
          <w:sz w:val="16"/>
          <w:szCs w:val="16"/>
          <w:lang w:val="es-ES" w:eastAsia="en-US"/>
        </w:rPr>
        <w:t>.</w:t>
      </w:r>
    </w:p>
    <w:p w14:paraId="512E3DFF" w14:textId="77777777" w:rsidR="00B5625C" w:rsidRPr="00975C02" w:rsidRDefault="00B5625C" w:rsidP="00B5625C">
      <w:pPr>
        <w:widowControl/>
        <w:adjustRightInd/>
        <w:spacing w:line="240" w:lineRule="auto"/>
        <w:ind w:left="708" w:right="758"/>
        <w:textAlignment w:val="auto"/>
        <w:rPr>
          <w:sz w:val="16"/>
          <w:szCs w:val="16"/>
          <w:lang w:val="es-ES" w:eastAsia="en-US"/>
        </w:rPr>
      </w:pPr>
    </w:p>
    <w:p w14:paraId="760D4FCD" w14:textId="77777777" w:rsidR="00B5625C" w:rsidRPr="00975C02" w:rsidRDefault="00B5625C" w:rsidP="005B457C">
      <w:pPr>
        <w:widowControl/>
        <w:adjustRightInd/>
        <w:spacing w:line="240" w:lineRule="auto"/>
        <w:ind w:left="567" w:right="582"/>
        <w:textAlignment w:val="auto"/>
        <w:rPr>
          <w:sz w:val="16"/>
          <w:szCs w:val="16"/>
          <w:lang w:val="es-ES" w:eastAsia="en-US"/>
        </w:rPr>
      </w:pPr>
      <w:r w:rsidRPr="00975C02">
        <w:rPr>
          <w:sz w:val="16"/>
          <w:szCs w:val="16"/>
          <w:lang w:val="es-ES" w:eastAsia="en-US"/>
        </w:rPr>
        <w:t>[…] En efecto, los Estados contratantes gozan de gran libertad en la elección de los medios que permitan a su sistema judicial cumplir los imperativos del artículo 6. La tarea del Tribunal consiste en determinar si, en un litigio concreto, los resultados de la vía seguida son compatibles con el Convenio, teniendo en cuenta igualmente las circunstancias específicas de la causa, su índole y su complejidad. En síntesis, debe examinar si el procedimiento, en conjunto, tuvo un carácter equitativo</w:t>
      </w:r>
      <w:r w:rsidRPr="00975C02">
        <w:rPr>
          <w:sz w:val="16"/>
          <w:szCs w:val="16"/>
          <w:vertAlign w:val="superscript"/>
          <w:lang w:val="es-ES" w:eastAsia="en-US"/>
        </w:rPr>
        <w:footnoteReference w:id="286"/>
      </w:r>
      <w:r w:rsidRPr="00975C02">
        <w:rPr>
          <w:sz w:val="16"/>
          <w:szCs w:val="16"/>
          <w:lang w:val="es-ES" w:eastAsia="en-US"/>
        </w:rPr>
        <w:t>.</w:t>
      </w:r>
    </w:p>
    <w:p w14:paraId="77BB6873" w14:textId="77777777" w:rsidR="00B5625C" w:rsidRPr="00975C02" w:rsidRDefault="00B5625C" w:rsidP="00B5625C">
      <w:pPr>
        <w:widowControl/>
        <w:adjustRightInd/>
        <w:spacing w:line="240" w:lineRule="auto"/>
        <w:textAlignment w:val="auto"/>
        <w:rPr>
          <w:sz w:val="20"/>
          <w:szCs w:val="20"/>
          <w:lang w:val="es-ES" w:eastAsia="en-US"/>
        </w:rPr>
      </w:pPr>
    </w:p>
    <w:p w14:paraId="6BA30314"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Por su parte, el Comité de Derechos Humanos sostuvo que:</w:t>
      </w:r>
    </w:p>
    <w:p w14:paraId="67BA077B" w14:textId="77777777" w:rsidR="00B5625C" w:rsidRPr="00975C02" w:rsidRDefault="00B5625C" w:rsidP="00B5625C">
      <w:pPr>
        <w:widowControl/>
        <w:adjustRightInd/>
        <w:spacing w:line="240" w:lineRule="auto"/>
        <w:textAlignment w:val="auto"/>
        <w:rPr>
          <w:sz w:val="20"/>
          <w:szCs w:val="20"/>
          <w:lang w:val="es-ES" w:eastAsia="en-US"/>
        </w:rPr>
      </w:pPr>
    </w:p>
    <w:p w14:paraId="66BDE534" w14:textId="77777777" w:rsidR="00B5625C" w:rsidRPr="00975C02" w:rsidRDefault="00B5625C" w:rsidP="005B457C">
      <w:pPr>
        <w:widowControl/>
        <w:adjustRightInd/>
        <w:spacing w:line="240" w:lineRule="auto"/>
        <w:ind w:left="567" w:right="582"/>
        <w:textAlignment w:val="auto"/>
        <w:rPr>
          <w:sz w:val="16"/>
          <w:szCs w:val="16"/>
          <w:lang w:val="es-ES" w:eastAsia="en-US"/>
        </w:rPr>
      </w:pPr>
      <w:r w:rsidRPr="00975C02">
        <w:rPr>
          <w:sz w:val="16"/>
          <w:szCs w:val="16"/>
          <w:lang w:val="es-ES" w:eastAsia="en-US"/>
        </w:rPr>
        <w:t>[…] el Pacto no reconoce el derecho a un juicio por jurado en un proceso ni civil ni penal, sino que su piedra angular es que todos los procesos judiciales, con o sin jurado, se sustancien con las debidas garantías</w:t>
      </w:r>
      <w:r w:rsidRPr="00975C02">
        <w:rPr>
          <w:sz w:val="16"/>
          <w:szCs w:val="16"/>
          <w:vertAlign w:val="superscript"/>
          <w:lang w:val="es-ES" w:eastAsia="en-US"/>
        </w:rPr>
        <w:footnoteReference w:id="287"/>
      </w:r>
      <w:r w:rsidRPr="00975C02">
        <w:rPr>
          <w:sz w:val="16"/>
          <w:szCs w:val="16"/>
          <w:lang w:val="es-ES" w:eastAsia="en-US"/>
        </w:rPr>
        <w:t>.</w:t>
      </w:r>
    </w:p>
    <w:p w14:paraId="1E0EEED5" w14:textId="77777777" w:rsidR="00B5625C" w:rsidRPr="00975C02" w:rsidRDefault="00B5625C" w:rsidP="00B5625C">
      <w:pPr>
        <w:widowControl/>
        <w:adjustRightInd/>
        <w:spacing w:line="240" w:lineRule="auto"/>
        <w:textAlignment w:val="auto"/>
        <w:rPr>
          <w:sz w:val="20"/>
          <w:szCs w:val="20"/>
          <w:lang w:val="es-ES" w:eastAsia="en-US"/>
        </w:rPr>
      </w:pPr>
    </w:p>
    <w:p w14:paraId="3DED2D48" w14:textId="42E70C34"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La Corte advierte que diversos Estados parte de la Convención han adoptado la institución del jurado como forma de juzgamiento en sus diseños procesales penales, modelo que hoy sigue proyectándose a nivel regional. Los orígenes y motivos deben ser rastreados en el desarrollo histórico, social y cultural de los sistemas jurídicos de los países de la región, así como en el valor asignado a la participación popular en la administración de justicia como opción de política judicial. El juicio por jurados se ha concebido, además, como una forma de devolver a la sociedad la confianza en el sistema judicial, como forma de democratización y acercamiento de la impartición de justicia a la comunidad</w:t>
      </w:r>
      <w:r w:rsidR="007526D4" w:rsidRPr="00975C02">
        <w:rPr>
          <w:sz w:val="20"/>
          <w:szCs w:val="20"/>
          <w:lang w:val="es-ES" w:eastAsia="en-US"/>
        </w:rPr>
        <w:t>,</w:t>
      </w:r>
      <w:r w:rsidRPr="00975C02">
        <w:rPr>
          <w:sz w:val="20"/>
          <w:szCs w:val="20"/>
          <w:lang w:val="es-ES" w:eastAsia="en-US"/>
        </w:rPr>
        <w:t xml:space="preserve"> otorgándole a ésta un rol fundamental en aquellos delitos sensibles al orden público.</w:t>
      </w:r>
    </w:p>
    <w:p w14:paraId="4EEEFD12" w14:textId="77777777" w:rsidR="00B5625C" w:rsidRPr="00975C02" w:rsidRDefault="00B5625C" w:rsidP="00B5625C">
      <w:pPr>
        <w:widowControl/>
        <w:adjustRightInd/>
        <w:spacing w:line="240" w:lineRule="auto"/>
        <w:textAlignment w:val="auto"/>
        <w:rPr>
          <w:sz w:val="20"/>
          <w:szCs w:val="20"/>
          <w:lang w:val="es-ES" w:eastAsia="en-US"/>
        </w:rPr>
      </w:pPr>
    </w:p>
    <w:p w14:paraId="416F742E" w14:textId="6875CD49"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efecto, de los 35 países miembros de la </w:t>
      </w:r>
      <w:r w:rsidR="007526D4" w:rsidRPr="00975C02">
        <w:rPr>
          <w:sz w:val="20"/>
          <w:szCs w:val="20"/>
          <w:lang w:val="es-ES" w:eastAsia="en-US"/>
        </w:rPr>
        <w:t>Organización de los Estados Americanos (en adelante “</w:t>
      </w:r>
      <w:r w:rsidRPr="00975C02">
        <w:rPr>
          <w:sz w:val="20"/>
          <w:szCs w:val="20"/>
          <w:lang w:val="es-ES" w:eastAsia="en-US"/>
        </w:rPr>
        <w:t>OEA</w:t>
      </w:r>
      <w:r w:rsidR="007526D4" w:rsidRPr="00975C02">
        <w:rPr>
          <w:sz w:val="20"/>
          <w:szCs w:val="20"/>
          <w:lang w:val="es-ES" w:eastAsia="en-US"/>
        </w:rPr>
        <w:t>”)</w:t>
      </w:r>
      <w:r w:rsidRPr="00975C02">
        <w:rPr>
          <w:sz w:val="20"/>
          <w:szCs w:val="20"/>
          <w:lang w:val="es-ES" w:eastAsia="en-US"/>
        </w:rPr>
        <w:t>, 21 Estados</w:t>
      </w:r>
      <w:r w:rsidRPr="00975C02">
        <w:rPr>
          <w:sz w:val="20"/>
          <w:szCs w:val="20"/>
          <w:vertAlign w:val="superscript"/>
          <w:lang w:val="es-ES" w:eastAsia="en-US"/>
        </w:rPr>
        <w:footnoteReference w:id="288"/>
      </w:r>
      <w:r w:rsidRPr="00975C02">
        <w:rPr>
          <w:sz w:val="20"/>
          <w:szCs w:val="20"/>
          <w:lang w:val="es-ES" w:eastAsia="en-US"/>
        </w:rPr>
        <w:t xml:space="preserve"> prevén el juicio por jurados, siendo el modelo clásico</w:t>
      </w:r>
      <w:r w:rsidRPr="00975C02">
        <w:rPr>
          <w:sz w:val="20"/>
          <w:szCs w:val="20"/>
          <w:vertAlign w:val="superscript"/>
          <w:lang w:val="es-ES" w:eastAsia="en-US"/>
        </w:rPr>
        <w:footnoteReference w:id="289"/>
      </w:r>
      <w:r w:rsidRPr="00975C02">
        <w:rPr>
          <w:sz w:val="20"/>
          <w:szCs w:val="20"/>
          <w:lang w:val="es-ES" w:eastAsia="en-US"/>
        </w:rPr>
        <w:t xml:space="preserve"> el más utilizado en la región. En este sentido, la Constitución de Nicaragua establece la necesidad de que se garantice la participación popular en el sistema judicial, delegando en el legislador la forma en que tal mandato se instrumente. Desde la sanción del Código de Instrucción Criminal, en el año </w:t>
      </w:r>
      <w:r w:rsidRPr="00975C02">
        <w:rPr>
          <w:sz w:val="20"/>
          <w:szCs w:val="20"/>
          <w:lang w:val="es-ES" w:eastAsia="en-US"/>
        </w:rPr>
        <w:lastRenderedPageBreak/>
        <w:t>1879, la participación popular se canaliza mediante el sistema de juicio por jurados en el procedimiento penal.</w:t>
      </w:r>
    </w:p>
    <w:p w14:paraId="6BC8DDFA" w14:textId="77777777" w:rsidR="00B5625C" w:rsidRPr="00975C02" w:rsidRDefault="00B5625C" w:rsidP="00B5625C">
      <w:pPr>
        <w:widowControl/>
        <w:adjustRightInd/>
        <w:spacing w:line="240" w:lineRule="auto"/>
        <w:textAlignment w:val="auto"/>
        <w:rPr>
          <w:sz w:val="20"/>
          <w:szCs w:val="20"/>
          <w:lang w:val="es-ES" w:eastAsia="en-US"/>
        </w:rPr>
      </w:pPr>
    </w:p>
    <w:p w14:paraId="13F8B4C9" w14:textId="1D848593"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El modelo de enjuiciamiento penal adoptado por un Estado no resulta inocuo, en tanto va a tener un impacto directo en el diseño orgánico y en la arquitectura del sistema de garantías judiciales. Por ejemplo, el sistema de valoración de la prueba evidentemente va a moldear el esquema de fundamentación probatoria y, a la postre, la exigencia de motivación o la forma de exteriorización de la fundamentación. </w:t>
      </w:r>
      <w:r w:rsidR="00B7508C" w:rsidRPr="00975C02">
        <w:rPr>
          <w:sz w:val="20"/>
          <w:szCs w:val="20"/>
          <w:lang w:val="es-ES" w:eastAsia="en-US"/>
        </w:rPr>
        <w:t>Sin embargo, como ya se adelantó, la Convención Americana no establece un modelo único de enjuiciamiento penal (</w:t>
      </w:r>
      <w:r w:rsidR="00B7508C" w:rsidRPr="00975C02">
        <w:rPr>
          <w:i/>
          <w:sz w:val="20"/>
          <w:szCs w:val="20"/>
          <w:lang w:val="es-ES" w:eastAsia="en-US"/>
        </w:rPr>
        <w:t>supra</w:t>
      </w:r>
      <w:r w:rsidR="00B7508C" w:rsidRPr="00975C02">
        <w:rPr>
          <w:sz w:val="20"/>
          <w:szCs w:val="20"/>
          <w:lang w:val="es-ES" w:eastAsia="en-US"/>
        </w:rPr>
        <w:t xml:space="preserve"> párr. </w:t>
      </w:r>
      <w:r w:rsidR="003D231B" w:rsidRPr="00975C02">
        <w:rPr>
          <w:sz w:val="20"/>
          <w:szCs w:val="20"/>
          <w:lang w:val="es-ES" w:eastAsia="en-US"/>
        </w:rPr>
        <w:t>219</w:t>
      </w:r>
      <w:r w:rsidR="00B7508C" w:rsidRPr="00975C02">
        <w:rPr>
          <w:sz w:val="20"/>
          <w:szCs w:val="20"/>
          <w:lang w:val="es-ES" w:eastAsia="en-US"/>
        </w:rPr>
        <w:t>).</w:t>
      </w:r>
    </w:p>
    <w:p w14:paraId="473C4B53"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6F2293DA"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La afirmación anterior no implica que los sistemas de enjuiciamiento penal por jurados queden al arbitrio del diseño estatal o que la legislación interna tenga preeminencia sobre los requerimientos convencionales, sino que el diseño de los ordenamientos procesales debe responder a los postulados de garantía que exige la Convención Americana. Es en esta medida que la Corte deberá ejercer su control de convencionalidad para examinar si los procedimientos, tal como fueron diseñados e implementados por el Estado, se ajustan a los parámetros dictados por el artículo 8.</w:t>
      </w:r>
    </w:p>
    <w:p w14:paraId="1C8F1732" w14:textId="77777777" w:rsidR="00B5625C" w:rsidRPr="00975C02" w:rsidRDefault="00B5625C" w:rsidP="00B5625C">
      <w:pPr>
        <w:widowControl/>
        <w:adjustRightInd/>
        <w:spacing w:line="240" w:lineRule="auto"/>
        <w:textAlignment w:val="auto"/>
        <w:rPr>
          <w:sz w:val="20"/>
          <w:szCs w:val="20"/>
          <w:lang w:val="es-ES" w:eastAsia="en-US"/>
        </w:rPr>
      </w:pPr>
    </w:p>
    <w:p w14:paraId="38799C86"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suma, la Corte habrá de evaluar en cada caso “las circunstancias de un procedimiento particular, su significación, su carácter y su contexto en un sistema legal particular”</w:t>
      </w:r>
      <w:r w:rsidRPr="00975C02">
        <w:rPr>
          <w:sz w:val="20"/>
          <w:szCs w:val="20"/>
          <w:vertAlign w:val="superscript"/>
          <w:lang w:val="es-ES" w:eastAsia="en-US"/>
        </w:rPr>
        <w:footnoteReference w:id="290"/>
      </w:r>
      <w:r w:rsidRPr="00975C02">
        <w:rPr>
          <w:sz w:val="20"/>
          <w:szCs w:val="20"/>
          <w:lang w:val="es-ES" w:eastAsia="en-US"/>
        </w:rPr>
        <w:t>, para determinar la medida y el alcance de las garantías debidas y su conformidad con la Convención Americana. Dentro de este marco, a continuación, la Corte hará una breve exposición sobre el desarrollo del proceso penal en la etapa plenaria en Nicaragua al momento de los hechos y luego examinará la cuestión relativa a la alegada falta de imparcialidad y de motivación del veredicto emitido por el jurado.</w:t>
      </w:r>
    </w:p>
    <w:p w14:paraId="2C76A5D6" w14:textId="77777777" w:rsidR="00B5625C" w:rsidRPr="00975C02" w:rsidRDefault="00B5625C" w:rsidP="00B5625C">
      <w:pPr>
        <w:widowControl/>
        <w:adjustRightInd/>
        <w:spacing w:line="240" w:lineRule="auto"/>
        <w:textAlignment w:val="auto"/>
        <w:rPr>
          <w:sz w:val="20"/>
          <w:szCs w:val="20"/>
          <w:lang w:val="es-ES" w:eastAsia="en-US"/>
        </w:rPr>
      </w:pPr>
    </w:p>
    <w:p w14:paraId="5EC4BE75" w14:textId="77777777" w:rsidR="00B5625C" w:rsidRPr="00975C02" w:rsidRDefault="00A92F94" w:rsidP="00A92F94">
      <w:pPr>
        <w:pStyle w:val="Heading3"/>
        <w:rPr>
          <w:b w:val="0"/>
          <w:i/>
        </w:rPr>
      </w:pPr>
      <w:bookmarkStart w:id="136" w:name="_Toc514172641"/>
      <w:r w:rsidRPr="00975C02">
        <w:rPr>
          <w:b w:val="0"/>
          <w:i/>
        </w:rPr>
        <w:t>B.3.a</w:t>
      </w:r>
      <w:r w:rsidR="00B5625C" w:rsidRPr="00975C02">
        <w:rPr>
          <w:b w:val="0"/>
          <w:i/>
        </w:rPr>
        <w:tab/>
        <w:t>La legislación procesal penal relativa a los jurados en Nicaragua en la época de los hechos</w:t>
      </w:r>
      <w:bookmarkEnd w:id="136"/>
    </w:p>
    <w:p w14:paraId="3CCB85CA" w14:textId="77777777" w:rsidR="00B5625C" w:rsidRPr="00975C02" w:rsidRDefault="00B5625C" w:rsidP="00B5625C">
      <w:pPr>
        <w:widowControl/>
        <w:adjustRightInd/>
        <w:spacing w:line="240" w:lineRule="auto"/>
        <w:textAlignment w:val="auto"/>
        <w:rPr>
          <w:sz w:val="20"/>
          <w:szCs w:val="20"/>
          <w:lang w:val="es-ES" w:eastAsia="en-US"/>
        </w:rPr>
      </w:pPr>
    </w:p>
    <w:p w14:paraId="66D876D0"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cs="Univers-Light"/>
          <w:sz w:val="20"/>
          <w:szCs w:val="16"/>
          <w:lang w:val="es-ES"/>
        </w:rPr>
      </w:pPr>
      <w:r w:rsidRPr="00975C02">
        <w:rPr>
          <w:rFonts w:cs="Univers-Light"/>
          <w:sz w:val="20"/>
          <w:szCs w:val="16"/>
          <w:lang w:val="es-ES"/>
        </w:rPr>
        <w:t xml:space="preserve">El sustrato del juicio por jurados en Nicaragua se encuentra en su Constitución de 1987. En este sentido, </w:t>
      </w:r>
      <w:r w:rsidRPr="00975C02">
        <w:rPr>
          <w:sz w:val="20"/>
          <w:szCs w:val="20"/>
          <w:lang w:val="es-ES" w:eastAsia="en-US"/>
        </w:rPr>
        <w:t>el</w:t>
      </w:r>
      <w:r w:rsidRPr="00975C02">
        <w:rPr>
          <w:rFonts w:cs="Univers-Light"/>
          <w:sz w:val="20"/>
          <w:szCs w:val="16"/>
          <w:lang w:val="es-ES"/>
        </w:rPr>
        <w:t xml:space="preserve"> artículo 166 establece que: “[l]a administración de justicia se organizará y funcionará con </w:t>
      </w:r>
      <w:r w:rsidRPr="00975C02">
        <w:rPr>
          <w:sz w:val="20"/>
          <w:szCs w:val="20"/>
          <w:lang w:val="es-ES" w:eastAsia="en-US"/>
        </w:rPr>
        <w:t>participación</w:t>
      </w:r>
      <w:r w:rsidRPr="00975C02">
        <w:rPr>
          <w:rFonts w:cs="Univers-Light"/>
          <w:sz w:val="20"/>
          <w:szCs w:val="16"/>
          <w:lang w:val="es-ES"/>
        </w:rPr>
        <w:t xml:space="preserve"> popular, que será determinada por las leyes. Los miembros de los Tribunales de Justicia, sean abogados o no, tienen iguales facultades en el ejercicio de sus funciones jurisdiccionales”</w:t>
      </w:r>
      <w:r w:rsidRPr="00975C02">
        <w:rPr>
          <w:rFonts w:cs="Univers-Light"/>
          <w:sz w:val="20"/>
          <w:szCs w:val="16"/>
          <w:vertAlign w:val="superscript"/>
          <w:lang w:val="es-ES"/>
        </w:rPr>
        <w:footnoteReference w:id="291"/>
      </w:r>
      <w:r w:rsidRPr="00975C02">
        <w:rPr>
          <w:rFonts w:cs="Univers-Light"/>
          <w:sz w:val="20"/>
          <w:szCs w:val="16"/>
          <w:lang w:val="es-ES"/>
        </w:rPr>
        <w:t>.</w:t>
      </w:r>
    </w:p>
    <w:p w14:paraId="19530100" w14:textId="77777777" w:rsidR="00B5625C" w:rsidRPr="00975C02" w:rsidRDefault="00B5625C" w:rsidP="00B5625C">
      <w:pPr>
        <w:widowControl/>
        <w:adjustRightInd/>
        <w:spacing w:line="240" w:lineRule="auto"/>
        <w:textAlignment w:val="auto"/>
        <w:rPr>
          <w:rFonts w:cs="Univers-Light"/>
          <w:sz w:val="20"/>
          <w:szCs w:val="16"/>
          <w:lang w:val="es-ES"/>
        </w:rPr>
      </w:pPr>
    </w:p>
    <w:p w14:paraId="205A2502" w14:textId="6FC7B615"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cs="Univers-Light"/>
          <w:sz w:val="20"/>
          <w:szCs w:val="16"/>
          <w:lang w:val="es-ES"/>
        </w:rPr>
      </w:pPr>
      <w:r w:rsidRPr="00975C02">
        <w:rPr>
          <w:rFonts w:cs="Univers-Light"/>
          <w:sz w:val="20"/>
          <w:szCs w:val="16"/>
          <w:lang w:val="es-ES"/>
        </w:rPr>
        <w:t xml:space="preserve">En cumplimiento de ese mandato constitucional, la cláusula de participación popular en el poder judicial se canalizó procesalmente a través de la figura del jurado. El sistema fue </w:t>
      </w:r>
      <w:r w:rsidRPr="00975C02">
        <w:rPr>
          <w:sz w:val="20"/>
          <w:szCs w:val="20"/>
          <w:lang w:val="es-ES" w:eastAsia="en-US"/>
        </w:rPr>
        <w:t>implementado</w:t>
      </w:r>
      <w:r w:rsidRPr="00975C02">
        <w:rPr>
          <w:rFonts w:cs="Univers-Light"/>
          <w:sz w:val="20"/>
          <w:szCs w:val="16"/>
          <w:lang w:val="es-ES"/>
        </w:rPr>
        <w:t xml:space="preserve"> a nivel </w:t>
      </w:r>
      <w:r w:rsidRPr="00975C02">
        <w:rPr>
          <w:sz w:val="20"/>
          <w:szCs w:val="20"/>
          <w:lang w:val="es-ES" w:eastAsia="en-US"/>
        </w:rPr>
        <w:t>nacional</w:t>
      </w:r>
      <w:r w:rsidRPr="00975C02">
        <w:rPr>
          <w:rFonts w:cs="Univers-Light"/>
          <w:sz w:val="20"/>
          <w:szCs w:val="16"/>
          <w:lang w:val="es-ES"/>
        </w:rPr>
        <w:t xml:space="preserve"> tanto en el Código de Instrucción Criminal -legislación </w:t>
      </w:r>
      <w:r w:rsidRPr="00975C02">
        <w:rPr>
          <w:sz w:val="20"/>
          <w:szCs w:val="20"/>
          <w:lang w:val="es-ES" w:eastAsia="en-US"/>
        </w:rPr>
        <w:t>procesal</w:t>
      </w:r>
      <w:r w:rsidRPr="00975C02">
        <w:rPr>
          <w:rFonts w:cs="Univers-Light"/>
          <w:sz w:val="20"/>
          <w:szCs w:val="16"/>
          <w:lang w:val="es-ES"/>
        </w:rPr>
        <w:t xml:space="preserve"> penal vigente y aplicada al enjuiciamiento del presente</w:t>
      </w:r>
      <w:r w:rsidR="006233E7" w:rsidRPr="00975C02">
        <w:rPr>
          <w:rFonts w:cs="Univers-Light"/>
          <w:sz w:val="20"/>
          <w:szCs w:val="16"/>
          <w:lang w:val="es-ES"/>
        </w:rPr>
        <w:t xml:space="preserve"> caso </w:t>
      </w:r>
      <w:r w:rsidRPr="00975C02">
        <w:rPr>
          <w:rFonts w:cs="Univers-Light"/>
          <w:sz w:val="20"/>
          <w:szCs w:val="16"/>
          <w:lang w:val="es-ES"/>
        </w:rPr>
        <w:t xml:space="preserve">- como en el posterior Código Procesal Penal -Ley </w:t>
      </w:r>
      <w:r w:rsidR="000D421E" w:rsidRPr="00975C02">
        <w:rPr>
          <w:rFonts w:cs="Univers-Light"/>
          <w:sz w:val="20"/>
          <w:szCs w:val="16"/>
          <w:lang w:val="es-ES"/>
        </w:rPr>
        <w:t>N</w:t>
      </w:r>
      <w:r w:rsidRPr="00975C02">
        <w:rPr>
          <w:rFonts w:cs="Univers-Light"/>
          <w:sz w:val="20"/>
          <w:szCs w:val="16"/>
          <w:lang w:val="es-ES"/>
        </w:rPr>
        <w:t>° 406; legislación procesal penal vigente en la actualidad-.</w:t>
      </w:r>
    </w:p>
    <w:p w14:paraId="3D4A868F" w14:textId="77777777" w:rsidR="00B5625C" w:rsidRPr="00975C02" w:rsidRDefault="00B5625C" w:rsidP="00B5625C">
      <w:pPr>
        <w:widowControl/>
        <w:adjustRightInd/>
        <w:spacing w:line="240" w:lineRule="auto"/>
        <w:textAlignment w:val="auto"/>
        <w:rPr>
          <w:sz w:val="20"/>
          <w:szCs w:val="20"/>
          <w:lang w:val="es-ES" w:eastAsia="en-US"/>
        </w:rPr>
      </w:pPr>
    </w:p>
    <w:p w14:paraId="6F18E4B4"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Dado que el proceso penal del presente caso se realizó bajo las disposiciones del entonces vigente Código de Instrucción Criminal</w:t>
      </w:r>
      <w:r w:rsidRPr="00975C02">
        <w:rPr>
          <w:sz w:val="20"/>
          <w:szCs w:val="20"/>
          <w:vertAlign w:val="superscript"/>
          <w:lang w:val="es-ES" w:eastAsia="en-US"/>
        </w:rPr>
        <w:footnoteReference w:id="292"/>
      </w:r>
      <w:r w:rsidRPr="00975C02">
        <w:rPr>
          <w:sz w:val="20"/>
          <w:szCs w:val="20"/>
          <w:lang w:val="es-ES" w:eastAsia="en-US"/>
        </w:rPr>
        <w:t>, la Corte pasará a describir cómo era el funcionamiento del juicio por jurados. En particular, en cuanto a la implementación del juicio por jurados, el Código de Instrucción Criminal establecía que se juzgarían por un tribunal de jurados aquellos “delitos comunes que merezcan penas más que correccionales”</w:t>
      </w:r>
      <w:r w:rsidRPr="00975C02">
        <w:rPr>
          <w:sz w:val="20"/>
          <w:szCs w:val="20"/>
          <w:vertAlign w:val="superscript"/>
          <w:lang w:val="es-ES" w:eastAsia="en-US"/>
        </w:rPr>
        <w:footnoteReference w:id="293"/>
      </w:r>
      <w:r w:rsidRPr="00975C02">
        <w:rPr>
          <w:sz w:val="20"/>
          <w:szCs w:val="20"/>
          <w:lang w:val="es-ES" w:eastAsia="en-US"/>
        </w:rPr>
        <w:t xml:space="preserve">. El jurado, integrado </w:t>
      </w:r>
      <w:r w:rsidR="006B4385" w:rsidRPr="00975C02">
        <w:rPr>
          <w:sz w:val="20"/>
          <w:szCs w:val="20"/>
          <w:lang w:val="es-ES" w:eastAsia="en-US"/>
        </w:rPr>
        <w:t>con base en</w:t>
      </w:r>
      <w:r w:rsidRPr="00975C02">
        <w:rPr>
          <w:sz w:val="20"/>
          <w:szCs w:val="20"/>
          <w:lang w:val="es-ES" w:eastAsia="en-US"/>
        </w:rPr>
        <w:t xml:space="preserve"> listas </w:t>
      </w:r>
      <w:r w:rsidRPr="00975C02">
        <w:rPr>
          <w:sz w:val="20"/>
          <w:szCs w:val="20"/>
          <w:lang w:val="es-ES" w:eastAsia="en-US"/>
        </w:rPr>
        <w:lastRenderedPageBreak/>
        <w:t>de ciudadanos “propuestos por ellos mismos”</w:t>
      </w:r>
      <w:r w:rsidRPr="00975C02">
        <w:rPr>
          <w:sz w:val="20"/>
          <w:szCs w:val="20"/>
          <w:vertAlign w:val="superscript"/>
          <w:lang w:val="es-ES" w:eastAsia="en-US"/>
        </w:rPr>
        <w:footnoteReference w:id="294"/>
      </w:r>
      <w:r w:rsidRPr="00975C02">
        <w:rPr>
          <w:sz w:val="20"/>
          <w:szCs w:val="20"/>
          <w:lang w:val="es-ES" w:eastAsia="en-US"/>
        </w:rPr>
        <w:t>, emitía su veredicto de “íntima convicción” sobre la responsabilidad del acusado, declarándolo inocente o culpable.</w:t>
      </w:r>
    </w:p>
    <w:p w14:paraId="290AB58B" w14:textId="77777777" w:rsidR="00B5625C" w:rsidRPr="00975C02" w:rsidRDefault="00B5625C" w:rsidP="00B5625C">
      <w:pPr>
        <w:widowControl/>
        <w:adjustRightInd/>
        <w:spacing w:line="240" w:lineRule="auto"/>
        <w:textAlignment w:val="auto"/>
        <w:rPr>
          <w:sz w:val="20"/>
          <w:szCs w:val="20"/>
          <w:lang w:val="es-ES" w:eastAsia="en-US"/>
        </w:rPr>
      </w:pPr>
    </w:p>
    <w:p w14:paraId="1AE35B8E" w14:textId="525BF9F2"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Así, durante la etapa plenaria, el juez convocaba a la desinsaculación de la lista de diez ciudadanos que </w:t>
      </w:r>
      <w:r w:rsidR="000D421E" w:rsidRPr="00975C02">
        <w:rPr>
          <w:sz w:val="20"/>
          <w:szCs w:val="20"/>
          <w:lang w:val="es-ES" w:eastAsia="en-US"/>
        </w:rPr>
        <w:t xml:space="preserve">podían </w:t>
      </w:r>
      <w:r w:rsidRPr="00975C02">
        <w:rPr>
          <w:sz w:val="20"/>
          <w:szCs w:val="20"/>
          <w:lang w:val="es-ES" w:eastAsia="en-US"/>
        </w:rPr>
        <w:t>conformar el Tribunal de Jurados</w:t>
      </w:r>
      <w:r w:rsidRPr="00975C02">
        <w:rPr>
          <w:sz w:val="20"/>
          <w:szCs w:val="20"/>
          <w:vertAlign w:val="superscript"/>
          <w:lang w:val="es-ES" w:eastAsia="en-US"/>
        </w:rPr>
        <w:footnoteReference w:id="295"/>
      </w:r>
      <w:r w:rsidRPr="00975C02">
        <w:rPr>
          <w:sz w:val="20"/>
          <w:szCs w:val="20"/>
          <w:lang w:val="es-ES" w:eastAsia="en-US"/>
        </w:rPr>
        <w:t>, uno de los cuales podía ser recusado sin causa por cada parte</w:t>
      </w:r>
      <w:r w:rsidRPr="00975C02">
        <w:rPr>
          <w:sz w:val="20"/>
          <w:szCs w:val="20"/>
          <w:vertAlign w:val="superscript"/>
          <w:lang w:val="es-ES" w:eastAsia="en-US"/>
        </w:rPr>
        <w:footnoteReference w:id="296"/>
      </w:r>
      <w:r w:rsidRPr="00975C02">
        <w:rPr>
          <w:sz w:val="20"/>
          <w:szCs w:val="20"/>
          <w:lang w:val="es-ES" w:eastAsia="en-US"/>
        </w:rPr>
        <w:t xml:space="preserve">. En esa misma ocasión, se designaba al </w:t>
      </w:r>
      <w:r w:rsidR="003C0254" w:rsidRPr="00975C02">
        <w:rPr>
          <w:sz w:val="20"/>
          <w:szCs w:val="20"/>
          <w:lang w:val="es-ES" w:eastAsia="en-US"/>
        </w:rPr>
        <w:t>juez de derecho</w:t>
      </w:r>
      <w:r w:rsidRPr="00975C02">
        <w:rPr>
          <w:sz w:val="20"/>
          <w:szCs w:val="20"/>
          <w:lang w:val="es-ES" w:eastAsia="en-US"/>
        </w:rPr>
        <w:t xml:space="preserve"> que formaría parte del Tribunal de Jurados y se señalaba lugar, fecha y hora para realizar la audiencia de </w:t>
      </w:r>
      <w:r w:rsidR="00D47A75" w:rsidRPr="00975C02">
        <w:rPr>
          <w:sz w:val="20"/>
          <w:szCs w:val="20"/>
          <w:lang w:val="es-ES" w:eastAsia="en-US"/>
        </w:rPr>
        <w:t>vista pública</w:t>
      </w:r>
      <w:r w:rsidRPr="00975C02">
        <w:rPr>
          <w:sz w:val="20"/>
          <w:szCs w:val="20"/>
          <w:vertAlign w:val="superscript"/>
          <w:lang w:val="es-ES" w:eastAsia="en-US"/>
        </w:rPr>
        <w:footnoteReference w:id="297"/>
      </w:r>
      <w:r w:rsidRPr="00975C02">
        <w:rPr>
          <w:sz w:val="20"/>
          <w:szCs w:val="20"/>
          <w:lang w:val="es-ES" w:eastAsia="en-US"/>
        </w:rPr>
        <w:t xml:space="preserve">. Antes de la </w:t>
      </w:r>
      <w:r w:rsidR="00D47A75" w:rsidRPr="00975C02">
        <w:rPr>
          <w:sz w:val="20"/>
          <w:szCs w:val="20"/>
          <w:lang w:val="es-ES" w:eastAsia="en-US"/>
        </w:rPr>
        <w:t>vista pública</w:t>
      </w:r>
      <w:r w:rsidRPr="00975C02">
        <w:rPr>
          <w:sz w:val="20"/>
          <w:szCs w:val="20"/>
          <w:lang w:val="es-ES" w:eastAsia="en-US"/>
        </w:rPr>
        <w:t xml:space="preserve"> se procedía a la integración del Tribunal de Jurados, oportunidad en la cual las partes podían recusar con causa, evidente o demostrable a cualquiera de los jurados</w:t>
      </w:r>
      <w:r w:rsidRPr="00975C02">
        <w:rPr>
          <w:sz w:val="20"/>
          <w:szCs w:val="20"/>
          <w:vertAlign w:val="superscript"/>
          <w:lang w:val="es-ES" w:eastAsia="en-US"/>
        </w:rPr>
        <w:footnoteReference w:id="298"/>
      </w:r>
      <w:r w:rsidRPr="00975C02">
        <w:rPr>
          <w:sz w:val="20"/>
          <w:szCs w:val="20"/>
          <w:lang w:val="es-ES" w:eastAsia="en-US"/>
        </w:rPr>
        <w:t>. La recusación era resuelta por el juez en la misma sesión, no siendo procedente ulterior recurso</w:t>
      </w:r>
      <w:r w:rsidRPr="00975C02">
        <w:rPr>
          <w:sz w:val="20"/>
          <w:szCs w:val="20"/>
          <w:vertAlign w:val="superscript"/>
          <w:lang w:val="es-ES" w:eastAsia="en-US"/>
        </w:rPr>
        <w:footnoteReference w:id="299"/>
      </w:r>
      <w:r w:rsidRPr="00975C02">
        <w:rPr>
          <w:sz w:val="20"/>
          <w:szCs w:val="20"/>
          <w:lang w:val="es-ES" w:eastAsia="en-US"/>
        </w:rPr>
        <w:t xml:space="preserve">. El juez de la causa escogía a los cuatro ciudadanos que, junto con el </w:t>
      </w:r>
      <w:r w:rsidR="003C0254" w:rsidRPr="00975C02">
        <w:rPr>
          <w:sz w:val="20"/>
          <w:szCs w:val="20"/>
          <w:lang w:val="es-ES" w:eastAsia="en-US"/>
        </w:rPr>
        <w:t>juez de derecho</w:t>
      </w:r>
      <w:r w:rsidRPr="00975C02">
        <w:rPr>
          <w:sz w:val="20"/>
          <w:szCs w:val="20"/>
          <w:lang w:val="es-ES" w:eastAsia="en-US"/>
        </w:rPr>
        <w:t>, integraban el Tribunal de Jurados</w:t>
      </w:r>
      <w:r w:rsidRPr="00975C02">
        <w:rPr>
          <w:sz w:val="20"/>
          <w:szCs w:val="20"/>
          <w:vertAlign w:val="superscript"/>
          <w:lang w:val="es-ES" w:eastAsia="en-US"/>
        </w:rPr>
        <w:footnoteReference w:id="300"/>
      </w:r>
      <w:r w:rsidRPr="00975C02">
        <w:rPr>
          <w:sz w:val="20"/>
          <w:szCs w:val="20"/>
          <w:lang w:val="es-ES" w:eastAsia="en-US"/>
        </w:rPr>
        <w:t>. Asimismo, el juez de la causa contaba con la posibilidad de reponer de oficio al jurado en determinados supuestos</w:t>
      </w:r>
      <w:r w:rsidRPr="00975C02">
        <w:rPr>
          <w:sz w:val="20"/>
          <w:szCs w:val="20"/>
          <w:vertAlign w:val="superscript"/>
          <w:lang w:val="es-ES" w:eastAsia="en-US"/>
        </w:rPr>
        <w:footnoteReference w:id="301"/>
      </w:r>
      <w:r w:rsidRPr="00975C02">
        <w:rPr>
          <w:sz w:val="20"/>
          <w:szCs w:val="20"/>
          <w:lang w:val="es-ES" w:eastAsia="en-US"/>
        </w:rPr>
        <w:t>.</w:t>
      </w:r>
    </w:p>
    <w:p w14:paraId="1F3C2A0F" w14:textId="77777777" w:rsidR="00B5625C" w:rsidRPr="00975C02" w:rsidRDefault="00B5625C" w:rsidP="00B5625C">
      <w:pPr>
        <w:widowControl/>
        <w:adjustRightInd/>
        <w:spacing w:line="240" w:lineRule="auto"/>
        <w:textAlignment w:val="auto"/>
        <w:rPr>
          <w:sz w:val="20"/>
          <w:szCs w:val="20"/>
          <w:lang w:val="es-ES" w:eastAsia="en-US"/>
        </w:rPr>
      </w:pPr>
    </w:p>
    <w:p w14:paraId="62264243" w14:textId="11B19292"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iCs/>
          <w:sz w:val="20"/>
          <w:szCs w:val="20"/>
          <w:lang w:val="es-ES" w:eastAsia="en-US"/>
        </w:rPr>
      </w:pPr>
      <w:r w:rsidRPr="00975C02">
        <w:rPr>
          <w:sz w:val="20"/>
          <w:szCs w:val="20"/>
          <w:lang w:val="es-ES" w:eastAsia="en-US"/>
        </w:rPr>
        <w:t>Una vez instalados los jurados en su cargo, luego de prestar promesa</w:t>
      </w:r>
      <w:r w:rsidRPr="00975C02">
        <w:rPr>
          <w:sz w:val="20"/>
          <w:szCs w:val="20"/>
          <w:vertAlign w:val="superscript"/>
          <w:lang w:val="es-ES" w:eastAsia="en-US"/>
        </w:rPr>
        <w:footnoteReference w:id="302"/>
      </w:r>
      <w:r w:rsidRPr="00975C02">
        <w:rPr>
          <w:sz w:val="20"/>
          <w:szCs w:val="20"/>
          <w:lang w:val="es-ES" w:eastAsia="en-US"/>
        </w:rPr>
        <w:t>, se elegía a un presidente y al secretario</w:t>
      </w:r>
      <w:r w:rsidRPr="00975C02">
        <w:rPr>
          <w:sz w:val="20"/>
          <w:szCs w:val="20"/>
          <w:vertAlign w:val="superscript"/>
          <w:lang w:val="es-ES" w:eastAsia="en-US"/>
        </w:rPr>
        <w:footnoteReference w:id="303"/>
      </w:r>
      <w:r w:rsidRPr="00975C02">
        <w:rPr>
          <w:sz w:val="20"/>
          <w:szCs w:val="20"/>
          <w:lang w:val="es-ES" w:eastAsia="en-US"/>
        </w:rPr>
        <w:t>. Se procedía a la realización de la audiencia pública</w:t>
      </w:r>
      <w:r w:rsidRPr="00975C02">
        <w:rPr>
          <w:sz w:val="20"/>
          <w:szCs w:val="20"/>
          <w:vertAlign w:val="superscript"/>
          <w:lang w:val="es-ES" w:eastAsia="en-US"/>
        </w:rPr>
        <w:footnoteReference w:id="304"/>
      </w:r>
      <w:r w:rsidRPr="00975C02">
        <w:rPr>
          <w:sz w:val="20"/>
          <w:szCs w:val="20"/>
          <w:lang w:val="es-ES" w:eastAsia="en-US"/>
        </w:rPr>
        <w:t>, luego de lo cual los miembros del jurado se reunían en sesión secreta a fin de deliberar “sobre el hecho principal y sobre cada una de sus circunstancias”</w:t>
      </w:r>
      <w:r w:rsidRPr="00975C02">
        <w:rPr>
          <w:sz w:val="20"/>
          <w:szCs w:val="20"/>
          <w:vertAlign w:val="superscript"/>
          <w:lang w:val="es-ES" w:eastAsia="en-US"/>
        </w:rPr>
        <w:footnoteReference w:id="305"/>
      </w:r>
      <w:r w:rsidRPr="00975C02">
        <w:rPr>
          <w:sz w:val="20"/>
          <w:szCs w:val="20"/>
          <w:lang w:val="es-ES" w:eastAsia="en-US"/>
        </w:rPr>
        <w:t xml:space="preserve">. </w:t>
      </w:r>
      <w:r w:rsidRPr="00975C02">
        <w:rPr>
          <w:rFonts w:eastAsia="Calibri"/>
          <w:iCs/>
          <w:sz w:val="20"/>
          <w:szCs w:val="20"/>
          <w:lang w:val="es-ES" w:eastAsia="en-US"/>
        </w:rPr>
        <w:t>Al quedar solo</w:t>
      </w:r>
      <w:r w:rsidR="00085AC8" w:rsidRPr="00975C02">
        <w:rPr>
          <w:rFonts w:eastAsia="Calibri"/>
          <w:iCs/>
          <w:sz w:val="20"/>
          <w:szCs w:val="20"/>
          <w:lang w:val="es-ES" w:eastAsia="en-US"/>
        </w:rPr>
        <w:t>s</w:t>
      </w:r>
      <w:r w:rsidRPr="00975C02">
        <w:rPr>
          <w:rFonts w:eastAsia="Calibri"/>
          <w:iCs/>
          <w:sz w:val="20"/>
          <w:szCs w:val="20"/>
          <w:lang w:val="es-ES" w:eastAsia="en-US"/>
        </w:rPr>
        <w:t xml:space="preserve"> los jurados, el </w:t>
      </w:r>
      <w:r w:rsidRPr="00975C02">
        <w:rPr>
          <w:sz w:val="20"/>
          <w:szCs w:val="20"/>
          <w:lang w:val="es-ES" w:eastAsia="en-US"/>
        </w:rPr>
        <w:t>presidente</w:t>
      </w:r>
      <w:r w:rsidRPr="00975C02">
        <w:rPr>
          <w:rFonts w:eastAsia="Calibri"/>
          <w:iCs/>
          <w:sz w:val="20"/>
          <w:szCs w:val="20"/>
          <w:lang w:val="es-ES" w:eastAsia="en-US"/>
        </w:rPr>
        <w:t xml:space="preserve"> les hacía la</w:t>
      </w:r>
      <w:r w:rsidRPr="00975C02">
        <w:rPr>
          <w:rFonts w:eastAsia="Calibri"/>
          <w:sz w:val="20"/>
          <w:szCs w:val="20"/>
          <w:lang w:val="es-ES" w:eastAsia="en-US"/>
        </w:rPr>
        <w:t xml:space="preserve"> </w:t>
      </w:r>
      <w:r w:rsidRPr="00975C02">
        <w:rPr>
          <w:rFonts w:eastAsia="Calibri"/>
          <w:iCs/>
          <w:sz w:val="20"/>
          <w:szCs w:val="20"/>
          <w:lang w:val="es-ES" w:eastAsia="en-US"/>
        </w:rPr>
        <w:t>siguiente advertencia, la que debía estar escrita con gruesos</w:t>
      </w:r>
      <w:r w:rsidRPr="00975C02">
        <w:rPr>
          <w:rFonts w:eastAsia="Calibri"/>
          <w:sz w:val="20"/>
          <w:szCs w:val="20"/>
          <w:lang w:val="es-ES" w:eastAsia="en-US"/>
        </w:rPr>
        <w:t xml:space="preserve"> </w:t>
      </w:r>
      <w:r w:rsidRPr="00975C02">
        <w:rPr>
          <w:rFonts w:eastAsia="Calibri"/>
          <w:iCs/>
          <w:sz w:val="20"/>
          <w:szCs w:val="20"/>
          <w:lang w:val="es-ES" w:eastAsia="en-US"/>
        </w:rPr>
        <w:t>caracteres y fijada en la pieza en que se reunía el</w:t>
      </w:r>
      <w:r w:rsidRPr="00975C02">
        <w:rPr>
          <w:rFonts w:eastAsia="Calibri"/>
          <w:sz w:val="20"/>
          <w:szCs w:val="20"/>
          <w:lang w:val="es-ES" w:eastAsia="en-US"/>
        </w:rPr>
        <w:t xml:space="preserve"> </w:t>
      </w:r>
      <w:r w:rsidRPr="00975C02">
        <w:rPr>
          <w:rFonts w:eastAsia="Calibri"/>
          <w:iCs/>
          <w:sz w:val="20"/>
          <w:szCs w:val="20"/>
          <w:lang w:val="es-ES" w:eastAsia="en-US"/>
        </w:rPr>
        <w:t>jurado:</w:t>
      </w:r>
    </w:p>
    <w:p w14:paraId="70C8E2BF" w14:textId="77777777" w:rsidR="00B5625C" w:rsidRPr="00975C02" w:rsidRDefault="00B5625C" w:rsidP="00B5625C">
      <w:pPr>
        <w:widowControl/>
        <w:adjustRightInd/>
        <w:spacing w:line="240" w:lineRule="auto"/>
        <w:textAlignment w:val="auto"/>
        <w:rPr>
          <w:rFonts w:eastAsia="Calibri"/>
          <w:iCs/>
          <w:sz w:val="20"/>
          <w:szCs w:val="20"/>
          <w:lang w:val="es-ES" w:eastAsia="en-US"/>
        </w:rPr>
      </w:pPr>
    </w:p>
    <w:p w14:paraId="65AFB47E" w14:textId="1C31F42E" w:rsidR="00B5625C" w:rsidRPr="00975C02" w:rsidRDefault="00B5625C" w:rsidP="0086531F">
      <w:pPr>
        <w:widowControl/>
        <w:adjustRightInd/>
        <w:spacing w:line="240" w:lineRule="auto"/>
        <w:ind w:left="567" w:right="582"/>
        <w:textAlignment w:val="auto"/>
        <w:rPr>
          <w:sz w:val="16"/>
          <w:szCs w:val="16"/>
          <w:lang w:val="es-ES" w:eastAsia="en-US"/>
        </w:rPr>
      </w:pPr>
      <w:r w:rsidRPr="00975C02">
        <w:rPr>
          <w:rFonts w:eastAsia="Calibri"/>
          <w:iCs/>
          <w:sz w:val="16"/>
          <w:szCs w:val="16"/>
          <w:lang w:val="es-ES" w:eastAsia="en-US"/>
        </w:rPr>
        <w:t xml:space="preserve">La ley no pide a los jurados cuenta de los medios por los cuales han llegado a formar su convencimiento, </w:t>
      </w:r>
      <w:r w:rsidR="00B07860" w:rsidRPr="00975C02">
        <w:rPr>
          <w:rFonts w:eastAsia="Calibri"/>
          <w:iCs/>
          <w:sz w:val="16"/>
          <w:szCs w:val="16"/>
          <w:lang w:val="es-ES" w:eastAsia="en-US"/>
        </w:rPr>
        <w:t xml:space="preserve">ni </w:t>
      </w:r>
      <w:r w:rsidRPr="00975C02">
        <w:rPr>
          <w:rFonts w:eastAsia="Calibri"/>
          <w:iCs/>
          <w:sz w:val="16"/>
          <w:szCs w:val="16"/>
          <w:lang w:val="es-ES" w:eastAsia="en-US"/>
        </w:rPr>
        <w:t>les prescribe reglas de las cuales deban deducir</w:t>
      </w:r>
      <w:r w:rsidRPr="00975C02">
        <w:rPr>
          <w:rFonts w:eastAsia="Calibri"/>
          <w:sz w:val="16"/>
          <w:szCs w:val="16"/>
          <w:lang w:val="es-ES" w:eastAsia="en-US"/>
        </w:rPr>
        <w:t xml:space="preserve"> </w:t>
      </w:r>
      <w:r w:rsidRPr="00975C02">
        <w:rPr>
          <w:rFonts w:eastAsia="Calibri"/>
          <w:iCs/>
          <w:sz w:val="16"/>
          <w:szCs w:val="16"/>
          <w:lang w:val="es-ES" w:eastAsia="en-US"/>
        </w:rPr>
        <w:t>especialmente la certeza de los hechos. Ella les</w:t>
      </w:r>
      <w:r w:rsidRPr="00975C02">
        <w:rPr>
          <w:rFonts w:eastAsia="Calibri"/>
          <w:sz w:val="16"/>
          <w:szCs w:val="16"/>
          <w:lang w:val="es-ES" w:eastAsia="en-US"/>
        </w:rPr>
        <w:t xml:space="preserve"> </w:t>
      </w:r>
      <w:r w:rsidRPr="00975C02">
        <w:rPr>
          <w:rFonts w:eastAsia="Calibri"/>
          <w:iCs/>
          <w:sz w:val="16"/>
          <w:szCs w:val="16"/>
          <w:lang w:val="es-ES" w:eastAsia="en-US"/>
        </w:rPr>
        <w:t xml:space="preserve">prescribe solamente </w:t>
      </w:r>
      <w:r w:rsidRPr="0086531F">
        <w:rPr>
          <w:sz w:val="16"/>
          <w:szCs w:val="16"/>
          <w:lang w:val="es-ES" w:eastAsia="en-US"/>
        </w:rPr>
        <w:t>interrogarse</w:t>
      </w:r>
      <w:r w:rsidRPr="00975C02">
        <w:rPr>
          <w:rFonts w:eastAsia="Calibri"/>
          <w:iCs/>
          <w:sz w:val="16"/>
          <w:szCs w:val="16"/>
          <w:lang w:val="es-ES" w:eastAsia="en-US"/>
        </w:rPr>
        <w:t xml:space="preserve"> a sí mismo, </w:t>
      </w:r>
      <w:r w:rsidRPr="00975C02">
        <w:rPr>
          <w:rFonts w:eastAsia="Calibri"/>
          <w:sz w:val="16"/>
          <w:szCs w:val="16"/>
          <w:lang w:val="es-ES" w:eastAsia="en-US"/>
        </w:rPr>
        <w:t>y</w:t>
      </w:r>
      <w:r w:rsidRPr="00975C02">
        <w:rPr>
          <w:rFonts w:eastAsia="Calibri"/>
          <w:iCs/>
          <w:sz w:val="16"/>
          <w:szCs w:val="16"/>
          <w:lang w:val="es-ES" w:eastAsia="en-US"/>
        </w:rPr>
        <w:t xml:space="preserve"> buscar</w:t>
      </w:r>
      <w:r w:rsidRPr="00975C02">
        <w:rPr>
          <w:rFonts w:eastAsia="Calibri"/>
          <w:sz w:val="16"/>
          <w:szCs w:val="16"/>
          <w:lang w:val="es-ES" w:eastAsia="en-US"/>
        </w:rPr>
        <w:t xml:space="preserve"> </w:t>
      </w:r>
      <w:r w:rsidRPr="00975C02">
        <w:rPr>
          <w:rFonts w:eastAsia="Calibri"/>
          <w:iCs/>
          <w:sz w:val="16"/>
          <w:szCs w:val="16"/>
          <w:lang w:val="es-ES" w:eastAsia="en-US"/>
        </w:rPr>
        <w:t>en la sinceridad de su conciencia qu</w:t>
      </w:r>
      <w:r w:rsidR="00B07860" w:rsidRPr="00975C02">
        <w:rPr>
          <w:rFonts w:eastAsia="Calibri"/>
          <w:iCs/>
          <w:sz w:val="16"/>
          <w:szCs w:val="16"/>
          <w:lang w:val="es-ES" w:eastAsia="en-US"/>
        </w:rPr>
        <w:t>é</w:t>
      </w:r>
      <w:r w:rsidRPr="00975C02">
        <w:rPr>
          <w:rFonts w:eastAsia="Calibri"/>
          <w:iCs/>
          <w:sz w:val="16"/>
          <w:szCs w:val="16"/>
          <w:lang w:val="es-ES" w:eastAsia="en-US"/>
        </w:rPr>
        <w:t xml:space="preserve"> impresión han hecho</w:t>
      </w:r>
      <w:r w:rsidRPr="00975C02">
        <w:rPr>
          <w:rFonts w:eastAsia="Calibri"/>
          <w:sz w:val="16"/>
          <w:szCs w:val="16"/>
          <w:lang w:val="es-ES" w:eastAsia="en-US"/>
        </w:rPr>
        <w:t xml:space="preserve"> </w:t>
      </w:r>
      <w:r w:rsidRPr="00975C02">
        <w:rPr>
          <w:rFonts w:eastAsia="Calibri"/>
          <w:iCs/>
          <w:sz w:val="16"/>
          <w:szCs w:val="16"/>
          <w:lang w:val="es-ES" w:eastAsia="en-US"/>
        </w:rPr>
        <w:t xml:space="preserve">en su </w:t>
      </w:r>
      <w:r w:rsidRPr="00975C02">
        <w:rPr>
          <w:rFonts w:eastAsia="Calibri"/>
          <w:iCs/>
          <w:sz w:val="16"/>
          <w:szCs w:val="16"/>
          <w:lang w:val="es-ES" w:eastAsia="en-US"/>
        </w:rPr>
        <w:lastRenderedPageBreak/>
        <w:t xml:space="preserve">razón las pruebas producidas en contra </w:t>
      </w:r>
      <w:r w:rsidRPr="00975C02">
        <w:rPr>
          <w:rFonts w:eastAsia="Calibri"/>
          <w:sz w:val="16"/>
          <w:szCs w:val="16"/>
          <w:lang w:val="es-ES" w:eastAsia="en-US"/>
        </w:rPr>
        <w:t xml:space="preserve">y </w:t>
      </w:r>
      <w:r w:rsidRPr="00975C02">
        <w:rPr>
          <w:rFonts w:eastAsia="Calibri"/>
          <w:iCs/>
          <w:sz w:val="16"/>
          <w:szCs w:val="16"/>
          <w:lang w:val="es-ES" w:eastAsia="en-US"/>
        </w:rPr>
        <w:t>en defensa</w:t>
      </w:r>
      <w:r w:rsidRPr="00975C02">
        <w:rPr>
          <w:rFonts w:eastAsia="Calibri"/>
          <w:sz w:val="16"/>
          <w:szCs w:val="16"/>
          <w:lang w:val="es-ES" w:eastAsia="en-US"/>
        </w:rPr>
        <w:t xml:space="preserve"> </w:t>
      </w:r>
      <w:r w:rsidRPr="00975C02">
        <w:rPr>
          <w:rFonts w:eastAsia="Calibri"/>
          <w:iCs/>
          <w:sz w:val="16"/>
          <w:szCs w:val="16"/>
          <w:lang w:val="es-ES" w:eastAsia="en-US"/>
        </w:rPr>
        <w:t>del acusado. La ley no les dice tendréis por verdad tal</w:t>
      </w:r>
      <w:r w:rsidRPr="00975C02">
        <w:rPr>
          <w:rFonts w:eastAsia="Calibri"/>
          <w:sz w:val="16"/>
          <w:szCs w:val="16"/>
          <w:lang w:val="es-ES" w:eastAsia="en-US"/>
        </w:rPr>
        <w:t xml:space="preserve"> </w:t>
      </w:r>
      <w:r w:rsidRPr="00975C02">
        <w:rPr>
          <w:rFonts w:eastAsia="Calibri"/>
          <w:iCs/>
          <w:sz w:val="16"/>
          <w:szCs w:val="16"/>
          <w:lang w:val="es-ES" w:eastAsia="en-US"/>
        </w:rPr>
        <w:t>hecho afirmado</w:t>
      </w:r>
      <w:r w:rsidR="00B07860" w:rsidRPr="00975C02">
        <w:rPr>
          <w:rFonts w:eastAsia="Calibri"/>
          <w:iCs/>
          <w:sz w:val="16"/>
          <w:szCs w:val="16"/>
          <w:lang w:val="es-ES" w:eastAsia="en-US"/>
        </w:rPr>
        <w:t>,</w:t>
      </w:r>
      <w:r w:rsidRPr="00975C02">
        <w:rPr>
          <w:rFonts w:eastAsia="Calibri"/>
          <w:iCs/>
          <w:sz w:val="16"/>
          <w:szCs w:val="16"/>
          <w:lang w:val="es-ES" w:eastAsia="en-US"/>
        </w:rPr>
        <w:t xml:space="preserve"> por tal número de testigos; ella no les</w:t>
      </w:r>
      <w:r w:rsidRPr="00975C02">
        <w:rPr>
          <w:rFonts w:eastAsia="Calibri"/>
          <w:sz w:val="16"/>
          <w:szCs w:val="16"/>
          <w:lang w:val="es-ES" w:eastAsia="en-US"/>
        </w:rPr>
        <w:t xml:space="preserve"> </w:t>
      </w:r>
      <w:r w:rsidRPr="00975C02">
        <w:rPr>
          <w:rFonts w:eastAsia="Calibri"/>
          <w:iCs/>
          <w:sz w:val="16"/>
          <w:szCs w:val="16"/>
          <w:lang w:val="es-ES" w:eastAsia="en-US"/>
        </w:rPr>
        <w:t>hace sino ésta sola pregunta, que resumen todos sus</w:t>
      </w:r>
      <w:r w:rsidRPr="00975C02">
        <w:rPr>
          <w:rFonts w:eastAsia="Calibri"/>
          <w:sz w:val="16"/>
          <w:szCs w:val="16"/>
          <w:lang w:val="es-ES" w:eastAsia="en-US"/>
        </w:rPr>
        <w:t xml:space="preserve"> </w:t>
      </w:r>
      <w:r w:rsidRPr="00975C02">
        <w:rPr>
          <w:rFonts w:eastAsia="Calibri"/>
          <w:iCs/>
          <w:sz w:val="16"/>
          <w:szCs w:val="16"/>
          <w:lang w:val="es-ES" w:eastAsia="en-US"/>
        </w:rPr>
        <w:t>deberes:</w:t>
      </w:r>
      <w:r w:rsidRPr="00975C02">
        <w:rPr>
          <w:rFonts w:eastAsia="Calibri"/>
          <w:i/>
          <w:iCs/>
          <w:sz w:val="16"/>
          <w:szCs w:val="16"/>
          <w:lang w:val="es-ES" w:eastAsia="en-US"/>
        </w:rPr>
        <w:t xml:space="preserve"> </w:t>
      </w:r>
      <w:r w:rsidR="00B07860" w:rsidRPr="00975C02">
        <w:rPr>
          <w:rFonts w:eastAsia="Calibri"/>
          <w:i/>
          <w:iCs/>
          <w:sz w:val="16"/>
          <w:szCs w:val="16"/>
          <w:lang w:val="es-ES" w:eastAsia="en-US"/>
        </w:rPr>
        <w:t>“</w:t>
      </w:r>
      <w:r w:rsidRPr="00975C02">
        <w:rPr>
          <w:rFonts w:eastAsia="HiddenHorzOCR" w:cs="HiddenHorzOCR"/>
          <w:i/>
          <w:sz w:val="16"/>
          <w:szCs w:val="16"/>
          <w:lang w:val="es-ES" w:eastAsia="en-US"/>
        </w:rPr>
        <w:t xml:space="preserve">¿Tenéis </w:t>
      </w:r>
      <w:r w:rsidRPr="00975C02">
        <w:rPr>
          <w:rFonts w:eastAsia="Calibri"/>
          <w:bCs/>
          <w:i/>
          <w:sz w:val="16"/>
          <w:szCs w:val="16"/>
          <w:lang w:val="es-ES" w:eastAsia="en-US"/>
        </w:rPr>
        <w:t xml:space="preserve">una íntima </w:t>
      </w:r>
      <w:r w:rsidRPr="00975C02">
        <w:rPr>
          <w:rFonts w:eastAsia="Calibri"/>
          <w:bCs/>
          <w:i/>
          <w:iCs/>
          <w:sz w:val="16"/>
          <w:szCs w:val="16"/>
          <w:lang w:val="es-ES" w:eastAsia="en-US"/>
        </w:rPr>
        <w:t>convicción</w:t>
      </w:r>
      <w:r w:rsidR="00B07860" w:rsidRPr="00975C02">
        <w:rPr>
          <w:sz w:val="20"/>
          <w:szCs w:val="20"/>
          <w:vertAlign w:val="superscript"/>
          <w:lang w:val="es-ES" w:eastAsia="en-US"/>
        </w:rPr>
        <w:t xml:space="preserve"> </w:t>
      </w:r>
      <w:r w:rsidR="00B07860" w:rsidRPr="00975C02">
        <w:rPr>
          <w:rFonts w:eastAsia="Calibri"/>
          <w:bCs/>
          <w:i/>
          <w:iCs/>
          <w:sz w:val="16"/>
          <w:szCs w:val="16"/>
          <w:vertAlign w:val="superscript"/>
          <w:lang w:val="es-ES" w:eastAsia="en-US"/>
        </w:rPr>
        <w:footnoteReference w:id="306"/>
      </w:r>
    </w:p>
    <w:p w14:paraId="20AC3066" w14:textId="77777777" w:rsidR="00B5625C" w:rsidRPr="00975C02" w:rsidRDefault="00B5625C" w:rsidP="00B5625C">
      <w:pPr>
        <w:widowControl/>
        <w:adjustRightInd/>
        <w:spacing w:line="240" w:lineRule="auto"/>
        <w:textAlignment w:val="auto"/>
        <w:rPr>
          <w:sz w:val="20"/>
          <w:szCs w:val="20"/>
          <w:lang w:val="es-ES" w:eastAsia="en-US"/>
        </w:rPr>
      </w:pPr>
    </w:p>
    <w:p w14:paraId="08C97EBE"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Posteriormente y una vez discutido el proceso de forma suficiente, mediante votación secreta y de acuerdo a su íntima convicción, decidían la culpabilidad o la inocencia del procesado</w:t>
      </w:r>
      <w:r w:rsidRPr="00975C02">
        <w:rPr>
          <w:sz w:val="20"/>
          <w:szCs w:val="20"/>
          <w:vertAlign w:val="superscript"/>
          <w:lang w:val="es-ES" w:eastAsia="en-US"/>
        </w:rPr>
        <w:footnoteReference w:id="307"/>
      </w:r>
      <w:r w:rsidRPr="00975C02">
        <w:rPr>
          <w:sz w:val="20"/>
          <w:szCs w:val="20"/>
          <w:lang w:val="es-ES" w:eastAsia="en-US"/>
        </w:rPr>
        <w:t xml:space="preserve">. </w:t>
      </w:r>
      <w:r w:rsidRPr="00975C02">
        <w:rPr>
          <w:rFonts w:cs="Verdana"/>
          <w:sz w:val="20"/>
          <w:szCs w:val="20"/>
          <w:lang w:val="es-ES" w:eastAsia="en-US"/>
        </w:rPr>
        <w:t xml:space="preserve">La votación de </w:t>
      </w:r>
      <w:r w:rsidRPr="00975C02">
        <w:rPr>
          <w:sz w:val="20"/>
          <w:szCs w:val="20"/>
          <w:lang w:val="es-ES" w:eastAsia="en-US"/>
        </w:rPr>
        <w:t>los</w:t>
      </w:r>
      <w:r w:rsidRPr="00975C02">
        <w:rPr>
          <w:rFonts w:cs="Verdana"/>
          <w:sz w:val="20"/>
          <w:szCs w:val="20"/>
          <w:lang w:val="es-ES" w:eastAsia="en-US"/>
        </w:rPr>
        <w:t xml:space="preserve"> jurados se realizaba en sesión secreta e ininterrumpida hasta alcanzar el veredicto, el cual requería de cuatro votos en un mismo sentido</w:t>
      </w:r>
      <w:r w:rsidRPr="00975C02">
        <w:rPr>
          <w:sz w:val="20"/>
          <w:szCs w:val="20"/>
          <w:lang w:val="es-ES" w:eastAsia="en-US"/>
        </w:rPr>
        <w:t>, teniendo el jurado disidente la facultad de razonar su voto por escrito separado</w:t>
      </w:r>
      <w:r w:rsidRPr="00975C02">
        <w:rPr>
          <w:sz w:val="20"/>
          <w:szCs w:val="20"/>
          <w:vertAlign w:val="superscript"/>
          <w:lang w:val="es-ES" w:eastAsia="en-US"/>
        </w:rPr>
        <w:footnoteReference w:id="308"/>
      </w:r>
      <w:r w:rsidRPr="00975C02">
        <w:rPr>
          <w:sz w:val="20"/>
          <w:szCs w:val="20"/>
          <w:lang w:val="es-ES" w:eastAsia="en-US"/>
        </w:rPr>
        <w:t>.</w:t>
      </w:r>
    </w:p>
    <w:p w14:paraId="350FEFA7"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3F69AF16" w14:textId="43713B83"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kern w:val="1"/>
          <w:sz w:val="20"/>
          <w:lang w:val="es-ES" w:eastAsia="en-US"/>
        </w:rPr>
        <w:t xml:space="preserve">El artículo 309 </w:t>
      </w:r>
      <w:r w:rsidRPr="00975C02">
        <w:rPr>
          <w:rFonts w:eastAsia="Calibri"/>
          <w:iCs/>
          <w:sz w:val="20"/>
          <w:szCs w:val="20"/>
          <w:lang w:val="es-ES" w:eastAsia="en-US"/>
        </w:rPr>
        <w:t>del Código de Instrucción Criminal</w:t>
      </w:r>
      <w:r w:rsidRPr="00975C02">
        <w:rPr>
          <w:rFonts w:eastAsia="Calibri"/>
          <w:kern w:val="1"/>
          <w:sz w:val="20"/>
          <w:lang w:val="es-ES" w:eastAsia="en-US"/>
        </w:rPr>
        <w:t xml:space="preserve"> prescribía una fórmula fija para redactar el veredicto</w:t>
      </w:r>
      <w:r w:rsidRPr="00975C02">
        <w:rPr>
          <w:rFonts w:eastAsia="Calibri"/>
          <w:kern w:val="1"/>
          <w:sz w:val="20"/>
          <w:vertAlign w:val="superscript"/>
          <w:lang w:val="es-ES" w:eastAsia="en-US"/>
        </w:rPr>
        <w:footnoteReference w:id="309"/>
      </w:r>
      <w:r w:rsidRPr="00975C02">
        <w:rPr>
          <w:rFonts w:eastAsia="Calibri"/>
          <w:kern w:val="1"/>
          <w:sz w:val="20"/>
          <w:lang w:val="es-ES" w:eastAsia="en-US"/>
        </w:rPr>
        <w:t>, el cual era entregado al juez</w:t>
      </w:r>
      <w:r w:rsidRPr="00975C02">
        <w:rPr>
          <w:sz w:val="20"/>
          <w:szCs w:val="20"/>
          <w:vertAlign w:val="superscript"/>
          <w:lang w:val="es-ES" w:eastAsia="en-US"/>
        </w:rPr>
        <w:footnoteReference w:id="310"/>
      </w:r>
      <w:r w:rsidRPr="00975C02">
        <w:rPr>
          <w:rFonts w:eastAsia="Calibri"/>
          <w:kern w:val="1"/>
          <w:sz w:val="20"/>
          <w:lang w:val="es-ES" w:eastAsia="en-US"/>
        </w:rPr>
        <w:t>. Una vez recibido por el juez el veredicto del jurado, si era absolutorio, ponía en libertad al procesado inmediatamente</w:t>
      </w:r>
      <w:r w:rsidRPr="00975C02">
        <w:rPr>
          <w:sz w:val="20"/>
          <w:szCs w:val="20"/>
          <w:vertAlign w:val="superscript"/>
          <w:lang w:val="es-ES" w:eastAsia="en-US"/>
        </w:rPr>
        <w:footnoteReference w:id="311"/>
      </w:r>
      <w:r w:rsidRPr="00975C02">
        <w:rPr>
          <w:rFonts w:eastAsia="Calibri"/>
          <w:kern w:val="1"/>
          <w:sz w:val="20"/>
          <w:lang w:val="es-ES" w:eastAsia="en-US"/>
        </w:rPr>
        <w:t xml:space="preserve">. En cambio, “[s]i el veredicto [era] </w:t>
      </w:r>
      <w:r w:rsidRPr="00975C02">
        <w:rPr>
          <w:sz w:val="20"/>
          <w:szCs w:val="20"/>
          <w:lang w:val="es-ES" w:eastAsia="en-US"/>
        </w:rPr>
        <w:t>condenatorio</w:t>
      </w:r>
      <w:r w:rsidRPr="00975C02">
        <w:rPr>
          <w:rFonts w:eastAsia="Calibri"/>
          <w:kern w:val="1"/>
          <w:sz w:val="20"/>
          <w:lang w:val="es-ES" w:eastAsia="en-US"/>
        </w:rPr>
        <w:t xml:space="preserve">, el </w:t>
      </w:r>
      <w:r w:rsidR="00085AC8" w:rsidRPr="00975C02">
        <w:rPr>
          <w:rFonts w:eastAsia="Calibri"/>
          <w:kern w:val="1"/>
          <w:sz w:val="20"/>
          <w:lang w:val="es-ES" w:eastAsia="en-US"/>
        </w:rPr>
        <w:t>J</w:t>
      </w:r>
      <w:r w:rsidRPr="00975C02">
        <w:rPr>
          <w:rFonts w:eastAsia="Calibri"/>
          <w:kern w:val="1"/>
          <w:sz w:val="20"/>
          <w:lang w:val="es-ES" w:eastAsia="en-US"/>
        </w:rPr>
        <w:t>uez dentro de ocho días de emitido, dicta[ba] sentencia bajo su responsabilidad, sea o no letrado, aplicando al reo o reos la pena establecida por la Ley; y si aquélla fuere gradual, en el grado que les corresponda y en los términos debidos, según las circunstancias de delito”</w:t>
      </w:r>
      <w:r w:rsidRPr="00975C02">
        <w:rPr>
          <w:sz w:val="20"/>
          <w:szCs w:val="20"/>
          <w:vertAlign w:val="superscript"/>
          <w:lang w:val="es-ES" w:eastAsia="en-US"/>
        </w:rPr>
        <w:footnoteReference w:id="312"/>
      </w:r>
      <w:r w:rsidRPr="00975C02">
        <w:rPr>
          <w:rFonts w:eastAsia="Calibri"/>
          <w:kern w:val="1"/>
          <w:sz w:val="20"/>
          <w:lang w:val="es-ES" w:eastAsia="en-US"/>
        </w:rPr>
        <w:t>. Posteriormente, el juez remitía los autos en consulta a la Corte de Apelaciones respectiva, dentro del tercer día de notificada la sentencia. Igual remisión hacía cuando el veredicto era absolutorio</w:t>
      </w:r>
      <w:r w:rsidRPr="00975C02">
        <w:rPr>
          <w:sz w:val="20"/>
          <w:szCs w:val="20"/>
          <w:vertAlign w:val="superscript"/>
          <w:lang w:val="es-ES" w:eastAsia="en-US"/>
        </w:rPr>
        <w:footnoteReference w:id="313"/>
      </w:r>
      <w:r w:rsidRPr="00975C02">
        <w:rPr>
          <w:rFonts w:eastAsia="Calibri"/>
          <w:kern w:val="1"/>
          <w:sz w:val="20"/>
          <w:lang w:val="es-ES" w:eastAsia="en-US"/>
        </w:rPr>
        <w:t>.</w:t>
      </w:r>
    </w:p>
    <w:p w14:paraId="710AD12C"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4707870F"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kern w:val="1"/>
          <w:sz w:val="20"/>
          <w:lang w:val="es-ES" w:eastAsia="en-US"/>
        </w:rPr>
        <w:t xml:space="preserve">El </w:t>
      </w:r>
      <w:r w:rsidRPr="00975C02">
        <w:rPr>
          <w:sz w:val="20"/>
          <w:szCs w:val="20"/>
          <w:lang w:val="es-ES" w:eastAsia="en-US"/>
        </w:rPr>
        <w:t>Código</w:t>
      </w:r>
      <w:r w:rsidRPr="00975C02">
        <w:rPr>
          <w:rFonts w:eastAsia="Calibri"/>
          <w:kern w:val="1"/>
          <w:sz w:val="20"/>
          <w:lang w:val="es-ES" w:eastAsia="en-US"/>
        </w:rPr>
        <w:t xml:space="preserve"> preveía como nulidades sustanciales, peculiares al veredicto o declaración del jurado, las siguientes</w:t>
      </w:r>
      <w:r w:rsidRPr="00975C02">
        <w:rPr>
          <w:sz w:val="20"/>
          <w:szCs w:val="20"/>
          <w:vertAlign w:val="superscript"/>
          <w:lang w:val="es-ES" w:eastAsia="en-US"/>
        </w:rPr>
        <w:footnoteReference w:id="314"/>
      </w:r>
      <w:r w:rsidRPr="00975C02">
        <w:rPr>
          <w:rFonts w:eastAsia="Calibri"/>
          <w:kern w:val="1"/>
          <w:sz w:val="20"/>
          <w:lang w:val="es-ES" w:eastAsia="en-US"/>
        </w:rPr>
        <w:t>:</w:t>
      </w:r>
    </w:p>
    <w:p w14:paraId="06D530E1"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3BC0E6D4"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1a. No ser el negocio de aquellos en que el jurado debe intervenir.</w:t>
      </w:r>
    </w:p>
    <w:p w14:paraId="72642A9B" w14:textId="2F19E559"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2a. La falta de citación para la desinsaculación de los nombres que deben componer el tribunal de jurado</w:t>
      </w:r>
      <w:r w:rsidR="00A84E71">
        <w:rPr>
          <w:rFonts w:eastAsia="Calibri"/>
          <w:kern w:val="1"/>
          <w:sz w:val="16"/>
          <w:szCs w:val="16"/>
          <w:lang w:val="es-ES" w:eastAsia="en-US"/>
        </w:rPr>
        <w:t>s</w:t>
      </w:r>
      <w:r w:rsidRPr="00975C02">
        <w:rPr>
          <w:rFonts w:eastAsia="Calibri"/>
          <w:kern w:val="1"/>
          <w:sz w:val="16"/>
          <w:szCs w:val="16"/>
          <w:lang w:val="es-ES" w:eastAsia="en-US"/>
        </w:rPr>
        <w:t>.</w:t>
      </w:r>
    </w:p>
    <w:p w14:paraId="07C3631D"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3a. No haber admitido la recusación de los jurados en los casos en que la Ley lo permite.</w:t>
      </w:r>
    </w:p>
    <w:p w14:paraId="6DBE0B1A"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4a. Si los jurados no prestaren la promesa establecida por esta Ley.</w:t>
      </w:r>
    </w:p>
    <w:p w14:paraId="2EBCCDCC"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5a. El no estar escrito o firmado el veredicto o declaración en los términos que por la Ley se establecen.</w:t>
      </w:r>
    </w:p>
    <w:p w14:paraId="1C2FCD93"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6a. El formar parte del jurado persona que no haya sido desinsaculada para el caso, aunque esté en la lista de los jurados sorteados por el municipio.</w:t>
      </w:r>
    </w:p>
    <w:p w14:paraId="70EE384C"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7a. Si se probare fraude de parte del Juez, al hacer la desinsaculación de jurados.</w:t>
      </w:r>
    </w:p>
    <w:p w14:paraId="7DF2A8C7"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8a. Si los jurados han sido cohechados.</w:t>
      </w:r>
    </w:p>
    <w:p w14:paraId="6141CD28"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lastRenderedPageBreak/>
        <w:t>9a. Si se hubiere formado el tribunal de jurados con un número mayor o menor del establecido en esta Ley.</w:t>
      </w:r>
    </w:p>
    <w:p w14:paraId="346862E8"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10a. Si hubiera asistido a las deliberaciones secretas del jurado alguna persona extraña.</w:t>
      </w:r>
    </w:p>
    <w:p w14:paraId="23A71CEC"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11 a. Si de la desinsaculación de los jurados a la sesión pública, transcurrieren más de ocho horas.</w:t>
      </w:r>
    </w:p>
    <w:p w14:paraId="5D0D5DE1"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12a. Si el voto de uno o más jurados lo hubieren hecho depender de la suerte.</w:t>
      </w:r>
    </w:p>
    <w:p w14:paraId="64D759E7" w14:textId="77777777" w:rsidR="00B5625C" w:rsidRPr="00975C02" w:rsidRDefault="00B5625C" w:rsidP="007C2296">
      <w:pPr>
        <w:widowControl/>
        <w:tabs>
          <w:tab w:val="left" w:pos="567"/>
        </w:tabs>
        <w:adjustRightInd/>
        <w:spacing w:line="240" w:lineRule="auto"/>
        <w:ind w:left="567"/>
        <w:textAlignment w:val="auto"/>
        <w:rPr>
          <w:rFonts w:eastAsia="Calibri"/>
          <w:kern w:val="1"/>
          <w:sz w:val="16"/>
          <w:szCs w:val="16"/>
          <w:lang w:val="es-ES" w:eastAsia="en-US"/>
        </w:rPr>
      </w:pPr>
      <w:r w:rsidRPr="00975C02">
        <w:rPr>
          <w:rFonts w:eastAsia="Calibri"/>
          <w:kern w:val="1"/>
          <w:sz w:val="16"/>
          <w:szCs w:val="16"/>
          <w:lang w:val="es-ES" w:eastAsia="en-US"/>
        </w:rPr>
        <w:t>13a. Cuando forme parte del tribunal alguna de las personas comprendidas en el Arto. 16 de la Ley de Jurados. (Arto. 56, Ley 21 de Septiembre de 1897).</w:t>
      </w:r>
    </w:p>
    <w:p w14:paraId="34A0D29A"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18BC3610" w14:textId="7C8B9631"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bCs/>
          <w:kern w:val="1"/>
          <w:sz w:val="20"/>
          <w:lang w:val="es-ES" w:eastAsia="en-US"/>
        </w:rPr>
        <w:t>El efecto de l</w:t>
      </w:r>
      <w:r w:rsidRPr="00975C02">
        <w:rPr>
          <w:rFonts w:eastAsia="Calibri"/>
          <w:kern w:val="1"/>
          <w:sz w:val="20"/>
          <w:lang w:val="es-ES" w:eastAsia="en-US"/>
        </w:rPr>
        <w:t>as nulidades sustanciales era anular el proceso, de modo tal que el juez o tribunal mandaba a reponer la causa</w:t>
      </w:r>
      <w:r w:rsidR="003F3DA9" w:rsidRPr="00975C02">
        <w:rPr>
          <w:rFonts w:eastAsia="Calibri"/>
          <w:kern w:val="1"/>
          <w:sz w:val="20"/>
          <w:lang w:val="es-ES" w:eastAsia="en-US"/>
        </w:rPr>
        <w:t xml:space="preserve"> desde el primer acto válido inclusive. En el caso de las nulidades peculiares al veredicto, correspondía mandar a reponer la causa</w:t>
      </w:r>
      <w:r w:rsidRPr="00975C02">
        <w:rPr>
          <w:rFonts w:eastAsia="Calibri"/>
          <w:kern w:val="1"/>
          <w:sz w:val="20"/>
          <w:lang w:val="es-ES" w:eastAsia="en-US"/>
        </w:rPr>
        <w:t xml:space="preserve"> hasta practicar nueva desinsaculación para la organización del jurado previas las citaciones para el acto</w:t>
      </w:r>
      <w:r w:rsidRPr="00975C02">
        <w:rPr>
          <w:sz w:val="20"/>
          <w:szCs w:val="20"/>
          <w:vertAlign w:val="superscript"/>
          <w:lang w:val="es-ES" w:eastAsia="en-US"/>
        </w:rPr>
        <w:footnoteReference w:id="315"/>
      </w:r>
      <w:r w:rsidRPr="00975C02">
        <w:rPr>
          <w:rFonts w:eastAsia="Calibri"/>
          <w:kern w:val="1"/>
          <w:sz w:val="20"/>
          <w:lang w:val="es-ES" w:eastAsia="en-US"/>
        </w:rPr>
        <w:t>.</w:t>
      </w:r>
    </w:p>
    <w:p w14:paraId="0772CEAB"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5A6F3B34" w14:textId="77777777"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cs="Verdana"/>
          <w:sz w:val="20"/>
          <w:szCs w:val="20"/>
          <w:lang w:val="es-ES" w:eastAsia="en-US"/>
        </w:rPr>
      </w:pPr>
      <w:r w:rsidRPr="00975C02">
        <w:rPr>
          <w:rFonts w:cs="Verdana"/>
          <w:sz w:val="20"/>
          <w:szCs w:val="20"/>
          <w:lang w:val="es-ES" w:eastAsia="en-US"/>
        </w:rPr>
        <w:t xml:space="preserve">El Código de Instrucción Criminal de Nicaragua fue derogado y sustituido por el Código </w:t>
      </w:r>
      <w:r w:rsidRPr="00975C02">
        <w:rPr>
          <w:rFonts w:eastAsia="Calibri"/>
          <w:kern w:val="1"/>
          <w:sz w:val="20"/>
          <w:lang w:val="es-ES" w:eastAsia="en-US"/>
        </w:rPr>
        <w:t>Procesal</w:t>
      </w:r>
      <w:r w:rsidRPr="00975C02">
        <w:rPr>
          <w:rFonts w:cs="Verdana"/>
          <w:sz w:val="20"/>
          <w:szCs w:val="20"/>
          <w:lang w:val="es-ES" w:eastAsia="en-US"/>
        </w:rPr>
        <w:t xml:space="preserve"> Penal (CPPN), que entró en vigor en diciembre de 2002.</w:t>
      </w:r>
    </w:p>
    <w:p w14:paraId="783F25DC"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299C5F4F" w14:textId="5A82858B"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kern w:val="1"/>
          <w:sz w:val="20"/>
          <w:lang w:val="es-ES" w:eastAsia="en-US"/>
        </w:rPr>
        <w:t xml:space="preserve">Asimismo, el Estado informó que actualmente “los procesos que provienen de delitos por violación y otros delitos </w:t>
      </w:r>
      <w:r w:rsidRPr="00975C02">
        <w:rPr>
          <w:rFonts w:cs="Verdana"/>
          <w:sz w:val="20"/>
          <w:szCs w:val="20"/>
          <w:lang w:val="es-ES" w:eastAsia="en-US"/>
        </w:rPr>
        <w:t>sexuales</w:t>
      </w:r>
      <w:r w:rsidRPr="00975C02">
        <w:rPr>
          <w:rFonts w:eastAsia="Calibri"/>
          <w:kern w:val="1"/>
          <w:sz w:val="20"/>
          <w:lang w:val="es-ES" w:eastAsia="en-US"/>
        </w:rPr>
        <w:t>, deben ser conocidos y resueltos por Jueces de derecho y no por Tribunales de Jurados, tomando en cuenta la necesidad de resolver de forma técnica y motivada los mismos”.</w:t>
      </w:r>
    </w:p>
    <w:p w14:paraId="6F01333C"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1C178753" w14:textId="207FFF93"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rFonts w:eastAsia="Calibri"/>
          <w:kern w:val="1"/>
          <w:sz w:val="20"/>
          <w:lang w:val="es-ES" w:eastAsia="en-US"/>
        </w:rPr>
        <w:t xml:space="preserve">En efecto, </w:t>
      </w:r>
      <w:r w:rsidRPr="00975C02">
        <w:rPr>
          <w:rFonts w:cs="Verdana"/>
          <w:sz w:val="20"/>
          <w:szCs w:val="20"/>
          <w:lang w:val="es-ES" w:eastAsia="en-US"/>
        </w:rPr>
        <w:t>actualmente</w:t>
      </w:r>
      <w:r w:rsidRPr="00975C02">
        <w:rPr>
          <w:rFonts w:eastAsia="Calibri"/>
          <w:kern w:val="1"/>
          <w:sz w:val="20"/>
          <w:lang w:val="es-ES" w:eastAsia="en-US"/>
        </w:rPr>
        <w:t xml:space="preserve"> </w:t>
      </w:r>
      <w:r w:rsidRPr="00975C02">
        <w:rPr>
          <w:sz w:val="20"/>
          <w:lang w:val="es-ES" w:eastAsia="en-US"/>
        </w:rPr>
        <w:t>se excluye la posibilidad de que un caso de violencia sexual sea sometido al juzgamiento de un jurado popular.</w:t>
      </w:r>
      <w:r w:rsidRPr="00975C02">
        <w:rPr>
          <w:rFonts w:eastAsia="Calibri"/>
          <w:kern w:val="1"/>
          <w:sz w:val="20"/>
          <w:lang w:val="es-ES" w:eastAsia="en-US"/>
        </w:rPr>
        <w:t xml:space="preserve"> El artículo 565 del Código Penal vigente en Nicaragua (Ley N</w:t>
      </w:r>
      <w:r w:rsidR="00951EDD" w:rsidRPr="00975C02">
        <w:rPr>
          <w:rFonts w:eastAsia="Calibri"/>
          <w:kern w:val="1"/>
          <w:sz w:val="20"/>
          <w:lang w:val="es-ES" w:eastAsia="en-US"/>
        </w:rPr>
        <w:t>°</w:t>
      </w:r>
      <w:r w:rsidRPr="00975C02">
        <w:rPr>
          <w:rFonts w:eastAsia="Calibri"/>
          <w:kern w:val="1"/>
          <w:sz w:val="20"/>
          <w:lang w:val="es-ES" w:eastAsia="en-US"/>
        </w:rPr>
        <w:t xml:space="preserve"> 641) dispone que se realicen con juez técnico los juicios por, entre otros, los delitos de violencia doméstica o intrafamiliar y los delitos contra la libertad e integridad sexual. Adicionalmente, en el mes de enero del año 201</w:t>
      </w:r>
      <w:r w:rsidR="00951EDD" w:rsidRPr="00975C02">
        <w:rPr>
          <w:rFonts w:eastAsia="Calibri"/>
          <w:kern w:val="1"/>
          <w:sz w:val="20"/>
          <w:lang w:val="es-ES" w:eastAsia="en-US"/>
        </w:rPr>
        <w:t>2</w:t>
      </w:r>
      <w:r w:rsidRPr="00975C02">
        <w:rPr>
          <w:rFonts w:eastAsia="Calibri"/>
          <w:kern w:val="1"/>
          <w:sz w:val="20"/>
          <w:lang w:val="es-ES" w:eastAsia="en-US"/>
        </w:rPr>
        <w:t xml:space="preserve"> se aprobó la </w:t>
      </w:r>
      <w:r w:rsidR="00CB5403">
        <w:rPr>
          <w:rFonts w:eastAsia="Calibri"/>
          <w:kern w:val="1"/>
          <w:sz w:val="20"/>
          <w:lang w:val="es-ES" w:eastAsia="en-US"/>
        </w:rPr>
        <w:t>Ley N°</w:t>
      </w:r>
      <w:r w:rsidRPr="00975C02">
        <w:rPr>
          <w:rFonts w:eastAsia="Calibri"/>
          <w:kern w:val="1"/>
          <w:sz w:val="20"/>
          <w:lang w:val="es-ES" w:eastAsia="en-US"/>
        </w:rPr>
        <w:t xml:space="preserve"> 779, </w:t>
      </w:r>
      <w:r w:rsidR="00980760" w:rsidRPr="00975C02">
        <w:rPr>
          <w:sz w:val="20"/>
          <w:szCs w:val="20"/>
          <w:lang w:val="es-ES"/>
        </w:rPr>
        <w:t xml:space="preserve">“Ley Integral Contra la Violencia hacia las Mujeres y de Reformas a la </w:t>
      </w:r>
      <w:r w:rsidR="00CB5403">
        <w:rPr>
          <w:sz w:val="20"/>
          <w:szCs w:val="20"/>
          <w:lang w:val="es-ES"/>
        </w:rPr>
        <w:t>Ley N°</w:t>
      </w:r>
      <w:r w:rsidR="00980760" w:rsidRPr="00975C02">
        <w:rPr>
          <w:sz w:val="20"/>
          <w:szCs w:val="20"/>
          <w:lang w:val="es-ES"/>
        </w:rPr>
        <w:t xml:space="preserve"> 641, ‘Código Penal’”</w:t>
      </w:r>
      <w:r w:rsidRPr="00975C02">
        <w:rPr>
          <w:rFonts w:cs="Verdana"/>
          <w:sz w:val="20"/>
          <w:szCs w:val="20"/>
          <w:lang w:val="es-ES" w:eastAsia="en-US"/>
        </w:rPr>
        <w:t xml:space="preserve">, que entró en vigor en el mes de </w:t>
      </w:r>
      <w:r w:rsidR="00951EDD" w:rsidRPr="00975C02">
        <w:rPr>
          <w:rFonts w:cs="Verdana"/>
          <w:sz w:val="20"/>
          <w:szCs w:val="20"/>
          <w:lang w:val="es-ES" w:eastAsia="en-US"/>
        </w:rPr>
        <w:t xml:space="preserve">junio </w:t>
      </w:r>
      <w:r w:rsidRPr="00975C02">
        <w:rPr>
          <w:rFonts w:cs="Verdana"/>
          <w:sz w:val="20"/>
          <w:szCs w:val="20"/>
          <w:lang w:val="es-ES" w:eastAsia="en-US"/>
        </w:rPr>
        <w:t xml:space="preserve">de ese mismo año. </w:t>
      </w:r>
      <w:r w:rsidRPr="00975C02">
        <w:rPr>
          <w:sz w:val="20"/>
          <w:lang w:val="es-ES" w:eastAsia="en-US"/>
        </w:rPr>
        <w:t>Conforme los considerandos expuestos a modo de expresión de los motivos de sanción de la ley, la nueva legislación se fundamenta en la evidencia de que “la normativa existente para frenar la violencia de género en contra de las mujeres, no ha obtenido los resultados buscados para la efectiva protección de su vida, libertad e integridad personal, por lo que resulta indispensable la promulgación de una Ley autónoma de carácter especial, que aborde en forma integral este problema, tipificando y sancionando las diferentes manifestaciones de violencia hacia la mujer”</w:t>
      </w:r>
      <w:r w:rsidRPr="00975C02">
        <w:rPr>
          <w:sz w:val="20"/>
          <w:vertAlign w:val="superscript"/>
          <w:lang w:val="es-ES" w:eastAsia="en-US"/>
        </w:rPr>
        <w:footnoteReference w:id="316"/>
      </w:r>
      <w:r w:rsidRPr="00975C02">
        <w:rPr>
          <w:sz w:val="20"/>
          <w:lang w:val="es-ES" w:eastAsia="en-US"/>
        </w:rPr>
        <w:t>. En particular, en cuanto aquí interesa con relación a la implementación del sistema de enjuiciamiento de casos de violencia de género, y casos de violencia sexual en particular, la ley dispone la creación de los Juzgados de Distrito Especializados en Violencia</w:t>
      </w:r>
      <w:r w:rsidRPr="00975C02">
        <w:rPr>
          <w:sz w:val="20"/>
          <w:vertAlign w:val="superscript"/>
          <w:lang w:val="es-ES" w:eastAsia="en-US"/>
        </w:rPr>
        <w:footnoteReference w:id="317"/>
      </w:r>
      <w:r w:rsidRPr="00975C02">
        <w:rPr>
          <w:sz w:val="20"/>
          <w:lang w:val="es-ES" w:eastAsia="en-US"/>
        </w:rPr>
        <w:t>, que se integran por un juez técnico especializado en la materia</w:t>
      </w:r>
      <w:r w:rsidRPr="00975C02">
        <w:rPr>
          <w:sz w:val="20"/>
          <w:vertAlign w:val="superscript"/>
          <w:lang w:val="es-ES" w:eastAsia="en-US"/>
        </w:rPr>
        <w:footnoteReference w:id="318"/>
      </w:r>
      <w:r w:rsidRPr="00975C02">
        <w:rPr>
          <w:sz w:val="20"/>
          <w:lang w:val="es-ES" w:eastAsia="en-US"/>
        </w:rPr>
        <w:t>.</w:t>
      </w:r>
    </w:p>
    <w:p w14:paraId="4DAF3ED0" w14:textId="77777777" w:rsidR="00B5625C" w:rsidRPr="00975C02" w:rsidRDefault="00B5625C" w:rsidP="00B5625C">
      <w:pPr>
        <w:widowControl/>
        <w:adjustRightInd/>
        <w:spacing w:line="240" w:lineRule="auto"/>
        <w:textAlignment w:val="auto"/>
        <w:rPr>
          <w:sz w:val="20"/>
          <w:szCs w:val="20"/>
          <w:highlight w:val="yellow"/>
          <w:lang w:val="es-ES" w:eastAsia="en-US"/>
        </w:rPr>
      </w:pPr>
    </w:p>
    <w:p w14:paraId="57098C3A" w14:textId="0BA0E93A" w:rsidR="00B5625C" w:rsidRPr="00975C02" w:rsidRDefault="00B5625C" w:rsidP="00A92F94">
      <w:pPr>
        <w:pStyle w:val="Heading3"/>
        <w:rPr>
          <w:b w:val="0"/>
          <w:i/>
        </w:rPr>
      </w:pPr>
      <w:bookmarkStart w:id="137" w:name="_Toc514172642"/>
      <w:r w:rsidRPr="00975C02">
        <w:rPr>
          <w:b w:val="0"/>
          <w:i/>
        </w:rPr>
        <w:t>B.3</w:t>
      </w:r>
      <w:r w:rsidR="00A92F94" w:rsidRPr="00975C02">
        <w:rPr>
          <w:b w:val="0"/>
          <w:i/>
        </w:rPr>
        <w:t>.b</w:t>
      </w:r>
      <w:r w:rsidR="00C37341">
        <w:rPr>
          <w:b w:val="0"/>
          <w:i/>
        </w:rPr>
        <w:tab/>
        <w:t>La garantía de i</w:t>
      </w:r>
      <w:r w:rsidRPr="00975C02">
        <w:rPr>
          <w:b w:val="0"/>
          <w:i/>
        </w:rPr>
        <w:t>mparcialidad de los jurados</w:t>
      </w:r>
      <w:bookmarkEnd w:id="137"/>
    </w:p>
    <w:p w14:paraId="24555EAB" w14:textId="77777777" w:rsidR="00B5625C" w:rsidRPr="00975C02" w:rsidRDefault="00B5625C" w:rsidP="00B5625C">
      <w:pPr>
        <w:widowControl/>
        <w:adjustRightInd/>
        <w:spacing w:line="240" w:lineRule="auto"/>
        <w:textAlignment w:val="auto"/>
        <w:rPr>
          <w:sz w:val="20"/>
          <w:szCs w:val="20"/>
          <w:lang w:val="es-ES" w:eastAsia="en-US"/>
        </w:rPr>
      </w:pPr>
    </w:p>
    <w:p w14:paraId="7A1D988A" w14:textId="27C8B3C4" w:rsidR="00B5625C" w:rsidRPr="00975C02" w:rsidRDefault="00B5625C" w:rsidP="00841EAC">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rFonts w:cs="Arial"/>
          <w:sz w:val="20"/>
          <w:lang w:val="es-ES" w:eastAsia="en-US"/>
        </w:rPr>
        <w:t xml:space="preserve">Este Tribunal ha establecido que </w:t>
      </w:r>
      <w:r w:rsidRPr="00975C02">
        <w:rPr>
          <w:sz w:val="20"/>
          <w:lang w:val="es-ES" w:eastAsia="en-US"/>
        </w:rPr>
        <w:t xml:space="preserve">la imparcialidad exige que el juez que interviene en una contienda particular se aproxime a los hechos de la causa careciendo, de manera subjetiva, de </w:t>
      </w:r>
      <w:r w:rsidRPr="00975C02">
        <w:rPr>
          <w:rFonts w:eastAsia="Calibri"/>
          <w:kern w:val="1"/>
          <w:sz w:val="20"/>
          <w:lang w:val="es-ES" w:eastAsia="en-US"/>
        </w:rPr>
        <w:t>todo</w:t>
      </w:r>
      <w:r w:rsidRPr="00975C02">
        <w:rPr>
          <w:sz w:val="20"/>
          <w:lang w:val="es-ES" w:eastAsia="en-US"/>
        </w:rPr>
        <w:t xml:space="preserve"> prejuicio y, asimismo, ofreciendo garantías suficientes de índole objetiva que permitan desterrar toda duda que el justiciable o la comunidad puedan albergar respecto de la ausencia de imparcialidad</w:t>
      </w:r>
      <w:r w:rsidRPr="00975C02">
        <w:rPr>
          <w:sz w:val="20"/>
          <w:vertAlign w:val="superscript"/>
          <w:lang w:val="es-ES" w:eastAsia="en-US"/>
        </w:rPr>
        <w:footnoteReference w:id="319"/>
      </w:r>
      <w:r w:rsidRPr="00975C02">
        <w:rPr>
          <w:sz w:val="20"/>
          <w:lang w:val="es-ES" w:eastAsia="en-US"/>
        </w:rPr>
        <w:t>.</w:t>
      </w:r>
      <w:r w:rsidRPr="00975C02">
        <w:rPr>
          <w:lang w:val="es-ES" w:eastAsia="en-US"/>
        </w:rPr>
        <w:t xml:space="preserve"> </w:t>
      </w:r>
      <w:r w:rsidRPr="00975C02">
        <w:rPr>
          <w:sz w:val="20"/>
          <w:lang w:val="es-ES" w:eastAsia="en-US"/>
        </w:rPr>
        <w:t>En este sentido, la recusación y la excusación son instrumentos procesales que permiten proteger el derecho a ser juzgado por un órgano imparcial.</w:t>
      </w:r>
      <w:r w:rsidRPr="00975C02">
        <w:rPr>
          <w:rFonts w:eastAsiaTheme="minorHAnsi"/>
          <w:sz w:val="20"/>
          <w:lang w:val="es-ES"/>
        </w:rPr>
        <w:t xml:space="preserve"> </w:t>
      </w:r>
      <w:r w:rsidRPr="00975C02">
        <w:rPr>
          <w:sz w:val="20"/>
          <w:lang w:val="es-ES" w:eastAsia="en-US"/>
        </w:rPr>
        <w:t>La garantía de imparcialidad implica que los integrantes del tribunal no tengan un interés directo, una posición tomada, una preferencia por alguna de las partes y que no se encuentren involucrados en la controversia</w:t>
      </w:r>
      <w:r w:rsidR="009F39CB">
        <w:rPr>
          <w:sz w:val="20"/>
          <w:lang w:val="es-ES" w:eastAsia="en-US"/>
        </w:rPr>
        <w:t>,</w:t>
      </w:r>
      <w:r w:rsidRPr="00975C02">
        <w:rPr>
          <w:sz w:val="20"/>
          <w:lang w:val="es-ES" w:eastAsia="en-US"/>
        </w:rPr>
        <w:t xml:space="preserve"> y que inspiren la confianza necesaria a las partes en el caso, así como a los ciudadanos en una sociedad democrática</w:t>
      </w:r>
      <w:r w:rsidRPr="00975C02">
        <w:rPr>
          <w:sz w:val="20"/>
          <w:vertAlign w:val="superscript"/>
          <w:lang w:val="es-ES" w:eastAsia="en-US"/>
        </w:rPr>
        <w:footnoteReference w:id="320"/>
      </w:r>
      <w:r w:rsidRPr="00975C02">
        <w:rPr>
          <w:sz w:val="20"/>
          <w:lang w:val="es-ES" w:eastAsia="en-US"/>
        </w:rPr>
        <w:t xml:space="preserve">. La imparcialidad </w:t>
      </w:r>
      <w:r w:rsidRPr="00975C02">
        <w:rPr>
          <w:iCs/>
          <w:sz w:val="20"/>
          <w:lang w:val="es-ES" w:eastAsia="en-US"/>
        </w:rPr>
        <w:t>personal</w:t>
      </w:r>
      <w:r w:rsidRPr="00975C02">
        <w:rPr>
          <w:sz w:val="20"/>
          <w:lang w:val="es-ES" w:eastAsia="en-US"/>
        </w:rPr>
        <w:t xml:space="preserve"> o subjetiva se presume a menos que exista prueba en contrario, consistente por ejemplo en la demostración de que algún miembro de un tribunal o juez guarda prejuicios o parcialidades de índole personal contra los litigantes. Por su parte, la denominada </w:t>
      </w:r>
      <w:r w:rsidR="00730B0A" w:rsidRPr="00975C02">
        <w:rPr>
          <w:sz w:val="20"/>
          <w:lang w:val="es-ES" w:eastAsia="en-US"/>
        </w:rPr>
        <w:t>imparcialidad</w:t>
      </w:r>
      <w:r w:rsidRPr="00975C02">
        <w:rPr>
          <w:sz w:val="20"/>
          <w:lang w:val="es-ES" w:eastAsia="en-US"/>
        </w:rPr>
        <w:t xml:space="preserve"> objetiva consiste en determinar si el juez cuestionado brindó elementos convincentes que permitan eliminar temores legítimos o fundadas sospechas de parcialidad sobre su persona</w:t>
      </w:r>
      <w:r w:rsidRPr="00975C02">
        <w:rPr>
          <w:sz w:val="20"/>
          <w:vertAlign w:val="superscript"/>
          <w:lang w:val="es-ES" w:eastAsia="en-US"/>
        </w:rPr>
        <w:footnoteReference w:id="321"/>
      </w:r>
      <w:r w:rsidRPr="00975C02">
        <w:rPr>
          <w:sz w:val="20"/>
          <w:lang w:val="es-ES" w:eastAsia="en-US"/>
        </w:rPr>
        <w:t>. La Corte advierte que dichos parámetros son aplicables también a los miembros del jurado</w:t>
      </w:r>
      <w:r w:rsidR="001D67F0" w:rsidRPr="00975C02">
        <w:rPr>
          <w:rStyle w:val="FootnoteReference"/>
          <w:sz w:val="20"/>
          <w:lang w:val="es-ES" w:eastAsia="en-US"/>
        </w:rPr>
        <w:footnoteReference w:id="322"/>
      </w:r>
      <w:r w:rsidRPr="00975C02">
        <w:rPr>
          <w:sz w:val="20"/>
          <w:lang w:val="es-ES" w:eastAsia="en-US"/>
        </w:rPr>
        <w:t>.</w:t>
      </w:r>
    </w:p>
    <w:p w14:paraId="5C71DED7" w14:textId="77777777" w:rsidR="00B5625C" w:rsidRPr="00975C02" w:rsidRDefault="00B5625C" w:rsidP="00B5625C">
      <w:pPr>
        <w:widowControl/>
        <w:adjustRightInd/>
        <w:spacing w:line="240" w:lineRule="auto"/>
        <w:textAlignment w:val="auto"/>
        <w:rPr>
          <w:sz w:val="20"/>
          <w:szCs w:val="20"/>
          <w:lang w:val="es-ES" w:eastAsia="en-US"/>
        </w:rPr>
      </w:pPr>
    </w:p>
    <w:p w14:paraId="177ECFED" w14:textId="772FC294"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esta línea, el Tribunal Europeo de Derechos Humanos ha sostenido que, cualquiera sea el sistema procesal de enjuiciamiento que se implemente, resulta fundamental para la </w:t>
      </w:r>
      <w:r w:rsidRPr="00975C02">
        <w:rPr>
          <w:iCs/>
          <w:sz w:val="20"/>
          <w:lang w:val="es-ES" w:eastAsia="en-US"/>
        </w:rPr>
        <w:t>existencia</w:t>
      </w:r>
      <w:r w:rsidRPr="00975C02">
        <w:rPr>
          <w:sz w:val="20"/>
          <w:szCs w:val="20"/>
          <w:lang w:val="es-ES" w:eastAsia="en-US"/>
        </w:rPr>
        <w:t xml:space="preserve"> de una sociedad democrática que los tribunales inspiren confianza a los ciudadanos y, sobre todo en el proceso penal, al acusado. Para ello, ha afirmado que todo tribunal, incluido el jurado, debe ser imparcial desde un punto de vista tanto objetivo como subjetivo</w:t>
      </w:r>
      <w:r w:rsidRPr="00975C02">
        <w:rPr>
          <w:sz w:val="20"/>
          <w:szCs w:val="20"/>
          <w:vertAlign w:val="superscript"/>
          <w:lang w:val="es-ES" w:eastAsia="en-US"/>
        </w:rPr>
        <w:footnoteReference w:id="323"/>
      </w:r>
      <w:r w:rsidRPr="00975C02">
        <w:rPr>
          <w:sz w:val="20"/>
          <w:szCs w:val="20"/>
          <w:lang w:val="es-ES" w:eastAsia="en-US"/>
        </w:rPr>
        <w:t>. La imparcialidad del juez y del jurado se presume, siempre que no se demuestre lo contrario</w:t>
      </w:r>
      <w:r w:rsidRPr="00975C02">
        <w:rPr>
          <w:sz w:val="20"/>
          <w:szCs w:val="20"/>
          <w:vertAlign w:val="superscript"/>
          <w:lang w:val="es-ES" w:eastAsia="en-US"/>
        </w:rPr>
        <w:footnoteReference w:id="324"/>
      </w:r>
      <w:r w:rsidR="00517083" w:rsidRPr="00975C02">
        <w:rPr>
          <w:sz w:val="20"/>
          <w:szCs w:val="20"/>
          <w:lang w:val="es-ES" w:eastAsia="en-US"/>
        </w:rPr>
        <w:t>,</w:t>
      </w:r>
      <w:r w:rsidRPr="00975C02">
        <w:rPr>
          <w:sz w:val="20"/>
          <w:szCs w:val="20"/>
          <w:lang w:val="es-ES" w:eastAsia="en-US"/>
        </w:rPr>
        <w:t xml:space="preserve"> según las circunstancias del caso concreto</w:t>
      </w:r>
      <w:r w:rsidRPr="00975C02">
        <w:rPr>
          <w:sz w:val="20"/>
          <w:szCs w:val="20"/>
          <w:vertAlign w:val="superscript"/>
          <w:lang w:val="es-ES" w:eastAsia="en-US"/>
        </w:rPr>
        <w:footnoteReference w:id="325"/>
      </w:r>
      <w:r w:rsidRPr="00975C02">
        <w:rPr>
          <w:sz w:val="20"/>
          <w:szCs w:val="20"/>
          <w:lang w:val="es-ES" w:eastAsia="en-US"/>
        </w:rPr>
        <w:t>.</w:t>
      </w:r>
    </w:p>
    <w:p w14:paraId="76FB6733" w14:textId="77777777" w:rsidR="00B5625C" w:rsidRPr="00975C02" w:rsidRDefault="00B5625C" w:rsidP="00B5625C">
      <w:pPr>
        <w:widowControl/>
        <w:adjustRightInd/>
        <w:spacing w:line="240" w:lineRule="auto"/>
        <w:textAlignment w:val="auto"/>
        <w:rPr>
          <w:sz w:val="20"/>
          <w:szCs w:val="20"/>
          <w:lang w:val="es-ES" w:eastAsia="en-US"/>
        </w:rPr>
      </w:pPr>
    </w:p>
    <w:p w14:paraId="25B300E5" w14:textId="77777777" w:rsidR="00730B0A" w:rsidRPr="00975C02" w:rsidRDefault="00730B0A"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w:t>
      </w:r>
      <w:r w:rsidRPr="00975C02">
        <w:rPr>
          <w:rFonts w:cs="MinionPro-Regular"/>
          <w:sz w:val="20"/>
          <w:szCs w:val="20"/>
          <w:lang w:val="es-ES" w:eastAsia="en-US"/>
        </w:rPr>
        <w:t>efecto</w:t>
      </w:r>
      <w:r w:rsidRPr="00975C02">
        <w:rPr>
          <w:sz w:val="20"/>
          <w:szCs w:val="20"/>
          <w:lang w:val="es-ES" w:eastAsia="en-US"/>
        </w:rPr>
        <w:t xml:space="preserve">, la Corte resalta que en el análisis de la vertiente objetiva de la imparcialidad no se cuestiona las capacidades personales </w:t>
      </w:r>
      <w:r w:rsidR="00154886" w:rsidRPr="00975C02">
        <w:rPr>
          <w:sz w:val="20"/>
          <w:szCs w:val="20"/>
          <w:lang w:val="es-ES" w:eastAsia="en-US"/>
        </w:rPr>
        <w:t xml:space="preserve">o las convicciones sobre el caso concreto </w:t>
      </w:r>
      <w:r w:rsidRPr="00975C02">
        <w:rPr>
          <w:sz w:val="20"/>
          <w:szCs w:val="20"/>
          <w:lang w:val="es-ES" w:eastAsia="en-US"/>
        </w:rPr>
        <w:t xml:space="preserve">de los juzgadores o sus posibles relaciones con las partes, sino hechos que razonablemente podrían </w:t>
      </w:r>
      <w:r w:rsidR="00154886" w:rsidRPr="00975C02">
        <w:rPr>
          <w:sz w:val="20"/>
          <w:szCs w:val="20"/>
          <w:lang w:val="es-ES" w:eastAsia="en-US"/>
        </w:rPr>
        <w:t>justificar</w:t>
      </w:r>
      <w:r w:rsidRPr="00975C02">
        <w:rPr>
          <w:sz w:val="20"/>
          <w:szCs w:val="20"/>
          <w:lang w:val="es-ES" w:eastAsia="en-US"/>
        </w:rPr>
        <w:t xml:space="preserve"> en un observador </w:t>
      </w:r>
      <w:r w:rsidR="00154886" w:rsidRPr="00975C02">
        <w:rPr>
          <w:sz w:val="20"/>
          <w:szCs w:val="20"/>
          <w:lang w:val="es-ES" w:eastAsia="en-US"/>
        </w:rPr>
        <w:t>objetivo</w:t>
      </w:r>
      <w:r w:rsidRPr="00975C02">
        <w:rPr>
          <w:sz w:val="20"/>
          <w:szCs w:val="20"/>
          <w:lang w:val="es-ES" w:eastAsia="en-US"/>
        </w:rPr>
        <w:t xml:space="preserve"> falta de confianza en quienes se encuentran a cargo de la importante misión de </w:t>
      </w:r>
      <w:r w:rsidR="00AB18BF" w:rsidRPr="00975C02">
        <w:rPr>
          <w:sz w:val="20"/>
          <w:szCs w:val="20"/>
          <w:lang w:val="es-ES" w:eastAsia="en-US"/>
        </w:rPr>
        <w:t>impartir</w:t>
      </w:r>
      <w:r w:rsidRPr="00975C02">
        <w:rPr>
          <w:sz w:val="20"/>
          <w:szCs w:val="20"/>
          <w:lang w:val="es-ES" w:eastAsia="en-US"/>
        </w:rPr>
        <w:t xml:space="preserve"> justicia</w:t>
      </w:r>
      <w:r w:rsidR="00AB18BF" w:rsidRPr="00975C02">
        <w:rPr>
          <w:sz w:val="20"/>
          <w:szCs w:val="20"/>
          <w:lang w:val="es-ES" w:eastAsia="en-US"/>
        </w:rPr>
        <w:t xml:space="preserve"> en un</w:t>
      </w:r>
      <w:r w:rsidR="006B05F7" w:rsidRPr="00975C02">
        <w:rPr>
          <w:sz w:val="20"/>
          <w:szCs w:val="20"/>
          <w:lang w:val="es-ES" w:eastAsia="en-US"/>
        </w:rPr>
        <w:t xml:space="preserve"> determinado</w:t>
      </w:r>
      <w:r w:rsidR="00AB18BF" w:rsidRPr="00975C02">
        <w:rPr>
          <w:sz w:val="20"/>
          <w:szCs w:val="20"/>
          <w:lang w:val="es-ES" w:eastAsia="en-US"/>
        </w:rPr>
        <w:t xml:space="preserve"> caso</w:t>
      </w:r>
      <w:r w:rsidRPr="00975C02">
        <w:rPr>
          <w:sz w:val="20"/>
          <w:szCs w:val="20"/>
          <w:lang w:val="es-ES" w:eastAsia="en-US"/>
        </w:rPr>
        <w:t>.</w:t>
      </w:r>
    </w:p>
    <w:p w14:paraId="5F362449" w14:textId="77777777" w:rsidR="00B5625C" w:rsidRPr="00975C02" w:rsidRDefault="00B5625C" w:rsidP="00B5625C">
      <w:pPr>
        <w:widowControl/>
        <w:adjustRightInd/>
        <w:spacing w:line="240" w:lineRule="auto"/>
        <w:textAlignment w:val="auto"/>
        <w:rPr>
          <w:iCs/>
          <w:sz w:val="20"/>
          <w:lang w:val="es-ES" w:eastAsia="en-US"/>
        </w:rPr>
      </w:pPr>
    </w:p>
    <w:p w14:paraId="3B1AEF38" w14:textId="7777777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iCs/>
          <w:sz w:val="20"/>
          <w:lang w:val="es-ES" w:eastAsia="en-US"/>
        </w:rPr>
      </w:pPr>
      <w:r w:rsidRPr="00975C02">
        <w:rPr>
          <w:iCs/>
          <w:sz w:val="20"/>
          <w:lang w:val="es-ES" w:eastAsia="en-US"/>
        </w:rPr>
        <w:t xml:space="preserve">Bajo esta </w:t>
      </w:r>
      <w:r w:rsidRPr="00975C02">
        <w:rPr>
          <w:sz w:val="20"/>
          <w:szCs w:val="20"/>
          <w:lang w:val="es-ES" w:eastAsia="en-US"/>
        </w:rPr>
        <w:t>órbita</w:t>
      </w:r>
      <w:r w:rsidRPr="00975C02">
        <w:rPr>
          <w:iCs/>
          <w:sz w:val="20"/>
          <w:lang w:val="es-ES" w:eastAsia="en-US"/>
        </w:rPr>
        <w:t>, el Tribunal Europeo ha especificado que:</w:t>
      </w:r>
    </w:p>
    <w:p w14:paraId="13580400" w14:textId="77777777" w:rsidR="00B5625C" w:rsidRPr="00975C02" w:rsidRDefault="00B5625C" w:rsidP="00B5625C">
      <w:pPr>
        <w:widowControl/>
        <w:adjustRightInd/>
        <w:spacing w:line="240" w:lineRule="auto"/>
        <w:textAlignment w:val="auto"/>
        <w:rPr>
          <w:iCs/>
          <w:sz w:val="20"/>
          <w:lang w:val="es-ES" w:eastAsia="en-US"/>
        </w:rPr>
      </w:pPr>
    </w:p>
    <w:p w14:paraId="329E2082" w14:textId="71B1479A" w:rsidR="00B5625C" w:rsidRPr="00975C02" w:rsidRDefault="00B5625C" w:rsidP="00AB262F">
      <w:pPr>
        <w:widowControl/>
        <w:adjustRightInd/>
        <w:spacing w:line="240" w:lineRule="auto"/>
        <w:ind w:left="567" w:right="582"/>
        <w:textAlignment w:val="auto"/>
        <w:rPr>
          <w:b/>
          <w:sz w:val="16"/>
          <w:szCs w:val="16"/>
          <w:u w:val="single"/>
          <w:lang w:val="es-ES" w:eastAsia="en-US"/>
        </w:rPr>
      </w:pPr>
      <w:r w:rsidRPr="00975C02">
        <w:rPr>
          <w:iCs/>
          <w:sz w:val="16"/>
          <w:szCs w:val="16"/>
          <w:lang w:val="es-ES" w:eastAsia="en-US"/>
        </w:rPr>
        <w:t xml:space="preserve">[b]ajo el análisis objetivo, se debe determinar si, aparte del comportamiento personal </w:t>
      </w:r>
      <w:r w:rsidRPr="00975C02">
        <w:rPr>
          <w:sz w:val="16"/>
          <w:szCs w:val="16"/>
          <w:lang w:val="es-ES" w:eastAsia="en-US"/>
        </w:rPr>
        <w:t>de</w:t>
      </w:r>
      <w:r w:rsidRPr="00975C02">
        <w:rPr>
          <w:iCs/>
          <w:sz w:val="16"/>
          <w:szCs w:val="16"/>
          <w:lang w:val="es-ES" w:eastAsia="en-US"/>
        </w:rPr>
        <w:t xml:space="preserve"> los jueces, hay hechos averiguables que podrán suscitar dudas respecto de su imparcialidad. En este sentido, hasta las </w:t>
      </w:r>
      <w:r w:rsidRPr="00975C02">
        <w:rPr>
          <w:iCs/>
          <w:sz w:val="16"/>
          <w:szCs w:val="16"/>
          <w:lang w:val="es-ES" w:eastAsia="en-US"/>
        </w:rPr>
        <w:lastRenderedPageBreak/>
        <w:t xml:space="preserve">apariencias </w:t>
      </w:r>
      <w:r w:rsidRPr="00AB262F">
        <w:rPr>
          <w:sz w:val="16"/>
          <w:szCs w:val="16"/>
          <w:lang w:val="es-ES" w:eastAsia="en-US"/>
        </w:rPr>
        <w:t>podrán</w:t>
      </w:r>
      <w:r w:rsidRPr="00975C02">
        <w:rPr>
          <w:iCs/>
          <w:sz w:val="16"/>
          <w:szCs w:val="16"/>
          <w:lang w:val="es-ES" w:eastAsia="en-US"/>
        </w:rPr>
        <w:t xml:space="preserve"> tener cierta importancia. Lo que está en juego es la confianza que deben inspirar los tribunales a los ciudadanos en una sociedad democrática, y sobre todo, en las partes del caso</w:t>
      </w:r>
      <w:r w:rsidRPr="00975C02">
        <w:rPr>
          <w:iCs/>
          <w:sz w:val="16"/>
          <w:szCs w:val="16"/>
          <w:vertAlign w:val="superscript"/>
          <w:lang w:val="es-ES" w:eastAsia="en-US"/>
        </w:rPr>
        <w:footnoteReference w:id="326"/>
      </w:r>
      <w:r w:rsidRPr="00975C02">
        <w:rPr>
          <w:iCs/>
          <w:sz w:val="16"/>
          <w:szCs w:val="16"/>
          <w:lang w:val="es-ES" w:eastAsia="en-US"/>
        </w:rPr>
        <w:t>.</w:t>
      </w:r>
    </w:p>
    <w:p w14:paraId="7751F104" w14:textId="77777777" w:rsidR="00B5625C" w:rsidRPr="00975C02" w:rsidRDefault="00B5625C" w:rsidP="00B5625C">
      <w:pPr>
        <w:widowControl/>
        <w:adjustRightInd/>
        <w:spacing w:line="240" w:lineRule="auto"/>
        <w:textAlignment w:val="auto"/>
        <w:rPr>
          <w:sz w:val="20"/>
          <w:szCs w:val="20"/>
          <w:lang w:val="es-ES" w:eastAsia="en-US"/>
        </w:rPr>
      </w:pPr>
    </w:p>
    <w:p w14:paraId="1D9825D5" w14:textId="3A3BE07B" w:rsidR="00730B0A" w:rsidRPr="00975C02" w:rsidRDefault="00730B0A" w:rsidP="00730B0A">
      <w:pPr>
        <w:widowControl/>
        <w:numPr>
          <w:ilvl w:val="0"/>
          <w:numId w:val="2"/>
        </w:numPr>
        <w:tabs>
          <w:tab w:val="left" w:pos="567"/>
          <w:tab w:val="num" w:pos="12305"/>
        </w:tabs>
        <w:adjustRightInd/>
        <w:spacing w:line="240" w:lineRule="auto"/>
        <w:ind w:left="0" w:firstLine="0"/>
        <w:textAlignment w:val="auto"/>
        <w:rPr>
          <w:iCs/>
          <w:sz w:val="20"/>
          <w:lang w:val="es-ES" w:eastAsia="en-US"/>
        </w:rPr>
      </w:pPr>
      <w:r w:rsidRPr="00975C02">
        <w:rPr>
          <w:iCs/>
          <w:sz w:val="20"/>
          <w:lang w:val="es-ES" w:eastAsia="en-US"/>
        </w:rPr>
        <w:t xml:space="preserve">La Corte considera que en este caso no se encuentran implicadas causales de índole subjetiva que afectaran la imparcialidad de los juzgadores </w:t>
      </w:r>
      <w:r w:rsidRPr="00975C02">
        <w:rPr>
          <w:i/>
          <w:iCs/>
          <w:sz w:val="20"/>
          <w:lang w:val="es-ES" w:eastAsia="en-US"/>
        </w:rPr>
        <w:t>ab initio</w:t>
      </w:r>
      <w:r w:rsidRPr="00975C02">
        <w:rPr>
          <w:iCs/>
          <w:sz w:val="20"/>
          <w:lang w:val="es-ES" w:eastAsia="en-US"/>
        </w:rPr>
        <w:t xml:space="preserve">, en este caso constituidos por la jueza a cargo de la causa, la </w:t>
      </w:r>
      <w:r w:rsidRPr="00975C02">
        <w:rPr>
          <w:sz w:val="20"/>
          <w:szCs w:val="20"/>
          <w:lang w:val="es-ES" w:eastAsia="en-US"/>
        </w:rPr>
        <w:t>jueza</w:t>
      </w:r>
      <w:r w:rsidRPr="00975C02">
        <w:rPr>
          <w:iCs/>
          <w:sz w:val="20"/>
          <w:lang w:val="es-ES" w:eastAsia="en-US"/>
        </w:rPr>
        <w:t xml:space="preserve"> de derecho presidenta del Tribunal de Jurados y los miembros del </w:t>
      </w:r>
      <w:r w:rsidR="00A84E71">
        <w:rPr>
          <w:iCs/>
          <w:sz w:val="20"/>
          <w:lang w:val="es-ES" w:eastAsia="en-US"/>
        </w:rPr>
        <w:t>j</w:t>
      </w:r>
      <w:r w:rsidRPr="00975C02">
        <w:rPr>
          <w:iCs/>
          <w:sz w:val="20"/>
          <w:lang w:val="es-ES" w:eastAsia="en-US"/>
        </w:rPr>
        <w:t xml:space="preserve">urado, sino que los alegatos </w:t>
      </w:r>
      <w:r w:rsidR="005A7647">
        <w:rPr>
          <w:iCs/>
          <w:sz w:val="20"/>
          <w:lang w:val="es-ES" w:eastAsia="en-US"/>
        </w:rPr>
        <w:t>están</w:t>
      </w:r>
      <w:r w:rsidRPr="00975C02">
        <w:rPr>
          <w:iCs/>
          <w:sz w:val="20"/>
          <w:lang w:val="es-ES" w:eastAsia="en-US"/>
        </w:rPr>
        <w:t xml:space="preserve"> relacionados con la vertiente objetiva de la imparcialidad. Por ende, la Corte pasará a analizar los hechos y aspectos alegados a fin de determinar si existió un temor fundado que pusiera en duda el ejercicio de las funciones de la jueza a cargo del proceso y del Tribunal de Jurados</w:t>
      </w:r>
      <w:r w:rsidR="00486513" w:rsidRPr="00975C02">
        <w:rPr>
          <w:iCs/>
          <w:sz w:val="20"/>
          <w:lang w:val="es-ES" w:eastAsia="en-US"/>
        </w:rPr>
        <w:t xml:space="preserve"> en el caso en concreto</w:t>
      </w:r>
      <w:r w:rsidRPr="00975C02">
        <w:rPr>
          <w:iCs/>
          <w:sz w:val="20"/>
          <w:lang w:val="es-ES" w:eastAsia="en-US"/>
        </w:rPr>
        <w:t>.</w:t>
      </w:r>
    </w:p>
    <w:p w14:paraId="70F02E1F" w14:textId="77777777" w:rsidR="00B5625C" w:rsidRPr="00975C02" w:rsidRDefault="00B5625C" w:rsidP="00B5625C">
      <w:pPr>
        <w:widowControl/>
        <w:adjustRightInd/>
        <w:spacing w:line="240" w:lineRule="auto"/>
        <w:textAlignment w:val="auto"/>
        <w:rPr>
          <w:sz w:val="20"/>
          <w:szCs w:val="20"/>
          <w:lang w:val="es-ES" w:eastAsia="en-US"/>
        </w:rPr>
      </w:pPr>
    </w:p>
    <w:p w14:paraId="492661FC" w14:textId="503CC568"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este caso, los alegatos de falta de imparcialidad versan principalmente sobre las siguientes cuestiones fácticas: i) el hecho de que se habría suspendido en dos oportunidades la audiencia supuestamente de forma injustificada; ii) el hecho de que no se dejara participar a la señora V.P.C. en una de las audiencias de desinsaculación del jurado; iii) el hecho de que no se dejara al abogado de la parte acusadora contar con la colaboración de otro letrado</w:t>
      </w:r>
      <w:r w:rsidR="00CE1C96" w:rsidRPr="00975C02">
        <w:rPr>
          <w:sz w:val="20"/>
          <w:szCs w:val="20"/>
          <w:lang w:val="es-ES" w:eastAsia="en-US"/>
        </w:rPr>
        <w:t>, y</w:t>
      </w:r>
      <w:r w:rsidRPr="00975C02">
        <w:rPr>
          <w:sz w:val="20"/>
          <w:szCs w:val="20"/>
          <w:lang w:val="es-ES" w:eastAsia="en-US"/>
        </w:rPr>
        <w:t xml:space="preserve"> iv) el hecho acaecido al finalizar la audiencia de vista y antes de que el jurado se retirara a su deliberación secreta: la entrega </w:t>
      </w:r>
      <w:r w:rsidR="00540556" w:rsidRPr="00975C02">
        <w:rPr>
          <w:sz w:val="20"/>
          <w:szCs w:val="20"/>
          <w:lang w:val="es-ES" w:eastAsia="en-US"/>
        </w:rPr>
        <w:t xml:space="preserve">a la jueza presidenta </w:t>
      </w:r>
      <w:r w:rsidRPr="00975C02">
        <w:rPr>
          <w:sz w:val="20"/>
          <w:szCs w:val="20"/>
          <w:lang w:val="es-ES" w:eastAsia="en-US"/>
        </w:rPr>
        <w:t>de una bolsa gris metálica y de unas hojas de papel rosado enviad</w:t>
      </w:r>
      <w:r w:rsidR="00E21A75" w:rsidRPr="00975C02">
        <w:rPr>
          <w:sz w:val="20"/>
          <w:szCs w:val="20"/>
          <w:lang w:val="es-ES" w:eastAsia="en-US"/>
        </w:rPr>
        <w:t>as</w:t>
      </w:r>
      <w:r w:rsidR="00540556">
        <w:rPr>
          <w:sz w:val="20"/>
          <w:szCs w:val="20"/>
          <w:lang w:val="es-ES" w:eastAsia="en-US"/>
        </w:rPr>
        <w:t xml:space="preserve"> por el imputado para que las</w:t>
      </w:r>
      <w:r w:rsidRPr="00975C02">
        <w:rPr>
          <w:sz w:val="20"/>
          <w:szCs w:val="20"/>
          <w:lang w:val="es-ES" w:eastAsia="en-US"/>
        </w:rPr>
        <w:t xml:space="preserve"> leyeran en la sesión privada.</w:t>
      </w:r>
    </w:p>
    <w:p w14:paraId="6089CACD" w14:textId="77777777" w:rsidR="00B5625C" w:rsidRPr="00975C02" w:rsidRDefault="00B5625C" w:rsidP="00B5625C">
      <w:pPr>
        <w:widowControl/>
        <w:adjustRightInd/>
        <w:spacing w:line="240" w:lineRule="auto"/>
        <w:textAlignment w:val="auto"/>
        <w:rPr>
          <w:sz w:val="20"/>
          <w:szCs w:val="20"/>
          <w:lang w:val="es-ES" w:eastAsia="en-US"/>
        </w:rPr>
      </w:pPr>
    </w:p>
    <w:p w14:paraId="2135F48A" w14:textId="4B2F8BE6"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rFonts w:cs="MinionPro-Regular"/>
          <w:sz w:val="20"/>
          <w:szCs w:val="20"/>
          <w:lang w:val="es-ES" w:eastAsia="en-US"/>
        </w:rPr>
      </w:pPr>
      <w:r w:rsidRPr="00975C02">
        <w:rPr>
          <w:rFonts w:cs="MinionPro-Regular"/>
          <w:sz w:val="20"/>
          <w:szCs w:val="20"/>
          <w:lang w:val="es-ES" w:eastAsia="en-US"/>
        </w:rPr>
        <w:t xml:space="preserve">La Corte nota que el procedimiento central en que puede disiparse la posible imparcialidad del jurado </w:t>
      </w:r>
      <w:r w:rsidRPr="00975C02">
        <w:rPr>
          <w:sz w:val="20"/>
          <w:szCs w:val="20"/>
          <w:lang w:val="es-ES" w:eastAsia="en-US"/>
        </w:rPr>
        <w:t>es</w:t>
      </w:r>
      <w:r w:rsidRPr="00975C02">
        <w:rPr>
          <w:rFonts w:cs="MinionPro-Regular"/>
          <w:sz w:val="20"/>
          <w:szCs w:val="20"/>
          <w:lang w:val="es-ES" w:eastAsia="en-US"/>
        </w:rPr>
        <w:t xml:space="preserve"> la audiencia de desinsaculación, que en los sistemas anglo-sajones se denomina </w:t>
      </w:r>
      <w:r w:rsidRPr="00975C02">
        <w:rPr>
          <w:rFonts w:cs="MinionPro-Regular"/>
          <w:i/>
          <w:sz w:val="20"/>
          <w:szCs w:val="20"/>
          <w:lang w:val="es-ES" w:eastAsia="en-US"/>
        </w:rPr>
        <w:t>voir dire.</w:t>
      </w:r>
      <w:r w:rsidRPr="00975C02">
        <w:rPr>
          <w:rFonts w:cs="MinionPro-Regular"/>
          <w:sz w:val="20"/>
          <w:szCs w:val="20"/>
          <w:lang w:val="es-ES" w:eastAsia="en-US"/>
        </w:rPr>
        <w:t xml:space="preserve"> Este procedimiento cobra especial relevancia en casos de violencia sexual, a fin de establecer si los jurados portan prejuicios y creencias falsas al respecto que pudieran influir negativamente sobre su valoración del caso </w:t>
      </w:r>
      <w:r w:rsidR="00501B73" w:rsidRPr="00975C02">
        <w:rPr>
          <w:rFonts w:cs="MinionPro-Regular"/>
          <w:sz w:val="20"/>
          <w:szCs w:val="20"/>
          <w:lang w:val="es-ES" w:eastAsia="en-US"/>
        </w:rPr>
        <w:t xml:space="preserve">en concreto </w:t>
      </w:r>
      <w:r w:rsidRPr="00975C02">
        <w:rPr>
          <w:rFonts w:cs="MinionPro-Regular"/>
          <w:sz w:val="20"/>
          <w:szCs w:val="20"/>
          <w:lang w:val="es-ES" w:eastAsia="en-US"/>
        </w:rPr>
        <w:t xml:space="preserve">a través de los prejuicios y mitos presentes en el </w:t>
      </w:r>
      <w:r w:rsidRPr="00975C02">
        <w:rPr>
          <w:sz w:val="20"/>
          <w:szCs w:val="20"/>
          <w:lang w:val="es-ES" w:eastAsia="en-US"/>
        </w:rPr>
        <w:t>imaginario</w:t>
      </w:r>
      <w:r w:rsidRPr="00975C02">
        <w:rPr>
          <w:rFonts w:cs="MinionPro-Regular"/>
          <w:sz w:val="20"/>
          <w:szCs w:val="20"/>
          <w:lang w:val="es-ES" w:eastAsia="en-US"/>
        </w:rPr>
        <w:t xml:space="preserve"> social. En el caso de Nicaragua, se preveía dicha instancia con la posibilidad de recusar a un jurado sin causa (</w:t>
      </w:r>
      <w:r w:rsidRPr="00975C02">
        <w:rPr>
          <w:rFonts w:cs="MinionPro-Regular"/>
          <w:i/>
          <w:sz w:val="20"/>
          <w:szCs w:val="20"/>
          <w:lang w:val="es-ES" w:eastAsia="en-US"/>
        </w:rPr>
        <w:t xml:space="preserve">supra </w:t>
      </w:r>
      <w:r w:rsidRPr="00975C02">
        <w:rPr>
          <w:rFonts w:cs="MinionPro-Regular"/>
          <w:sz w:val="20"/>
          <w:szCs w:val="20"/>
          <w:lang w:val="es-ES" w:eastAsia="en-US"/>
        </w:rPr>
        <w:t xml:space="preserve">párr. </w:t>
      </w:r>
      <w:r w:rsidR="00CC7568" w:rsidRPr="00975C02">
        <w:rPr>
          <w:rFonts w:cs="MinionPro-Regular"/>
          <w:sz w:val="20"/>
          <w:szCs w:val="20"/>
          <w:lang w:val="es-ES" w:eastAsia="en-US"/>
        </w:rPr>
        <w:t>230</w:t>
      </w:r>
      <w:r w:rsidR="005E5B71" w:rsidRPr="00975C02">
        <w:rPr>
          <w:rFonts w:cs="MinionPro-Regular"/>
          <w:sz w:val="20"/>
          <w:szCs w:val="20"/>
          <w:lang w:val="es-ES" w:eastAsia="en-US"/>
        </w:rPr>
        <w:t>).</w:t>
      </w:r>
    </w:p>
    <w:p w14:paraId="2DF31259" w14:textId="77777777" w:rsidR="00B5625C" w:rsidRPr="00975C02" w:rsidRDefault="00B5625C" w:rsidP="00B5625C">
      <w:pPr>
        <w:widowControl/>
        <w:adjustRightInd/>
        <w:spacing w:line="240" w:lineRule="auto"/>
        <w:textAlignment w:val="auto"/>
        <w:rPr>
          <w:sz w:val="20"/>
          <w:szCs w:val="20"/>
          <w:lang w:val="es-ES" w:eastAsia="en-US"/>
        </w:rPr>
      </w:pPr>
    </w:p>
    <w:p w14:paraId="6113AD5B" w14:textId="5A172F69"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Sobre la suspensión de la audiencia en dos ocasiones (</w:t>
      </w:r>
      <w:r w:rsidRPr="00975C02">
        <w:rPr>
          <w:i/>
          <w:sz w:val="20"/>
          <w:szCs w:val="20"/>
          <w:lang w:val="es-ES" w:eastAsia="en-US"/>
        </w:rPr>
        <w:t>supra</w:t>
      </w:r>
      <w:r w:rsidRPr="00975C02">
        <w:rPr>
          <w:sz w:val="20"/>
          <w:szCs w:val="20"/>
          <w:lang w:val="es-ES" w:eastAsia="en-US"/>
        </w:rPr>
        <w:t xml:space="preserve"> párr. </w:t>
      </w:r>
      <w:r w:rsidR="005E5B71" w:rsidRPr="00975C02">
        <w:rPr>
          <w:sz w:val="20"/>
          <w:szCs w:val="20"/>
          <w:lang w:val="es-ES" w:eastAsia="en-US"/>
        </w:rPr>
        <w:t>95</w:t>
      </w:r>
      <w:r w:rsidRPr="00975C02">
        <w:rPr>
          <w:sz w:val="20"/>
          <w:szCs w:val="20"/>
          <w:lang w:val="es-ES" w:eastAsia="en-US"/>
        </w:rPr>
        <w:t>), la Corte nota que, tal como indicó el Estado, no existen elementos que pudieran objetivamente indicar que ello afectó la imparcialidad de los juzgadores.</w:t>
      </w:r>
    </w:p>
    <w:p w14:paraId="4AEE71C5" w14:textId="77777777" w:rsidR="00B5625C" w:rsidRPr="00975C02" w:rsidRDefault="00B5625C" w:rsidP="00B5625C">
      <w:pPr>
        <w:widowControl/>
        <w:adjustRightInd/>
        <w:spacing w:line="240" w:lineRule="auto"/>
        <w:textAlignment w:val="auto"/>
        <w:rPr>
          <w:sz w:val="20"/>
          <w:szCs w:val="20"/>
          <w:lang w:val="es-ES" w:eastAsia="en-US"/>
        </w:rPr>
      </w:pPr>
    </w:p>
    <w:p w14:paraId="388F7A1E" w14:textId="5BECFBB6"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Otro de los vicios alegados en el desarrollo del proceso, es que no se le permitió a V.P.C. estar presente en una audiencia de desinsaculación del jurado, lo que le habría impedido recusar a algunos miembros. La Corte nota que su representante legal acreditado en la causa sí est</w:t>
      </w:r>
      <w:r w:rsidR="005E5B71" w:rsidRPr="00975C02">
        <w:rPr>
          <w:sz w:val="20"/>
          <w:szCs w:val="20"/>
          <w:lang w:val="es-ES" w:eastAsia="en-US"/>
        </w:rPr>
        <w:t>uvo</w:t>
      </w:r>
      <w:r w:rsidRPr="00975C02">
        <w:rPr>
          <w:sz w:val="20"/>
          <w:szCs w:val="20"/>
          <w:lang w:val="es-ES" w:eastAsia="en-US"/>
        </w:rPr>
        <w:t xml:space="preserve"> presente</w:t>
      </w:r>
      <w:r w:rsidR="005929E6" w:rsidRPr="00975C02">
        <w:rPr>
          <w:rStyle w:val="FootnoteReference"/>
          <w:sz w:val="20"/>
          <w:szCs w:val="20"/>
          <w:lang w:val="es-ES" w:eastAsia="en-US"/>
        </w:rPr>
        <w:footnoteReference w:id="327"/>
      </w:r>
      <w:r w:rsidRPr="00975C02">
        <w:rPr>
          <w:sz w:val="20"/>
          <w:szCs w:val="20"/>
          <w:lang w:val="es-ES" w:eastAsia="en-US"/>
        </w:rPr>
        <w:t>. En este sentido, no se especificó qué hechos o circunstancias podrían haber constituido razones para recusar a alguno de los miembros del jurado que su abogado desconociera y que no pudo formular en dicha instancia. Por consiguiente, la Corte no encuentra que existiera una afectación en el caso en concreto, más aún que esa conformación no fue el Tribunal de Jurados que estuvo en la audiencia de vista pública.</w:t>
      </w:r>
    </w:p>
    <w:p w14:paraId="734CABC9" w14:textId="77777777" w:rsidR="00B5625C" w:rsidRPr="00975C02" w:rsidRDefault="00B5625C" w:rsidP="00B5625C">
      <w:pPr>
        <w:widowControl/>
        <w:adjustRightInd/>
        <w:spacing w:line="240" w:lineRule="auto"/>
        <w:textAlignment w:val="auto"/>
        <w:rPr>
          <w:sz w:val="20"/>
          <w:szCs w:val="20"/>
          <w:lang w:val="es-ES" w:eastAsia="en-US"/>
        </w:rPr>
      </w:pPr>
    </w:p>
    <w:p w14:paraId="5F672485" w14:textId="3172D8E8"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Por otra parte, la Corte nota que, en lo que respecta a la composición del Tribunal de Jurados, las partes pudieron presentar recusaciones con y sin causa, de acuerdo a lo regulado en el Código de Instrucción Criminal (</w:t>
      </w:r>
      <w:r w:rsidRPr="00975C02">
        <w:rPr>
          <w:i/>
          <w:sz w:val="20"/>
          <w:szCs w:val="20"/>
          <w:lang w:val="es-ES" w:eastAsia="en-US"/>
        </w:rPr>
        <w:t>supra</w:t>
      </w:r>
      <w:r w:rsidRPr="00975C02">
        <w:rPr>
          <w:sz w:val="20"/>
          <w:szCs w:val="20"/>
          <w:lang w:val="es-ES" w:eastAsia="en-US"/>
        </w:rPr>
        <w:t xml:space="preserve"> párr. </w:t>
      </w:r>
      <w:r w:rsidR="00E50575" w:rsidRPr="00975C02">
        <w:rPr>
          <w:sz w:val="20"/>
          <w:szCs w:val="20"/>
          <w:lang w:val="es-ES" w:eastAsia="en-US"/>
        </w:rPr>
        <w:t>230</w:t>
      </w:r>
      <w:r w:rsidRPr="00975C02">
        <w:rPr>
          <w:sz w:val="20"/>
          <w:szCs w:val="20"/>
          <w:lang w:val="es-ES" w:eastAsia="en-US"/>
        </w:rPr>
        <w:t xml:space="preserve">), y que efectivamente hicieron uso de dicho derecho en todas las desinsaculaciones salvo justamente en la última. </w:t>
      </w:r>
      <w:r w:rsidR="00290039" w:rsidRPr="00975C02">
        <w:rPr>
          <w:sz w:val="20"/>
          <w:szCs w:val="20"/>
          <w:lang w:val="es-ES" w:eastAsia="en-US"/>
        </w:rPr>
        <w:t xml:space="preserve">En efecto, el abogado de V.P.C. no presentó ninguna recusación en la desinsaculación de los jurados que finalmente conocieron de la vista pública y emitieron el veredicto. </w:t>
      </w:r>
      <w:r w:rsidRPr="00975C02">
        <w:rPr>
          <w:sz w:val="20"/>
          <w:szCs w:val="20"/>
          <w:lang w:val="es-ES" w:eastAsia="en-US"/>
        </w:rPr>
        <w:t xml:space="preserve">La Corte advierte que </w:t>
      </w:r>
      <w:r w:rsidRPr="00975C02">
        <w:rPr>
          <w:rFonts w:cs="MinionPro-Regular"/>
          <w:sz w:val="20"/>
          <w:szCs w:val="20"/>
          <w:lang w:val="es-ES" w:eastAsia="en-US"/>
        </w:rPr>
        <w:t xml:space="preserve">tampoco se hicieron preguntas a los jurados sobre sus creencias en torno a cuestiones susceptibles de ser </w:t>
      </w:r>
      <w:r w:rsidRPr="00975C02">
        <w:rPr>
          <w:rFonts w:cs="MinionPro-Regular"/>
          <w:sz w:val="20"/>
          <w:szCs w:val="20"/>
          <w:lang w:val="es-ES" w:eastAsia="en-US"/>
        </w:rPr>
        <w:lastRenderedPageBreak/>
        <w:t>condicionadas por estereotipos y prejuicios sociales</w:t>
      </w:r>
      <w:r w:rsidR="00290039" w:rsidRPr="00975C02">
        <w:rPr>
          <w:rFonts w:cs="MinionPro-Regular"/>
          <w:sz w:val="20"/>
          <w:szCs w:val="20"/>
          <w:lang w:val="es-ES" w:eastAsia="en-US"/>
        </w:rPr>
        <w:t>, aspecto que no estaba previsto expresamente en la legislación nicaragüense</w:t>
      </w:r>
      <w:r w:rsidRPr="00975C02">
        <w:rPr>
          <w:rFonts w:cs="MinionPro-Regular"/>
          <w:sz w:val="20"/>
          <w:szCs w:val="20"/>
          <w:lang w:val="es-ES" w:eastAsia="en-US"/>
        </w:rPr>
        <w:t xml:space="preserve">. </w:t>
      </w:r>
      <w:r w:rsidR="00F02390" w:rsidRPr="00975C02">
        <w:rPr>
          <w:rFonts w:cs="MinionPro-Regular"/>
          <w:sz w:val="20"/>
          <w:szCs w:val="20"/>
          <w:lang w:val="es-ES" w:eastAsia="en-US"/>
        </w:rPr>
        <w:t xml:space="preserve">Todo </w:t>
      </w:r>
      <w:r w:rsidR="00F02390" w:rsidRPr="00975C02">
        <w:rPr>
          <w:sz w:val="20"/>
          <w:szCs w:val="20"/>
          <w:lang w:val="es-ES" w:eastAsia="en-US"/>
        </w:rPr>
        <w:t>el</w:t>
      </w:r>
      <w:r w:rsidRPr="00975C02">
        <w:rPr>
          <w:sz w:val="20"/>
          <w:szCs w:val="20"/>
          <w:lang w:val="es-ES" w:eastAsia="en-US"/>
        </w:rPr>
        <w:t>lo es indicativo de que en lo que hace a la integración del jurado, no existían cuestionamientos o elementos subjetivos que afectaran la imparcialidad de sus miembros</w:t>
      </w:r>
      <w:r w:rsidR="00B32E26" w:rsidRPr="00975C02">
        <w:rPr>
          <w:sz w:val="20"/>
          <w:szCs w:val="20"/>
          <w:lang w:val="es-ES" w:eastAsia="en-US"/>
        </w:rPr>
        <w:t xml:space="preserve"> antes de la vista pública</w:t>
      </w:r>
      <w:r w:rsidRPr="00975C02">
        <w:rPr>
          <w:sz w:val="20"/>
          <w:szCs w:val="20"/>
          <w:lang w:val="es-ES" w:eastAsia="en-US"/>
        </w:rPr>
        <w:t xml:space="preserve">. Más aún, no fue alegada ninguna circunstancia particular respecto a la mecánica de dicha desinsaculación que pudiera poner en duda la imparcialidad subjetiva de los juzgadores. </w:t>
      </w:r>
    </w:p>
    <w:p w14:paraId="12F0EEBE" w14:textId="77777777" w:rsidR="00B5625C" w:rsidRPr="00975C02" w:rsidRDefault="00B5625C" w:rsidP="00B5625C">
      <w:pPr>
        <w:widowControl/>
        <w:adjustRightInd/>
        <w:spacing w:line="240" w:lineRule="auto"/>
        <w:textAlignment w:val="auto"/>
        <w:rPr>
          <w:sz w:val="20"/>
          <w:szCs w:val="20"/>
          <w:lang w:val="es-ES" w:eastAsia="en-US"/>
        </w:rPr>
      </w:pPr>
    </w:p>
    <w:p w14:paraId="40039C21" w14:textId="201DC271"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lo que se refiere al hecho de que no se dejara al abogado de la parte acusadora contar con la colaboración de otro letrado, la Corte constata que en el expediente con el que cuenta no surge que la jueza a cargo del caso hubiera dado una respuesta por escrito a dicho pedido, como sí lo hizo respecto de la solicitud de la defensa (</w:t>
      </w:r>
      <w:r w:rsidRPr="00975C02">
        <w:rPr>
          <w:i/>
          <w:sz w:val="20"/>
          <w:szCs w:val="20"/>
          <w:lang w:val="es-ES" w:eastAsia="en-US"/>
        </w:rPr>
        <w:t>supra</w:t>
      </w:r>
      <w:r w:rsidRPr="00975C02">
        <w:rPr>
          <w:sz w:val="20"/>
          <w:szCs w:val="20"/>
          <w:lang w:val="es-ES" w:eastAsia="en-US"/>
        </w:rPr>
        <w:t xml:space="preserve"> párr. </w:t>
      </w:r>
      <w:r w:rsidR="00D66AEE" w:rsidRPr="00975C02">
        <w:rPr>
          <w:sz w:val="20"/>
          <w:szCs w:val="20"/>
          <w:lang w:val="es-ES" w:eastAsia="en-US"/>
        </w:rPr>
        <w:t>97</w:t>
      </w:r>
      <w:r w:rsidRPr="00975C02">
        <w:rPr>
          <w:sz w:val="20"/>
          <w:szCs w:val="20"/>
          <w:lang w:val="es-ES" w:eastAsia="en-US"/>
        </w:rPr>
        <w:t xml:space="preserve">). De acuerdo a lo indicado, la respuesta habría sido brindada </w:t>
      </w:r>
      <w:r w:rsidRPr="00975C02">
        <w:rPr>
          <w:i/>
          <w:sz w:val="20"/>
          <w:szCs w:val="20"/>
          <w:lang w:val="es-ES" w:eastAsia="en-US"/>
        </w:rPr>
        <w:t>in voce</w:t>
      </w:r>
      <w:r w:rsidRPr="00975C02">
        <w:rPr>
          <w:sz w:val="20"/>
          <w:szCs w:val="20"/>
          <w:lang w:val="es-ES" w:eastAsia="en-US"/>
        </w:rPr>
        <w:t xml:space="preserve"> sin que surja ninguna actuación que la cuestionara. La Corte entiende, en todo caso, que dicha circunstancia no tendría un agravio particular en relación con la garantía que se está analizando.</w:t>
      </w:r>
    </w:p>
    <w:p w14:paraId="6589852A" w14:textId="77777777" w:rsidR="00B5625C" w:rsidRPr="00975C02" w:rsidRDefault="00B5625C" w:rsidP="00B5625C">
      <w:pPr>
        <w:widowControl/>
        <w:adjustRightInd/>
        <w:spacing w:line="240" w:lineRule="auto"/>
        <w:textAlignment w:val="auto"/>
        <w:rPr>
          <w:sz w:val="20"/>
          <w:szCs w:val="20"/>
          <w:lang w:val="es-ES" w:eastAsia="en-US"/>
        </w:rPr>
      </w:pPr>
    </w:p>
    <w:p w14:paraId="67C67AAA" w14:textId="4A97BF9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Ahora bien, la Corte es de la opinión que existen dos aspectos que, de acuerdo a lo alegado, tuvieron entidad suficiente para generar un temor fundado de parcialidad en la parte acusadora</w:t>
      </w:r>
      <w:r w:rsidR="00250C15">
        <w:rPr>
          <w:sz w:val="20"/>
          <w:szCs w:val="20"/>
          <w:lang w:val="es-ES" w:eastAsia="en-US"/>
        </w:rPr>
        <w:t>:</w:t>
      </w:r>
      <w:r w:rsidRPr="00975C02">
        <w:rPr>
          <w:sz w:val="20"/>
          <w:szCs w:val="20"/>
          <w:lang w:val="es-ES" w:eastAsia="en-US"/>
        </w:rPr>
        <w:t xml:space="preserve"> </w:t>
      </w:r>
      <w:r w:rsidR="00250C15">
        <w:rPr>
          <w:sz w:val="20"/>
          <w:szCs w:val="20"/>
          <w:lang w:val="es-ES" w:eastAsia="en-US"/>
        </w:rPr>
        <w:t>l</w:t>
      </w:r>
      <w:r w:rsidRPr="00975C02">
        <w:rPr>
          <w:sz w:val="20"/>
          <w:szCs w:val="20"/>
          <w:lang w:val="es-ES" w:eastAsia="en-US"/>
        </w:rPr>
        <w:t xml:space="preserve">a entrega </w:t>
      </w:r>
      <w:r w:rsidR="00540556" w:rsidRPr="00975C02">
        <w:rPr>
          <w:sz w:val="20"/>
          <w:szCs w:val="20"/>
          <w:lang w:val="es-ES" w:eastAsia="en-US"/>
        </w:rPr>
        <w:t xml:space="preserve">a la jueza presidenta del jurado </w:t>
      </w:r>
      <w:r w:rsidRPr="00975C02">
        <w:rPr>
          <w:sz w:val="20"/>
          <w:szCs w:val="20"/>
          <w:lang w:val="es-ES" w:eastAsia="en-US"/>
        </w:rPr>
        <w:t>de una bolsa gris metálica y de dos hojas de papel rosado enviad</w:t>
      </w:r>
      <w:r w:rsidR="00E21A75" w:rsidRPr="00975C02">
        <w:rPr>
          <w:sz w:val="20"/>
          <w:szCs w:val="20"/>
          <w:lang w:val="es-ES" w:eastAsia="en-US"/>
        </w:rPr>
        <w:t>as</w:t>
      </w:r>
      <w:r w:rsidRPr="00975C02">
        <w:rPr>
          <w:sz w:val="20"/>
          <w:szCs w:val="20"/>
          <w:lang w:val="es-ES" w:eastAsia="en-US"/>
        </w:rPr>
        <w:t xml:space="preserve"> por el imputado para que l</w:t>
      </w:r>
      <w:r w:rsidR="00540556">
        <w:rPr>
          <w:sz w:val="20"/>
          <w:szCs w:val="20"/>
          <w:lang w:val="es-ES" w:eastAsia="en-US"/>
        </w:rPr>
        <w:t>as</w:t>
      </w:r>
      <w:r w:rsidRPr="00975C02">
        <w:rPr>
          <w:sz w:val="20"/>
          <w:szCs w:val="20"/>
          <w:lang w:val="es-ES" w:eastAsia="en-US"/>
        </w:rPr>
        <w:t xml:space="preserve"> leyeran en la sesión privada.</w:t>
      </w:r>
    </w:p>
    <w:p w14:paraId="445CC6DD" w14:textId="77777777" w:rsidR="00B5625C" w:rsidRPr="00975C02" w:rsidRDefault="00B5625C" w:rsidP="00B5625C">
      <w:pPr>
        <w:widowControl/>
        <w:adjustRightInd/>
        <w:spacing w:line="240" w:lineRule="auto"/>
        <w:textAlignment w:val="auto"/>
        <w:rPr>
          <w:sz w:val="20"/>
          <w:szCs w:val="20"/>
          <w:lang w:val="es-ES" w:eastAsia="en-US"/>
        </w:rPr>
      </w:pPr>
    </w:p>
    <w:p w14:paraId="3645F6D6" w14:textId="2EEE5EF1"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Al respecto, la Corte considera que, a pesar de que el video mediante el cual se filmó la audiencia de vista no ha sido aportado a este Tribunal</w:t>
      </w:r>
      <w:r w:rsidRPr="00975C02">
        <w:rPr>
          <w:sz w:val="20"/>
          <w:szCs w:val="20"/>
          <w:vertAlign w:val="superscript"/>
          <w:lang w:val="es-ES" w:eastAsia="en-US"/>
        </w:rPr>
        <w:footnoteReference w:id="328"/>
      </w:r>
      <w:r w:rsidRPr="00975C02">
        <w:rPr>
          <w:sz w:val="20"/>
          <w:szCs w:val="20"/>
          <w:lang w:val="es-ES" w:eastAsia="en-US"/>
        </w:rPr>
        <w:t>, la existencia de estos dos hechos no se encuentra controvertida, ya que ambos fueron verificados en la diligencia de inspección del mismo (</w:t>
      </w:r>
      <w:r w:rsidRPr="00975C02">
        <w:rPr>
          <w:i/>
          <w:sz w:val="20"/>
          <w:szCs w:val="20"/>
          <w:lang w:val="es-ES" w:eastAsia="en-US"/>
        </w:rPr>
        <w:t>supra</w:t>
      </w:r>
      <w:r w:rsidR="00B31B77" w:rsidRPr="00975C02">
        <w:rPr>
          <w:sz w:val="20"/>
          <w:szCs w:val="20"/>
          <w:lang w:val="es-ES" w:eastAsia="en-US"/>
        </w:rPr>
        <w:t xml:space="preserve"> párr. 118</w:t>
      </w:r>
      <w:r w:rsidRPr="00975C02">
        <w:rPr>
          <w:sz w:val="20"/>
          <w:szCs w:val="20"/>
          <w:lang w:val="es-ES" w:eastAsia="en-US"/>
        </w:rPr>
        <w:t>) y por la Procuraduría para la Defensa de los Derechos Humanos (</w:t>
      </w:r>
      <w:r w:rsidRPr="00975C02">
        <w:rPr>
          <w:i/>
          <w:sz w:val="20"/>
          <w:szCs w:val="20"/>
          <w:lang w:val="es-ES" w:eastAsia="en-US"/>
        </w:rPr>
        <w:t>supra</w:t>
      </w:r>
      <w:r w:rsidRPr="00975C02">
        <w:rPr>
          <w:sz w:val="20"/>
          <w:szCs w:val="20"/>
          <w:lang w:val="es-ES" w:eastAsia="en-US"/>
        </w:rPr>
        <w:t xml:space="preserve"> párr. </w:t>
      </w:r>
      <w:r w:rsidR="00B31B77" w:rsidRPr="00975C02">
        <w:rPr>
          <w:sz w:val="20"/>
          <w:szCs w:val="20"/>
          <w:lang w:val="es-ES" w:eastAsia="en-US"/>
        </w:rPr>
        <w:t>100</w:t>
      </w:r>
      <w:r w:rsidRPr="00975C02">
        <w:rPr>
          <w:sz w:val="20"/>
          <w:szCs w:val="20"/>
          <w:lang w:val="es-ES" w:eastAsia="en-US"/>
        </w:rPr>
        <w:t xml:space="preserve">). Por lo tanto, la Corte da por establecida la entrega de una bolsa plástica metálica a la </w:t>
      </w:r>
      <w:r w:rsidR="003C0254" w:rsidRPr="00975C02">
        <w:rPr>
          <w:sz w:val="20"/>
          <w:szCs w:val="20"/>
          <w:lang w:val="es-ES" w:eastAsia="en-US"/>
        </w:rPr>
        <w:t>jueza de derecho</w:t>
      </w:r>
      <w:r w:rsidRPr="00975C02">
        <w:rPr>
          <w:sz w:val="20"/>
          <w:szCs w:val="20"/>
          <w:lang w:val="es-ES" w:eastAsia="en-US"/>
        </w:rPr>
        <w:t xml:space="preserve"> y de dos hojas de papel de color rosado escritas por el imputado para que las leyera el jurado de forma privada. Lo que no se tiene certeza es cuál era el contenido tanto de la bolsa como del papel rosado.</w:t>
      </w:r>
    </w:p>
    <w:p w14:paraId="351B2E75" w14:textId="77777777" w:rsidR="00B5625C" w:rsidRPr="00975C02" w:rsidRDefault="00B5625C" w:rsidP="00B5625C">
      <w:pPr>
        <w:widowControl/>
        <w:adjustRightInd/>
        <w:spacing w:line="240" w:lineRule="auto"/>
        <w:textAlignment w:val="auto"/>
        <w:rPr>
          <w:sz w:val="20"/>
          <w:szCs w:val="20"/>
          <w:lang w:val="es-ES" w:eastAsia="en-US"/>
        </w:rPr>
      </w:pPr>
    </w:p>
    <w:p w14:paraId="6ED2199D" w14:textId="4EEBD229"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Si bien tanto la señora V.P.C. como la </w:t>
      </w:r>
      <w:r w:rsidR="003C0254" w:rsidRPr="00975C02">
        <w:rPr>
          <w:sz w:val="20"/>
          <w:szCs w:val="20"/>
          <w:lang w:val="es-ES" w:eastAsia="en-US"/>
        </w:rPr>
        <w:t>jueza de derecho</w:t>
      </w:r>
      <w:r w:rsidRPr="00975C02">
        <w:rPr>
          <w:sz w:val="20"/>
          <w:szCs w:val="20"/>
          <w:lang w:val="es-ES" w:eastAsia="en-US"/>
        </w:rPr>
        <w:t xml:space="preserve"> dieron su versión de los hechos</w:t>
      </w:r>
      <w:r w:rsidRPr="00975C02">
        <w:rPr>
          <w:sz w:val="20"/>
          <w:szCs w:val="20"/>
          <w:vertAlign w:val="superscript"/>
          <w:lang w:val="es-ES" w:eastAsia="en-US"/>
        </w:rPr>
        <w:footnoteReference w:id="329"/>
      </w:r>
      <w:r w:rsidRPr="00975C02">
        <w:rPr>
          <w:sz w:val="20"/>
          <w:szCs w:val="20"/>
          <w:lang w:val="es-ES" w:eastAsia="en-US"/>
        </w:rPr>
        <w:t xml:space="preserve"> respecto de la bolsa plástica metálica, lo cierto es que esta Corte no tiene forma de establecer lo </w:t>
      </w:r>
      <w:r w:rsidRPr="00975C02">
        <w:rPr>
          <w:sz w:val="20"/>
          <w:szCs w:val="20"/>
          <w:lang w:val="es-ES" w:eastAsia="en-US"/>
        </w:rPr>
        <w:lastRenderedPageBreak/>
        <w:t xml:space="preserve">que la misma contenía. Por otra parte, </w:t>
      </w:r>
      <w:r w:rsidR="00E21A75" w:rsidRPr="00975C02">
        <w:rPr>
          <w:sz w:val="20"/>
          <w:szCs w:val="20"/>
          <w:lang w:val="es-ES" w:eastAsia="en-US"/>
        </w:rPr>
        <w:t xml:space="preserve">las hojas de </w:t>
      </w:r>
      <w:r w:rsidRPr="00975C02">
        <w:rPr>
          <w:sz w:val="20"/>
          <w:szCs w:val="20"/>
          <w:lang w:val="es-ES" w:eastAsia="en-US"/>
        </w:rPr>
        <w:t>papel rosado no consta</w:t>
      </w:r>
      <w:r w:rsidR="00E21A75" w:rsidRPr="00975C02">
        <w:rPr>
          <w:sz w:val="20"/>
          <w:szCs w:val="20"/>
          <w:lang w:val="es-ES" w:eastAsia="en-US"/>
        </w:rPr>
        <w:t>n</w:t>
      </w:r>
      <w:r w:rsidRPr="00975C02">
        <w:rPr>
          <w:sz w:val="20"/>
          <w:szCs w:val="20"/>
          <w:lang w:val="es-ES" w:eastAsia="en-US"/>
        </w:rPr>
        <w:t xml:space="preserve"> en el expediente, por lo que es imposible saber su contenido.</w:t>
      </w:r>
    </w:p>
    <w:p w14:paraId="0D2D9772" w14:textId="77777777" w:rsidR="00B5625C" w:rsidRPr="00975C02" w:rsidRDefault="00B5625C" w:rsidP="00B5625C">
      <w:pPr>
        <w:widowControl/>
        <w:adjustRightInd/>
        <w:spacing w:line="240" w:lineRule="auto"/>
        <w:textAlignment w:val="auto"/>
        <w:rPr>
          <w:sz w:val="20"/>
          <w:szCs w:val="20"/>
          <w:lang w:val="es-ES" w:eastAsia="en-US"/>
        </w:rPr>
      </w:pPr>
    </w:p>
    <w:p w14:paraId="2917AA2F" w14:textId="51951BD6"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No obstante ello, la Corte considera que estos hechos por sí mismos constituyen elementos convincentes que permiten cuestionar</w:t>
      </w:r>
      <w:r w:rsidR="006964E6" w:rsidRPr="00975C02">
        <w:rPr>
          <w:sz w:val="20"/>
          <w:szCs w:val="20"/>
          <w:lang w:val="es-ES" w:eastAsia="en-US"/>
        </w:rPr>
        <w:t xml:space="preserve"> a cualquier observador objetivo</w:t>
      </w:r>
      <w:r w:rsidRPr="00975C02">
        <w:rPr>
          <w:sz w:val="20"/>
          <w:szCs w:val="20"/>
          <w:lang w:val="es-ES" w:eastAsia="en-US"/>
        </w:rPr>
        <w:t xml:space="preserve"> la imparcialidad de los miembros del Tribunal de Jurados, toda vez que pudieron generar un temor de parcialidad </w:t>
      </w:r>
      <w:r w:rsidR="006964E6" w:rsidRPr="00975C02">
        <w:rPr>
          <w:sz w:val="20"/>
          <w:szCs w:val="20"/>
          <w:lang w:val="es-ES" w:eastAsia="en-US"/>
        </w:rPr>
        <w:t xml:space="preserve">legítimo </w:t>
      </w:r>
      <w:r w:rsidRPr="00975C02">
        <w:rPr>
          <w:sz w:val="20"/>
          <w:szCs w:val="20"/>
          <w:lang w:val="es-ES" w:eastAsia="en-US"/>
        </w:rPr>
        <w:t>en la víctima y la parte acusadora que no fue disipado, dado que no se mostró el contenido de la bolsa ni se leyó lo escrito en l</w:t>
      </w:r>
      <w:r w:rsidR="00E21A75" w:rsidRPr="00975C02">
        <w:rPr>
          <w:sz w:val="20"/>
          <w:szCs w:val="20"/>
          <w:lang w:val="es-ES" w:eastAsia="en-US"/>
        </w:rPr>
        <w:t>a</w:t>
      </w:r>
      <w:r w:rsidRPr="00975C02">
        <w:rPr>
          <w:sz w:val="20"/>
          <w:szCs w:val="20"/>
          <w:lang w:val="es-ES" w:eastAsia="en-US"/>
        </w:rPr>
        <w:t>s</w:t>
      </w:r>
      <w:r w:rsidR="00E21A75" w:rsidRPr="00975C02">
        <w:rPr>
          <w:sz w:val="20"/>
          <w:szCs w:val="20"/>
          <w:lang w:val="es-ES" w:eastAsia="en-US"/>
        </w:rPr>
        <w:t xml:space="preserve"> hojas de</w:t>
      </w:r>
      <w:r w:rsidRPr="00975C02">
        <w:rPr>
          <w:sz w:val="20"/>
          <w:szCs w:val="20"/>
          <w:lang w:val="es-ES" w:eastAsia="en-US"/>
        </w:rPr>
        <w:t xml:space="preserve"> papel rosado en la presencia de las partes. Tampoco el Estado </w:t>
      </w:r>
      <w:r w:rsidRPr="00975C02">
        <w:rPr>
          <w:sz w:val="20"/>
          <w:lang w:val="es-ES" w:eastAsia="en-US"/>
        </w:rPr>
        <w:t>realiz</w:t>
      </w:r>
      <w:r w:rsidR="0034199C">
        <w:rPr>
          <w:sz w:val="20"/>
          <w:lang w:val="es-ES" w:eastAsia="en-US"/>
        </w:rPr>
        <w:t>ó</w:t>
      </w:r>
      <w:r w:rsidRPr="00975C02">
        <w:rPr>
          <w:sz w:val="20"/>
          <w:szCs w:val="20"/>
          <w:lang w:val="es-ES" w:eastAsia="en-US"/>
        </w:rPr>
        <w:t xml:space="preserve"> una investigación de las denuncias de posible cohecho a raíz de estos acontecimientos, más allá de lo resuelto mediante el recurso de nulidad (</w:t>
      </w:r>
      <w:r w:rsidRPr="00975C02">
        <w:rPr>
          <w:i/>
          <w:sz w:val="20"/>
          <w:szCs w:val="20"/>
          <w:lang w:val="es-ES" w:eastAsia="en-US"/>
        </w:rPr>
        <w:t>supra</w:t>
      </w:r>
      <w:r w:rsidR="00B31B77" w:rsidRPr="00975C02">
        <w:rPr>
          <w:sz w:val="20"/>
          <w:szCs w:val="20"/>
          <w:lang w:val="es-ES" w:eastAsia="en-US"/>
        </w:rPr>
        <w:t xml:space="preserve"> párr. 107</w:t>
      </w:r>
      <w:r w:rsidRPr="00975C02">
        <w:rPr>
          <w:sz w:val="20"/>
          <w:szCs w:val="20"/>
          <w:lang w:val="es-ES" w:eastAsia="en-US"/>
        </w:rPr>
        <w:t xml:space="preserve">). Por consiguiente, el temor en este caso es considerado por esta Corte como objetivamente justificado, lo que constituye una violación </w:t>
      </w:r>
      <w:r w:rsidR="006964E6" w:rsidRPr="00975C02">
        <w:rPr>
          <w:sz w:val="20"/>
          <w:szCs w:val="20"/>
          <w:lang w:val="es-ES" w:eastAsia="en-US"/>
        </w:rPr>
        <w:t xml:space="preserve">de la garantía de imparcialidad objetiva, prevista en </w:t>
      </w:r>
      <w:r w:rsidRPr="00975C02">
        <w:rPr>
          <w:sz w:val="20"/>
          <w:szCs w:val="20"/>
          <w:lang w:val="es-ES" w:eastAsia="en-US"/>
        </w:rPr>
        <w:t>el artículo 8.1 de la Convención.</w:t>
      </w:r>
    </w:p>
    <w:p w14:paraId="75A3E015" w14:textId="77777777" w:rsidR="00B5625C" w:rsidRPr="00975C02" w:rsidRDefault="00B5625C" w:rsidP="00B5625C">
      <w:pPr>
        <w:widowControl/>
        <w:adjustRightInd/>
        <w:spacing w:line="240" w:lineRule="auto"/>
        <w:textAlignment w:val="auto"/>
        <w:rPr>
          <w:sz w:val="20"/>
          <w:szCs w:val="20"/>
          <w:lang w:val="es-ES" w:eastAsia="en-US"/>
        </w:rPr>
      </w:pPr>
    </w:p>
    <w:p w14:paraId="2AD882D6" w14:textId="77777777" w:rsidR="00B5625C" w:rsidRPr="00975C02" w:rsidRDefault="00B5625C" w:rsidP="00A92F94">
      <w:pPr>
        <w:pStyle w:val="Heading3"/>
        <w:rPr>
          <w:b w:val="0"/>
          <w:i/>
        </w:rPr>
      </w:pPr>
      <w:bookmarkStart w:id="138" w:name="_Toc514172643"/>
      <w:r w:rsidRPr="00975C02">
        <w:rPr>
          <w:b w:val="0"/>
          <w:i/>
        </w:rPr>
        <w:t>B.</w:t>
      </w:r>
      <w:r w:rsidR="00A92F94" w:rsidRPr="00975C02">
        <w:rPr>
          <w:b w:val="0"/>
          <w:i/>
        </w:rPr>
        <w:t>3.c</w:t>
      </w:r>
      <w:r w:rsidRPr="00975C02">
        <w:rPr>
          <w:b w:val="0"/>
          <w:i/>
        </w:rPr>
        <w:t xml:space="preserve"> </w:t>
      </w:r>
      <w:r w:rsidRPr="00975C02">
        <w:rPr>
          <w:b w:val="0"/>
          <w:i/>
        </w:rPr>
        <w:tab/>
      </w:r>
      <w:r w:rsidR="00D32FC9" w:rsidRPr="00975C02">
        <w:rPr>
          <w:b w:val="0"/>
          <w:i/>
        </w:rPr>
        <w:t xml:space="preserve">El deber </w:t>
      </w:r>
      <w:r w:rsidR="0041516D" w:rsidRPr="00975C02">
        <w:rPr>
          <w:b w:val="0"/>
          <w:i/>
        </w:rPr>
        <w:t>de m</w:t>
      </w:r>
      <w:r w:rsidRPr="00975C02">
        <w:rPr>
          <w:b w:val="0"/>
          <w:i/>
        </w:rPr>
        <w:t xml:space="preserve">otivación </w:t>
      </w:r>
      <w:r w:rsidR="0041516D" w:rsidRPr="00975C02">
        <w:rPr>
          <w:b w:val="0"/>
          <w:i/>
        </w:rPr>
        <w:t>y</w:t>
      </w:r>
      <w:r w:rsidR="00D32FC9" w:rsidRPr="00975C02">
        <w:rPr>
          <w:b w:val="0"/>
          <w:i/>
        </w:rPr>
        <w:t xml:space="preserve"> las</w:t>
      </w:r>
      <w:r w:rsidR="0041516D" w:rsidRPr="00975C02">
        <w:rPr>
          <w:b w:val="0"/>
          <w:i/>
        </w:rPr>
        <w:t xml:space="preserve"> garantías contra la arbitrariedad</w:t>
      </w:r>
      <w:r w:rsidR="00D32FC9" w:rsidRPr="00975C02">
        <w:rPr>
          <w:b w:val="0"/>
          <w:i/>
        </w:rPr>
        <w:t xml:space="preserve"> del veredicto</w:t>
      </w:r>
      <w:bookmarkEnd w:id="138"/>
    </w:p>
    <w:p w14:paraId="4F20134C" w14:textId="77777777" w:rsidR="00B5625C" w:rsidRPr="00975C02" w:rsidRDefault="00B5625C" w:rsidP="00B5625C">
      <w:pPr>
        <w:widowControl/>
        <w:autoSpaceDE w:val="0"/>
        <w:autoSpaceDN w:val="0"/>
        <w:adjustRightInd/>
        <w:spacing w:line="240" w:lineRule="auto"/>
        <w:jc w:val="left"/>
        <w:textAlignment w:val="auto"/>
        <w:rPr>
          <w:rFonts w:eastAsia="Calibri" w:cs="Arial"/>
          <w:sz w:val="20"/>
          <w:szCs w:val="20"/>
          <w:lang w:val="es-ES" w:eastAsia="en-US"/>
        </w:rPr>
      </w:pPr>
    </w:p>
    <w:p w14:paraId="1C91365C" w14:textId="7777777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sz w:val="20"/>
          <w:lang w:val="es-ES" w:eastAsia="en-US"/>
        </w:rPr>
        <w:t xml:space="preserve">La </w:t>
      </w:r>
      <w:r w:rsidRPr="00975C02">
        <w:rPr>
          <w:sz w:val="20"/>
          <w:szCs w:val="20"/>
          <w:lang w:val="es-ES" w:eastAsia="en-US"/>
        </w:rPr>
        <w:t>Corte</w:t>
      </w:r>
      <w:r w:rsidRPr="00975C02">
        <w:rPr>
          <w:sz w:val="20"/>
          <w:lang w:val="es-ES" w:eastAsia="en-US"/>
        </w:rPr>
        <w:t xml:space="preserve"> ha señalado que “el deber de motivación es una de las ‘debidas garantías’ incluidas en el artículo 8.1 para salvaguardar el derecho a un debido proceso”</w:t>
      </w:r>
      <w:r w:rsidRPr="00975C02">
        <w:rPr>
          <w:sz w:val="20"/>
          <w:vertAlign w:val="superscript"/>
          <w:lang w:val="es-ES" w:eastAsia="en-US"/>
        </w:rPr>
        <w:footnoteReference w:id="330"/>
      </w:r>
      <w:r w:rsidRPr="00975C02">
        <w:rPr>
          <w:sz w:val="20"/>
          <w:lang w:val="es-ES" w:eastAsia="en-US"/>
        </w:rPr>
        <w:t>. La Corte ha precisado que la motivación “es la exteriorización de la justificación razonada que permite llegar a una conclusión”</w:t>
      </w:r>
      <w:r w:rsidRPr="00975C02">
        <w:rPr>
          <w:sz w:val="20"/>
          <w:vertAlign w:val="superscript"/>
          <w:lang w:val="es-ES" w:eastAsia="en-US"/>
        </w:rPr>
        <w:footnoteReference w:id="331"/>
      </w:r>
      <w:r w:rsidRPr="00975C02">
        <w:rPr>
          <w:sz w:val="20"/>
          <w:lang w:val="es-ES" w:eastAsia="en-US"/>
        </w:rPr>
        <w:t xml:space="preserve"> y conlleva una exposición racional de las razones que llevan al juzgador a adoptar una decisión. La </w:t>
      </w:r>
      <w:r w:rsidRPr="00975C02">
        <w:rPr>
          <w:rFonts w:cs="MSTT3132dbeaafO05102100"/>
          <w:sz w:val="20"/>
          <w:lang w:val="es-ES" w:eastAsia="en-US"/>
        </w:rPr>
        <w:t xml:space="preserve">relevancia de esta garantía </w:t>
      </w:r>
      <w:r w:rsidRPr="00975C02">
        <w:rPr>
          <w:sz w:val="20"/>
          <w:lang w:val="es-ES" w:eastAsia="en-US"/>
        </w:rPr>
        <w:t>se encuentra ligada a la correcta administración de justicia y a evitar que se emitan decisiones arbitrarias. Asimismo, la motivación otorga credibilidad de las decisiones jurídicas en el marco de una sociedad democrática</w:t>
      </w:r>
      <w:bookmarkStart w:id="139" w:name="_ftnref67"/>
      <w:r w:rsidRPr="00975C02">
        <w:rPr>
          <w:sz w:val="20"/>
          <w:lang w:val="es-ES" w:eastAsia="en-US"/>
        </w:rPr>
        <w:t xml:space="preserve"> </w:t>
      </w:r>
      <w:r w:rsidRPr="00975C02">
        <w:rPr>
          <w:rFonts w:eastAsia="Calibri"/>
          <w:sz w:val="20"/>
          <w:lang w:val="es-ES" w:eastAsia="en-US"/>
        </w:rPr>
        <w:t>y demuestra a las partes que éstas han sido oídas</w:t>
      </w:r>
      <w:r w:rsidRPr="00975C02">
        <w:rPr>
          <w:rFonts w:eastAsia="Calibri"/>
          <w:sz w:val="20"/>
          <w:vertAlign w:val="superscript"/>
          <w:lang w:val="es-ES" w:eastAsia="en-US"/>
        </w:rPr>
        <w:footnoteReference w:id="332"/>
      </w:r>
      <w:hyperlink r:id="rId9" w:anchor="_ftn67" w:history="1"/>
      <w:bookmarkEnd w:id="139"/>
      <w:r w:rsidRPr="00975C02">
        <w:rPr>
          <w:sz w:val="20"/>
          <w:lang w:val="es-ES" w:eastAsia="en-US"/>
        </w:rPr>
        <w:t>.</w:t>
      </w:r>
    </w:p>
    <w:p w14:paraId="09DF228B" w14:textId="77777777" w:rsidR="00B5625C" w:rsidRPr="00975C02" w:rsidRDefault="00B5625C" w:rsidP="00B5625C">
      <w:pPr>
        <w:widowControl/>
        <w:adjustRightInd/>
        <w:spacing w:line="240" w:lineRule="auto"/>
        <w:textAlignment w:val="auto"/>
        <w:rPr>
          <w:sz w:val="20"/>
          <w:szCs w:val="20"/>
          <w:lang w:val="es-ES" w:eastAsia="en-US"/>
        </w:rPr>
      </w:pPr>
    </w:p>
    <w:p w14:paraId="503CEE09" w14:textId="7777777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rFonts w:eastAsia="Calibri"/>
          <w:sz w:val="20"/>
          <w:lang w:val="es-ES" w:eastAsia="en-US"/>
        </w:rPr>
      </w:pPr>
      <w:r w:rsidRPr="00975C02">
        <w:rPr>
          <w:sz w:val="20"/>
          <w:lang w:val="es-ES" w:eastAsia="en-US"/>
        </w:rPr>
        <w:t xml:space="preserve">Ello, se </w:t>
      </w:r>
      <w:r w:rsidRPr="00975C02">
        <w:rPr>
          <w:sz w:val="20"/>
          <w:szCs w:val="20"/>
          <w:lang w:val="es-ES" w:eastAsia="en-US"/>
        </w:rPr>
        <w:t>encuentra</w:t>
      </w:r>
      <w:r w:rsidRPr="00975C02">
        <w:rPr>
          <w:sz w:val="20"/>
          <w:lang w:val="es-ES" w:eastAsia="en-US"/>
        </w:rPr>
        <w:t xml:space="preserve"> ligado con otro de los aspectos que realzan el valor de la motivación como garantía, que es proporcionar la posibilidad, </w:t>
      </w:r>
      <w:r w:rsidRPr="00975C02">
        <w:rPr>
          <w:rFonts w:eastAsia="Calibri" w:cs="Arial"/>
          <w:snapToGrid w:val="0"/>
          <w:sz w:val="20"/>
          <w:lang w:val="es-ES" w:eastAsia="es-ES"/>
        </w:rPr>
        <w:t>en aquellos casos en que las decisiones son recurribles,</w:t>
      </w:r>
      <w:r w:rsidRPr="00975C02">
        <w:rPr>
          <w:sz w:val="20"/>
          <w:lang w:val="es-ES" w:eastAsia="en-US"/>
        </w:rPr>
        <w:t xml:space="preserve"> de criticar la resolución y lograr un nuevo examen de la cuestión ante las instancias superiores. </w:t>
      </w:r>
      <w:r w:rsidRPr="00975C02">
        <w:rPr>
          <w:rFonts w:eastAsia="Calibri" w:cs="Arial"/>
          <w:snapToGrid w:val="0"/>
          <w:sz w:val="20"/>
          <w:lang w:val="es-ES" w:eastAsia="es-ES"/>
        </w:rPr>
        <w:t xml:space="preserve">De este modo, </w:t>
      </w:r>
      <w:r w:rsidRPr="00975C02">
        <w:rPr>
          <w:rFonts w:eastAsia="Calibri"/>
          <w:sz w:val="20"/>
          <w:lang w:val="es-ES" w:eastAsia="en-US"/>
        </w:rPr>
        <w:t xml:space="preserve">la Corte ya ha señalado que “la motivación de la decisión </w:t>
      </w:r>
      <w:r w:rsidRPr="00975C02">
        <w:rPr>
          <w:sz w:val="20"/>
          <w:lang w:val="es-ES" w:eastAsia="en-US"/>
        </w:rPr>
        <w:t>judicial</w:t>
      </w:r>
      <w:r w:rsidRPr="00975C02">
        <w:rPr>
          <w:rFonts w:eastAsia="Calibri"/>
          <w:sz w:val="20"/>
          <w:lang w:val="es-ES" w:eastAsia="en-US"/>
        </w:rPr>
        <w:t xml:space="preserve"> es condición de posibilidad para garantizar el derecho de defensa”</w:t>
      </w:r>
      <w:r w:rsidRPr="00975C02">
        <w:rPr>
          <w:rFonts w:eastAsia="Calibri"/>
          <w:sz w:val="20"/>
          <w:vertAlign w:val="superscript"/>
          <w:lang w:val="es-ES" w:eastAsia="en-US"/>
        </w:rPr>
        <w:footnoteReference w:id="333"/>
      </w:r>
      <w:r w:rsidRPr="00975C02">
        <w:rPr>
          <w:rFonts w:eastAsia="Calibri"/>
          <w:sz w:val="20"/>
          <w:lang w:val="es-ES" w:eastAsia="en-US"/>
        </w:rPr>
        <w:t>. Sin embargo, la Corte también ha referido que el deber de motivar no exige una respuesta detallada a todo argumento de las partes, sino que puede variar según la naturaleza de la decisión, y que corresponde analizar en cada caso si dicha garantía ha sido satisfecha</w:t>
      </w:r>
      <w:r w:rsidRPr="00975C02">
        <w:rPr>
          <w:rFonts w:eastAsia="Calibri"/>
          <w:sz w:val="20"/>
          <w:vertAlign w:val="superscript"/>
          <w:lang w:val="es-ES" w:eastAsia="en-US"/>
        </w:rPr>
        <w:footnoteReference w:id="334"/>
      </w:r>
      <w:r w:rsidRPr="00975C02">
        <w:rPr>
          <w:rFonts w:eastAsia="Calibri"/>
          <w:sz w:val="20"/>
          <w:lang w:val="es-ES" w:eastAsia="en-US"/>
        </w:rPr>
        <w:t>.</w:t>
      </w:r>
    </w:p>
    <w:p w14:paraId="4C84AA4F" w14:textId="77777777" w:rsidR="00B5625C" w:rsidRPr="00975C02" w:rsidRDefault="00B5625C" w:rsidP="00B5625C">
      <w:pPr>
        <w:widowControl/>
        <w:adjustRightInd/>
        <w:spacing w:line="240" w:lineRule="auto"/>
        <w:textAlignment w:val="auto"/>
        <w:rPr>
          <w:sz w:val="20"/>
          <w:szCs w:val="20"/>
          <w:lang w:val="es-ES" w:eastAsia="en-US"/>
        </w:rPr>
      </w:pPr>
    </w:p>
    <w:p w14:paraId="188666C7" w14:textId="77777777" w:rsidR="00B5625C" w:rsidRPr="00975C02" w:rsidRDefault="00B5625C" w:rsidP="00730B0A">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sz w:val="20"/>
          <w:lang w:val="es-ES" w:eastAsia="en-US"/>
        </w:rPr>
        <w:t>En el ámbito penal, como garantía del inculpado, se dirige también a asegurar</w:t>
      </w:r>
      <w:r w:rsidRPr="00975C02">
        <w:rPr>
          <w:rFonts w:cs="MSTT3132dbeaafO05102100"/>
          <w:sz w:val="20"/>
          <w:lang w:val="es-ES" w:eastAsia="en-US"/>
        </w:rPr>
        <w:t xml:space="preserve"> el principio de presunción de inocencia, </w:t>
      </w:r>
      <w:r w:rsidRPr="00975C02">
        <w:rPr>
          <w:sz w:val="20"/>
          <w:lang w:val="es-ES" w:eastAsia="en-US"/>
        </w:rPr>
        <w:t xml:space="preserve">ya que permite a quien se ve sometido al poder penal del Estado comprender las razones por las que fue posible obtener convicción sobre la imputación y la </w:t>
      </w:r>
      <w:r w:rsidRPr="00975C02">
        <w:rPr>
          <w:sz w:val="20"/>
          <w:szCs w:val="20"/>
          <w:lang w:val="es-ES" w:eastAsia="en-US"/>
        </w:rPr>
        <w:t>responsabilidad</w:t>
      </w:r>
      <w:r w:rsidRPr="00975C02">
        <w:rPr>
          <w:sz w:val="20"/>
          <w:lang w:val="es-ES" w:eastAsia="en-US"/>
        </w:rPr>
        <w:t xml:space="preserve"> penal, así como la apreciación de las pruebas para desvirtuar cualquier hipótesis de inocencia, y solo así poder confirmar o refutar la hipótesis acusatoria</w:t>
      </w:r>
      <w:r w:rsidRPr="00975C02">
        <w:rPr>
          <w:sz w:val="20"/>
          <w:vertAlign w:val="superscript"/>
          <w:lang w:val="es-ES" w:eastAsia="en-US"/>
        </w:rPr>
        <w:footnoteReference w:id="335"/>
      </w:r>
      <w:r w:rsidRPr="00975C02">
        <w:rPr>
          <w:sz w:val="20"/>
          <w:lang w:val="es-ES" w:eastAsia="en-US"/>
        </w:rPr>
        <w:t xml:space="preserve">. Lo anterior, permitiría desvirtuar la presunción de inocencia y determinar la responsabilidad penal más allá de toda duda </w:t>
      </w:r>
      <w:r w:rsidRPr="00975C02">
        <w:rPr>
          <w:sz w:val="20"/>
          <w:lang w:val="es-ES" w:eastAsia="en-US"/>
        </w:rPr>
        <w:lastRenderedPageBreak/>
        <w:t xml:space="preserve">razonable, así como posibilitar el ejercicio de la defensa a través </w:t>
      </w:r>
      <w:r w:rsidRPr="00975C02">
        <w:rPr>
          <w:rFonts w:eastAsia="Calibri" w:cs="Arial"/>
          <w:snapToGrid w:val="0"/>
          <w:sz w:val="20"/>
          <w:lang w:val="es-ES" w:eastAsia="es-ES"/>
        </w:rPr>
        <w:t>de la facultad de recurrir el fallo condenatorio.</w:t>
      </w:r>
    </w:p>
    <w:p w14:paraId="77219E1B" w14:textId="77777777" w:rsidR="00BD142E" w:rsidRPr="00975C02" w:rsidRDefault="00BD142E" w:rsidP="00BD142E">
      <w:pPr>
        <w:widowControl/>
        <w:tabs>
          <w:tab w:val="left" w:pos="567"/>
        </w:tabs>
        <w:adjustRightInd/>
        <w:spacing w:line="240" w:lineRule="auto"/>
        <w:textAlignment w:val="auto"/>
        <w:rPr>
          <w:sz w:val="20"/>
          <w:lang w:val="es-ES" w:eastAsia="en-US"/>
        </w:rPr>
      </w:pPr>
    </w:p>
    <w:p w14:paraId="5FBB6C64" w14:textId="77777777" w:rsidR="00BD142E" w:rsidRPr="00975C02" w:rsidRDefault="00BD142E" w:rsidP="00BD142E">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rFonts w:eastAsia="Calibri"/>
          <w:kern w:val="1"/>
          <w:sz w:val="20"/>
          <w:lang w:val="es-ES" w:eastAsia="en-US"/>
        </w:rPr>
        <w:t xml:space="preserve">Ahora bien, la Corte estima pertinente precisar que la motivación </w:t>
      </w:r>
      <w:r w:rsidRPr="00975C02">
        <w:rPr>
          <w:sz w:val="20"/>
          <w:lang w:val="es-ES" w:eastAsia="en-US"/>
        </w:rPr>
        <w:t xml:space="preserve">de las decisiones adoptadas por los </w:t>
      </w:r>
      <w:r w:rsidRPr="00975C02">
        <w:rPr>
          <w:sz w:val="20"/>
          <w:szCs w:val="20"/>
          <w:lang w:val="es-ES" w:eastAsia="en-US"/>
        </w:rPr>
        <w:t>órganos</w:t>
      </w:r>
      <w:r w:rsidRPr="00975C02">
        <w:rPr>
          <w:sz w:val="20"/>
          <w:lang w:val="es-ES" w:eastAsia="en-US"/>
        </w:rPr>
        <w:t xml:space="preserve"> encargados de impartir justicia </w:t>
      </w:r>
      <w:r w:rsidRPr="00975C02">
        <w:rPr>
          <w:rFonts w:eastAsia="Calibri"/>
          <w:kern w:val="1"/>
          <w:sz w:val="20"/>
          <w:lang w:val="es-ES" w:eastAsia="en-US"/>
        </w:rPr>
        <w:t>no es sólo relevante para el inculpado del delito, sino que</w:t>
      </w:r>
      <w:r w:rsidRPr="00975C02">
        <w:rPr>
          <w:sz w:val="20"/>
          <w:lang w:val="es-ES" w:eastAsia="en-US"/>
        </w:rPr>
        <w:t xml:space="preserve"> permite también el control ciudadano de los actos de gobierno, en este caso de </w:t>
      </w:r>
      <w:r w:rsidRPr="00975C02">
        <w:rPr>
          <w:sz w:val="20"/>
          <w:szCs w:val="20"/>
          <w:lang w:val="es-ES" w:eastAsia="en-US"/>
        </w:rPr>
        <w:t>la</w:t>
      </w:r>
      <w:r w:rsidRPr="00975C02">
        <w:rPr>
          <w:sz w:val="20"/>
          <w:lang w:val="es-ES" w:eastAsia="en-US"/>
        </w:rPr>
        <w:t xml:space="preserve"> administración de la justicia y los expone a su escrutinio. En el caso de los jurados,</w:t>
      </w:r>
      <w:r w:rsidR="008F3821" w:rsidRPr="00975C02">
        <w:rPr>
          <w:sz w:val="20"/>
          <w:lang w:val="es-ES" w:eastAsia="en-US"/>
        </w:rPr>
        <w:t xml:space="preserve"> dicha vertiente se entiende cubierta en razón de</w:t>
      </w:r>
      <w:r w:rsidRPr="00975C02">
        <w:rPr>
          <w:sz w:val="20"/>
          <w:lang w:val="es-ES" w:eastAsia="en-US"/>
        </w:rPr>
        <w:t xml:space="preserve"> la participación </w:t>
      </w:r>
      <w:r w:rsidR="008F3821" w:rsidRPr="00975C02">
        <w:rPr>
          <w:sz w:val="20"/>
          <w:lang w:val="es-ES" w:eastAsia="en-US"/>
        </w:rPr>
        <w:t xml:space="preserve">directa de la </w:t>
      </w:r>
      <w:r w:rsidRPr="00975C02">
        <w:rPr>
          <w:sz w:val="20"/>
          <w:lang w:val="es-ES" w:eastAsia="en-US"/>
        </w:rPr>
        <w:t>ciudadan</w:t>
      </w:r>
      <w:r w:rsidR="008F3821" w:rsidRPr="00975C02">
        <w:rPr>
          <w:sz w:val="20"/>
          <w:lang w:val="es-ES" w:eastAsia="en-US"/>
        </w:rPr>
        <w:t>ía</w:t>
      </w:r>
      <w:r w:rsidRPr="00975C02">
        <w:rPr>
          <w:sz w:val="20"/>
          <w:lang w:val="es-ES" w:eastAsia="en-US"/>
        </w:rPr>
        <w:t>.</w:t>
      </w:r>
    </w:p>
    <w:p w14:paraId="343A1876" w14:textId="77777777" w:rsidR="00B5625C" w:rsidRPr="00975C02" w:rsidRDefault="00B5625C" w:rsidP="00B5625C">
      <w:pPr>
        <w:widowControl/>
        <w:tabs>
          <w:tab w:val="left" w:pos="284"/>
        </w:tabs>
        <w:adjustRightInd/>
        <w:spacing w:line="240" w:lineRule="auto"/>
        <w:textAlignment w:val="auto"/>
        <w:rPr>
          <w:rFonts w:eastAsia="Calibri"/>
          <w:kern w:val="1"/>
          <w:sz w:val="20"/>
          <w:lang w:val="es-ES" w:eastAsia="en-US"/>
        </w:rPr>
      </w:pPr>
    </w:p>
    <w:p w14:paraId="33C9426E" w14:textId="4C69D89C" w:rsidR="00264C1D" w:rsidRPr="00975C02" w:rsidRDefault="00F2372D" w:rsidP="00F2372D">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En esta línea, la Corte considera que el </w:t>
      </w:r>
      <w:r w:rsidR="00B75585" w:rsidRPr="00975C02">
        <w:rPr>
          <w:sz w:val="20"/>
          <w:szCs w:val="20"/>
          <w:lang w:val="es-ES" w:eastAsia="en-US"/>
        </w:rPr>
        <w:t xml:space="preserve">argumento </w:t>
      </w:r>
      <w:r w:rsidRPr="00975C02">
        <w:rPr>
          <w:sz w:val="20"/>
          <w:szCs w:val="20"/>
          <w:lang w:val="es-ES" w:eastAsia="en-US"/>
        </w:rPr>
        <w:t xml:space="preserve">de la Comisión, en cuanto a sostener que el hecho de que el </w:t>
      </w:r>
      <w:r w:rsidRPr="00975C02">
        <w:rPr>
          <w:rFonts w:eastAsia="Calibri" w:cs="Arial"/>
          <w:sz w:val="20"/>
          <w:szCs w:val="20"/>
          <w:lang w:val="es-ES" w:eastAsia="en-US"/>
        </w:rPr>
        <w:t>veredicto absolutorio fuera inmotivado</w:t>
      </w:r>
      <w:r w:rsidRPr="00975C02">
        <w:rPr>
          <w:sz w:val="20"/>
          <w:szCs w:val="20"/>
          <w:lang w:val="es-ES" w:eastAsia="en-US"/>
        </w:rPr>
        <w:t xml:space="preserve"> implica </w:t>
      </w:r>
      <w:r w:rsidRPr="00975C02">
        <w:rPr>
          <w:i/>
          <w:sz w:val="20"/>
          <w:szCs w:val="20"/>
          <w:lang w:val="es-ES" w:eastAsia="en-US"/>
        </w:rPr>
        <w:t xml:space="preserve">per se </w:t>
      </w:r>
      <w:r w:rsidRPr="00975C02">
        <w:rPr>
          <w:sz w:val="20"/>
          <w:szCs w:val="20"/>
          <w:lang w:val="es-ES" w:eastAsia="en-US"/>
        </w:rPr>
        <w:t xml:space="preserve">una violación del artículo 8.1 de la Convención Americana, resulta en una afirmación </w:t>
      </w:r>
      <w:r w:rsidR="00264C1D" w:rsidRPr="00975C02">
        <w:rPr>
          <w:sz w:val="20"/>
          <w:szCs w:val="20"/>
          <w:lang w:val="es-ES" w:eastAsia="en-US"/>
        </w:rPr>
        <w:t>general y abstracta</w:t>
      </w:r>
      <w:r w:rsidRPr="00975C02">
        <w:rPr>
          <w:sz w:val="20"/>
          <w:szCs w:val="20"/>
          <w:lang w:val="es-ES" w:eastAsia="en-US"/>
        </w:rPr>
        <w:t>, que no corresponde sea aceptada sin más argumentación o análisis del contexto histórico, social y cultural en que se desarrollaron los modelos de enjuiciamiento penal en los países del continente americano y, en particular, de cómo estaba diseñado el Tribunal de Jurados en Nicaragua. Ello</w:t>
      </w:r>
      <w:r w:rsidR="00D70BA6" w:rsidRPr="00975C02">
        <w:rPr>
          <w:sz w:val="20"/>
          <w:szCs w:val="20"/>
          <w:lang w:val="es-ES" w:eastAsia="en-US"/>
        </w:rPr>
        <w:t>,</w:t>
      </w:r>
      <w:r w:rsidRPr="00975C02">
        <w:rPr>
          <w:sz w:val="20"/>
          <w:szCs w:val="20"/>
          <w:lang w:val="es-ES" w:eastAsia="en-US"/>
        </w:rPr>
        <w:t xml:space="preserve"> toda vez que histórica y tradicionalmente el veredicto del jurado en un sentido clásico no exigía una motivación o exteriorización de la fundamentación, ya que la apreciación de la prueba se basaba en la íntima convicción de los juzgadores</w:t>
      </w:r>
      <w:r w:rsidRPr="00975C02">
        <w:rPr>
          <w:sz w:val="20"/>
          <w:szCs w:val="20"/>
          <w:vertAlign w:val="superscript"/>
          <w:lang w:val="es-ES" w:eastAsia="en-US"/>
        </w:rPr>
        <w:footnoteReference w:id="336"/>
      </w:r>
      <w:r w:rsidR="009B6CB9" w:rsidRPr="00975C02">
        <w:rPr>
          <w:sz w:val="20"/>
          <w:szCs w:val="20"/>
          <w:lang w:val="es-ES" w:eastAsia="en-US"/>
        </w:rPr>
        <w:t>. En este sentido, la Corte nota que la Comisión no expuso un razonamiento que haga eco de las particularidades de la figura del jurado desde la óptica procesal, ni en particular de su regulación en Nicaragua, al plantear la cuestión de su convencionalidad.</w:t>
      </w:r>
    </w:p>
    <w:p w14:paraId="4B064E73" w14:textId="77777777" w:rsidR="00264C1D" w:rsidRPr="00975C02" w:rsidRDefault="00264C1D" w:rsidP="00264C1D">
      <w:pPr>
        <w:widowControl/>
        <w:tabs>
          <w:tab w:val="left" w:pos="567"/>
        </w:tabs>
        <w:adjustRightInd/>
        <w:spacing w:line="240" w:lineRule="auto"/>
        <w:textAlignment w:val="auto"/>
        <w:rPr>
          <w:sz w:val="20"/>
          <w:szCs w:val="20"/>
          <w:lang w:val="es-ES" w:eastAsia="en-US"/>
        </w:rPr>
      </w:pPr>
    </w:p>
    <w:p w14:paraId="4BFC7F79" w14:textId="34CFBE5E" w:rsidR="00043EAF" w:rsidRPr="00975C02" w:rsidRDefault="00BC2312" w:rsidP="00043EAF">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La Corte estima, como lo ha hecho el Tribunal Europeo de Derechos Humanos, </w:t>
      </w:r>
      <w:r w:rsidRPr="00975C02">
        <w:rPr>
          <w:rFonts w:eastAsia="Calibri"/>
          <w:kern w:val="1"/>
          <w:sz w:val="20"/>
          <w:lang w:val="es-ES" w:eastAsia="en-US"/>
        </w:rPr>
        <w:t>que</w:t>
      </w:r>
      <w:r w:rsidRPr="00975C02">
        <w:rPr>
          <w:sz w:val="20"/>
          <w:szCs w:val="20"/>
          <w:lang w:val="es-ES" w:eastAsia="en-US"/>
        </w:rPr>
        <w:t xml:space="preserve"> la falta de </w:t>
      </w:r>
      <w:r w:rsidR="00BD142E" w:rsidRPr="00975C02">
        <w:rPr>
          <w:sz w:val="20"/>
          <w:szCs w:val="20"/>
          <w:lang w:val="es-ES" w:eastAsia="en-US"/>
        </w:rPr>
        <w:t>exteriorización de la fundamentación</w:t>
      </w:r>
      <w:r w:rsidRPr="00975C02">
        <w:rPr>
          <w:sz w:val="20"/>
          <w:szCs w:val="20"/>
          <w:lang w:val="es-ES" w:eastAsia="en-US"/>
        </w:rPr>
        <w:t xml:space="preserve"> del veredicto no vulnera en sí misma la garantía de la motivación</w:t>
      </w:r>
      <w:r w:rsidRPr="00975C02">
        <w:rPr>
          <w:sz w:val="20"/>
          <w:szCs w:val="20"/>
          <w:vertAlign w:val="superscript"/>
          <w:lang w:val="es-ES" w:eastAsia="en-US"/>
        </w:rPr>
        <w:footnoteReference w:id="337"/>
      </w:r>
      <w:r w:rsidRPr="00975C02">
        <w:rPr>
          <w:sz w:val="20"/>
          <w:szCs w:val="20"/>
          <w:lang w:val="es-ES" w:eastAsia="en-US"/>
        </w:rPr>
        <w:t>.</w:t>
      </w:r>
      <w:r w:rsidR="00327B38" w:rsidRPr="00975C02">
        <w:rPr>
          <w:sz w:val="20"/>
          <w:szCs w:val="20"/>
          <w:lang w:val="es-ES" w:eastAsia="en-US"/>
        </w:rPr>
        <w:t xml:space="preserve"> </w:t>
      </w:r>
      <w:r w:rsidR="0041516D" w:rsidRPr="00975C02">
        <w:rPr>
          <w:sz w:val="20"/>
          <w:szCs w:val="20"/>
          <w:lang w:val="es-ES" w:eastAsia="en-US"/>
        </w:rPr>
        <w:t xml:space="preserve">En efecto, </w:t>
      </w:r>
      <w:r w:rsidR="00127805" w:rsidRPr="00975C02">
        <w:rPr>
          <w:sz w:val="20"/>
          <w:szCs w:val="20"/>
          <w:lang w:val="es-ES" w:eastAsia="en-US"/>
        </w:rPr>
        <w:t>todo veredicto siempre tiene motivación, aunque como corresponde a la esencia del jurado, no se expresa. Pero el veredicto debe permitir que, a la luz de las pruebas y el debate en la audiencia, quien lo valora pueda reconstruir el curso lógico d</w:t>
      </w:r>
      <w:r w:rsidR="00D70BA6" w:rsidRPr="00975C02">
        <w:rPr>
          <w:sz w:val="20"/>
          <w:szCs w:val="20"/>
          <w:lang w:val="es-ES" w:eastAsia="en-US"/>
        </w:rPr>
        <w:t>e</w:t>
      </w:r>
      <w:r w:rsidR="00127805" w:rsidRPr="00975C02">
        <w:rPr>
          <w:sz w:val="20"/>
          <w:szCs w:val="20"/>
          <w:lang w:val="es-ES" w:eastAsia="en-US"/>
        </w:rPr>
        <w:t xml:space="preserve"> la decisión de los </w:t>
      </w:r>
      <w:r w:rsidR="00D70BA6" w:rsidRPr="00975C02">
        <w:rPr>
          <w:sz w:val="20"/>
          <w:szCs w:val="20"/>
          <w:lang w:val="es-ES" w:eastAsia="en-US"/>
        </w:rPr>
        <w:t>j</w:t>
      </w:r>
      <w:r w:rsidR="00127805" w:rsidRPr="00975C02">
        <w:rPr>
          <w:sz w:val="20"/>
          <w:szCs w:val="20"/>
          <w:lang w:val="es-ES" w:eastAsia="en-US"/>
        </w:rPr>
        <w:t>urados, quienes habrían incurrido en arbitrariedad en el supuesto en que esta reconstrucción no fuera viable conforme a pautas racionales</w:t>
      </w:r>
      <w:r w:rsidR="004C3D74" w:rsidRPr="00975C02">
        <w:rPr>
          <w:sz w:val="20"/>
          <w:szCs w:val="20"/>
          <w:lang w:val="es-ES" w:eastAsia="en-US"/>
        </w:rPr>
        <w:t>.</w:t>
      </w:r>
    </w:p>
    <w:p w14:paraId="30B31BCD" w14:textId="77777777" w:rsidR="0006089B" w:rsidRPr="00975C02" w:rsidRDefault="0006089B" w:rsidP="0006089B">
      <w:pPr>
        <w:widowControl/>
        <w:tabs>
          <w:tab w:val="left" w:pos="567"/>
        </w:tabs>
        <w:adjustRightInd/>
        <w:spacing w:line="240" w:lineRule="auto"/>
        <w:textAlignment w:val="auto"/>
        <w:rPr>
          <w:sz w:val="20"/>
          <w:szCs w:val="20"/>
          <w:lang w:val="es-ES" w:eastAsia="en-US"/>
        </w:rPr>
      </w:pPr>
    </w:p>
    <w:p w14:paraId="623E4EF4" w14:textId="14A32847" w:rsidR="0006089B" w:rsidRPr="00975C02" w:rsidRDefault="00EC10CC" w:rsidP="00EC10CC">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Algunos de los Estados de la OEA que implementan el sistema de enjuiciamiento por jurados establecen expresamente diferentes garantías de interdicción de la arbitrariedad en la decisión. Las instrucciones judiciales al jurado están previstas en las legislaciones procesales de Canadá</w:t>
      </w:r>
      <w:r w:rsidRPr="00975C02">
        <w:rPr>
          <w:rStyle w:val="FootnoteReference"/>
          <w:sz w:val="20"/>
          <w:szCs w:val="20"/>
          <w:lang w:val="es-ES"/>
        </w:rPr>
        <w:footnoteReference w:id="338"/>
      </w:r>
      <w:r w:rsidRPr="00975C02">
        <w:rPr>
          <w:sz w:val="20"/>
          <w:szCs w:val="20"/>
          <w:lang w:val="es-ES"/>
        </w:rPr>
        <w:t>, Estados Unidos</w:t>
      </w:r>
      <w:r w:rsidRPr="00975C02">
        <w:rPr>
          <w:rStyle w:val="FootnoteReference"/>
          <w:sz w:val="20"/>
          <w:szCs w:val="20"/>
          <w:lang w:val="es-ES"/>
        </w:rPr>
        <w:footnoteReference w:id="339"/>
      </w:r>
      <w:r w:rsidRPr="00975C02">
        <w:rPr>
          <w:sz w:val="20"/>
          <w:szCs w:val="20"/>
          <w:lang w:val="es-ES"/>
        </w:rPr>
        <w:t>, Nicaragua</w:t>
      </w:r>
      <w:r w:rsidR="00D70BA6" w:rsidRPr="00975C02">
        <w:rPr>
          <w:sz w:val="20"/>
          <w:szCs w:val="20"/>
          <w:lang w:val="es-ES"/>
        </w:rPr>
        <w:t xml:space="preserve"> en la actualidad</w:t>
      </w:r>
      <w:r w:rsidRPr="00975C02">
        <w:rPr>
          <w:rStyle w:val="FootnoteReference"/>
          <w:sz w:val="20"/>
          <w:szCs w:val="20"/>
          <w:lang w:val="es-ES"/>
        </w:rPr>
        <w:footnoteReference w:id="340"/>
      </w:r>
      <w:r w:rsidRPr="00975C02">
        <w:rPr>
          <w:sz w:val="20"/>
          <w:szCs w:val="20"/>
          <w:lang w:val="es-ES"/>
        </w:rPr>
        <w:t>, Panamá</w:t>
      </w:r>
      <w:r w:rsidRPr="00975C02">
        <w:rPr>
          <w:rStyle w:val="FootnoteReference"/>
          <w:sz w:val="20"/>
          <w:szCs w:val="20"/>
          <w:lang w:val="es-ES"/>
        </w:rPr>
        <w:footnoteReference w:id="341"/>
      </w:r>
      <w:r w:rsidRPr="00975C02">
        <w:rPr>
          <w:sz w:val="20"/>
          <w:szCs w:val="20"/>
          <w:lang w:val="es-ES"/>
        </w:rPr>
        <w:t xml:space="preserve">, </w:t>
      </w:r>
      <w:r w:rsidR="00D70BA6" w:rsidRPr="00975C02">
        <w:rPr>
          <w:sz w:val="20"/>
          <w:szCs w:val="20"/>
          <w:lang w:val="es-ES"/>
        </w:rPr>
        <w:t xml:space="preserve">El </w:t>
      </w:r>
      <w:r w:rsidRPr="00975C02">
        <w:rPr>
          <w:sz w:val="20"/>
          <w:szCs w:val="20"/>
          <w:lang w:val="es-ES"/>
        </w:rPr>
        <w:t>Salvador</w:t>
      </w:r>
      <w:r w:rsidRPr="00975C02">
        <w:rPr>
          <w:rStyle w:val="FootnoteReference"/>
          <w:sz w:val="20"/>
          <w:szCs w:val="20"/>
          <w:lang w:val="es-ES"/>
        </w:rPr>
        <w:footnoteReference w:id="342"/>
      </w:r>
      <w:r w:rsidRPr="00975C02">
        <w:rPr>
          <w:sz w:val="20"/>
          <w:szCs w:val="20"/>
          <w:lang w:val="es-ES"/>
        </w:rPr>
        <w:t>, y las provincias argentinas de Buenos Aires</w:t>
      </w:r>
      <w:r w:rsidRPr="00975C02">
        <w:rPr>
          <w:rStyle w:val="FootnoteReference"/>
          <w:sz w:val="20"/>
          <w:szCs w:val="20"/>
          <w:lang w:val="es-ES"/>
        </w:rPr>
        <w:footnoteReference w:id="343"/>
      </w:r>
      <w:r w:rsidRPr="00975C02">
        <w:rPr>
          <w:sz w:val="20"/>
          <w:szCs w:val="20"/>
          <w:lang w:val="es-ES"/>
        </w:rPr>
        <w:t>, Chaco</w:t>
      </w:r>
      <w:r w:rsidRPr="00975C02">
        <w:rPr>
          <w:rStyle w:val="FootnoteReference"/>
          <w:sz w:val="20"/>
          <w:szCs w:val="20"/>
          <w:lang w:val="es-ES"/>
        </w:rPr>
        <w:footnoteReference w:id="344"/>
      </w:r>
      <w:r w:rsidR="00F17651" w:rsidRPr="00975C02">
        <w:rPr>
          <w:sz w:val="20"/>
          <w:szCs w:val="20"/>
          <w:lang w:val="es-ES"/>
        </w:rPr>
        <w:t>,</w:t>
      </w:r>
      <w:r w:rsidRPr="00975C02">
        <w:rPr>
          <w:sz w:val="20"/>
          <w:szCs w:val="20"/>
          <w:lang w:val="es-ES"/>
        </w:rPr>
        <w:t xml:space="preserve"> Neuquén</w:t>
      </w:r>
      <w:r w:rsidRPr="00975C02">
        <w:rPr>
          <w:sz w:val="20"/>
          <w:szCs w:val="20"/>
          <w:vertAlign w:val="superscript"/>
          <w:lang w:val="es-ES"/>
        </w:rPr>
        <w:footnoteReference w:id="345"/>
      </w:r>
      <w:r w:rsidR="00F17651" w:rsidRPr="00975C02">
        <w:rPr>
          <w:sz w:val="20"/>
          <w:szCs w:val="20"/>
          <w:lang w:val="es-ES"/>
        </w:rPr>
        <w:t xml:space="preserve"> y Río Negro</w:t>
      </w:r>
      <w:r w:rsidR="00F17651" w:rsidRPr="00975C02">
        <w:rPr>
          <w:rStyle w:val="FootnoteReference"/>
          <w:sz w:val="20"/>
          <w:szCs w:val="20"/>
          <w:lang w:val="es-ES"/>
        </w:rPr>
        <w:footnoteReference w:id="346"/>
      </w:r>
      <w:r w:rsidRPr="00975C02">
        <w:rPr>
          <w:sz w:val="20"/>
          <w:szCs w:val="20"/>
          <w:lang w:val="es-ES"/>
        </w:rPr>
        <w:t xml:space="preserve">. La legislación panameña </w:t>
      </w:r>
      <w:r w:rsidRPr="00975C02">
        <w:rPr>
          <w:sz w:val="20"/>
          <w:szCs w:val="20"/>
          <w:lang w:val="es-ES"/>
        </w:rPr>
        <w:lastRenderedPageBreak/>
        <w:t>establece además que el juez técnico entregará a los jurados un cuestionario con las cuestiones a resolver, cuya respuesta deberán dar por escrito y se agregará al expediente</w:t>
      </w:r>
      <w:r w:rsidRPr="00975C02">
        <w:rPr>
          <w:rStyle w:val="FootnoteReference"/>
          <w:sz w:val="20"/>
          <w:szCs w:val="20"/>
          <w:lang w:val="es-ES"/>
        </w:rPr>
        <w:footnoteReference w:id="347"/>
      </w:r>
      <w:r w:rsidRPr="00975C02">
        <w:rPr>
          <w:sz w:val="20"/>
          <w:szCs w:val="20"/>
          <w:lang w:val="es-ES"/>
        </w:rPr>
        <w:t>. Asimismo, la legislación de la provincia argentina de Buenos Aires</w:t>
      </w:r>
      <w:r w:rsidRPr="00975C02">
        <w:rPr>
          <w:rStyle w:val="FootnoteReference"/>
          <w:sz w:val="20"/>
          <w:szCs w:val="20"/>
          <w:lang w:val="es-ES"/>
        </w:rPr>
        <w:footnoteReference w:id="348"/>
      </w:r>
      <w:r w:rsidRPr="00975C02">
        <w:rPr>
          <w:sz w:val="20"/>
          <w:szCs w:val="20"/>
          <w:lang w:val="es-ES"/>
        </w:rPr>
        <w:t xml:space="preserve"> prevé que, cuando el veredicto de culpabilidad resulte manifiestamente contrario a la prueba producida en el proceso, el juez puede anular</w:t>
      </w:r>
      <w:r w:rsidR="00862C0A">
        <w:rPr>
          <w:sz w:val="20"/>
          <w:szCs w:val="20"/>
          <w:lang w:val="es-ES"/>
        </w:rPr>
        <w:t xml:space="preserve">lo </w:t>
      </w:r>
      <w:r w:rsidRPr="00975C02">
        <w:rPr>
          <w:sz w:val="20"/>
          <w:szCs w:val="20"/>
          <w:lang w:val="es-ES"/>
        </w:rPr>
        <w:t>y ordenar un nuevo debate con otro tribunal. Por otra parte, la facultad de recusación con y sin expresión de causa se encuentra reconocida en los sistemas de Panamá</w:t>
      </w:r>
      <w:r w:rsidRPr="00975C02">
        <w:rPr>
          <w:rStyle w:val="FootnoteReference"/>
          <w:sz w:val="20"/>
          <w:szCs w:val="20"/>
          <w:lang w:val="es-ES"/>
        </w:rPr>
        <w:footnoteReference w:id="349"/>
      </w:r>
      <w:r w:rsidRPr="00975C02">
        <w:rPr>
          <w:sz w:val="20"/>
          <w:szCs w:val="20"/>
          <w:lang w:val="es-ES"/>
        </w:rPr>
        <w:t xml:space="preserve"> y de las provincias argentinas de Chaco</w:t>
      </w:r>
      <w:r w:rsidRPr="00975C02">
        <w:rPr>
          <w:rStyle w:val="FootnoteReference"/>
          <w:sz w:val="20"/>
          <w:szCs w:val="20"/>
          <w:lang w:val="es-ES"/>
        </w:rPr>
        <w:footnoteReference w:id="350"/>
      </w:r>
      <w:r w:rsidR="00F17651" w:rsidRPr="00975C02">
        <w:rPr>
          <w:sz w:val="20"/>
          <w:szCs w:val="20"/>
          <w:lang w:val="es-ES"/>
        </w:rPr>
        <w:t>,</w:t>
      </w:r>
      <w:r w:rsidRPr="00975C02">
        <w:rPr>
          <w:sz w:val="20"/>
          <w:szCs w:val="20"/>
          <w:lang w:val="es-ES"/>
        </w:rPr>
        <w:t xml:space="preserve"> Córdoba</w:t>
      </w:r>
      <w:r w:rsidRPr="00975C02">
        <w:rPr>
          <w:rStyle w:val="FootnoteReference"/>
          <w:sz w:val="20"/>
          <w:szCs w:val="20"/>
          <w:lang w:val="es-ES"/>
        </w:rPr>
        <w:footnoteReference w:id="351"/>
      </w:r>
      <w:r w:rsidR="00F17651" w:rsidRPr="00975C02">
        <w:rPr>
          <w:sz w:val="20"/>
          <w:szCs w:val="20"/>
          <w:lang w:val="es-ES"/>
        </w:rPr>
        <w:t xml:space="preserve"> y Río Negro</w:t>
      </w:r>
      <w:r w:rsidR="00F17651" w:rsidRPr="00975C02">
        <w:rPr>
          <w:rStyle w:val="FootnoteReference"/>
          <w:sz w:val="20"/>
          <w:szCs w:val="20"/>
          <w:lang w:val="es-ES"/>
        </w:rPr>
        <w:footnoteReference w:id="352"/>
      </w:r>
      <w:r w:rsidRPr="00975C02">
        <w:rPr>
          <w:sz w:val="20"/>
          <w:szCs w:val="20"/>
          <w:lang w:val="es-ES"/>
        </w:rPr>
        <w:t>. Asimismo, las legislaciones de Estados Unidos</w:t>
      </w:r>
      <w:r w:rsidRPr="00975C02">
        <w:rPr>
          <w:rStyle w:val="FootnoteReference"/>
          <w:sz w:val="20"/>
          <w:szCs w:val="20"/>
          <w:lang w:val="es-ES"/>
        </w:rPr>
        <w:footnoteReference w:id="353"/>
      </w:r>
      <w:r w:rsidRPr="00975C02">
        <w:rPr>
          <w:sz w:val="20"/>
          <w:szCs w:val="20"/>
          <w:lang w:val="es-ES"/>
        </w:rPr>
        <w:t>, Nicaragua</w:t>
      </w:r>
      <w:r w:rsidRPr="00975C02">
        <w:rPr>
          <w:rStyle w:val="FootnoteReference"/>
          <w:sz w:val="20"/>
          <w:szCs w:val="20"/>
          <w:lang w:val="es-ES"/>
        </w:rPr>
        <w:footnoteReference w:id="354"/>
      </w:r>
      <w:r w:rsidRPr="00975C02">
        <w:rPr>
          <w:sz w:val="20"/>
          <w:szCs w:val="20"/>
          <w:lang w:val="es-ES"/>
        </w:rPr>
        <w:t xml:space="preserve"> y </w:t>
      </w:r>
      <w:r w:rsidR="00884552" w:rsidRPr="00975C02">
        <w:rPr>
          <w:sz w:val="20"/>
          <w:szCs w:val="20"/>
          <w:lang w:val="es-ES"/>
        </w:rPr>
        <w:t xml:space="preserve">en </w:t>
      </w:r>
      <w:r w:rsidRPr="00975C02">
        <w:rPr>
          <w:sz w:val="20"/>
          <w:szCs w:val="20"/>
          <w:lang w:val="es-ES"/>
        </w:rPr>
        <w:t>las provincias argentinas de Buenos Aires</w:t>
      </w:r>
      <w:r w:rsidRPr="00975C02">
        <w:rPr>
          <w:rStyle w:val="FootnoteReference"/>
          <w:sz w:val="20"/>
          <w:szCs w:val="20"/>
          <w:lang w:val="es-ES"/>
        </w:rPr>
        <w:footnoteReference w:id="355"/>
      </w:r>
      <w:r w:rsidRPr="00975C02">
        <w:rPr>
          <w:sz w:val="20"/>
          <w:szCs w:val="20"/>
          <w:lang w:val="es-ES"/>
        </w:rPr>
        <w:t>, Chaco</w:t>
      </w:r>
      <w:r w:rsidRPr="00975C02">
        <w:rPr>
          <w:rStyle w:val="FootnoteReference"/>
          <w:sz w:val="20"/>
          <w:szCs w:val="20"/>
          <w:lang w:val="es-ES"/>
        </w:rPr>
        <w:footnoteReference w:id="356"/>
      </w:r>
      <w:r w:rsidR="00F17651" w:rsidRPr="00975C02">
        <w:rPr>
          <w:sz w:val="20"/>
          <w:szCs w:val="20"/>
          <w:lang w:val="es-ES"/>
        </w:rPr>
        <w:t>,</w:t>
      </w:r>
      <w:r w:rsidRPr="00975C02">
        <w:rPr>
          <w:sz w:val="20"/>
          <w:szCs w:val="20"/>
          <w:lang w:val="es-ES"/>
        </w:rPr>
        <w:t xml:space="preserve"> Neuquén</w:t>
      </w:r>
      <w:r w:rsidRPr="00975C02">
        <w:rPr>
          <w:rStyle w:val="FootnoteReference"/>
          <w:sz w:val="20"/>
          <w:szCs w:val="20"/>
          <w:lang w:val="es-ES"/>
        </w:rPr>
        <w:footnoteReference w:id="357"/>
      </w:r>
      <w:r w:rsidR="00F17651" w:rsidRPr="00975C02">
        <w:rPr>
          <w:sz w:val="20"/>
          <w:szCs w:val="20"/>
          <w:lang w:val="es-ES"/>
        </w:rPr>
        <w:t xml:space="preserve"> y Río Negro</w:t>
      </w:r>
      <w:r w:rsidR="00F17651" w:rsidRPr="00975C02">
        <w:rPr>
          <w:rStyle w:val="FootnoteReference"/>
          <w:sz w:val="20"/>
          <w:szCs w:val="20"/>
          <w:lang w:val="es-ES"/>
        </w:rPr>
        <w:footnoteReference w:id="358"/>
      </w:r>
      <w:r w:rsidRPr="00975C02">
        <w:rPr>
          <w:sz w:val="20"/>
          <w:szCs w:val="20"/>
          <w:lang w:val="es-ES"/>
        </w:rPr>
        <w:t xml:space="preserve">, establecen una audiencia especial o momento procesal específico, previo al juicio oral, para la selección de los integrantes del jurado </w:t>
      </w:r>
      <w:r w:rsidRPr="00975C02">
        <w:rPr>
          <w:color w:val="000000"/>
          <w:sz w:val="20"/>
          <w:szCs w:val="20"/>
          <w:lang w:val="es-ES"/>
        </w:rPr>
        <w:t>(</w:t>
      </w:r>
      <w:r w:rsidRPr="00975C02">
        <w:rPr>
          <w:i/>
          <w:color w:val="000000"/>
          <w:sz w:val="20"/>
          <w:szCs w:val="20"/>
          <w:lang w:val="es-ES"/>
        </w:rPr>
        <w:t>voir dire</w:t>
      </w:r>
      <w:r w:rsidRPr="00975C02">
        <w:rPr>
          <w:color w:val="000000"/>
          <w:sz w:val="20"/>
          <w:szCs w:val="20"/>
          <w:lang w:val="es-ES"/>
        </w:rPr>
        <w:t xml:space="preserve">), donde las partes cuentan con el derecho de vetar o recusar a los </w:t>
      </w:r>
      <w:r w:rsidRPr="00975C02">
        <w:rPr>
          <w:sz w:val="20"/>
          <w:szCs w:val="20"/>
          <w:lang w:val="es-ES" w:eastAsia="en-US"/>
        </w:rPr>
        <w:t>potenciales</w:t>
      </w:r>
      <w:r w:rsidRPr="00975C02">
        <w:rPr>
          <w:color w:val="000000"/>
          <w:sz w:val="20"/>
          <w:szCs w:val="20"/>
          <w:lang w:val="es-ES"/>
        </w:rPr>
        <w:t xml:space="preserve"> jurados </w:t>
      </w:r>
      <w:r w:rsidR="00884552" w:rsidRPr="00975C02">
        <w:rPr>
          <w:color w:val="000000"/>
          <w:sz w:val="20"/>
          <w:szCs w:val="20"/>
          <w:lang w:val="es-ES"/>
        </w:rPr>
        <w:t xml:space="preserve">con </w:t>
      </w:r>
      <w:r w:rsidRPr="00975C02">
        <w:rPr>
          <w:color w:val="000000"/>
          <w:sz w:val="20"/>
          <w:szCs w:val="20"/>
          <w:lang w:val="es-ES"/>
        </w:rPr>
        <w:t xml:space="preserve">base </w:t>
      </w:r>
      <w:r w:rsidR="00884552" w:rsidRPr="00975C02">
        <w:rPr>
          <w:color w:val="000000"/>
          <w:sz w:val="20"/>
          <w:szCs w:val="20"/>
          <w:lang w:val="es-ES"/>
        </w:rPr>
        <w:t>en</w:t>
      </w:r>
      <w:r w:rsidRPr="00975C02">
        <w:rPr>
          <w:color w:val="000000"/>
          <w:sz w:val="20"/>
          <w:szCs w:val="20"/>
          <w:lang w:val="es-ES"/>
        </w:rPr>
        <w:t xml:space="preserve"> preguntas que pueden formularles sobre circunstancias que afecten su imparcialidad</w:t>
      </w:r>
      <w:r w:rsidRPr="00975C02">
        <w:rPr>
          <w:rStyle w:val="FootnoteReference"/>
          <w:color w:val="000000"/>
          <w:sz w:val="20"/>
          <w:szCs w:val="20"/>
          <w:lang w:val="es-ES"/>
        </w:rPr>
        <w:footnoteReference w:id="359"/>
      </w:r>
      <w:r w:rsidRPr="00975C02">
        <w:rPr>
          <w:color w:val="000000"/>
          <w:sz w:val="20"/>
          <w:szCs w:val="20"/>
          <w:lang w:val="es-ES"/>
        </w:rPr>
        <w:t>.</w:t>
      </w:r>
      <w:r w:rsidRPr="00975C02">
        <w:rPr>
          <w:sz w:val="20"/>
          <w:szCs w:val="20"/>
          <w:lang w:val="es-ES"/>
        </w:rPr>
        <w:t xml:space="preserve"> Por otra parte, la normativa de Estados Unidos</w:t>
      </w:r>
      <w:r w:rsidRPr="00975C02">
        <w:rPr>
          <w:rStyle w:val="FootnoteReference"/>
          <w:sz w:val="20"/>
          <w:szCs w:val="20"/>
          <w:lang w:val="es-ES"/>
        </w:rPr>
        <w:footnoteReference w:id="360"/>
      </w:r>
      <w:r w:rsidRPr="00975C02">
        <w:rPr>
          <w:sz w:val="20"/>
          <w:szCs w:val="20"/>
          <w:lang w:val="es-ES"/>
        </w:rPr>
        <w:t xml:space="preserve"> y de la provincia argentina de Chaco</w:t>
      </w:r>
      <w:r w:rsidRPr="00975C02">
        <w:rPr>
          <w:rStyle w:val="FootnoteReference"/>
          <w:sz w:val="20"/>
          <w:szCs w:val="20"/>
          <w:lang w:val="es-ES"/>
        </w:rPr>
        <w:footnoteReference w:id="361"/>
      </w:r>
      <w:r w:rsidRPr="00975C02">
        <w:rPr>
          <w:sz w:val="20"/>
          <w:szCs w:val="20"/>
          <w:lang w:val="es-ES"/>
        </w:rPr>
        <w:t xml:space="preserve"> establecen la facultad de las partes o del juez, tras el resultado del veredicto, de indagar a los jurados individualmente sobre la efectiva existencia de unanimidad en la decisión del veredicto. La legislación de la provincia argentina de Córdoba</w:t>
      </w:r>
      <w:r w:rsidRPr="00975C02">
        <w:rPr>
          <w:rStyle w:val="FootnoteReference"/>
          <w:sz w:val="20"/>
          <w:szCs w:val="20"/>
          <w:lang w:val="es-ES"/>
        </w:rPr>
        <w:footnoteReference w:id="362"/>
      </w:r>
      <w:r w:rsidRPr="00975C02">
        <w:rPr>
          <w:sz w:val="20"/>
          <w:szCs w:val="20"/>
          <w:lang w:val="es-ES"/>
        </w:rPr>
        <w:t xml:space="preserve"> prevé también cursos de capacitación para ciudadanos con el objeto de promover el conocimiento y adecuado cumplimiento de la función judicial de los jurados. La asistencia y aprobación de dichos cursos no constituye un requisito para ejercer la función del jurado, pero sirve para acreditar </w:t>
      </w:r>
      <w:r w:rsidR="00884552" w:rsidRPr="00975C02">
        <w:rPr>
          <w:sz w:val="20"/>
          <w:szCs w:val="20"/>
          <w:lang w:val="es-ES"/>
        </w:rPr>
        <w:t xml:space="preserve">la </w:t>
      </w:r>
      <w:r w:rsidRPr="00975C02">
        <w:rPr>
          <w:sz w:val="20"/>
          <w:szCs w:val="20"/>
          <w:lang w:val="es-ES"/>
        </w:rPr>
        <w:t>idoneidad para cumplirla.</w:t>
      </w:r>
    </w:p>
    <w:p w14:paraId="0B67CB6C" w14:textId="77777777" w:rsidR="00327B38" w:rsidRPr="00975C02" w:rsidRDefault="00327B38" w:rsidP="00327B38">
      <w:pPr>
        <w:widowControl/>
        <w:tabs>
          <w:tab w:val="left" w:pos="567"/>
        </w:tabs>
        <w:adjustRightInd/>
        <w:spacing w:line="240" w:lineRule="auto"/>
        <w:textAlignment w:val="auto"/>
        <w:rPr>
          <w:sz w:val="20"/>
          <w:szCs w:val="20"/>
          <w:lang w:val="es-ES" w:eastAsia="en-US"/>
        </w:rPr>
      </w:pPr>
    </w:p>
    <w:p w14:paraId="27F3AD7A" w14:textId="77777777" w:rsidR="0041516D" w:rsidRPr="00975C02" w:rsidRDefault="00B5625C" w:rsidP="00730B0A">
      <w:pPr>
        <w:widowControl/>
        <w:numPr>
          <w:ilvl w:val="0"/>
          <w:numId w:val="2"/>
        </w:numPr>
        <w:tabs>
          <w:tab w:val="left" w:pos="567"/>
          <w:tab w:val="num" w:pos="12305"/>
        </w:tabs>
        <w:adjustRightInd/>
        <w:spacing w:line="240" w:lineRule="auto"/>
        <w:ind w:left="0" w:firstLine="0"/>
        <w:textAlignment w:val="auto"/>
        <w:rPr>
          <w:sz w:val="16"/>
          <w:szCs w:val="16"/>
          <w:lang w:val="es-ES" w:eastAsia="en-US"/>
        </w:rPr>
      </w:pPr>
      <w:r w:rsidRPr="00975C02">
        <w:rPr>
          <w:sz w:val="20"/>
          <w:szCs w:val="20"/>
          <w:lang w:val="es-ES" w:eastAsia="en-US"/>
        </w:rPr>
        <w:lastRenderedPageBreak/>
        <w:t xml:space="preserve">En ese sentido el Tribunal Europeo de Derechos Humanos ha </w:t>
      </w:r>
      <w:r w:rsidR="0041516D" w:rsidRPr="00975C02">
        <w:rPr>
          <w:sz w:val="20"/>
          <w:szCs w:val="20"/>
          <w:lang w:val="es-ES" w:eastAsia="en-US"/>
        </w:rPr>
        <w:t xml:space="preserve">determinado que el sistema de decisión por íntima convicción no vulnera en sí el derecho a un juicio justo siempre que, del conjunto de actuaciones realizadas en el procedimiento, la persona interesada –en ese caso la condenada- pueda entender las razones de la </w:t>
      </w:r>
      <w:r w:rsidR="00FD4557" w:rsidRPr="00975C02">
        <w:rPr>
          <w:sz w:val="20"/>
          <w:szCs w:val="20"/>
          <w:lang w:val="es-ES" w:eastAsia="en-US"/>
        </w:rPr>
        <w:t>decisión</w:t>
      </w:r>
      <w:r w:rsidR="0041516D" w:rsidRPr="00975C02">
        <w:rPr>
          <w:sz w:val="20"/>
          <w:szCs w:val="20"/>
          <w:vertAlign w:val="superscript"/>
          <w:lang w:val="es-ES" w:eastAsia="en-US"/>
        </w:rPr>
        <w:footnoteReference w:id="363"/>
      </w:r>
      <w:r w:rsidR="0041516D" w:rsidRPr="00975C02">
        <w:rPr>
          <w:sz w:val="20"/>
          <w:szCs w:val="20"/>
          <w:lang w:val="es-ES" w:eastAsia="en-US"/>
        </w:rPr>
        <w:t>.</w:t>
      </w:r>
      <w:r w:rsidRPr="00975C02">
        <w:rPr>
          <w:sz w:val="20"/>
          <w:szCs w:val="20"/>
          <w:lang w:val="es-ES" w:eastAsia="en-US"/>
        </w:rPr>
        <w:t xml:space="preserve"> De esta forma, el Tribunal Europeo ha</w:t>
      </w:r>
      <w:r w:rsidR="0041516D" w:rsidRPr="00975C02">
        <w:rPr>
          <w:sz w:val="20"/>
          <w:szCs w:val="20"/>
          <w:lang w:val="es-ES" w:eastAsia="en-US"/>
        </w:rPr>
        <w:t xml:space="preserve"> precisado que:</w:t>
      </w:r>
    </w:p>
    <w:p w14:paraId="4A52E07C" w14:textId="77777777" w:rsidR="0041516D" w:rsidRPr="00975C02" w:rsidRDefault="0041516D" w:rsidP="0041516D">
      <w:pPr>
        <w:widowControl/>
        <w:tabs>
          <w:tab w:val="left" w:pos="567"/>
        </w:tabs>
        <w:adjustRightInd/>
        <w:spacing w:line="240" w:lineRule="auto"/>
        <w:ind w:left="567" w:right="582"/>
        <w:textAlignment w:val="auto"/>
        <w:rPr>
          <w:sz w:val="16"/>
          <w:szCs w:val="16"/>
          <w:lang w:val="es-ES" w:eastAsia="en-US"/>
        </w:rPr>
      </w:pPr>
    </w:p>
    <w:p w14:paraId="687AD39B" w14:textId="77777777" w:rsidR="0041516D" w:rsidRPr="00975C02" w:rsidRDefault="0041516D" w:rsidP="00520517">
      <w:pPr>
        <w:widowControl/>
        <w:adjustRightInd/>
        <w:spacing w:line="240" w:lineRule="auto"/>
        <w:ind w:left="567" w:right="582"/>
        <w:textAlignment w:val="auto"/>
        <w:rPr>
          <w:sz w:val="16"/>
          <w:szCs w:val="16"/>
          <w:lang w:val="es-ES" w:eastAsia="en-US"/>
        </w:rPr>
      </w:pPr>
      <w:r w:rsidRPr="00975C02">
        <w:rPr>
          <w:sz w:val="16"/>
          <w:szCs w:val="16"/>
          <w:lang w:val="es-ES"/>
        </w:rPr>
        <w:t xml:space="preserve">Teniendo en cuenta el hecho de que el cumplimiento de las exigencias del proceso justo se aprecia sobre la base del conjunto del procedimiento y dentro del contexto específico del sistema jurídico en cuestión, la tarea del Tribunal, frente a un veredicto no fundamentado, consiste en examinar si, a la luz de todas las circunstancias </w:t>
      </w:r>
      <w:r w:rsidRPr="00975C02">
        <w:rPr>
          <w:sz w:val="16"/>
          <w:szCs w:val="16"/>
          <w:lang w:val="es-ES" w:eastAsia="en-US"/>
        </w:rPr>
        <w:t>de</w:t>
      </w:r>
      <w:r w:rsidRPr="00975C02">
        <w:rPr>
          <w:sz w:val="16"/>
          <w:szCs w:val="16"/>
          <w:lang w:val="es-ES"/>
        </w:rPr>
        <w:t xml:space="preserve"> la causa, el procedimiento seguido ofreció suficientes garantías contra la arbitrariedad y permitió al acusado comprender su condena</w:t>
      </w:r>
      <w:r w:rsidRPr="00975C02">
        <w:rPr>
          <w:sz w:val="16"/>
          <w:szCs w:val="16"/>
          <w:vertAlign w:val="superscript"/>
          <w:lang w:val="es-ES"/>
        </w:rPr>
        <w:footnoteReference w:id="364"/>
      </w:r>
      <w:r w:rsidRPr="00975C02">
        <w:rPr>
          <w:sz w:val="16"/>
          <w:szCs w:val="16"/>
          <w:lang w:val="es-ES"/>
        </w:rPr>
        <w:t>.</w:t>
      </w:r>
    </w:p>
    <w:p w14:paraId="4B14C3FD" w14:textId="77777777" w:rsidR="00327B38" w:rsidRPr="00975C02" w:rsidRDefault="00327B38" w:rsidP="00327B38">
      <w:pPr>
        <w:widowControl/>
        <w:tabs>
          <w:tab w:val="left" w:pos="567"/>
        </w:tabs>
        <w:adjustRightInd/>
        <w:spacing w:line="240" w:lineRule="auto"/>
        <w:textAlignment w:val="auto"/>
        <w:rPr>
          <w:b/>
          <w:sz w:val="20"/>
          <w:lang w:val="es-ES" w:eastAsia="en-US"/>
        </w:rPr>
      </w:pPr>
    </w:p>
    <w:p w14:paraId="01D03BCA" w14:textId="77777777" w:rsidR="00127805" w:rsidRPr="00975C02" w:rsidRDefault="00127805" w:rsidP="004616A4">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La íntima convicción no es un criterio arbitrario. La libre valoración que hace el jurado no es sustancialmente diferente de la que puede hacer un juez técnico, sólo que no lo expresa. En definitiva, cualquier tribunal (técnico o popular) debe reconstruir un hecho pasado, para lo cual utiliza la lógica metodológica que es común a cualquier persona, pues no depende de que tenga o no formación o entrenamiento jurídico. Toda persona que debe reconstruir un hecho del pasado, consciente o inconscientemente, emplea el método histórico, o sea, en un primer paso delimita las pruebas que tendrá en cuenta (heurística); a continuación valora si esas pruebas no son </w:t>
      </w:r>
      <w:r w:rsidRPr="00975C02">
        <w:rPr>
          <w:sz w:val="20"/>
          <w:szCs w:val="20"/>
          <w:lang w:val="es-ES" w:eastAsia="en-US"/>
        </w:rPr>
        <w:t>materialmente</w:t>
      </w:r>
      <w:r w:rsidRPr="00975C02">
        <w:rPr>
          <w:sz w:val="20"/>
          <w:szCs w:val="20"/>
          <w:lang w:val="es-ES"/>
        </w:rPr>
        <w:t xml:space="preserve"> falsas (crítica externa); luego valora la verosimilitud del contenido de las pruebas (crítica interna) y, finalmente, llega a la síntesis. Quien valora el veredicto de un jurado, necesariamente debe reconstruir este camino, no bastando para descartarlo cualquier criterio diferente acerca de las críticas. Para descartar el veredicto de un jurado debe verificarse que la síntesis se aparte directamente de la lógica metodológica histórica antes referida, que es lo que sucede en el caso.</w:t>
      </w:r>
    </w:p>
    <w:p w14:paraId="65760EA5" w14:textId="77777777" w:rsidR="00127805" w:rsidRPr="00975C02" w:rsidRDefault="00127805" w:rsidP="00327B38">
      <w:pPr>
        <w:widowControl/>
        <w:tabs>
          <w:tab w:val="left" w:pos="567"/>
        </w:tabs>
        <w:adjustRightInd/>
        <w:spacing w:line="240" w:lineRule="auto"/>
        <w:textAlignment w:val="auto"/>
        <w:rPr>
          <w:sz w:val="20"/>
          <w:lang w:val="es-ES" w:eastAsia="en-US"/>
        </w:rPr>
      </w:pPr>
    </w:p>
    <w:p w14:paraId="76AFA337" w14:textId="722EE44C" w:rsidR="00327B38" w:rsidRPr="00975C02" w:rsidRDefault="001E5DF9" w:rsidP="00327B38">
      <w:pPr>
        <w:widowControl/>
        <w:numPr>
          <w:ilvl w:val="0"/>
          <w:numId w:val="2"/>
        </w:numPr>
        <w:tabs>
          <w:tab w:val="left" w:pos="567"/>
          <w:tab w:val="num" w:pos="12305"/>
        </w:tabs>
        <w:adjustRightInd/>
        <w:spacing w:line="240" w:lineRule="auto"/>
        <w:ind w:left="0" w:firstLine="0"/>
        <w:textAlignment w:val="auto"/>
        <w:rPr>
          <w:sz w:val="20"/>
          <w:lang w:val="es-ES" w:eastAsia="en-US"/>
        </w:rPr>
      </w:pPr>
      <w:r w:rsidRPr="00975C02">
        <w:rPr>
          <w:sz w:val="20"/>
          <w:szCs w:val="20"/>
          <w:lang w:val="es-ES" w:eastAsia="en-US"/>
        </w:rPr>
        <w:t>Por consiguiente, la Corte considera que lo que corresponde analizar es si el procedimiento penal en su conjunto ofreció mecanismos de salvaguardia contra la arbitrariedad y que permit</w:t>
      </w:r>
      <w:r w:rsidR="003245CC" w:rsidRPr="00975C02">
        <w:rPr>
          <w:sz w:val="20"/>
          <w:szCs w:val="20"/>
          <w:lang w:val="es-ES" w:eastAsia="en-US"/>
        </w:rPr>
        <w:t>ier</w:t>
      </w:r>
      <w:r w:rsidRPr="00975C02">
        <w:rPr>
          <w:sz w:val="20"/>
          <w:szCs w:val="20"/>
          <w:lang w:val="es-ES" w:eastAsia="en-US"/>
        </w:rPr>
        <w:t xml:space="preserve">an comprender las razones del veredicto –no acotado al acusado sino también a la víctima o a la parte acusadora-. En esencia, </w:t>
      </w:r>
      <w:r w:rsidR="00327B38" w:rsidRPr="00975C02">
        <w:rPr>
          <w:sz w:val="20"/>
          <w:lang w:val="es-ES" w:eastAsia="en-US"/>
        </w:rPr>
        <w:t xml:space="preserve">la necesidad de que el imputado y la víctima del delito </w:t>
      </w:r>
      <w:r w:rsidR="00327B38" w:rsidRPr="00975C02">
        <w:rPr>
          <w:sz w:val="20"/>
          <w:szCs w:val="20"/>
          <w:lang w:val="es-ES" w:eastAsia="en-US"/>
        </w:rPr>
        <w:t>o la parte acusadora</w:t>
      </w:r>
      <w:r w:rsidR="00327B38" w:rsidRPr="00975C02">
        <w:rPr>
          <w:sz w:val="20"/>
          <w:lang w:val="es-ES" w:eastAsia="en-US"/>
        </w:rPr>
        <w:t xml:space="preserve"> comprendan las razones de la decisión de culpabilidad o inocencia, que adopta el jurado a través de su veredicto, mantiene plena vigencia, como garantía contra la arbitrariedad</w:t>
      </w:r>
      <w:r w:rsidR="00327B38" w:rsidRPr="00975C02">
        <w:rPr>
          <w:sz w:val="20"/>
          <w:vertAlign w:val="superscript"/>
          <w:lang w:val="es-ES" w:eastAsia="en-US"/>
        </w:rPr>
        <w:footnoteReference w:id="365"/>
      </w:r>
      <w:r w:rsidR="00327B38" w:rsidRPr="00975C02">
        <w:rPr>
          <w:sz w:val="20"/>
          <w:lang w:val="es-ES" w:eastAsia="en-US"/>
        </w:rPr>
        <w:t>.</w:t>
      </w:r>
    </w:p>
    <w:p w14:paraId="4B155ACF" w14:textId="77777777" w:rsidR="00327B38" w:rsidRPr="00975C02" w:rsidRDefault="00327B38" w:rsidP="00327B38">
      <w:pPr>
        <w:widowControl/>
        <w:tabs>
          <w:tab w:val="left" w:pos="567"/>
        </w:tabs>
        <w:adjustRightInd/>
        <w:spacing w:line="240" w:lineRule="auto"/>
        <w:textAlignment w:val="auto"/>
        <w:rPr>
          <w:sz w:val="20"/>
          <w:szCs w:val="20"/>
          <w:lang w:val="es-ES" w:eastAsia="en-US"/>
        </w:rPr>
      </w:pPr>
    </w:p>
    <w:p w14:paraId="0D498B59" w14:textId="77777777" w:rsidR="00B5625C" w:rsidRPr="00975C02" w:rsidRDefault="00B5625C" w:rsidP="00F950BC">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lang w:val="es-ES" w:eastAsia="en-US"/>
        </w:rPr>
        <w:t>Ahora</w:t>
      </w:r>
      <w:r w:rsidRPr="00975C02">
        <w:rPr>
          <w:sz w:val="20"/>
          <w:szCs w:val="20"/>
          <w:lang w:val="es-ES" w:eastAsia="en-US"/>
        </w:rPr>
        <w:t xml:space="preserve"> bien, es necesario resaltar que el proceso penal por casos de violencia sexual lleva ínsito una serie de dificultades técnicas propias que hacen difícil su enjuiciamiento. Es común que existan escasas pruebas sobre lo sucedido, que el acusado afirme su inocencia, y que la discusión se circunscriba a la palabra de una persona contra otra. A ello se suman los prejuicios e ideas </w:t>
      </w:r>
      <w:r w:rsidR="00F950BC" w:rsidRPr="00975C02">
        <w:rPr>
          <w:sz w:val="20"/>
          <w:szCs w:val="20"/>
          <w:lang w:val="es-ES" w:eastAsia="en-US"/>
        </w:rPr>
        <w:t xml:space="preserve">preconcebidas y estereotipadas propias del sistema patriarcal </w:t>
      </w:r>
      <w:r w:rsidRPr="00975C02">
        <w:rPr>
          <w:sz w:val="20"/>
          <w:szCs w:val="20"/>
          <w:lang w:val="es-ES" w:eastAsia="en-US"/>
        </w:rPr>
        <w:t xml:space="preserve">que existen en el imaginario social </w:t>
      </w:r>
      <w:r w:rsidR="00F950BC" w:rsidRPr="00975C02">
        <w:rPr>
          <w:sz w:val="20"/>
          <w:szCs w:val="20"/>
          <w:lang w:val="es-ES" w:eastAsia="en-US"/>
        </w:rPr>
        <w:t>en torno a la</w:t>
      </w:r>
      <w:r w:rsidRPr="00975C02">
        <w:rPr>
          <w:sz w:val="20"/>
          <w:szCs w:val="20"/>
          <w:lang w:val="es-ES" w:eastAsia="en-US"/>
        </w:rPr>
        <w:t xml:space="preserve"> violencia sexual. Los jurados son susceptibles de trasladar al procedimiento tales prejuicios e ideas y ser </w:t>
      </w:r>
      <w:r w:rsidRPr="00975C02">
        <w:rPr>
          <w:sz w:val="20"/>
          <w:lang w:val="es-ES" w:eastAsia="en-US"/>
        </w:rPr>
        <w:t>influenciados</w:t>
      </w:r>
      <w:r w:rsidRPr="00975C02">
        <w:rPr>
          <w:sz w:val="20"/>
          <w:szCs w:val="20"/>
          <w:lang w:val="es-ES" w:eastAsia="en-US"/>
        </w:rPr>
        <w:t xml:space="preserve"> por ellos al momento de valorar la credibilidad de la víctima y la </w:t>
      </w:r>
      <w:r w:rsidRPr="00975C02">
        <w:rPr>
          <w:sz w:val="20"/>
          <w:lang w:val="es-ES" w:eastAsia="en-US"/>
        </w:rPr>
        <w:t>culpabilidad</w:t>
      </w:r>
      <w:r w:rsidRPr="00975C02">
        <w:rPr>
          <w:sz w:val="20"/>
          <w:szCs w:val="20"/>
          <w:lang w:val="es-ES" w:eastAsia="en-US"/>
        </w:rPr>
        <w:t xml:space="preserve"> del acusado, condicionando de modo especial a quienes no poseen una capacitación es</w:t>
      </w:r>
      <w:r w:rsidR="004727F1" w:rsidRPr="00975C02">
        <w:rPr>
          <w:sz w:val="20"/>
          <w:szCs w:val="20"/>
          <w:lang w:val="es-ES" w:eastAsia="en-US"/>
        </w:rPr>
        <w:t>pecial en este tipo de delitos.</w:t>
      </w:r>
    </w:p>
    <w:p w14:paraId="59738822" w14:textId="77777777" w:rsidR="00B5625C" w:rsidRPr="00975C02" w:rsidRDefault="00B5625C" w:rsidP="00B5625C">
      <w:pPr>
        <w:widowControl/>
        <w:adjustRightInd/>
        <w:spacing w:line="240" w:lineRule="auto"/>
        <w:textAlignment w:val="auto"/>
        <w:rPr>
          <w:sz w:val="20"/>
          <w:szCs w:val="20"/>
          <w:lang w:val="es-ES" w:eastAsia="en-US"/>
        </w:rPr>
      </w:pPr>
    </w:p>
    <w:p w14:paraId="403A6009" w14:textId="77777777" w:rsidR="00B5625C" w:rsidRPr="00975C02" w:rsidRDefault="004727F1" w:rsidP="005B0E5F">
      <w:pPr>
        <w:widowControl/>
        <w:numPr>
          <w:ilvl w:val="0"/>
          <w:numId w:val="2"/>
        </w:numPr>
        <w:tabs>
          <w:tab w:val="left" w:pos="567"/>
          <w:tab w:val="num" w:pos="12305"/>
        </w:tabs>
        <w:adjustRightInd/>
        <w:spacing w:line="240" w:lineRule="auto"/>
        <w:ind w:left="0" w:firstLine="0"/>
        <w:textAlignment w:val="auto"/>
        <w:rPr>
          <w:rFonts w:cs="Arial"/>
          <w:bCs/>
          <w:sz w:val="20"/>
          <w:szCs w:val="20"/>
          <w:lang w:val="es-ES"/>
        </w:rPr>
      </w:pPr>
      <w:r w:rsidRPr="00975C02">
        <w:rPr>
          <w:rFonts w:cs="Arial"/>
          <w:bCs/>
          <w:sz w:val="20"/>
          <w:szCs w:val="20"/>
          <w:lang w:val="es-ES"/>
        </w:rPr>
        <w:t>En razón de lo anterior</w:t>
      </w:r>
      <w:r w:rsidR="00B5625C" w:rsidRPr="00975C02">
        <w:rPr>
          <w:rFonts w:cs="Arial"/>
          <w:bCs/>
          <w:sz w:val="20"/>
          <w:szCs w:val="20"/>
          <w:lang w:val="es-ES"/>
        </w:rPr>
        <w:t>, en el caso de juicio por jurados, algunos sistemas prevén</w:t>
      </w:r>
      <w:r w:rsidR="003E488F" w:rsidRPr="00975C02">
        <w:rPr>
          <w:rFonts w:cs="Arial"/>
          <w:bCs/>
          <w:sz w:val="20"/>
          <w:szCs w:val="20"/>
          <w:lang w:val="es-ES"/>
        </w:rPr>
        <w:t>, como buenas prácticas,</w:t>
      </w:r>
      <w:r w:rsidR="00B5625C" w:rsidRPr="00975C02">
        <w:rPr>
          <w:rFonts w:cs="Arial"/>
          <w:bCs/>
          <w:sz w:val="20"/>
          <w:szCs w:val="20"/>
          <w:lang w:val="es-ES"/>
        </w:rPr>
        <w:t xml:space="preserve"> </w:t>
      </w:r>
      <w:r w:rsidR="003E488F" w:rsidRPr="00975C02">
        <w:rPr>
          <w:rFonts w:cs="Arial"/>
          <w:bCs/>
          <w:sz w:val="20"/>
          <w:szCs w:val="20"/>
          <w:lang w:val="es-ES"/>
        </w:rPr>
        <w:t xml:space="preserve">medidas para mitigar el impacto de tales </w:t>
      </w:r>
      <w:r w:rsidR="005C6502" w:rsidRPr="00975C02">
        <w:rPr>
          <w:rFonts w:cs="Arial"/>
          <w:bCs/>
          <w:sz w:val="20"/>
          <w:szCs w:val="20"/>
          <w:lang w:val="es-ES"/>
        </w:rPr>
        <w:t>condiciones</w:t>
      </w:r>
      <w:r w:rsidR="003E488F" w:rsidRPr="00975C02">
        <w:rPr>
          <w:rFonts w:cs="Arial"/>
          <w:bCs/>
          <w:sz w:val="20"/>
          <w:szCs w:val="20"/>
          <w:lang w:val="es-ES"/>
        </w:rPr>
        <w:t>. Así, establecen, por ejemplo,</w:t>
      </w:r>
      <w:r w:rsidR="00B5625C" w:rsidRPr="00975C02">
        <w:rPr>
          <w:rFonts w:cs="Arial"/>
          <w:bCs/>
          <w:sz w:val="20"/>
          <w:szCs w:val="20"/>
          <w:lang w:val="es-ES"/>
        </w:rPr>
        <w:t xml:space="preserve"> el ofrecimiento de pruebas de expertos, </w:t>
      </w:r>
      <w:r w:rsidR="00B5625C" w:rsidRPr="00975C02">
        <w:rPr>
          <w:sz w:val="20"/>
          <w:lang w:val="es-ES" w:eastAsia="en-US"/>
        </w:rPr>
        <w:t>llamadas</w:t>
      </w:r>
      <w:r w:rsidR="00B5625C" w:rsidRPr="00975C02">
        <w:rPr>
          <w:rFonts w:cs="Arial"/>
          <w:bCs/>
          <w:sz w:val="20"/>
          <w:szCs w:val="20"/>
          <w:lang w:val="es-ES"/>
        </w:rPr>
        <w:t xml:space="preserve"> pruebas contra-intuitivas, dirigidas a brindar información a los jurados sobre las particularidades de los hechos que se enjuiciarán, a fin de que puedan realizar una valoración de la prueba lo más objetivamente posible. Asimismo, se </w:t>
      </w:r>
      <w:r w:rsidR="003E488F" w:rsidRPr="00975C02">
        <w:rPr>
          <w:rFonts w:cs="Arial"/>
          <w:bCs/>
          <w:sz w:val="20"/>
          <w:szCs w:val="20"/>
          <w:lang w:val="es-ES"/>
        </w:rPr>
        <w:t>asigna</w:t>
      </w:r>
      <w:r w:rsidR="00B5625C" w:rsidRPr="00975C02">
        <w:rPr>
          <w:rFonts w:cs="Arial"/>
          <w:bCs/>
          <w:sz w:val="20"/>
          <w:szCs w:val="20"/>
          <w:lang w:val="es-ES"/>
        </w:rPr>
        <w:t xml:space="preserve"> </w:t>
      </w:r>
      <w:r w:rsidR="003E488F" w:rsidRPr="00975C02">
        <w:rPr>
          <w:rFonts w:cs="Arial"/>
          <w:bCs/>
          <w:sz w:val="20"/>
          <w:szCs w:val="20"/>
          <w:lang w:val="es-ES"/>
        </w:rPr>
        <w:t>a</w:t>
      </w:r>
      <w:r w:rsidR="00B5625C" w:rsidRPr="00975C02">
        <w:rPr>
          <w:rFonts w:cs="Arial"/>
          <w:bCs/>
          <w:sz w:val="20"/>
          <w:szCs w:val="20"/>
          <w:lang w:val="es-ES"/>
        </w:rPr>
        <w:t>l juez</w:t>
      </w:r>
      <w:r w:rsidR="00043EAF" w:rsidRPr="00975C02">
        <w:rPr>
          <w:rFonts w:cs="Arial"/>
          <w:bCs/>
          <w:sz w:val="20"/>
          <w:szCs w:val="20"/>
          <w:lang w:val="es-ES"/>
        </w:rPr>
        <w:t xml:space="preserve"> técnico</w:t>
      </w:r>
      <w:r w:rsidR="00B5625C" w:rsidRPr="00975C02">
        <w:rPr>
          <w:rFonts w:cs="Arial"/>
          <w:bCs/>
          <w:sz w:val="20"/>
          <w:szCs w:val="20"/>
          <w:lang w:val="es-ES"/>
        </w:rPr>
        <w:t xml:space="preserve"> </w:t>
      </w:r>
      <w:r w:rsidR="003E488F" w:rsidRPr="00975C02">
        <w:rPr>
          <w:rFonts w:cs="Arial"/>
          <w:bCs/>
          <w:sz w:val="20"/>
          <w:szCs w:val="20"/>
          <w:lang w:val="es-ES"/>
        </w:rPr>
        <w:t xml:space="preserve">la función de </w:t>
      </w:r>
      <w:r w:rsidR="00B5625C" w:rsidRPr="00975C02">
        <w:rPr>
          <w:rFonts w:cs="Arial"/>
          <w:bCs/>
          <w:sz w:val="20"/>
          <w:szCs w:val="20"/>
          <w:lang w:val="es-ES"/>
        </w:rPr>
        <w:t xml:space="preserve">brindar instrucciones a los jurados sobre la forma de analizar </w:t>
      </w:r>
      <w:r w:rsidR="005C6502" w:rsidRPr="00975C02">
        <w:rPr>
          <w:rFonts w:cs="Arial"/>
          <w:bCs/>
          <w:sz w:val="20"/>
          <w:szCs w:val="20"/>
          <w:lang w:val="es-ES"/>
        </w:rPr>
        <w:t>determinadas</w:t>
      </w:r>
      <w:r w:rsidR="00B5625C" w:rsidRPr="00975C02">
        <w:rPr>
          <w:rFonts w:cs="Arial"/>
          <w:bCs/>
          <w:sz w:val="20"/>
          <w:szCs w:val="20"/>
          <w:lang w:val="es-ES"/>
        </w:rPr>
        <w:t xml:space="preserve"> pruebas en el procedimiento</w:t>
      </w:r>
      <w:r w:rsidR="00D06B55" w:rsidRPr="00975C02">
        <w:rPr>
          <w:rFonts w:cs="Arial"/>
          <w:bCs/>
          <w:sz w:val="20"/>
          <w:szCs w:val="20"/>
          <w:lang w:val="es-ES"/>
        </w:rPr>
        <w:t xml:space="preserve"> o bien se establecen </w:t>
      </w:r>
      <w:r w:rsidR="00D06B55" w:rsidRPr="00975C02">
        <w:rPr>
          <w:rFonts w:eastAsia="Calibri"/>
          <w:kern w:val="1"/>
          <w:sz w:val="20"/>
          <w:lang w:val="es-ES" w:eastAsia="en-US"/>
        </w:rPr>
        <w:t xml:space="preserve">preguntas que el jurado debiera </w:t>
      </w:r>
      <w:r w:rsidR="00D06B55" w:rsidRPr="00975C02">
        <w:rPr>
          <w:sz w:val="20"/>
          <w:lang w:val="es-ES" w:eastAsia="en-US"/>
        </w:rPr>
        <w:lastRenderedPageBreak/>
        <w:t>contestar a través del veredicto</w:t>
      </w:r>
      <w:r w:rsidR="00B5625C" w:rsidRPr="00975C02">
        <w:rPr>
          <w:rFonts w:cs="Arial"/>
          <w:bCs/>
          <w:sz w:val="20"/>
          <w:szCs w:val="20"/>
          <w:lang w:val="es-ES"/>
        </w:rPr>
        <w:t xml:space="preserve">. Por otra parte, en algunos sistemas se prevé una etapa especial, conocida en el sistema anglosajón como </w:t>
      </w:r>
      <w:r w:rsidR="00B5625C" w:rsidRPr="00975C02">
        <w:rPr>
          <w:rFonts w:cs="Arial"/>
          <w:bCs/>
          <w:i/>
          <w:sz w:val="20"/>
          <w:szCs w:val="20"/>
          <w:lang w:val="es-ES"/>
        </w:rPr>
        <w:t>voir dire</w:t>
      </w:r>
      <w:r w:rsidR="00B5625C" w:rsidRPr="00975C02">
        <w:rPr>
          <w:rFonts w:cs="Arial"/>
          <w:bCs/>
          <w:sz w:val="20"/>
          <w:szCs w:val="20"/>
          <w:lang w:val="es-ES"/>
        </w:rPr>
        <w:t>, para la selección de los jurados con carácter previo al juicio, en la cual las partes tienen la facultad de vetar a aquellas personas que les puedan significar parciales o no aptas para el juzgamiento del caso.</w:t>
      </w:r>
    </w:p>
    <w:p w14:paraId="1A831163" w14:textId="77777777" w:rsidR="00B5625C" w:rsidRPr="00975C02" w:rsidRDefault="00B5625C" w:rsidP="00B5625C">
      <w:pPr>
        <w:widowControl/>
        <w:adjustRightInd/>
        <w:spacing w:line="240" w:lineRule="auto"/>
        <w:textAlignment w:val="auto"/>
        <w:rPr>
          <w:sz w:val="20"/>
          <w:szCs w:val="20"/>
          <w:lang w:val="es-ES" w:eastAsia="en-US"/>
        </w:rPr>
      </w:pPr>
    </w:p>
    <w:p w14:paraId="42953314" w14:textId="77777777" w:rsidR="00B5625C" w:rsidRPr="00975C02" w:rsidRDefault="00B5625C" w:rsidP="00374EE4">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Por lo </w:t>
      </w:r>
      <w:r w:rsidRPr="00975C02">
        <w:rPr>
          <w:sz w:val="20"/>
          <w:lang w:val="es-ES" w:eastAsia="en-US"/>
        </w:rPr>
        <w:t>tanto</w:t>
      </w:r>
      <w:r w:rsidRPr="00975C02">
        <w:rPr>
          <w:sz w:val="20"/>
          <w:szCs w:val="20"/>
          <w:lang w:val="es-ES" w:eastAsia="en-US"/>
        </w:rPr>
        <w:t xml:space="preserve">, teniendo en cuenta el sistema de Tribunal por Jurados vigente a la época de los hechos en Nicaragua en el que el veredicto era inmotivado y el hecho de que se trataba de un delito de violencia sexual, lo que corresponde a la Corte determinar es si, en el marco de lo dispuesto por la Convención Americana, el procedimiento en su conjunto ofreció garantías suficientes contra la arbitrariedad, de modo tal que las partes pudieran comprender el resultado del proceso como una consecuencia </w:t>
      </w:r>
      <w:r w:rsidR="00D37FFE" w:rsidRPr="00975C02">
        <w:rPr>
          <w:sz w:val="20"/>
          <w:szCs w:val="20"/>
          <w:lang w:val="es-ES" w:eastAsia="en-US"/>
        </w:rPr>
        <w:t>racional</w:t>
      </w:r>
      <w:r w:rsidRPr="00975C02">
        <w:rPr>
          <w:sz w:val="20"/>
          <w:szCs w:val="20"/>
          <w:lang w:val="es-ES" w:eastAsia="en-US"/>
        </w:rPr>
        <w:t xml:space="preserve"> de la prueba incorporada al mismo durante la etapa instructiva y lo ventilado en la audiencia de vista pública.</w:t>
      </w:r>
    </w:p>
    <w:p w14:paraId="70D56280" w14:textId="77777777" w:rsidR="00D37FFE" w:rsidRPr="00975C02" w:rsidRDefault="00D37FFE" w:rsidP="00D37FFE">
      <w:pPr>
        <w:widowControl/>
        <w:tabs>
          <w:tab w:val="left" w:pos="567"/>
        </w:tabs>
        <w:adjustRightInd/>
        <w:spacing w:line="240" w:lineRule="auto"/>
        <w:textAlignment w:val="auto"/>
        <w:rPr>
          <w:rFonts w:cs="Verdana"/>
          <w:sz w:val="20"/>
          <w:szCs w:val="20"/>
          <w:lang w:val="es-ES" w:eastAsia="en-US"/>
        </w:rPr>
      </w:pPr>
    </w:p>
    <w:p w14:paraId="4530B958" w14:textId="71F57618" w:rsidR="00D37FFE" w:rsidRPr="00975C02" w:rsidRDefault="00D37FFE" w:rsidP="00D37FFE">
      <w:pPr>
        <w:widowControl/>
        <w:numPr>
          <w:ilvl w:val="0"/>
          <w:numId w:val="2"/>
        </w:numPr>
        <w:tabs>
          <w:tab w:val="left" w:pos="567"/>
          <w:tab w:val="num" w:pos="12305"/>
        </w:tabs>
        <w:adjustRightInd/>
        <w:spacing w:line="240" w:lineRule="auto"/>
        <w:ind w:left="0" w:firstLine="0"/>
        <w:textAlignment w:val="auto"/>
        <w:rPr>
          <w:rFonts w:cs="Verdana"/>
          <w:sz w:val="20"/>
          <w:szCs w:val="20"/>
          <w:lang w:val="es-ES" w:eastAsia="en-US"/>
        </w:rPr>
      </w:pPr>
      <w:r w:rsidRPr="00975C02">
        <w:rPr>
          <w:sz w:val="20"/>
          <w:szCs w:val="20"/>
          <w:lang w:val="es-ES" w:eastAsia="en-US"/>
        </w:rPr>
        <w:t xml:space="preserve">La Corte nota que el Código de Instrucción Criminal </w:t>
      </w:r>
      <w:r w:rsidRPr="00975C02">
        <w:rPr>
          <w:rFonts w:cs="Verdana"/>
          <w:sz w:val="20"/>
          <w:szCs w:val="20"/>
          <w:lang w:val="es-ES" w:eastAsia="en-US"/>
        </w:rPr>
        <w:t xml:space="preserve">no </w:t>
      </w:r>
      <w:r w:rsidR="00895C4D" w:rsidRPr="00975C02">
        <w:rPr>
          <w:rFonts w:cs="Verdana"/>
          <w:sz w:val="20"/>
          <w:szCs w:val="20"/>
          <w:lang w:val="es-ES" w:eastAsia="en-US"/>
        </w:rPr>
        <w:t xml:space="preserve">contenía una </w:t>
      </w:r>
      <w:r w:rsidRPr="00975C02">
        <w:rPr>
          <w:rFonts w:cs="Verdana"/>
          <w:sz w:val="20"/>
          <w:szCs w:val="20"/>
          <w:lang w:val="es-ES" w:eastAsia="en-US"/>
        </w:rPr>
        <w:t>regula</w:t>
      </w:r>
      <w:r w:rsidR="00895C4D" w:rsidRPr="00975C02">
        <w:rPr>
          <w:rFonts w:cs="Verdana"/>
          <w:sz w:val="20"/>
          <w:szCs w:val="20"/>
          <w:lang w:val="es-ES" w:eastAsia="en-US"/>
        </w:rPr>
        <w:t>ción expresa</w:t>
      </w:r>
      <w:r w:rsidRPr="00975C02">
        <w:rPr>
          <w:rFonts w:cs="Verdana"/>
          <w:sz w:val="20"/>
          <w:szCs w:val="20"/>
          <w:lang w:val="es-ES" w:eastAsia="en-US"/>
        </w:rPr>
        <w:t xml:space="preserve"> sobre las instrucciones del juez profesional a los jurados, tampoco contemplaba </w:t>
      </w:r>
      <w:r w:rsidRPr="00975C02">
        <w:rPr>
          <w:rFonts w:eastAsia="Calibri"/>
          <w:kern w:val="1"/>
          <w:sz w:val="20"/>
          <w:lang w:val="es-ES" w:eastAsia="en-US"/>
        </w:rPr>
        <w:t xml:space="preserve">preguntas que el jurado debiera </w:t>
      </w:r>
      <w:r w:rsidRPr="00975C02">
        <w:rPr>
          <w:sz w:val="20"/>
          <w:lang w:val="es-ES" w:eastAsia="en-US"/>
        </w:rPr>
        <w:t>contestar a través del veredicto</w:t>
      </w:r>
      <w:r w:rsidRPr="00975C02">
        <w:rPr>
          <w:rFonts w:eastAsia="Calibri"/>
          <w:kern w:val="1"/>
          <w:sz w:val="20"/>
          <w:lang w:val="es-ES" w:eastAsia="en-US"/>
        </w:rPr>
        <w:t>,</w:t>
      </w:r>
      <w:r w:rsidRPr="00975C02">
        <w:rPr>
          <w:rFonts w:cs="Verdana"/>
          <w:sz w:val="20"/>
          <w:szCs w:val="20"/>
          <w:lang w:val="es-ES" w:eastAsia="en-US"/>
        </w:rPr>
        <w:t xml:space="preserve"> ni incorporaba referencia alguna sobre la prueba contra-intuitiva, medidas todas que podrían </w:t>
      </w:r>
      <w:r w:rsidRPr="00975C02">
        <w:rPr>
          <w:sz w:val="20"/>
          <w:szCs w:val="20"/>
          <w:lang w:val="es-ES" w:eastAsia="en-US"/>
        </w:rPr>
        <w:t>haber puesto límites de racionalidad a una decisión y, que en definitiva, podrían haber</w:t>
      </w:r>
      <w:r w:rsidRPr="00975C02">
        <w:rPr>
          <w:rFonts w:cs="Verdana"/>
          <w:sz w:val="20"/>
          <w:szCs w:val="20"/>
          <w:lang w:val="es-ES" w:eastAsia="en-US"/>
        </w:rPr>
        <w:t xml:space="preserve"> fungido como</w:t>
      </w:r>
      <w:r w:rsidRPr="00975C02">
        <w:rPr>
          <w:sz w:val="20"/>
          <w:szCs w:val="20"/>
          <w:lang w:val="es-ES" w:eastAsia="en-US"/>
        </w:rPr>
        <w:t xml:space="preserve"> garantías contra una decisión arbitraria (</w:t>
      </w:r>
      <w:r w:rsidRPr="00975C02">
        <w:rPr>
          <w:i/>
          <w:sz w:val="20"/>
          <w:szCs w:val="20"/>
          <w:lang w:val="es-ES" w:eastAsia="en-US"/>
        </w:rPr>
        <w:t>supra</w:t>
      </w:r>
      <w:r w:rsidRPr="00975C02">
        <w:rPr>
          <w:sz w:val="20"/>
          <w:szCs w:val="20"/>
          <w:lang w:val="es-ES" w:eastAsia="en-US"/>
        </w:rPr>
        <w:t xml:space="preserve"> párr. </w:t>
      </w:r>
      <w:r w:rsidR="00B31B77" w:rsidRPr="00975C02">
        <w:rPr>
          <w:sz w:val="20"/>
          <w:szCs w:val="20"/>
          <w:lang w:val="es-ES" w:eastAsia="en-US"/>
        </w:rPr>
        <w:t>265</w:t>
      </w:r>
      <w:r w:rsidRPr="00975C02">
        <w:rPr>
          <w:sz w:val="20"/>
          <w:szCs w:val="20"/>
          <w:lang w:val="es-ES" w:eastAsia="en-US"/>
        </w:rPr>
        <w:t>), especialmente en este caso que trataba de un delito de violencia sexual cometido contra una niña.</w:t>
      </w:r>
    </w:p>
    <w:p w14:paraId="79432DB9" w14:textId="77777777" w:rsidR="00410DFA" w:rsidRPr="00975C02" w:rsidRDefault="00410DFA" w:rsidP="00410DFA">
      <w:pPr>
        <w:widowControl/>
        <w:tabs>
          <w:tab w:val="left" w:pos="567"/>
        </w:tabs>
        <w:adjustRightInd/>
        <w:spacing w:line="240" w:lineRule="auto"/>
        <w:textAlignment w:val="auto"/>
        <w:rPr>
          <w:sz w:val="20"/>
          <w:szCs w:val="20"/>
          <w:lang w:val="es-ES" w:eastAsia="en-US"/>
        </w:rPr>
      </w:pPr>
    </w:p>
    <w:p w14:paraId="213DFA5C" w14:textId="3C641E34" w:rsidR="00410DFA" w:rsidRPr="00975C02" w:rsidRDefault="00410DFA" w:rsidP="00410DFA">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 xml:space="preserve">La anterior afirmación, se ve corroborada por lo indicado por la </w:t>
      </w:r>
      <w:r w:rsidR="003C0254" w:rsidRPr="00975C02">
        <w:rPr>
          <w:sz w:val="20"/>
          <w:szCs w:val="20"/>
          <w:lang w:val="es-ES" w:eastAsia="en-US"/>
        </w:rPr>
        <w:t xml:space="preserve">jueza de derecho y </w:t>
      </w:r>
      <w:r w:rsidR="003C0254" w:rsidRPr="00975C02">
        <w:rPr>
          <w:rFonts w:cs="Verdana"/>
          <w:sz w:val="20"/>
          <w:szCs w:val="20"/>
          <w:lang w:val="es-ES" w:eastAsia="en-US"/>
        </w:rPr>
        <w:t>presidenta</w:t>
      </w:r>
      <w:r w:rsidR="003C0254" w:rsidRPr="00975C02">
        <w:rPr>
          <w:sz w:val="20"/>
          <w:szCs w:val="20"/>
          <w:lang w:val="es-ES" w:eastAsia="en-US"/>
        </w:rPr>
        <w:t xml:space="preserve"> del Tribunal de Jurados</w:t>
      </w:r>
      <w:r w:rsidRPr="00975C02">
        <w:rPr>
          <w:sz w:val="20"/>
          <w:szCs w:val="20"/>
          <w:lang w:val="es-ES" w:eastAsia="en-US"/>
        </w:rPr>
        <w:t xml:space="preserve">, </w:t>
      </w:r>
      <w:r w:rsidRPr="00975C02">
        <w:rPr>
          <w:rFonts w:cs="Verdana"/>
          <w:sz w:val="20"/>
          <w:szCs w:val="20"/>
          <w:lang w:val="es-ES" w:eastAsia="en-US"/>
        </w:rPr>
        <w:t>quien</w:t>
      </w:r>
      <w:r w:rsidRPr="00975C02">
        <w:rPr>
          <w:sz w:val="20"/>
          <w:szCs w:val="20"/>
          <w:lang w:val="es-ES" w:eastAsia="en-US"/>
        </w:rPr>
        <w:t xml:space="preserve"> manifestó en su descargo frente a la queja que interpuso en su contra la señora V.P.C. que:</w:t>
      </w:r>
    </w:p>
    <w:p w14:paraId="61BA617A" w14:textId="77777777" w:rsidR="00410DFA" w:rsidRPr="00975C02" w:rsidRDefault="00410DFA" w:rsidP="00410DFA">
      <w:pPr>
        <w:widowControl/>
        <w:adjustRightInd/>
        <w:spacing w:line="240" w:lineRule="auto"/>
        <w:textAlignment w:val="auto"/>
        <w:rPr>
          <w:sz w:val="20"/>
          <w:szCs w:val="20"/>
          <w:lang w:val="es-ES" w:eastAsia="en-US"/>
        </w:rPr>
      </w:pPr>
    </w:p>
    <w:p w14:paraId="463A7F27" w14:textId="72CC0A0D" w:rsidR="00410DFA" w:rsidRPr="00975C02" w:rsidRDefault="00410DFA" w:rsidP="00520517">
      <w:pPr>
        <w:widowControl/>
        <w:adjustRightInd/>
        <w:spacing w:line="240" w:lineRule="auto"/>
        <w:ind w:left="567" w:right="582"/>
        <w:textAlignment w:val="auto"/>
        <w:rPr>
          <w:sz w:val="16"/>
          <w:szCs w:val="16"/>
          <w:lang w:val="es-ES" w:eastAsia="en-US"/>
        </w:rPr>
      </w:pPr>
      <w:r w:rsidRPr="00975C02">
        <w:rPr>
          <w:sz w:val="16"/>
          <w:szCs w:val="16"/>
          <w:lang w:val="es-ES" w:eastAsia="en-US"/>
        </w:rPr>
        <w:t>En cuanto al veredicto</w:t>
      </w:r>
      <w:r w:rsidR="003245CC" w:rsidRPr="00975C02">
        <w:rPr>
          <w:sz w:val="16"/>
          <w:szCs w:val="16"/>
          <w:lang w:val="es-ES" w:eastAsia="en-US"/>
        </w:rPr>
        <w:t>[,]</w:t>
      </w:r>
      <w:r w:rsidRPr="00975C02">
        <w:rPr>
          <w:sz w:val="16"/>
          <w:szCs w:val="16"/>
          <w:lang w:val="es-ES" w:eastAsia="en-US"/>
        </w:rPr>
        <w:t xml:space="preserve"> en ningún momento h</w:t>
      </w:r>
      <w:r w:rsidR="002D5F9F" w:rsidRPr="00975C02">
        <w:rPr>
          <w:sz w:val="16"/>
          <w:szCs w:val="16"/>
          <w:lang w:val="es-ES" w:eastAsia="en-US"/>
        </w:rPr>
        <w:t>[abía]</w:t>
      </w:r>
      <w:r w:rsidRPr="00975C02">
        <w:rPr>
          <w:sz w:val="16"/>
          <w:szCs w:val="16"/>
          <w:lang w:val="es-ES" w:eastAsia="en-US"/>
        </w:rPr>
        <w:t xml:space="preserve"> incidido en el Tribunal de </w:t>
      </w:r>
      <w:r w:rsidR="003245CC" w:rsidRPr="00975C02">
        <w:rPr>
          <w:sz w:val="16"/>
          <w:szCs w:val="16"/>
          <w:lang w:val="es-ES" w:eastAsia="en-US"/>
        </w:rPr>
        <w:t>[J]</w:t>
      </w:r>
      <w:r w:rsidRPr="00975C02">
        <w:rPr>
          <w:sz w:val="16"/>
          <w:szCs w:val="16"/>
          <w:lang w:val="es-ES" w:eastAsia="en-US"/>
        </w:rPr>
        <w:t>urado</w:t>
      </w:r>
      <w:r w:rsidR="002D5F9F" w:rsidRPr="00975C02">
        <w:rPr>
          <w:sz w:val="16"/>
          <w:szCs w:val="16"/>
          <w:lang w:val="es-ES" w:eastAsia="en-US"/>
        </w:rPr>
        <w:t>[;]</w:t>
      </w:r>
      <w:r w:rsidRPr="00975C02">
        <w:rPr>
          <w:sz w:val="16"/>
          <w:szCs w:val="16"/>
          <w:lang w:val="es-ES" w:eastAsia="en-US"/>
        </w:rPr>
        <w:t xml:space="preserve"> ellos c</w:t>
      </w:r>
      <w:r w:rsidR="003245CC" w:rsidRPr="00975C02">
        <w:rPr>
          <w:sz w:val="16"/>
          <w:szCs w:val="16"/>
          <w:lang w:val="es-ES" w:eastAsia="en-US"/>
        </w:rPr>
        <w:t>[o]</w:t>
      </w:r>
      <w:r w:rsidRPr="00975C02">
        <w:rPr>
          <w:sz w:val="16"/>
          <w:szCs w:val="16"/>
          <w:lang w:val="es-ES" w:eastAsia="en-US"/>
        </w:rPr>
        <w:t xml:space="preserve">mo tribunal de conciencia votaron de conformidad con su íntima convicción sin que </w:t>
      </w:r>
      <w:r w:rsidR="005C1D06" w:rsidRPr="00975C02">
        <w:rPr>
          <w:sz w:val="16"/>
          <w:szCs w:val="16"/>
          <w:lang w:val="es-ES" w:eastAsia="en-US"/>
        </w:rPr>
        <w:t>[ella]</w:t>
      </w:r>
      <w:r w:rsidRPr="00975C02">
        <w:rPr>
          <w:sz w:val="16"/>
          <w:szCs w:val="16"/>
          <w:lang w:val="es-ES" w:eastAsia="en-US"/>
        </w:rPr>
        <w:t xml:space="preserve"> haya tenido que intervenir en ningún momento, ni para aclarar un concepto técnico jurídico ya que no hubo necesidad, nadie lo solicitó todos ellos estaban claros que los dictámenes médicos legales no comprobaban que el procesado fuera el transmisor de la enfermedad que la menor portaba y esto los motivó a que el escrutinio que se realizó por única vez por unanimidad fuera declarado inocente al procesado</w:t>
      </w:r>
      <w:r w:rsidRPr="00975C02">
        <w:rPr>
          <w:sz w:val="16"/>
          <w:szCs w:val="16"/>
          <w:vertAlign w:val="superscript"/>
          <w:lang w:val="es-ES" w:eastAsia="en-US"/>
        </w:rPr>
        <w:footnoteReference w:id="366"/>
      </w:r>
      <w:r w:rsidRPr="00975C02">
        <w:rPr>
          <w:sz w:val="16"/>
          <w:szCs w:val="16"/>
          <w:lang w:val="es-ES" w:eastAsia="en-US"/>
        </w:rPr>
        <w:t>.</w:t>
      </w:r>
    </w:p>
    <w:p w14:paraId="4D2CE258" w14:textId="77777777" w:rsidR="00B5625C" w:rsidRPr="00975C02" w:rsidRDefault="00B5625C" w:rsidP="00B5625C">
      <w:pPr>
        <w:widowControl/>
        <w:adjustRightInd/>
        <w:spacing w:line="240" w:lineRule="auto"/>
        <w:textAlignment w:val="auto"/>
        <w:rPr>
          <w:sz w:val="20"/>
          <w:szCs w:val="20"/>
          <w:lang w:val="es-ES" w:eastAsia="en-US"/>
        </w:rPr>
      </w:pPr>
    </w:p>
    <w:p w14:paraId="4DF42861" w14:textId="6B2D60E0" w:rsidR="004D0B4A" w:rsidRPr="00975C02" w:rsidRDefault="00CA6659" w:rsidP="00926B9B">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En suma</w:t>
      </w:r>
      <w:r w:rsidR="00926B9B" w:rsidRPr="00975C02">
        <w:rPr>
          <w:sz w:val="20"/>
          <w:szCs w:val="20"/>
          <w:lang w:val="es-ES" w:eastAsia="en-US"/>
        </w:rPr>
        <w:t xml:space="preserve">, </w:t>
      </w:r>
      <w:r w:rsidR="005C1D06" w:rsidRPr="00975C02">
        <w:rPr>
          <w:sz w:val="20"/>
          <w:szCs w:val="20"/>
          <w:lang w:val="es-ES" w:eastAsia="en-US"/>
        </w:rPr>
        <w:t xml:space="preserve">la Corte estima que el procedimiento no ofreció garantías suficientes para </w:t>
      </w:r>
      <w:r w:rsidR="002E444E" w:rsidRPr="00975C02">
        <w:rPr>
          <w:sz w:val="20"/>
          <w:szCs w:val="20"/>
          <w:lang w:val="es-ES" w:eastAsia="en-US"/>
        </w:rPr>
        <w:t xml:space="preserve">escrutar la decisión </w:t>
      </w:r>
      <w:r w:rsidR="00A67C2B" w:rsidRPr="00975C02">
        <w:rPr>
          <w:sz w:val="20"/>
          <w:szCs w:val="20"/>
          <w:lang w:val="es-ES" w:eastAsia="en-US"/>
        </w:rPr>
        <w:t>del jurado</w:t>
      </w:r>
      <w:r w:rsidR="002E444E" w:rsidRPr="00975C02">
        <w:rPr>
          <w:sz w:val="20"/>
          <w:szCs w:val="20"/>
          <w:lang w:val="es-ES" w:eastAsia="en-US"/>
        </w:rPr>
        <w:t xml:space="preserve"> y, por ende, </w:t>
      </w:r>
      <w:r w:rsidR="005C1D06" w:rsidRPr="00975C02">
        <w:rPr>
          <w:sz w:val="20"/>
          <w:szCs w:val="20"/>
          <w:lang w:val="es-ES" w:eastAsia="en-US"/>
        </w:rPr>
        <w:t xml:space="preserve">asegurar que la decisión no </w:t>
      </w:r>
      <w:r w:rsidR="002341DD" w:rsidRPr="00975C02">
        <w:rPr>
          <w:sz w:val="20"/>
          <w:szCs w:val="20"/>
          <w:lang w:val="es-ES" w:eastAsia="en-US"/>
        </w:rPr>
        <w:t>fuera</w:t>
      </w:r>
      <w:r w:rsidR="005C1D06" w:rsidRPr="00975C02">
        <w:rPr>
          <w:sz w:val="20"/>
          <w:szCs w:val="20"/>
          <w:lang w:val="es-ES" w:eastAsia="en-US"/>
        </w:rPr>
        <w:t xml:space="preserve"> arbitraria, por lo que </w:t>
      </w:r>
      <w:r w:rsidR="004D0B4A" w:rsidRPr="00975C02">
        <w:rPr>
          <w:sz w:val="20"/>
          <w:szCs w:val="20"/>
          <w:lang w:val="es-ES" w:eastAsia="en-US"/>
        </w:rPr>
        <w:t xml:space="preserve">es razonable concluir que el veredicto </w:t>
      </w:r>
      <w:r w:rsidR="00926B9B" w:rsidRPr="00975C02">
        <w:rPr>
          <w:sz w:val="20"/>
          <w:szCs w:val="20"/>
          <w:lang w:val="es-ES" w:eastAsia="en-US"/>
        </w:rPr>
        <w:t>que desestimó la culpabilidad del acusado</w:t>
      </w:r>
      <w:r w:rsidR="004D0B4A" w:rsidRPr="00975C02">
        <w:rPr>
          <w:sz w:val="20"/>
          <w:szCs w:val="20"/>
          <w:lang w:val="es-ES" w:eastAsia="en-US"/>
        </w:rPr>
        <w:t xml:space="preserve"> no podí</w:t>
      </w:r>
      <w:r w:rsidR="005C1D06" w:rsidRPr="00975C02">
        <w:rPr>
          <w:sz w:val="20"/>
          <w:szCs w:val="20"/>
          <w:lang w:val="es-ES" w:eastAsia="en-US"/>
        </w:rPr>
        <w:t>a ser previsto por las víctimas</w:t>
      </w:r>
      <w:r w:rsidR="005C1D06" w:rsidRPr="00975C02">
        <w:rPr>
          <w:rFonts w:cs="Verdana"/>
          <w:sz w:val="20"/>
          <w:szCs w:val="20"/>
          <w:lang w:val="es-ES" w:eastAsia="en-US"/>
        </w:rPr>
        <w:t xml:space="preserve">, </w:t>
      </w:r>
      <w:r w:rsidR="005F1290" w:rsidRPr="00975C02">
        <w:rPr>
          <w:rFonts w:cs="Verdana"/>
          <w:sz w:val="20"/>
          <w:szCs w:val="20"/>
          <w:lang w:val="es-ES" w:eastAsia="en-US"/>
        </w:rPr>
        <w:t xml:space="preserve">ya que no mostraba correlato </w:t>
      </w:r>
      <w:r w:rsidR="005C1D06" w:rsidRPr="00975C02">
        <w:rPr>
          <w:rFonts w:cs="Verdana"/>
          <w:sz w:val="20"/>
          <w:szCs w:val="20"/>
          <w:lang w:val="es-ES" w:eastAsia="en-US"/>
        </w:rPr>
        <w:t xml:space="preserve">con los </w:t>
      </w:r>
      <w:r w:rsidR="00501362" w:rsidRPr="00975C02">
        <w:rPr>
          <w:rFonts w:cs="Verdana"/>
          <w:sz w:val="20"/>
          <w:szCs w:val="20"/>
          <w:lang w:val="es-ES" w:eastAsia="en-US"/>
        </w:rPr>
        <w:t xml:space="preserve">hechos, los </w:t>
      </w:r>
      <w:r w:rsidR="005C1D06" w:rsidRPr="00975C02">
        <w:rPr>
          <w:rFonts w:cs="Verdana"/>
          <w:sz w:val="20"/>
          <w:szCs w:val="20"/>
          <w:lang w:val="es-ES" w:eastAsia="en-US"/>
        </w:rPr>
        <w:t xml:space="preserve">elementos </w:t>
      </w:r>
      <w:r w:rsidR="00501362" w:rsidRPr="00975C02">
        <w:rPr>
          <w:rFonts w:cs="Verdana"/>
          <w:sz w:val="20"/>
          <w:szCs w:val="20"/>
          <w:lang w:val="es-ES" w:eastAsia="en-US"/>
        </w:rPr>
        <w:t xml:space="preserve">de prueba </w:t>
      </w:r>
      <w:r w:rsidR="005C1D06" w:rsidRPr="00975C02">
        <w:rPr>
          <w:rFonts w:cs="Verdana"/>
          <w:sz w:val="20"/>
          <w:szCs w:val="20"/>
          <w:lang w:val="es-ES" w:eastAsia="en-US"/>
        </w:rPr>
        <w:t xml:space="preserve">descriptos en la acusación y la evidencia recibida en el proceso </w:t>
      </w:r>
      <w:r w:rsidR="005C1D06" w:rsidRPr="00975C02">
        <w:rPr>
          <w:sz w:val="20"/>
          <w:szCs w:val="20"/>
          <w:lang w:val="es-ES" w:eastAsia="en-US"/>
        </w:rPr>
        <w:t>interno.</w:t>
      </w:r>
    </w:p>
    <w:p w14:paraId="2ABDE5FC" w14:textId="77777777" w:rsidR="004D0B4A" w:rsidRPr="00975C02" w:rsidRDefault="004D0B4A" w:rsidP="00B5625C">
      <w:pPr>
        <w:widowControl/>
        <w:adjustRightInd/>
        <w:spacing w:line="240" w:lineRule="auto"/>
        <w:textAlignment w:val="auto"/>
        <w:rPr>
          <w:sz w:val="20"/>
          <w:szCs w:val="20"/>
          <w:lang w:val="es-ES" w:eastAsia="en-US"/>
        </w:rPr>
      </w:pPr>
    </w:p>
    <w:p w14:paraId="522CB8BB" w14:textId="77777777" w:rsidR="00B5625C" w:rsidRPr="00975C02" w:rsidRDefault="00B5625C" w:rsidP="003944F9">
      <w:pPr>
        <w:widowControl/>
        <w:numPr>
          <w:ilvl w:val="0"/>
          <w:numId w:val="2"/>
        </w:numPr>
        <w:tabs>
          <w:tab w:val="left" w:pos="567"/>
          <w:tab w:val="num" w:pos="12305"/>
        </w:tabs>
        <w:adjustRightInd/>
        <w:spacing w:line="240" w:lineRule="auto"/>
        <w:ind w:left="0" w:firstLine="0"/>
        <w:textAlignment w:val="auto"/>
        <w:rPr>
          <w:rFonts w:eastAsia="Calibri"/>
          <w:kern w:val="1"/>
          <w:sz w:val="20"/>
          <w:lang w:val="es-ES" w:eastAsia="en-US"/>
        </w:rPr>
      </w:pPr>
      <w:r w:rsidRPr="00975C02">
        <w:rPr>
          <w:rFonts w:eastAsia="Calibri"/>
          <w:kern w:val="1"/>
          <w:sz w:val="20"/>
          <w:lang w:val="es-ES" w:eastAsia="en-US"/>
        </w:rPr>
        <w:t xml:space="preserve">Por ende, la Corte </w:t>
      </w:r>
      <w:r w:rsidRPr="00975C02">
        <w:rPr>
          <w:rFonts w:cs="Verdana"/>
          <w:sz w:val="20"/>
          <w:szCs w:val="20"/>
          <w:lang w:val="es-ES" w:eastAsia="en-US"/>
        </w:rPr>
        <w:t>concluye</w:t>
      </w:r>
      <w:r w:rsidRPr="00975C02">
        <w:rPr>
          <w:rFonts w:eastAsia="Calibri"/>
          <w:kern w:val="1"/>
          <w:sz w:val="20"/>
          <w:lang w:val="es-ES" w:eastAsia="en-US"/>
        </w:rPr>
        <w:t xml:space="preserve"> que el procedimiento penal en su conjunto en el presente caso no aseguró a las víctimas que pudieran comprender las razones por las </w:t>
      </w:r>
      <w:r w:rsidRPr="00975C02">
        <w:rPr>
          <w:rFonts w:cs="Verdana"/>
          <w:sz w:val="20"/>
          <w:szCs w:val="20"/>
          <w:lang w:val="es-ES" w:eastAsia="en-US"/>
        </w:rPr>
        <w:t>cuales</w:t>
      </w:r>
      <w:r w:rsidRPr="00975C02">
        <w:rPr>
          <w:rFonts w:eastAsia="Calibri"/>
          <w:kern w:val="1"/>
          <w:sz w:val="20"/>
          <w:lang w:val="es-ES" w:eastAsia="en-US"/>
        </w:rPr>
        <w:t xml:space="preserve"> H.R.A. fue absuelto, en violación del artículo 8.1 de la Convención.</w:t>
      </w:r>
    </w:p>
    <w:p w14:paraId="18B7C304" w14:textId="77777777" w:rsidR="00B5625C" w:rsidRPr="00975C02" w:rsidRDefault="00B5625C" w:rsidP="00B5625C">
      <w:pPr>
        <w:widowControl/>
        <w:adjustRightInd/>
        <w:spacing w:line="240" w:lineRule="auto"/>
        <w:textAlignment w:val="auto"/>
        <w:rPr>
          <w:sz w:val="20"/>
          <w:szCs w:val="20"/>
          <w:lang w:val="es-ES" w:eastAsia="en-US"/>
        </w:rPr>
      </w:pPr>
    </w:p>
    <w:p w14:paraId="5CC12534" w14:textId="77777777" w:rsidR="00A842BE" w:rsidRPr="00975C02" w:rsidRDefault="00A842BE" w:rsidP="00A842BE">
      <w:pPr>
        <w:pStyle w:val="Heading3"/>
        <w:rPr>
          <w:b w:val="0"/>
          <w:i/>
        </w:rPr>
      </w:pPr>
      <w:bookmarkStart w:id="140" w:name="_Toc514172644"/>
      <w:r w:rsidRPr="00975C02">
        <w:rPr>
          <w:b w:val="0"/>
          <w:i/>
        </w:rPr>
        <w:t xml:space="preserve">B.3.d </w:t>
      </w:r>
      <w:r w:rsidR="001978B2" w:rsidRPr="00975C02">
        <w:rPr>
          <w:b w:val="0"/>
          <w:i/>
        </w:rPr>
        <w:tab/>
      </w:r>
      <w:r w:rsidRPr="00975C02">
        <w:rPr>
          <w:b w:val="0"/>
          <w:i/>
        </w:rPr>
        <w:t>Conclusión</w:t>
      </w:r>
      <w:bookmarkEnd w:id="140"/>
    </w:p>
    <w:p w14:paraId="78BD10EE" w14:textId="77777777" w:rsidR="00A842BE" w:rsidRPr="00975C02" w:rsidRDefault="00A842BE" w:rsidP="00B5625C">
      <w:pPr>
        <w:widowControl/>
        <w:adjustRightInd/>
        <w:spacing w:line="240" w:lineRule="auto"/>
        <w:textAlignment w:val="auto"/>
        <w:rPr>
          <w:sz w:val="20"/>
          <w:szCs w:val="20"/>
          <w:lang w:val="es-ES" w:eastAsia="en-US"/>
        </w:rPr>
      </w:pPr>
    </w:p>
    <w:p w14:paraId="083F80E3" w14:textId="3F173AE6" w:rsidR="00993C6D" w:rsidRPr="00975C02" w:rsidRDefault="00993C6D" w:rsidP="00993C6D">
      <w:pPr>
        <w:widowControl/>
        <w:numPr>
          <w:ilvl w:val="0"/>
          <w:numId w:val="2"/>
        </w:numPr>
        <w:tabs>
          <w:tab w:val="left" w:pos="567"/>
          <w:tab w:val="num" w:pos="12305"/>
        </w:tabs>
        <w:adjustRightInd/>
        <w:spacing w:line="240" w:lineRule="auto"/>
        <w:ind w:left="0" w:firstLine="0"/>
        <w:textAlignment w:val="auto"/>
        <w:rPr>
          <w:sz w:val="20"/>
          <w:szCs w:val="20"/>
          <w:lang w:val="es-ES" w:eastAsia="en-US"/>
        </w:rPr>
      </w:pPr>
      <w:r w:rsidRPr="00975C02">
        <w:rPr>
          <w:sz w:val="20"/>
          <w:szCs w:val="20"/>
          <w:lang w:val="es-ES" w:eastAsia="en-US"/>
        </w:rPr>
        <w:t>Por las consideraciones precedentes, la Corte concluye que durante el procedimiento y enjuiciamiento llevado a cabo por el Tribunal de Jurados</w:t>
      </w:r>
      <w:r w:rsidR="00F55E07" w:rsidRPr="00975C02">
        <w:rPr>
          <w:sz w:val="20"/>
          <w:szCs w:val="20"/>
          <w:lang w:val="es-ES" w:eastAsia="en-US"/>
        </w:rPr>
        <w:t xml:space="preserve"> no se respetaron las garantías de </w:t>
      </w:r>
      <w:r w:rsidR="005533E9" w:rsidRPr="00975C02">
        <w:rPr>
          <w:sz w:val="20"/>
          <w:szCs w:val="20"/>
          <w:lang w:val="es-ES" w:eastAsia="en-US"/>
        </w:rPr>
        <w:t xml:space="preserve">debido proceso referidas a la </w:t>
      </w:r>
      <w:r w:rsidR="00F55E07" w:rsidRPr="00975C02">
        <w:rPr>
          <w:sz w:val="20"/>
          <w:szCs w:val="20"/>
          <w:lang w:val="es-ES" w:eastAsia="en-US"/>
        </w:rPr>
        <w:t xml:space="preserve">imparcialidad objetiva y </w:t>
      </w:r>
      <w:r w:rsidR="005533E9" w:rsidRPr="00975C02">
        <w:rPr>
          <w:sz w:val="20"/>
          <w:szCs w:val="20"/>
          <w:lang w:val="es-ES" w:eastAsia="en-US"/>
        </w:rPr>
        <w:t>a la</w:t>
      </w:r>
      <w:r w:rsidR="00F55E07" w:rsidRPr="00975C02">
        <w:rPr>
          <w:sz w:val="20"/>
          <w:szCs w:val="20"/>
          <w:lang w:val="es-ES" w:eastAsia="en-US"/>
        </w:rPr>
        <w:t xml:space="preserve"> interdicción de la arbitrariedad, </w:t>
      </w:r>
      <w:r w:rsidR="0031341D" w:rsidRPr="00975C02">
        <w:rPr>
          <w:sz w:val="20"/>
          <w:szCs w:val="20"/>
          <w:lang w:val="es-ES" w:eastAsia="en-US"/>
        </w:rPr>
        <w:t xml:space="preserve">por lo que el Estado es responsable por la violación </w:t>
      </w:r>
      <w:r w:rsidR="00F55E07" w:rsidRPr="00975C02">
        <w:rPr>
          <w:sz w:val="20"/>
          <w:szCs w:val="20"/>
          <w:lang w:val="es-ES" w:eastAsia="en-US"/>
        </w:rPr>
        <w:t>del artículo 8.1 de la Convención Americana, en relación con el artículo 1.1 de la misma</w:t>
      </w:r>
      <w:r w:rsidR="001A107F" w:rsidRPr="00975C02">
        <w:rPr>
          <w:sz w:val="20"/>
          <w:szCs w:val="20"/>
          <w:lang w:val="es-ES" w:eastAsia="en-US"/>
        </w:rPr>
        <w:t xml:space="preserve"> y </w:t>
      </w:r>
      <w:r w:rsidR="001A107F" w:rsidRPr="00975C02">
        <w:rPr>
          <w:rFonts w:eastAsia="Batang" w:cs="Arial"/>
          <w:sz w:val="20"/>
          <w:szCs w:val="20"/>
          <w:lang w:val="es-ES" w:eastAsia="es-MX"/>
        </w:rPr>
        <w:t xml:space="preserve">el artículo 7.b) </w:t>
      </w:r>
      <w:r w:rsidR="001A107F" w:rsidRPr="00975C02">
        <w:rPr>
          <w:rFonts w:eastAsia="Batang"/>
          <w:sz w:val="20"/>
          <w:szCs w:val="20"/>
          <w:lang w:val="es-ES" w:eastAsia="es-MX"/>
        </w:rPr>
        <w:t>de la Convención de Belém do Pará</w:t>
      </w:r>
      <w:r w:rsidR="00F55E07" w:rsidRPr="00975C02">
        <w:rPr>
          <w:sz w:val="20"/>
          <w:szCs w:val="20"/>
          <w:lang w:val="es-ES" w:eastAsia="en-US"/>
        </w:rPr>
        <w:t>, en perjuicio de V.R.P. y V.P.C.</w:t>
      </w:r>
    </w:p>
    <w:p w14:paraId="074032D9" w14:textId="77777777" w:rsidR="00A842BE" w:rsidRPr="00975C02" w:rsidRDefault="00A842BE" w:rsidP="00B5625C">
      <w:pPr>
        <w:widowControl/>
        <w:adjustRightInd/>
        <w:spacing w:line="240" w:lineRule="auto"/>
        <w:textAlignment w:val="auto"/>
        <w:rPr>
          <w:sz w:val="20"/>
          <w:szCs w:val="20"/>
          <w:lang w:val="es-ES" w:eastAsia="en-US"/>
        </w:rPr>
      </w:pPr>
    </w:p>
    <w:p w14:paraId="44EB7304" w14:textId="77777777" w:rsidR="00B5625C" w:rsidRPr="00975C02" w:rsidRDefault="00B5625C" w:rsidP="00A92F94">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41" w:name="_Toc514172645"/>
      <w:r w:rsidRPr="00975C02">
        <w:rPr>
          <w:rFonts w:eastAsia="MS Mincho" w:cs="Arial"/>
          <w:b/>
          <w:bCs/>
          <w:i/>
          <w:kern w:val="2"/>
          <w:sz w:val="20"/>
          <w:szCs w:val="20"/>
          <w:lang w:val="es-ES" w:eastAsia="en-US"/>
        </w:rPr>
        <w:lastRenderedPageBreak/>
        <w:t>Plazo Razonable</w:t>
      </w:r>
      <w:bookmarkEnd w:id="141"/>
    </w:p>
    <w:p w14:paraId="17A84589" w14:textId="77777777" w:rsidR="00B5625C" w:rsidRPr="00975C02" w:rsidRDefault="00B5625C" w:rsidP="00B5625C">
      <w:pPr>
        <w:widowControl/>
        <w:adjustRightInd/>
        <w:spacing w:line="240" w:lineRule="auto"/>
        <w:textAlignment w:val="auto"/>
        <w:rPr>
          <w:sz w:val="20"/>
          <w:szCs w:val="20"/>
          <w:lang w:val="es-ES" w:eastAsia="en-US"/>
        </w:rPr>
      </w:pPr>
    </w:p>
    <w:p w14:paraId="2D804D85" w14:textId="77777777" w:rsidR="0032081D" w:rsidRPr="00975C02" w:rsidRDefault="00A32A5E" w:rsidP="0032081D">
      <w:pPr>
        <w:keepNext/>
        <w:keepLines/>
        <w:tabs>
          <w:tab w:val="left" w:pos="1701"/>
        </w:tabs>
        <w:spacing w:line="240" w:lineRule="auto"/>
        <w:ind w:left="1134"/>
        <w:outlineLvl w:val="1"/>
        <w:rPr>
          <w:bCs/>
          <w:i/>
          <w:sz w:val="20"/>
          <w:szCs w:val="20"/>
          <w:lang w:val="es-ES"/>
        </w:rPr>
      </w:pPr>
      <w:bookmarkStart w:id="142" w:name="_Toc514172646"/>
      <w:r w:rsidRPr="00975C02">
        <w:rPr>
          <w:bCs/>
          <w:i/>
          <w:sz w:val="20"/>
          <w:szCs w:val="20"/>
          <w:lang w:val="es-ES"/>
        </w:rPr>
        <w:t>C</w:t>
      </w:r>
      <w:r w:rsidR="0032081D" w:rsidRPr="00975C02">
        <w:rPr>
          <w:bCs/>
          <w:i/>
          <w:sz w:val="20"/>
          <w:szCs w:val="20"/>
          <w:lang w:val="es-ES"/>
        </w:rPr>
        <w:t xml:space="preserve">.1 </w:t>
      </w:r>
      <w:r w:rsidR="001978B2" w:rsidRPr="00975C02">
        <w:rPr>
          <w:bCs/>
          <w:i/>
          <w:sz w:val="20"/>
          <w:szCs w:val="20"/>
          <w:lang w:val="es-ES"/>
        </w:rPr>
        <w:tab/>
      </w:r>
      <w:r w:rsidR="0032081D" w:rsidRPr="00975C02">
        <w:rPr>
          <w:bCs/>
          <w:i/>
          <w:sz w:val="20"/>
          <w:szCs w:val="20"/>
          <w:lang w:val="es-ES"/>
        </w:rPr>
        <w:t>Alegatos de las partes y de la Comisión en relación con el plazo razonable</w:t>
      </w:r>
      <w:bookmarkEnd w:id="142"/>
    </w:p>
    <w:p w14:paraId="2E2ABC5D" w14:textId="77777777" w:rsidR="0032081D" w:rsidRPr="00975C02" w:rsidRDefault="0032081D" w:rsidP="0032081D">
      <w:pPr>
        <w:widowControl/>
        <w:adjustRightInd/>
        <w:spacing w:line="240" w:lineRule="auto"/>
        <w:textAlignment w:val="auto"/>
        <w:rPr>
          <w:sz w:val="20"/>
          <w:szCs w:val="20"/>
          <w:lang w:val="es-ES" w:eastAsia="en-US"/>
        </w:rPr>
      </w:pPr>
    </w:p>
    <w:p w14:paraId="3888F57B" w14:textId="29692C1C" w:rsidR="0032081D" w:rsidRPr="00975C02" w:rsidRDefault="00165F9C" w:rsidP="00165F9C">
      <w:pPr>
        <w:widowControl/>
        <w:numPr>
          <w:ilvl w:val="0"/>
          <w:numId w:val="2"/>
        </w:numPr>
        <w:tabs>
          <w:tab w:val="left" w:pos="567"/>
          <w:tab w:val="num" w:pos="12305"/>
        </w:tabs>
        <w:adjustRightInd/>
        <w:spacing w:line="240" w:lineRule="auto"/>
        <w:ind w:left="0" w:firstLine="0"/>
        <w:textAlignment w:val="auto"/>
        <w:rPr>
          <w:rFonts w:eastAsiaTheme="minorHAnsi" w:cs="Arial"/>
          <w:b/>
          <w:sz w:val="16"/>
          <w:szCs w:val="20"/>
          <w:lang w:val="es-ES" w:eastAsia="en-US"/>
        </w:rPr>
      </w:pPr>
      <w:r w:rsidRPr="00975C02">
        <w:rPr>
          <w:rFonts w:eastAsiaTheme="minorHAnsi" w:cs="Arial"/>
          <w:sz w:val="20"/>
          <w:szCs w:val="20"/>
          <w:lang w:val="es-ES" w:eastAsia="en-US"/>
        </w:rPr>
        <w:t>L</w:t>
      </w:r>
      <w:r w:rsidR="0032081D" w:rsidRPr="00975C02">
        <w:rPr>
          <w:rFonts w:eastAsiaTheme="minorHAnsi" w:cs="Arial"/>
          <w:sz w:val="20"/>
          <w:szCs w:val="20"/>
          <w:lang w:val="es-ES" w:eastAsia="en-US"/>
        </w:rPr>
        <w:t xml:space="preserve">a </w:t>
      </w:r>
      <w:r w:rsidR="0032081D" w:rsidRPr="00975C02">
        <w:rPr>
          <w:rFonts w:eastAsiaTheme="minorHAnsi" w:cs="Arial"/>
          <w:b/>
          <w:i/>
          <w:sz w:val="20"/>
          <w:szCs w:val="20"/>
          <w:lang w:val="es-ES" w:eastAsia="en-US"/>
        </w:rPr>
        <w:t>Comisión</w:t>
      </w:r>
      <w:r w:rsidR="0032081D" w:rsidRPr="00975C02">
        <w:rPr>
          <w:rFonts w:eastAsiaTheme="minorHAnsi" w:cs="Arial"/>
          <w:sz w:val="20"/>
          <w:szCs w:val="20"/>
          <w:lang w:val="es-ES" w:eastAsia="en-US"/>
        </w:rPr>
        <w:t xml:space="preserve"> </w:t>
      </w:r>
      <w:r w:rsidRPr="00975C02">
        <w:rPr>
          <w:rFonts w:eastAsiaTheme="minorHAnsi" w:cs="Arial"/>
          <w:sz w:val="20"/>
          <w:szCs w:val="20"/>
          <w:lang w:val="es-ES" w:eastAsia="en-US"/>
        </w:rPr>
        <w:t>alegó, c</w:t>
      </w:r>
      <w:r w:rsidR="0032081D" w:rsidRPr="00975C02">
        <w:rPr>
          <w:rFonts w:eastAsiaTheme="minorHAnsi" w:cs="Arial"/>
          <w:sz w:val="20"/>
          <w:szCs w:val="20"/>
          <w:lang w:val="es-ES" w:eastAsia="en-US"/>
        </w:rPr>
        <w:t xml:space="preserve">on relación a la complejidad, que el Estado no justificó la demora del proceso en dicho factor. En cuanto a la participación de los interesados, la Comisión observó </w:t>
      </w:r>
      <w:r w:rsidR="0032081D" w:rsidRPr="00975C02">
        <w:rPr>
          <w:rFonts w:eastAsia="Calibri" w:cs="Arial"/>
          <w:sz w:val="20"/>
          <w:szCs w:val="20"/>
          <w:lang w:val="es-ES" w:eastAsia="en-US"/>
        </w:rPr>
        <w:t>que</w:t>
      </w:r>
      <w:r w:rsidR="0032081D" w:rsidRPr="00975C02">
        <w:rPr>
          <w:rFonts w:eastAsiaTheme="minorHAnsi" w:cs="Arial"/>
          <w:sz w:val="20"/>
          <w:szCs w:val="20"/>
          <w:lang w:val="es-ES" w:eastAsia="en-US"/>
        </w:rPr>
        <w:t xml:space="preserve"> la señora V.P.C. contribuyó activamente en el proceso, dando seguimiento e impulso a la investigación, quejándose en reiteradas ocasiones por la demora en la tramitación de diligencias así como de largos plazos de inactividad procesal. Respecto de la conducta de las autoridades judiciales, la Comisión identificó distintas omisiones en la realización de diligencias. Asimismo, observó que luego de la decisión absolutoria de abril de 2002, transcurrieron casi seis años hasta la culminación del proceso. </w:t>
      </w:r>
      <w:r w:rsidR="0032081D" w:rsidRPr="00975C02">
        <w:rPr>
          <w:sz w:val="20"/>
          <w:szCs w:val="20"/>
          <w:lang w:val="es-ES" w:eastAsia="en-US"/>
        </w:rPr>
        <w:t xml:space="preserve">La Comisión resaltó que, conforme a la documentación presentada, más de un juez se habría excusado de conocer el caso alegando tener afinidad con la persona procesada y que el propio Estado reconoció que un juez se excusó de conocer el caso “sin ningún motivo”. La Comisión indicó que, frente a esta situación, el Estado debió adoptar medidas para evitar que el mecanismo de las excusas se convirtiera en un factor de demora e impunidad en el presente caso. </w:t>
      </w:r>
      <w:r w:rsidR="0032081D" w:rsidRPr="00975C02">
        <w:rPr>
          <w:rFonts w:eastAsiaTheme="minorHAnsi" w:cs="Arial"/>
          <w:sz w:val="20"/>
          <w:szCs w:val="20"/>
          <w:lang w:val="es-ES" w:eastAsia="en-US"/>
        </w:rPr>
        <w:t>En cuanto al cuarto elemento, la Comisión consideró que, debido a la situación de niña y víctima de violación sexual</w:t>
      </w:r>
      <w:r w:rsidR="003245CC" w:rsidRPr="00975C02">
        <w:rPr>
          <w:rFonts w:eastAsiaTheme="minorHAnsi" w:cs="Arial"/>
          <w:sz w:val="20"/>
          <w:szCs w:val="20"/>
          <w:lang w:val="es-ES" w:eastAsia="en-US"/>
        </w:rPr>
        <w:t xml:space="preserve"> de V.R.P.</w:t>
      </w:r>
      <w:r w:rsidR="0032081D" w:rsidRPr="00975C02">
        <w:rPr>
          <w:rFonts w:eastAsiaTheme="minorHAnsi" w:cs="Arial"/>
          <w:sz w:val="20"/>
          <w:szCs w:val="20"/>
          <w:lang w:val="es-ES" w:eastAsia="en-US"/>
        </w:rPr>
        <w:t xml:space="preserve">, existía un deber reforzado del Estado de respeto y garantía de sus derechos, el cual no se vio reflejado en la manera en que se llevó a cabo la investigación y proceso penal. </w:t>
      </w:r>
      <w:r w:rsidR="0032081D" w:rsidRPr="00975C02">
        <w:rPr>
          <w:rFonts w:eastAsia="Calibri" w:cs="Arial"/>
          <w:sz w:val="20"/>
          <w:szCs w:val="20"/>
          <w:lang w:val="es-ES" w:eastAsia="en-US"/>
        </w:rPr>
        <w:t>Finalmente</w:t>
      </w:r>
      <w:r w:rsidR="0032081D" w:rsidRPr="00975C02">
        <w:rPr>
          <w:rFonts w:eastAsiaTheme="minorHAnsi" w:cs="Arial"/>
          <w:sz w:val="20"/>
          <w:szCs w:val="20"/>
          <w:lang w:val="es-ES" w:eastAsia="en-US"/>
        </w:rPr>
        <w:t>, la Comisión resaltó que el propio Estado reconoció la demora en el proceso sin aportar justificación alguna.</w:t>
      </w:r>
    </w:p>
    <w:p w14:paraId="793E4446" w14:textId="77777777" w:rsidR="0032081D" w:rsidRPr="00975C02" w:rsidRDefault="0032081D" w:rsidP="0032081D">
      <w:pPr>
        <w:widowControl/>
        <w:autoSpaceDE w:val="0"/>
        <w:autoSpaceDN w:val="0"/>
        <w:spacing w:line="240" w:lineRule="auto"/>
        <w:textAlignment w:val="auto"/>
        <w:rPr>
          <w:rFonts w:eastAsiaTheme="minorHAnsi" w:cs="Arial"/>
          <w:b/>
          <w:i/>
          <w:sz w:val="20"/>
          <w:szCs w:val="20"/>
          <w:lang w:val="es-ES" w:eastAsia="en-US"/>
        </w:rPr>
      </w:pPr>
    </w:p>
    <w:p w14:paraId="64CE3467" w14:textId="1BBF664C" w:rsidR="0032081D" w:rsidRPr="00975C02" w:rsidRDefault="0032081D" w:rsidP="0032081D">
      <w:pPr>
        <w:widowControl/>
        <w:numPr>
          <w:ilvl w:val="0"/>
          <w:numId w:val="2"/>
        </w:numPr>
        <w:tabs>
          <w:tab w:val="left" w:pos="567"/>
          <w:tab w:val="num" w:pos="12305"/>
        </w:tabs>
        <w:autoSpaceDE w:val="0"/>
        <w:autoSpaceDN w:val="0"/>
        <w:adjustRightInd/>
        <w:spacing w:line="240" w:lineRule="auto"/>
        <w:ind w:left="0" w:firstLine="0"/>
        <w:textAlignment w:val="auto"/>
        <w:rPr>
          <w:rFonts w:eastAsiaTheme="minorHAnsi" w:cs="Arial"/>
          <w:b/>
          <w:bCs/>
          <w:sz w:val="20"/>
          <w:szCs w:val="20"/>
          <w:lang w:val="es-ES" w:eastAsia="en-US"/>
        </w:rPr>
      </w:pPr>
      <w:r w:rsidRPr="00975C02">
        <w:rPr>
          <w:rFonts w:eastAsiaTheme="minorHAnsi" w:cs="Arial"/>
          <w:sz w:val="20"/>
          <w:szCs w:val="20"/>
          <w:lang w:val="es-ES" w:eastAsia="en-US"/>
        </w:rPr>
        <w:t xml:space="preserve">Las </w:t>
      </w:r>
      <w:r w:rsidRPr="00975C02">
        <w:rPr>
          <w:rFonts w:eastAsiaTheme="minorHAnsi" w:cs="Arial"/>
          <w:b/>
          <w:i/>
          <w:sz w:val="20"/>
          <w:szCs w:val="20"/>
          <w:lang w:val="es-ES" w:eastAsia="en-US"/>
        </w:rPr>
        <w:t>representantes</w:t>
      </w:r>
      <w:r w:rsidRPr="00975C02">
        <w:rPr>
          <w:rFonts w:eastAsiaTheme="minorHAnsi" w:cs="Arial"/>
          <w:b/>
          <w:sz w:val="20"/>
          <w:szCs w:val="20"/>
          <w:lang w:val="es-ES" w:eastAsia="en-US"/>
        </w:rPr>
        <w:t xml:space="preserve"> </w:t>
      </w:r>
      <w:r w:rsidRPr="00975C02">
        <w:rPr>
          <w:rFonts w:eastAsiaTheme="minorHAnsi" w:cs="Arial"/>
          <w:sz w:val="20"/>
          <w:szCs w:val="20"/>
          <w:lang w:val="es-ES" w:eastAsia="en-US"/>
        </w:rPr>
        <w:t xml:space="preserve">agregaron que no existía complejidad de la prueba, pues solo se hacía necesario hacer estudios médicos, psicológicos e indagatorias. Además, el caso solo tenía un presunto responsable y una víctima. En cuanto a la actividad procesal del interesado y la conducta de las autoridades judiciales, las representantes </w:t>
      </w:r>
      <w:r w:rsidR="000C4892">
        <w:rPr>
          <w:rFonts w:eastAsiaTheme="minorHAnsi" w:cs="Arial"/>
          <w:sz w:val="20"/>
          <w:szCs w:val="20"/>
          <w:lang w:val="es-ES" w:eastAsia="en-US"/>
        </w:rPr>
        <w:t>indicaron</w:t>
      </w:r>
      <w:r w:rsidRPr="00975C02">
        <w:rPr>
          <w:rFonts w:eastAsiaTheme="minorHAnsi" w:cs="Arial"/>
          <w:sz w:val="20"/>
          <w:szCs w:val="20"/>
          <w:lang w:val="es-ES" w:eastAsia="en-US"/>
        </w:rPr>
        <w:t xml:space="preserve"> </w:t>
      </w:r>
      <w:r w:rsidR="003309A0" w:rsidRPr="00975C02">
        <w:rPr>
          <w:rFonts w:eastAsiaTheme="minorHAnsi" w:cs="Arial"/>
          <w:sz w:val="20"/>
          <w:szCs w:val="20"/>
          <w:lang w:val="es-ES" w:eastAsia="en-US"/>
        </w:rPr>
        <w:t>que</w:t>
      </w:r>
      <w:r w:rsidRPr="00975C02">
        <w:rPr>
          <w:rFonts w:eastAsiaTheme="minorHAnsi" w:cs="Arial"/>
          <w:sz w:val="20"/>
          <w:szCs w:val="20"/>
          <w:lang w:val="es-ES" w:eastAsia="en-US"/>
        </w:rPr>
        <w:t xml:space="preserve"> las innecesarias remisiones del proceso a personas que ya se habían pronunciado sobre el expediente, las excusas realizadas por jueces sin fundamento o mucho tiempo después de haber recibido el caso, los </w:t>
      </w:r>
      <w:r w:rsidRPr="00975C02">
        <w:rPr>
          <w:rFonts w:eastAsia="Calibri" w:cs="Arial"/>
          <w:sz w:val="20"/>
          <w:szCs w:val="20"/>
          <w:lang w:val="es-ES" w:eastAsia="en-US"/>
        </w:rPr>
        <w:t>movimientos</w:t>
      </w:r>
      <w:r w:rsidRPr="00975C02">
        <w:rPr>
          <w:rFonts w:eastAsiaTheme="minorHAnsi" w:cs="Arial"/>
          <w:sz w:val="20"/>
          <w:szCs w:val="20"/>
          <w:lang w:val="es-ES" w:eastAsia="en-US"/>
        </w:rPr>
        <w:t xml:space="preserve"> y cambios de jueces, y la existencia de plazos prolongados en los cuales el caso estaba inactivo de manera injustificada, sólo en espera de la decisión, son atribuibles al Estado, por lo que éste no actuó dentro de un plazo razonable. Las representantes sostuvieron que</w:t>
      </w:r>
      <w:r w:rsidR="003309A0" w:rsidRPr="00975C02">
        <w:rPr>
          <w:rFonts w:eastAsiaTheme="minorHAnsi" w:cs="Arial"/>
          <w:sz w:val="20"/>
          <w:szCs w:val="20"/>
          <w:lang w:val="es-ES" w:eastAsia="en-US"/>
        </w:rPr>
        <w:t>,</w:t>
      </w:r>
      <w:r w:rsidRPr="00975C02">
        <w:rPr>
          <w:rFonts w:eastAsiaTheme="minorHAnsi" w:cs="Arial"/>
          <w:sz w:val="20"/>
          <w:szCs w:val="20"/>
          <w:lang w:val="es-ES" w:eastAsia="en-US"/>
        </w:rPr>
        <w:t xml:space="preserve"> si bien el veredicto del jurado fue emitido a los 4 meses y 23 días desde la denuncia, también observaron que desde el veredicto del jurado hasta el momento de la sentencia definitiva del incidente transcurrieron 5 años, 6 meses y 11 días; y un total de 5 años, 11 </w:t>
      </w:r>
      <w:r w:rsidRPr="00975C02">
        <w:rPr>
          <w:rFonts w:eastAsiaTheme="minorHAnsi"/>
          <w:sz w:val="20"/>
          <w:szCs w:val="20"/>
          <w:lang w:val="es-ES" w:eastAsia="en-US"/>
        </w:rPr>
        <w:t>meses</w:t>
      </w:r>
      <w:r w:rsidRPr="00975C02">
        <w:rPr>
          <w:rFonts w:eastAsiaTheme="minorHAnsi" w:cs="Arial"/>
          <w:sz w:val="20"/>
          <w:szCs w:val="20"/>
          <w:lang w:val="es-ES" w:eastAsia="en-US"/>
        </w:rPr>
        <w:t xml:space="preserve"> y 4 días desde la denuncia hasta el momento de la sentencia sobre el incidente de nulidad, lo cual convierte al plazo en irrazonable.</w:t>
      </w:r>
      <w:r w:rsidR="003309A0" w:rsidRPr="00975C02">
        <w:rPr>
          <w:rFonts w:eastAsiaTheme="minorHAnsi" w:cs="Arial"/>
          <w:b/>
          <w:bCs/>
          <w:sz w:val="16"/>
          <w:szCs w:val="16"/>
          <w:lang w:val="es-ES" w:eastAsia="en-US"/>
        </w:rPr>
        <w:t xml:space="preserve"> </w:t>
      </w:r>
    </w:p>
    <w:p w14:paraId="55BD40BD" w14:textId="77777777" w:rsidR="0032081D" w:rsidRPr="00975C02" w:rsidRDefault="0032081D" w:rsidP="0032081D">
      <w:pPr>
        <w:widowControl/>
        <w:autoSpaceDE w:val="0"/>
        <w:autoSpaceDN w:val="0"/>
        <w:spacing w:line="240" w:lineRule="auto"/>
        <w:textAlignment w:val="auto"/>
        <w:rPr>
          <w:rFonts w:eastAsiaTheme="minorHAnsi" w:cs="Arial"/>
          <w:sz w:val="20"/>
          <w:szCs w:val="20"/>
          <w:lang w:val="es-ES" w:eastAsia="en-US"/>
        </w:rPr>
      </w:pPr>
    </w:p>
    <w:p w14:paraId="58696D06" w14:textId="0F8044A0" w:rsidR="0032081D" w:rsidRPr="00975C02" w:rsidRDefault="003309A0" w:rsidP="003309A0">
      <w:pPr>
        <w:widowControl/>
        <w:numPr>
          <w:ilvl w:val="0"/>
          <w:numId w:val="2"/>
        </w:numPr>
        <w:tabs>
          <w:tab w:val="left" w:pos="567"/>
          <w:tab w:val="num" w:pos="12305"/>
        </w:tabs>
        <w:adjustRightInd/>
        <w:spacing w:line="240" w:lineRule="auto"/>
        <w:ind w:left="0" w:firstLine="0"/>
        <w:textAlignment w:val="auto"/>
        <w:rPr>
          <w:rFonts w:eastAsiaTheme="minorHAnsi" w:cs="Arial"/>
          <w:b/>
          <w:sz w:val="16"/>
          <w:szCs w:val="20"/>
          <w:lang w:val="es-ES" w:eastAsia="en-US"/>
        </w:rPr>
      </w:pPr>
      <w:r w:rsidRPr="00975C02">
        <w:rPr>
          <w:rFonts w:eastAsiaTheme="minorHAnsi" w:cs="Arial"/>
          <w:sz w:val="20"/>
          <w:szCs w:val="20"/>
          <w:lang w:val="es-ES" w:eastAsia="en-US"/>
        </w:rPr>
        <w:t xml:space="preserve">El </w:t>
      </w:r>
      <w:r w:rsidRPr="00975C02">
        <w:rPr>
          <w:rFonts w:eastAsiaTheme="minorHAnsi" w:cs="Arial"/>
          <w:b/>
          <w:i/>
          <w:sz w:val="20"/>
          <w:szCs w:val="20"/>
          <w:lang w:val="es-ES" w:eastAsia="en-US"/>
        </w:rPr>
        <w:t>Estado</w:t>
      </w:r>
      <w:r w:rsidRPr="00975C02">
        <w:rPr>
          <w:rFonts w:eastAsiaTheme="minorHAnsi" w:cs="Arial"/>
          <w:sz w:val="20"/>
          <w:szCs w:val="20"/>
          <w:lang w:val="es-ES" w:eastAsia="en-US"/>
        </w:rPr>
        <w:t xml:space="preserve"> </w:t>
      </w:r>
      <w:r w:rsidRPr="00975C02">
        <w:rPr>
          <w:rFonts w:eastAsiaTheme="minorHAnsi"/>
          <w:sz w:val="20"/>
          <w:szCs w:val="20"/>
          <w:lang w:val="es-ES" w:eastAsia="en-US"/>
        </w:rPr>
        <w:t>señaló</w:t>
      </w:r>
      <w:r w:rsidR="0032081D" w:rsidRPr="00975C02">
        <w:rPr>
          <w:rFonts w:eastAsiaTheme="minorHAnsi" w:cs="Arial"/>
          <w:sz w:val="20"/>
          <w:szCs w:val="20"/>
          <w:lang w:val="es-ES" w:eastAsia="en-US"/>
        </w:rPr>
        <w:t xml:space="preserve"> </w:t>
      </w:r>
      <w:r w:rsidR="0032081D" w:rsidRPr="00975C02">
        <w:rPr>
          <w:rFonts w:eastAsiaTheme="minorHAnsi"/>
          <w:sz w:val="20"/>
          <w:szCs w:val="20"/>
          <w:lang w:val="es-ES" w:eastAsia="en-US"/>
        </w:rPr>
        <w:t>que el proceso penal en este caso estaba conformado por dos etapas: la etapa instructiva, cuya duración de acuerdo al Código de Instrucción Criminal era de 10 días con procesado detenido y 20 días sin detenido</w:t>
      </w:r>
      <w:r w:rsidR="0032081D" w:rsidRPr="00975C02">
        <w:rPr>
          <w:rFonts w:eastAsiaTheme="minorHAnsi" w:cs="Arial"/>
          <w:sz w:val="20"/>
          <w:szCs w:val="20"/>
          <w:lang w:val="es-ES" w:eastAsia="en-US"/>
        </w:rPr>
        <w:t xml:space="preserve">; </w:t>
      </w:r>
      <w:r w:rsidR="0032081D" w:rsidRPr="00975C02">
        <w:rPr>
          <w:rFonts w:eastAsiaTheme="minorHAnsi"/>
          <w:sz w:val="20"/>
          <w:szCs w:val="20"/>
          <w:lang w:val="es-ES" w:eastAsia="en-US"/>
        </w:rPr>
        <w:t>y la etapa plenaria que iniciaba con las primeras vistas después de la filiación y confesión con cargos del reo, concluyendo esta etapa con la sentencia definitiva cuando se elevaba el caso al conocimiento del Tribunal de Jurado</w:t>
      </w:r>
      <w:r w:rsidR="00A84E71">
        <w:rPr>
          <w:rFonts w:eastAsiaTheme="minorHAnsi"/>
          <w:sz w:val="20"/>
          <w:szCs w:val="20"/>
          <w:lang w:val="es-ES" w:eastAsia="en-US"/>
        </w:rPr>
        <w:t>s</w:t>
      </w:r>
      <w:r w:rsidR="0032081D" w:rsidRPr="00975C02">
        <w:rPr>
          <w:rFonts w:eastAsiaTheme="minorHAnsi"/>
          <w:sz w:val="20"/>
          <w:szCs w:val="20"/>
          <w:lang w:val="es-ES" w:eastAsia="en-US"/>
        </w:rPr>
        <w:t xml:space="preserve"> quienes, por íntima convicción, emitían su veredicto. Según el Estado, se dictó sentencia en un plazo de 4 meses y 23 días, desde la presentación de la denuncia hasta el veredicto del Tribunal de </w:t>
      </w:r>
      <w:r w:rsidR="00300318" w:rsidRPr="00975C02">
        <w:rPr>
          <w:rFonts w:eastAsiaTheme="minorHAnsi"/>
          <w:sz w:val="20"/>
          <w:szCs w:val="20"/>
          <w:lang w:val="es-ES" w:eastAsia="en-US"/>
        </w:rPr>
        <w:t>J</w:t>
      </w:r>
      <w:r w:rsidR="0032081D" w:rsidRPr="00975C02">
        <w:rPr>
          <w:rFonts w:eastAsiaTheme="minorHAnsi"/>
          <w:sz w:val="20"/>
          <w:szCs w:val="20"/>
          <w:lang w:val="es-ES" w:eastAsia="en-US"/>
        </w:rPr>
        <w:t>urado</w:t>
      </w:r>
      <w:r w:rsidR="00300318" w:rsidRPr="00975C02">
        <w:rPr>
          <w:rFonts w:eastAsiaTheme="minorHAnsi"/>
          <w:sz w:val="20"/>
          <w:szCs w:val="20"/>
          <w:lang w:val="es-ES" w:eastAsia="en-US"/>
        </w:rPr>
        <w:t>s</w:t>
      </w:r>
      <w:r w:rsidR="0032081D" w:rsidRPr="00975C02">
        <w:rPr>
          <w:rFonts w:eastAsiaTheme="minorHAnsi"/>
          <w:sz w:val="20"/>
          <w:szCs w:val="20"/>
          <w:lang w:val="es-ES" w:eastAsia="en-US"/>
        </w:rPr>
        <w:t>. Estimó que dicha duración del plazo e</w:t>
      </w:r>
      <w:r w:rsidR="00300318" w:rsidRPr="00975C02">
        <w:rPr>
          <w:rFonts w:eastAsiaTheme="minorHAnsi"/>
          <w:sz w:val="20"/>
          <w:szCs w:val="20"/>
          <w:lang w:val="es-ES" w:eastAsia="en-US"/>
        </w:rPr>
        <w:t>ra</w:t>
      </w:r>
      <w:r w:rsidR="0032081D" w:rsidRPr="00975C02">
        <w:rPr>
          <w:rFonts w:eastAsiaTheme="minorHAnsi"/>
          <w:sz w:val="20"/>
          <w:szCs w:val="20"/>
          <w:lang w:val="es-ES" w:eastAsia="en-US"/>
        </w:rPr>
        <w:t xml:space="preserve"> razonable tomando en consideración el proceso vigente en ese entonces en Nicaragua. Además, el Estado afirmó que la Comisión incurrió en un error al extender el plazo de duración del proceso con otras incidencias o situaciones del proceso como son los recursos, incidentes y sus resoluciones lo que evidencia</w:t>
      </w:r>
      <w:r w:rsidR="00300318" w:rsidRPr="00975C02">
        <w:rPr>
          <w:rFonts w:eastAsiaTheme="minorHAnsi"/>
          <w:sz w:val="20"/>
          <w:szCs w:val="20"/>
          <w:lang w:val="es-ES" w:eastAsia="en-US"/>
        </w:rPr>
        <w:t>ba</w:t>
      </w:r>
      <w:r w:rsidR="0032081D" w:rsidRPr="00975C02">
        <w:rPr>
          <w:rFonts w:eastAsiaTheme="minorHAnsi"/>
          <w:sz w:val="20"/>
          <w:szCs w:val="20"/>
          <w:lang w:val="es-ES" w:eastAsia="en-US"/>
        </w:rPr>
        <w:t xml:space="preserve"> el desconocimiento técnico jurídico del sistema procesal nicaragüense. En cuanto a la actuación de las autoridades, el Estado indicó que la etapa de incidentes y recursos posteriores a la sentencia definitiva, derivada del veredicto del jurado, duró 5 años, 6 meses y 10 días, lo cual incluyó una sentencia emitida por el Tribunal superior, resoluciones de autoridades judiciales e impulso procesal de las partes.</w:t>
      </w:r>
    </w:p>
    <w:p w14:paraId="5F885B44" w14:textId="77777777" w:rsidR="0032081D" w:rsidRPr="00975C02" w:rsidRDefault="0032081D" w:rsidP="0032081D">
      <w:pPr>
        <w:widowControl/>
        <w:adjustRightInd/>
        <w:spacing w:line="240" w:lineRule="auto"/>
        <w:textAlignment w:val="auto"/>
        <w:rPr>
          <w:sz w:val="20"/>
          <w:szCs w:val="20"/>
          <w:lang w:val="es-ES" w:eastAsia="en-US"/>
        </w:rPr>
      </w:pPr>
    </w:p>
    <w:p w14:paraId="0D22229D" w14:textId="77777777" w:rsidR="0032081D" w:rsidRPr="00975C02" w:rsidRDefault="00A32A5E" w:rsidP="00A32A5E">
      <w:pPr>
        <w:keepNext/>
        <w:keepLines/>
        <w:tabs>
          <w:tab w:val="left" w:pos="1701"/>
        </w:tabs>
        <w:spacing w:line="240" w:lineRule="auto"/>
        <w:ind w:left="1134"/>
        <w:outlineLvl w:val="1"/>
        <w:rPr>
          <w:bCs/>
          <w:i/>
          <w:sz w:val="20"/>
          <w:szCs w:val="20"/>
          <w:lang w:val="es-ES"/>
        </w:rPr>
      </w:pPr>
      <w:bookmarkStart w:id="143" w:name="_Toc514172647"/>
      <w:r w:rsidRPr="00975C02">
        <w:rPr>
          <w:bCs/>
          <w:i/>
          <w:sz w:val="20"/>
          <w:szCs w:val="20"/>
          <w:lang w:val="es-ES"/>
        </w:rPr>
        <w:lastRenderedPageBreak/>
        <w:t>C</w:t>
      </w:r>
      <w:r w:rsidR="0032081D" w:rsidRPr="00975C02">
        <w:rPr>
          <w:bCs/>
          <w:i/>
          <w:sz w:val="20"/>
          <w:szCs w:val="20"/>
          <w:lang w:val="es-ES"/>
        </w:rPr>
        <w:t>.2</w:t>
      </w:r>
      <w:r w:rsidR="0032081D" w:rsidRPr="00975C02">
        <w:rPr>
          <w:bCs/>
          <w:i/>
          <w:sz w:val="20"/>
          <w:szCs w:val="20"/>
          <w:lang w:val="es-ES"/>
        </w:rPr>
        <w:tab/>
        <w:t>Consideraciones de la Corte</w:t>
      </w:r>
      <w:bookmarkEnd w:id="143"/>
    </w:p>
    <w:p w14:paraId="71968B84" w14:textId="77777777" w:rsidR="0032081D" w:rsidRPr="00975C02" w:rsidRDefault="0032081D" w:rsidP="00B5625C">
      <w:pPr>
        <w:widowControl/>
        <w:adjustRightInd/>
        <w:spacing w:line="240" w:lineRule="auto"/>
        <w:textAlignment w:val="auto"/>
        <w:rPr>
          <w:sz w:val="20"/>
          <w:szCs w:val="20"/>
          <w:lang w:val="es-ES" w:eastAsia="en-US"/>
        </w:rPr>
      </w:pPr>
    </w:p>
    <w:p w14:paraId="377346C8" w14:textId="77777777" w:rsidR="00411EF5" w:rsidRPr="00975C02" w:rsidRDefault="00B5625C" w:rsidP="00411EF5">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cs="Arial"/>
          <w:sz w:val="20"/>
          <w:szCs w:val="20"/>
          <w:lang w:val="es-ES" w:eastAsia="es-MX"/>
        </w:rPr>
        <w:t xml:space="preserve">La Corte ha </w:t>
      </w:r>
      <w:r w:rsidRPr="00975C02">
        <w:rPr>
          <w:rFonts w:eastAsia="Batang"/>
          <w:sz w:val="20"/>
          <w:szCs w:val="20"/>
          <w:lang w:val="es-ES" w:eastAsia="es-MX"/>
        </w:rPr>
        <w:t>señalado</w:t>
      </w:r>
      <w:r w:rsidRPr="00975C02">
        <w:rPr>
          <w:rFonts w:eastAsia="Batang" w:cs="Arial"/>
          <w:sz w:val="20"/>
          <w:szCs w:val="20"/>
          <w:lang w:val="es-ES" w:eastAsia="es-MX"/>
        </w:rPr>
        <w:t xml:space="preserve"> que el derecho de acceso a la justicia implica que la realización de todo lo necesario para conocer la verdad de lo sucedido y sancionar a los responsables se haga en un plazo razonable</w:t>
      </w:r>
      <w:r w:rsidRPr="00975C02">
        <w:rPr>
          <w:rFonts w:eastAsia="Batang" w:cs="Arial"/>
          <w:sz w:val="20"/>
          <w:szCs w:val="20"/>
          <w:vertAlign w:val="superscript"/>
          <w:lang w:val="es-ES" w:eastAsia="es-MX"/>
        </w:rPr>
        <w:footnoteReference w:id="367"/>
      </w:r>
      <w:r w:rsidRPr="00975C02">
        <w:rPr>
          <w:rFonts w:eastAsia="Batang"/>
          <w:sz w:val="20"/>
          <w:szCs w:val="20"/>
          <w:lang w:val="es-ES" w:eastAsia="es-MX"/>
        </w:rPr>
        <w:t xml:space="preserve">. </w:t>
      </w:r>
      <w:r w:rsidRPr="00975C02">
        <w:rPr>
          <w:rFonts w:eastAsiaTheme="minorHAnsi" w:cstheme="minorBidi"/>
          <w:sz w:val="20"/>
          <w:szCs w:val="20"/>
          <w:lang w:val="es-ES" w:eastAsia="en-US"/>
        </w:rPr>
        <w:t xml:space="preserve">En este sentido, la Corte considera que el proceso termina cuando se </w:t>
      </w:r>
      <w:r w:rsidRPr="00975C02">
        <w:rPr>
          <w:rFonts w:cs="Verdana"/>
          <w:sz w:val="20"/>
          <w:szCs w:val="20"/>
          <w:lang w:val="es-ES" w:eastAsia="en-US"/>
        </w:rPr>
        <w:t>dicta</w:t>
      </w:r>
      <w:r w:rsidRPr="00975C02">
        <w:rPr>
          <w:rFonts w:eastAsiaTheme="minorHAnsi" w:cstheme="minorBidi"/>
          <w:sz w:val="20"/>
          <w:szCs w:val="20"/>
          <w:lang w:val="es-ES" w:eastAsia="en-US"/>
        </w:rPr>
        <w:t xml:space="preserve"> sentencia definitiva y firme en el asunto, con lo cual se agota la jurisdicción y que, particularmente en materia penal, dicho plazo debe comprender todo el procedimiento, incluyendo los recursos de instancia que pudieran eventualmente presentarse</w:t>
      </w:r>
      <w:r w:rsidRPr="00975C02">
        <w:rPr>
          <w:rFonts w:eastAsiaTheme="minorHAnsi" w:cs="Verdana"/>
          <w:sz w:val="20"/>
          <w:szCs w:val="20"/>
          <w:vertAlign w:val="superscript"/>
          <w:lang w:val="es-ES" w:eastAsia="en-US"/>
        </w:rPr>
        <w:footnoteReference w:id="368"/>
      </w:r>
      <w:r w:rsidRPr="00975C02">
        <w:rPr>
          <w:rFonts w:eastAsiaTheme="minorHAnsi" w:cs="Tahoma"/>
          <w:sz w:val="20"/>
          <w:szCs w:val="20"/>
          <w:shd w:val="clear" w:color="auto" w:fill="FFFFFF"/>
          <w:lang w:val="es-ES" w:eastAsia="en-US"/>
        </w:rPr>
        <w:t xml:space="preserve">. </w:t>
      </w:r>
      <w:r w:rsidRPr="00975C02">
        <w:rPr>
          <w:rFonts w:eastAsia="Batang"/>
          <w:sz w:val="20"/>
          <w:szCs w:val="20"/>
          <w:lang w:val="es-ES" w:eastAsia="es-MX"/>
        </w:rPr>
        <w:t xml:space="preserve">Se ha </w:t>
      </w:r>
      <w:r w:rsidRPr="00975C02">
        <w:rPr>
          <w:rFonts w:eastAsia="Batang" w:cs="Arial"/>
          <w:sz w:val="20"/>
          <w:szCs w:val="20"/>
          <w:lang w:val="es-ES" w:eastAsia="es-MX"/>
        </w:rPr>
        <w:t>considerado</w:t>
      </w:r>
      <w:r w:rsidRPr="00975C02">
        <w:rPr>
          <w:rFonts w:eastAsia="Batang"/>
          <w:sz w:val="20"/>
          <w:szCs w:val="20"/>
          <w:lang w:val="es-ES" w:eastAsia="es-MX"/>
        </w:rPr>
        <w:t xml:space="preserve"> por este Tribunal que una demora prolongada puede llegar a constituir, por sí misma, una violación a las garantías judiciales</w:t>
      </w:r>
      <w:r w:rsidRPr="00975C02">
        <w:rPr>
          <w:rFonts w:eastAsia="Batang" w:cs="Verdana"/>
          <w:sz w:val="20"/>
          <w:szCs w:val="20"/>
          <w:vertAlign w:val="superscript"/>
          <w:lang w:val="es-ES" w:eastAsia="es-MX"/>
        </w:rPr>
        <w:footnoteReference w:id="369"/>
      </w:r>
      <w:r w:rsidRPr="00975C02">
        <w:rPr>
          <w:rFonts w:eastAsia="Batang"/>
          <w:sz w:val="20"/>
          <w:szCs w:val="20"/>
          <w:lang w:val="es-ES" w:eastAsia="es-MX"/>
        </w:rPr>
        <w:t>.</w:t>
      </w:r>
    </w:p>
    <w:p w14:paraId="5C6F3C00" w14:textId="77777777" w:rsidR="00411EF5" w:rsidRPr="00975C02" w:rsidRDefault="00B5625C" w:rsidP="00DF3D71">
      <w:pPr>
        <w:widowControl/>
        <w:tabs>
          <w:tab w:val="left" w:pos="567"/>
        </w:tabs>
        <w:adjustRightInd/>
        <w:spacing w:line="240" w:lineRule="auto"/>
        <w:textAlignment w:val="auto"/>
        <w:rPr>
          <w:rFonts w:eastAsia="Batang"/>
          <w:sz w:val="20"/>
          <w:szCs w:val="20"/>
          <w:lang w:val="es-ES" w:eastAsia="es-MX"/>
        </w:rPr>
      </w:pPr>
      <w:r w:rsidRPr="00975C02">
        <w:rPr>
          <w:rFonts w:eastAsia="Batang"/>
          <w:sz w:val="20"/>
          <w:szCs w:val="20"/>
          <w:lang w:val="es-ES" w:eastAsia="es-MX"/>
        </w:rPr>
        <w:t xml:space="preserve"> </w:t>
      </w:r>
    </w:p>
    <w:p w14:paraId="325DA192" w14:textId="77777777" w:rsidR="00411EF5" w:rsidRPr="00975C02" w:rsidRDefault="00411EF5" w:rsidP="00DF3D71">
      <w:pPr>
        <w:widowControl/>
        <w:numPr>
          <w:ilvl w:val="0"/>
          <w:numId w:val="2"/>
        </w:numPr>
        <w:tabs>
          <w:tab w:val="left" w:pos="567"/>
          <w:tab w:val="num" w:pos="12305"/>
        </w:tabs>
        <w:adjustRightInd/>
        <w:spacing w:line="240" w:lineRule="auto"/>
        <w:ind w:left="0" w:firstLine="0"/>
        <w:textAlignment w:val="auto"/>
        <w:rPr>
          <w:rFonts w:eastAsiaTheme="minorHAnsi"/>
          <w:sz w:val="20"/>
          <w:szCs w:val="20"/>
          <w:lang w:val="es-ES"/>
        </w:rPr>
      </w:pPr>
      <w:r w:rsidRPr="00975C02">
        <w:rPr>
          <w:sz w:val="20"/>
          <w:szCs w:val="20"/>
          <w:lang w:val="es-ES"/>
        </w:rPr>
        <w:t>Si bien es cierto que a efectos de analizar su plazo razonable, en términos generales la Corte debe considerar la duración global de un proceso hasta que se dicte sentencia definitiva</w:t>
      </w:r>
      <w:r w:rsidRPr="00975C02">
        <w:rPr>
          <w:sz w:val="20"/>
          <w:szCs w:val="20"/>
          <w:vertAlign w:val="superscript"/>
          <w:lang w:val="es-ES"/>
        </w:rPr>
        <w:footnoteReference w:id="370"/>
      </w:r>
      <w:r w:rsidRPr="00975C02">
        <w:rPr>
          <w:sz w:val="20"/>
          <w:szCs w:val="20"/>
          <w:lang w:val="es-ES"/>
        </w:rPr>
        <w:t>, en ciertas situaciones particulares puede ser pertinente una valoración específica de sus distintas etapas</w:t>
      </w:r>
      <w:r w:rsidRPr="00975C02">
        <w:rPr>
          <w:rStyle w:val="FootnoteReference"/>
          <w:sz w:val="20"/>
          <w:szCs w:val="20"/>
          <w:lang w:val="es-ES"/>
        </w:rPr>
        <w:footnoteReference w:id="371"/>
      </w:r>
      <w:r w:rsidR="0036062A" w:rsidRPr="00975C02">
        <w:rPr>
          <w:sz w:val="20"/>
          <w:szCs w:val="20"/>
          <w:lang w:val="es-ES"/>
        </w:rPr>
        <w:t>.</w:t>
      </w:r>
    </w:p>
    <w:p w14:paraId="4D0C2226" w14:textId="77777777" w:rsidR="00411EF5" w:rsidRPr="00975C02" w:rsidRDefault="00411EF5" w:rsidP="00DF3D71">
      <w:pPr>
        <w:pStyle w:val="ListParagraph"/>
        <w:spacing w:line="240" w:lineRule="auto"/>
        <w:rPr>
          <w:rFonts w:eastAsia="Batang"/>
          <w:sz w:val="20"/>
          <w:szCs w:val="20"/>
          <w:lang w:val="es-ES" w:eastAsia="es-MX"/>
        </w:rPr>
      </w:pPr>
    </w:p>
    <w:p w14:paraId="6586E9EA" w14:textId="46D577EE" w:rsidR="00B5625C" w:rsidRPr="00975C02" w:rsidRDefault="00B5625C" w:rsidP="00411EF5">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t xml:space="preserve">Al respecto, la Corte nota que no existe controversia entre las partes respecto del plazo de duración del proceso </w:t>
      </w:r>
      <w:r w:rsidRPr="00975C02">
        <w:rPr>
          <w:rFonts w:eastAsiaTheme="minorHAnsi" w:cstheme="minorBidi"/>
          <w:sz w:val="20"/>
          <w:szCs w:val="20"/>
          <w:lang w:val="es-ES" w:eastAsia="en-US"/>
        </w:rPr>
        <w:t>desde</w:t>
      </w:r>
      <w:r w:rsidRPr="00975C02">
        <w:rPr>
          <w:rFonts w:eastAsia="Batang"/>
          <w:sz w:val="20"/>
          <w:szCs w:val="20"/>
          <w:lang w:val="es-ES" w:eastAsia="es-MX"/>
        </w:rPr>
        <w:t xml:space="preserve"> la denuncia penal hasta el veredicto absolutorio del Tribunal de Jurado</w:t>
      </w:r>
      <w:r w:rsidR="00A84E71">
        <w:rPr>
          <w:rFonts w:eastAsia="Batang"/>
          <w:sz w:val="20"/>
          <w:szCs w:val="20"/>
          <w:lang w:val="es-ES" w:eastAsia="es-MX"/>
        </w:rPr>
        <w:t>s</w:t>
      </w:r>
      <w:r w:rsidRPr="00975C02">
        <w:rPr>
          <w:rFonts w:eastAsia="Batang"/>
          <w:sz w:val="20"/>
          <w:szCs w:val="20"/>
          <w:lang w:val="es-ES" w:eastAsia="es-MX"/>
        </w:rPr>
        <w:t xml:space="preserve">. La controversia se basa en el tiempo transcurrido durante la etapa recursiva del caso. En </w:t>
      </w:r>
      <w:r w:rsidRPr="00975C02">
        <w:rPr>
          <w:rFonts w:eastAsiaTheme="minorHAnsi" w:cstheme="minorBidi"/>
          <w:sz w:val="20"/>
          <w:szCs w:val="20"/>
          <w:lang w:val="es-ES" w:eastAsia="en-US"/>
        </w:rPr>
        <w:t>relación</w:t>
      </w:r>
      <w:r w:rsidRPr="00975C02">
        <w:rPr>
          <w:rFonts w:eastAsia="Batang"/>
          <w:sz w:val="20"/>
          <w:szCs w:val="20"/>
          <w:lang w:val="es-ES" w:eastAsia="es-MX"/>
        </w:rPr>
        <w:t xml:space="preserve"> con lo anterior, la Corte nota que durante la etapa recursiva transcurrieron cinco años, seis meses y </w:t>
      </w:r>
      <w:r w:rsidR="00300318" w:rsidRPr="00975C02">
        <w:rPr>
          <w:rFonts w:eastAsia="Batang"/>
          <w:sz w:val="20"/>
          <w:szCs w:val="20"/>
          <w:lang w:val="es-ES" w:eastAsia="es-MX"/>
        </w:rPr>
        <w:t xml:space="preserve">once </w:t>
      </w:r>
      <w:r w:rsidRPr="00975C02">
        <w:rPr>
          <w:rFonts w:eastAsia="Batang"/>
          <w:sz w:val="20"/>
          <w:szCs w:val="20"/>
          <w:lang w:val="es-ES" w:eastAsia="es-MX"/>
        </w:rPr>
        <w:t>días, desde el veredicto absolutorio (13 de abril de 2002) hasta que la decisión quedó firme (24 de octubre de 2007). Por lo tanto, debe examinarse si la demora ocurrida durante dic</w:t>
      </w:r>
      <w:r w:rsidR="006C5AD8" w:rsidRPr="00975C02">
        <w:rPr>
          <w:rFonts w:eastAsia="Batang"/>
          <w:sz w:val="20"/>
          <w:szCs w:val="20"/>
          <w:lang w:val="es-ES" w:eastAsia="es-MX"/>
        </w:rPr>
        <w:t>ho período resulta justificada.</w:t>
      </w:r>
    </w:p>
    <w:p w14:paraId="03C8953F" w14:textId="77777777" w:rsidR="00B5625C" w:rsidRPr="00975C02" w:rsidRDefault="00B5625C" w:rsidP="00B5625C">
      <w:pPr>
        <w:widowControl/>
        <w:tabs>
          <w:tab w:val="left" w:pos="-142"/>
        </w:tabs>
        <w:adjustRightInd/>
        <w:spacing w:line="240" w:lineRule="auto"/>
        <w:textAlignment w:val="auto"/>
        <w:rPr>
          <w:rFonts w:eastAsia="Calibri" w:cs="Calibri"/>
          <w:sz w:val="20"/>
          <w:szCs w:val="20"/>
          <w:lang w:val="es-ES" w:eastAsia="es-MX"/>
        </w:rPr>
      </w:pPr>
    </w:p>
    <w:p w14:paraId="41124031" w14:textId="77777777" w:rsidR="00F11668" w:rsidRPr="00975C02" w:rsidRDefault="00B5625C" w:rsidP="00F11668">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t xml:space="preserve">Los </w:t>
      </w:r>
      <w:r w:rsidRPr="00975C02">
        <w:rPr>
          <w:rFonts w:eastAsia="Batang" w:cs="Arial"/>
          <w:sz w:val="20"/>
          <w:szCs w:val="20"/>
          <w:lang w:val="es-ES" w:eastAsia="es-MX"/>
        </w:rPr>
        <w:t>elementos</w:t>
      </w:r>
      <w:r w:rsidRPr="00975C02">
        <w:rPr>
          <w:rFonts w:eastAsia="Batang"/>
          <w:sz w:val="20"/>
          <w:szCs w:val="20"/>
          <w:lang w:val="es-ES" w:eastAsia="es-MX"/>
        </w:rPr>
        <w:t xml:space="preserve"> que esta Corte ha establecido para poder determinar la razonabilidad del plazo son: a) complejidad del asunto; b) actividad procesal del interesado; c) conducta de las autoridades </w:t>
      </w:r>
      <w:r w:rsidRPr="00975C02">
        <w:rPr>
          <w:rFonts w:eastAsiaTheme="minorHAnsi" w:cstheme="minorBidi"/>
          <w:sz w:val="20"/>
          <w:szCs w:val="20"/>
          <w:lang w:val="es-ES" w:eastAsia="en-US"/>
        </w:rPr>
        <w:t>judiciales</w:t>
      </w:r>
      <w:r w:rsidRPr="00975C02">
        <w:rPr>
          <w:rFonts w:eastAsia="Batang"/>
          <w:sz w:val="20"/>
          <w:szCs w:val="20"/>
          <w:lang w:val="es-ES" w:eastAsia="es-MX"/>
        </w:rPr>
        <w:t>, y d) la afectación generada en la situación jurídica de la persona involucrada en el proceso</w:t>
      </w:r>
      <w:r w:rsidRPr="00975C02">
        <w:rPr>
          <w:rFonts w:eastAsia="Batang" w:cs="Verdana"/>
          <w:sz w:val="20"/>
          <w:szCs w:val="20"/>
          <w:vertAlign w:val="superscript"/>
          <w:lang w:val="es-ES" w:eastAsia="es-MX"/>
        </w:rPr>
        <w:footnoteReference w:id="372"/>
      </w:r>
      <w:r w:rsidRPr="00975C02">
        <w:rPr>
          <w:rFonts w:eastAsia="Batang"/>
          <w:sz w:val="20"/>
          <w:szCs w:val="20"/>
          <w:lang w:val="es-ES" w:eastAsia="es-MX"/>
        </w:rPr>
        <w:t>.</w:t>
      </w:r>
      <w:r w:rsidRPr="00975C02">
        <w:rPr>
          <w:rFonts w:eastAsia="Batang" w:cs="Arial"/>
          <w:sz w:val="20"/>
          <w:szCs w:val="20"/>
          <w:lang w:val="es-ES" w:eastAsia="es-MX"/>
        </w:rPr>
        <w:t xml:space="preserve"> </w:t>
      </w:r>
      <w:r w:rsidRPr="00975C02">
        <w:rPr>
          <w:rFonts w:eastAsia="Batang"/>
          <w:sz w:val="20"/>
          <w:szCs w:val="20"/>
          <w:lang w:val="es-ES" w:eastAsia="es-MX"/>
        </w:rPr>
        <w:t>La Corte recuerda que corresponde al Estado justificar, con fundamento en los criterios señalados, la razón por la cual ha requerido del tiempo transcurrido para tratar el caso y, de no demostrarlo, la Corte tiene amplias atribuciones para hacer su propia estimación al respecto</w:t>
      </w:r>
      <w:r w:rsidRPr="00975C02">
        <w:rPr>
          <w:rFonts w:eastAsia="Batang" w:cs="Verdana"/>
          <w:sz w:val="20"/>
          <w:szCs w:val="20"/>
          <w:vertAlign w:val="superscript"/>
          <w:lang w:val="es-ES" w:eastAsia="es-MX"/>
        </w:rPr>
        <w:footnoteReference w:id="373"/>
      </w:r>
      <w:r w:rsidRPr="00975C02">
        <w:rPr>
          <w:rFonts w:eastAsia="Batang"/>
          <w:sz w:val="20"/>
          <w:szCs w:val="20"/>
          <w:lang w:val="es-ES" w:eastAsia="es-MX"/>
        </w:rPr>
        <w:t>.</w:t>
      </w:r>
      <w:r w:rsidR="00F11668" w:rsidRPr="00975C02">
        <w:rPr>
          <w:rFonts w:eastAsia="Batang"/>
          <w:sz w:val="20"/>
          <w:szCs w:val="20"/>
          <w:lang w:val="es-ES" w:eastAsia="es-MX"/>
        </w:rPr>
        <w:t xml:space="preserve"> Asimismo, la Corte considera relevante remarcar que el proceso penal involucraba una niña víctima de violencia sexual, lo cual exige que en este caso la garantía judicial de plazo razonable establecida en el artículo 8.1 de la Convención Americana deba analizarse junto con el deber del Estado de actuar “</w:t>
      </w:r>
      <w:r w:rsidR="00F11668" w:rsidRPr="00975C02">
        <w:rPr>
          <w:rFonts w:eastAsia="Batang"/>
          <w:iCs/>
          <w:sz w:val="20"/>
          <w:szCs w:val="20"/>
          <w:lang w:val="es-ES" w:eastAsia="es-MX"/>
        </w:rPr>
        <w:t>sin dilaciones”</w:t>
      </w:r>
      <w:r w:rsidR="00F11668" w:rsidRPr="00975C02">
        <w:rPr>
          <w:rFonts w:eastAsia="Batang"/>
          <w:i/>
          <w:iCs/>
          <w:sz w:val="20"/>
          <w:szCs w:val="20"/>
          <w:lang w:val="es-ES" w:eastAsia="es-MX"/>
        </w:rPr>
        <w:t xml:space="preserve"> y </w:t>
      </w:r>
      <w:r w:rsidR="00F11668" w:rsidRPr="00975C02">
        <w:rPr>
          <w:rFonts w:eastAsia="Batang"/>
          <w:sz w:val="20"/>
          <w:szCs w:val="20"/>
          <w:lang w:val="es-ES" w:eastAsia="es-MX"/>
        </w:rPr>
        <w:t xml:space="preserve">con la debida diligencia para investigar y sancionar la violencia contra la niña, dispuesto en el artículo 7.b) de la Convención </w:t>
      </w:r>
      <w:r w:rsidR="002826C3" w:rsidRPr="00975C02">
        <w:rPr>
          <w:rFonts w:eastAsia="Batang"/>
          <w:sz w:val="20"/>
          <w:szCs w:val="20"/>
          <w:lang w:val="es-ES" w:eastAsia="es-MX"/>
        </w:rPr>
        <w:t>de Belém do Pará</w:t>
      </w:r>
      <w:r w:rsidR="00F11668" w:rsidRPr="00975C02">
        <w:rPr>
          <w:rFonts w:eastAsia="Batang"/>
          <w:sz w:val="20"/>
          <w:szCs w:val="20"/>
          <w:lang w:val="es-ES" w:eastAsia="es-MX"/>
        </w:rPr>
        <w:t>.</w:t>
      </w:r>
    </w:p>
    <w:p w14:paraId="74357B61" w14:textId="77777777" w:rsidR="00B5625C" w:rsidRPr="00975C02" w:rsidRDefault="00B5625C" w:rsidP="00B5625C">
      <w:pPr>
        <w:widowControl/>
        <w:tabs>
          <w:tab w:val="left" w:pos="-142"/>
        </w:tabs>
        <w:adjustRightInd/>
        <w:spacing w:line="240" w:lineRule="auto"/>
        <w:textAlignment w:val="auto"/>
        <w:rPr>
          <w:rFonts w:eastAsia="Calibri" w:cs="Calibri"/>
          <w:sz w:val="20"/>
          <w:szCs w:val="20"/>
          <w:lang w:val="es-ES" w:eastAsia="es-MX"/>
        </w:rPr>
      </w:pPr>
    </w:p>
    <w:p w14:paraId="42CB2170" w14:textId="5C276038" w:rsidR="00B5625C" w:rsidRPr="00975C02" w:rsidRDefault="00B5625C" w:rsidP="005F3956">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lastRenderedPageBreak/>
        <w:t xml:space="preserve">Este Tribunal ha tenido en cuenta diversos criterios para determinar la </w:t>
      </w:r>
      <w:r w:rsidRPr="00975C02">
        <w:rPr>
          <w:rFonts w:eastAsia="Batang"/>
          <w:i/>
          <w:sz w:val="20"/>
          <w:szCs w:val="20"/>
          <w:lang w:val="es-ES" w:eastAsia="es-MX"/>
        </w:rPr>
        <w:t>complejidad del asunto</w:t>
      </w:r>
      <w:r w:rsidR="00300318" w:rsidRPr="00975C02">
        <w:rPr>
          <w:rFonts w:eastAsia="Batang"/>
          <w:sz w:val="20"/>
          <w:szCs w:val="20"/>
          <w:lang w:val="es-ES" w:eastAsia="es-MX"/>
        </w:rPr>
        <w:t>, como ser</w:t>
      </w:r>
      <w:r w:rsidRPr="00975C02">
        <w:rPr>
          <w:rFonts w:eastAsia="Batang"/>
          <w:sz w:val="20"/>
          <w:szCs w:val="20"/>
          <w:lang w:val="es-ES" w:eastAsia="es-MX"/>
        </w:rPr>
        <w:t xml:space="preserve"> la </w:t>
      </w:r>
      <w:r w:rsidRPr="00975C02">
        <w:rPr>
          <w:rFonts w:eastAsiaTheme="minorHAnsi" w:cstheme="minorBidi"/>
          <w:sz w:val="20"/>
          <w:szCs w:val="20"/>
          <w:lang w:val="es-ES" w:eastAsia="en-US"/>
        </w:rPr>
        <w:t>complejidad</w:t>
      </w:r>
      <w:r w:rsidRPr="00975C02">
        <w:rPr>
          <w:rFonts w:eastAsia="Batang"/>
          <w:sz w:val="20"/>
          <w:szCs w:val="20"/>
          <w:lang w:val="es-ES" w:eastAsia="es-MX"/>
        </w:rPr>
        <w:t xml:space="preserve"> de la prueba, la pluralidad de sujetos procesales o la cantidad de víctimas, el tiempo transcurrido desde la violación, y el contexto en el que ocurrió la violación</w:t>
      </w:r>
      <w:r w:rsidRPr="00975C02">
        <w:rPr>
          <w:rFonts w:eastAsia="Batang" w:cs="Verdana"/>
          <w:sz w:val="20"/>
          <w:szCs w:val="20"/>
          <w:vertAlign w:val="superscript"/>
          <w:lang w:val="es-ES" w:eastAsia="es-MX"/>
        </w:rPr>
        <w:footnoteReference w:id="374"/>
      </w:r>
      <w:r w:rsidRPr="00975C02">
        <w:rPr>
          <w:rFonts w:eastAsia="Batang"/>
          <w:sz w:val="20"/>
          <w:szCs w:val="20"/>
          <w:lang w:val="es-ES" w:eastAsia="es-MX"/>
        </w:rPr>
        <w:t>. La Corte nota que en el presente caso la víctima del hecho a investigar es solo una y que el delito tendría solo un autor material. Asimismo, durante el proceso penal pudieron realizarse diferentes pruebas en un corto tiempo</w:t>
      </w:r>
      <w:r w:rsidR="00300318" w:rsidRPr="00975C02">
        <w:rPr>
          <w:rFonts w:eastAsia="Batang"/>
          <w:sz w:val="20"/>
          <w:szCs w:val="20"/>
          <w:lang w:val="es-ES" w:eastAsia="es-MX"/>
        </w:rPr>
        <w:t>,</w:t>
      </w:r>
      <w:r w:rsidRPr="00975C02">
        <w:rPr>
          <w:rFonts w:eastAsia="Batang"/>
          <w:sz w:val="20"/>
          <w:szCs w:val="20"/>
          <w:lang w:val="es-ES" w:eastAsia="es-MX"/>
        </w:rPr>
        <w:t xml:space="preserve"> </w:t>
      </w:r>
      <w:r w:rsidR="00300318" w:rsidRPr="00975C02">
        <w:rPr>
          <w:rFonts w:eastAsia="Batang"/>
          <w:sz w:val="20"/>
          <w:szCs w:val="20"/>
          <w:lang w:val="es-ES" w:eastAsia="es-MX"/>
        </w:rPr>
        <w:t xml:space="preserve">tales como </w:t>
      </w:r>
      <w:r w:rsidRPr="00975C02">
        <w:rPr>
          <w:rFonts w:eastAsia="Batang"/>
          <w:sz w:val="20"/>
          <w:szCs w:val="20"/>
          <w:lang w:val="es-ES" w:eastAsia="es-MX"/>
        </w:rPr>
        <w:t>declaración de la víctima, declaración indagatoria del im</w:t>
      </w:r>
      <w:r w:rsidR="00EC48AA" w:rsidRPr="00975C02">
        <w:rPr>
          <w:rFonts w:eastAsia="Batang"/>
          <w:sz w:val="20"/>
          <w:szCs w:val="20"/>
          <w:lang w:val="es-ES" w:eastAsia="es-MX"/>
        </w:rPr>
        <w:t>putado, declaraciones testimoniale</w:t>
      </w:r>
      <w:r w:rsidRPr="00975C02">
        <w:rPr>
          <w:rFonts w:eastAsia="Batang"/>
          <w:sz w:val="20"/>
          <w:szCs w:val="20"/>
          <w:lang w:val="es-ES" w:eastAsia="es-MX"/>
        </w:rPr>
        <w:t>s, exámenes médicos, inspección ocular y reconstrucción de los hechos. Por ello, este Tribunal advierte que no existen elementos de complejidad.</w:t>
      </w:r>
    </w:p>
    <w:p w14:paraId="05CEA06E" w14:textId="77777777" w:rsidR="00B5625C" w:rsidRPr="00975C02" w:rsidRDefault="00B5625C" w:rsidP="00B5625C">
      <w:pPr>
        <w:widowControl/>
        <w:adjustRightInd/>
        <w:spacing w:line="240" w:lineRule="auto"/>
        <w:textAlignment w:val="auto"/>
        <w:rPr>
          <w:rFonts w:eastAsia="Calibri" w:cs="Calibri"/>
          <w:sz w:val="20"/>
          <w:szCs w:val="20"/>
          <w:lang w:val="es-ES" w:eastAsia="es-MX"/>
        </w:rPr>
      </w:pPr>
    </w:p>
    <w:p w14:paraId="62ED4E29" w14:textId="118AD862" w:rsidR="00B5625C" w:rsidRPr="00975C02" w:rsidRDefault="00B5625C" w:rsidP="005F3956">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t xml:space="preserve">En lo </w:t>
      </w:r>
      <w:r w:rsidRPr="00975C02">
        <w:rPr>
          <w:rFonts w:eastAsia="Batang" w:cs="Arial"/>
          <w:sz w:val="20"/>
          <w:szCs w:val="20"/>
          <w:lang w:val="es-ES" w:eastAsia="es-MX"/>
        </w:rPr>
        <w:t>relativo</w:t>
      </w:r>
      <w:r w:rsidRPr="00975C02">
        <w:rPr>
          <w:rFonts w:eastAsia="Batang"/>
          <w:sz w:val="20"/>
          <w:szCs w:val="20"/>
          <w:lang w:val="es-ES" w:eastAsia="es-MX"/>
        </w:rPr>
        <w:t xml:space="preserve"> a la </w:t>
      </w:r>
      <w:r w:rsidRPr="00975C02">
        <w:rPr>
          <w:rFonts w:eastAsia="Batang"/>
          <w:i/>
          <w:sz w:val="20"/>
          <w:szCs w:val="20"/>
          <w:lang w:val="es-ES" w:eastAsia="es-MX"/>
        </w:rPr>
        <w:t>actividad procesal del interesado</w:t>
      </w:r>
      <w:r w:rsidRPr="00975C02">
        <w:rPr>
          <w:rFonts w:eastAsia="Batang"/>
          <w:sz w:val="20"/>
          <w:szCs w:val="20"/>
          <w:lang w:val="es-ES" w:eastAsia="es-MX"/>
        </w:rPr>
        <w:t>, la Corte nota que existió un impulso procesal promovido por V.P.C. durante todo el proceso. Así, el 20 de noviembre de 2001 V.P.C. interpuso la denuncia contra H.R.A. por el delito de violación sexual en perjuicio de su hija V.R.P. (</w:t>
      </w:r>
      <w:r w:rsidRPr="00975C02">
        <w:rPr>
          <w:rFonts w:eastAsia="Batang"/>
          <w:i/>
          <w:sz w:val="20"/>
          <w:szCs w:val="20"/>
          <w:lang w:val="es-ES" w:eastAsia="es-MX"/>
        </w:rPr>
        <w:t>supra</w:t>
      </w:r>
      <w:r w:rsidRPr="00975C02">
        <w:rPr>
          <w:rFonts w:eastAsia="Batang"/>
          <w:sz w:val="20"/>
          <w:szCs w:val="20"/>
          <w:lang w:val="es-ES" w:eastAsia="es-MX"/>
        </w:rPr>
        <w:t xml:space="preserve"> párr. </w:t>
      </w:r>
      <w:r w:rsidR="00300318" w:rsidRPr="00975C02">
        <w:rPr>
          <w:rFonts w:eastAsia="Batang"/>
          <w:sz w:val="20"/>
          <w:szCs w:val="20"/>
          <w:lang w:val="es-ES" w:eastAsia="es-MX"/>
        </w:rPr>
        <w:t>72</w:t>
      </w:r>
      <w:r w:rsidRPr="00975C02">
        <w:rPr>
          <w:rFonts w:eastAsia="Batang"/>
          <w:sz w:val="20"/>
          <w:szCs w:val="20"/>
          <w:lang w:val="es-ES" w:eastAsia="es-MX"/>
        </w:rPr>
        <w:t>), y el 2</w:t>
      </w:r>
      <w:r w:rsidR="005F3956" w:rsidRPr="00975C02">
        <w:rPr>
          <w:rFonts w:eastAsia="Batang"/>
          <w:sz w:val="20"/>
          <w:szCs w:val="20"/>
          <w:lang w:val="es-ES" w:eastAsia="es-MX"/>
        </w:rPr>
        <w:t>9 de julio de 2002</w:t>
      </w:r>
      <w:r w:rsidRPr="00975C02">
        <w:rPr>
          <w:rFonts w:eastAsia="Batang"/>
          <w:sz w:val="20"/>
          <w:szCs w:val="20"/>
          <w:lang w:val="es-ES" w:eastAsia="es-MX"/>
        </w:rPr>
        <w:t xml:space="preserve"> solicitó la intervención de un fiscal especializado para que tutelara y garantizara los derechos de su hija en el proceso</w:t>
      </w:r>
      <w:r w:rsidR="005F3956" w:rsidRPr="00975C02">
        <w:rPr>
          <w:rFonts w:eastAsia="Batang"/>
          <w:sz w:val="20"/>
          <w:szCs w:val="20"/>
          <w:lang w:val="es-ES" w:eastAsia="es-MX"/>
        </w:rPr>
        <w:t xml:space="preserve"> (</w:t>
      </w:r>
      <w:r w:rsidR="005F3956" w:rsidRPr="00975C02">
        <w:rPr>
          <w:rFonts w:eastAsia="Batang"/>
          <w:i/>
          <w:sz w:val="20"/>
          <w:szCs w:val="20"/>
          <w:lang w:val="es-ES" w:eastAsia="es-MX"/>
        </w:rPr>
        <w:t xml:space="preserve">supra </w:t>
      </w:r>
      <w:r w:rsidR="005F3956" w:rsidRPr="00975C02">
        <w:rPr>
          <w:rFonts w:eastAsia="Batang"/>
          <w:sz w:val="20"/>
          <w:szCs w:val="20"/>
          <w:lang w:val="es-ES" w:eastAsia="es-MX"/>
        </w:rPr>
        <w:t xml:space="preserve">párr. </w:t>
      </w:r>
      <w:r w:rsidR="00300318" w:rsidRPr="00975C02">
        <w:rPr>
          <w:rFonts w:eastAsia="Batang"/>
          <w:sz w:val="20"/>
          <w:szCs w:val="20"/>
          <w:lang w:val="es-ES" w:eastAsia="es-MX"/>
        </w:rPr>
        <w:t>110</w:t>
      </w:r>
      <w:r w:rsidR="005F3956" w:rsidRPr="00975C02">
        <w:rPr>
          <w:rFonts w:eastAsia="Batang"/>
          <w:sz w:val="20"/>
          <w:szCs w:val="20"/>
          <w:lang w:val="es-ES" w:eastAsia="es-MX"/>
        </w:rPr>
        <w:t>)</w:t>
      </w:r>
      <w:r w:rsidRPr="00975C02">
        <w:rPr>
          <w:rFonts w:eastAsia="Batang"/>
          <w:sz w:val="20"/>
          <w:szCs w:val="20"/>
          <w:lang w:val="es-ES" w:eastAsia="es-MX"/>
        </w:rPr>
        <w:t>. Asimismo, consta que</w:t>
      </w:r>
      <w:r w:rsidR="00B31B77" w:rsidRPr="00975C02">
        <w:rPr>
          <w:rFonts w:eastAsia="Batang"/>
          <w:sz w:val="20"/>
          <w:szCs w:val="20"/>
          <w:lang w:val="es-ES" w:eastAsia="es-MX"/>
        </w:rPr>
        <w:t>,</w:t>
      </w:r>
      <w:r w:rsidRPr="00975C02">
        <w:rPr>
          <w:rFonts w:eastAsia="Batang"/>
          <w:sz w:val="20"/>
          <w:szCs w:val="20"/>
          <w:lang w:val="es-ES" w:eastAsia="es-MX"/>
        </w:rPr>
        <w:t xml:space="preserve"> en varias oportunidades</w:t>
      </w:r>
      <w:r w:rsidR="00B31B77" w:rsidRPr="00975C02">
        <w:rPr>
          <w:rFonts w:eastAsia="Batang"/>
          <w:sz w:val="20"/>
          <w:szCs w:val="20"/>
          <w:lang w:val="es-ES" w:eastAsia="es-MX"/>
        </w:rPr>
        <w:t>,</w:t>
      </w:r>
      <w:r w:rsidRPr="00975C02">
        <w:rPr>
          <w:rFonts w:eastAsia="Batang"/>
          <w:sz w:val="20"/>
          <w:szCs w:val="20"/>
          <w:lang w:val="es-ES" w:eastAsia="es-MX"/>
        </w:rPr>
        <w:t xml:space="preserve"> la interesada cuestionó la demora del proceso y solicitó que se agilizara el caso</w:t>
      </w:r>
      <w:r w:rsidR="005F3956" w:rsidRPr="00975C02">
        <w:rPr>
          <w:rFonts w:eastAsia="Batang"/>
          <w:sz w:val="20"/>
          <w:szCs w:val="20"/>
          <w:lang w:val="es-ES" w:eastAsia="es-MX"/>
        </w:rPr>
        <w:t xml:space="preserve"> (</w:t>
      </w:r>
      <w:r w:rsidR="005F3956" w:rsidRPr="00975C02">
        <w:rPr>
          <w:rFonts w:eastAsia="Batang"/>
          <w:i/>
          <w:sz w:val="20"/>
          <w:szCs w:val="20"/>
          <w:lang w:val="es-ES" w:eastAsia="es-MX"/>
        </w:rPr>
        <w:t xml:space="preserve">supra </w:t>
      </w:r>
      <w:r w:rsidR="00B31B77" w:rsidRPr="00975C02">
        <w:rPr>
          <w:rFonts w:eastAsia="Batang"/>
          <w:sz w:val="20"/>
          <w:szCs w:val="20"/>
          <w:lang w:val="es-ES" w:eastAsia="es-MX"/>
        </w:rPr>
        <w:t>párr. 115</w:t>
      </w:r>
      <w:r w:rsidR="005F3956" w:rsidRPr="00975C02">
        <w:rPr>
          <w:rFonts w:eastAsia="Batang"/>
          <w:sz w:val="20"/>
          <w:szCs w:val="20"/>
          <w:lang w:val="es-ES" w:eastAsia="es-MX"/>
        </w:rPr>
        <w:t>).</w:t>
      </w:r>
    </w:p>
    <w:p w14:paraId="44DC6F8F" w14:textId="77777777" w:rsidR="00B5625C" w:rsidRPr="00975C02" w:rsidRDefault="00B5625C" w:rsidP="00B5625C">
      <w:pPr>
        <w:widowControl/>
        <w:tabs>
          <w:tab w:val="left" w:pos="-142"/>
        </w:tabs>
        <w:adjustRightInd/>
        <w:spacing w:line="240" w:lineRule="auto"/>
        <w:textAlignment w:val="auto"/>
        <w:rPr>
          <w:rFonts w:eastAsia="Calibri" w:cs="Calibri"/>
          <w:sz w:val="20"/>
          <w:szCs w:val="20"/>
          <w:lang w:val="es-ES" w:eastAsia="es-MX"/>
        </w:rPr>
      </w:pPr>
    </w:p>
    <w:p w14:paraId="57B093AB" w14:textId="6DA33183" w:rsidR="00B5625C" w:rsidRPr="00975C02" w:rsidRDefault="00B5625C" w:rsidP="005F3956">
      <w:pPr>
        <w:widowControl/>
        <w:numPr>
          <w:ilvl w:val="0"/>
          <w:numId w:val="2"/>
        </w:numPr>
        <w:tabs>
          <w:tab w:val="left" w:pos="567"/>
          <w:tab w:val="num" w:pos="12305"/>
        </w:tabs>
        <w:adjustRightInd/>
        <w:spacing w:line="240" w:lineRule="auto"/>
        <w:ind w:left="0" w:firstLine="0"/>
        <w:textAlignment w:val="auto"/>
        <w:rPr>
          <w:rFonts w:eastAsia="Batang" w:cs="Arial"/>
          <w:sz w:val="20"/>
          <w:szCs w:val="20"/>
          <w:lang w:val="es-ES" w:eastAsia="es-MX"/>
        </w:rPr>
      </w:pPr>
      <w:r w:rsidRPr="00975C02">
        <w:rPr>
          <w:rFonts w:eastAsia="Batang" w:cs="Arial"/>
          <w:sz w:val="20"/>
          <w:szCs w:val="20"/>
          <w:lang w:val="es-ES" w:eastAsia="es-MX"/>
        </w:rPr>
        <w:t xml:space="preserve">Respecto de la </w:t>
      </w:r>
      <w:r w:rsidRPr="00975C02">
        <w:rPr>
          <w:rFonts w:eastAsia="Batang" w:cs="Arial"/>
          <w:i/>
          <w:sz w:val="20"/>
          <w:szCs w:val="20"/>
          <w:lang w:val="es-ES" w:eastAsia="es-MX"/>
        </w:rPr>
        <w:t>conducta de las autoridades judiciales,</w:t>
      </w:r>
      <w:r w:rsidRPr="00975C02">
        <w:rPr>
          <w:rFonts w:eastAsia="Batang" w:cs="Arial"/>
          <w:sz w:val="20"/>
          <w:szCs w:val="20"/>
          <w:lang w:val="es-ES" w:eastAsia="es-MX"/>
        </w:rPr>
        <w:t xml:space="preserve"> la Corte ha entendido que</w:t>
      </w:r>
      <w:r w:rsidR="008A61D0" w:rsidRPr="00975C02">
        <w:rPr>
          <w:rFonts w:eastAsia="Batang" w:cs="Arial"/>
          <w:sz w:val="20"/>
          <w:szCs w:val="20"/>
          <w:lang w:val="es-ES" w:eastAsia="es-MX"/>
        </w:rPr>
        <w:t>,</w:t>
      </w:r>
      <w:r w:rsidRPr="00975C02">
        <w:rPr>
          <w:rFonts w:eastAsia="Batang" w:cs="Arial"/>
          <w:sz w:val="20"/>
          <w:szCs w:val="20"/>
          <w:lang w:val="es-ES" w:eastAsia="es-MX"/>
        </w:rPr>
        <w:t xml:space="preserve"> como rectoras del </w:t>
      </w:r>
      <w:r w:rsidRPr="00975C02">
        <w:rPr>
          <w:rFonts w:eastAsia="Batang"/>
          <w:sz w:val="20"/>
          <w:szCs w:val="20"/>
          <w:lang w:val="es-ES" w:eastAsia="es-MX"/>
        </w:rPr>
        <w:t>proceso</w:t>
      </w:r>
      <w:r w:rsidRPr="00975C02">
        <w:rPr>
          <w:rFonts w:eastAsia="Batang" w:cs="Arial"/>
          <w:sz w:val="20"/>
          <w:szCs w:val="20"/>
          <w:lang w:val="es-ES" w:eastAsia="es-MX"/>
        </w:rPr>
        <w:t xml:space="preserve">, tienen el deber de dirigir y encausar la investigación penal con el propósito de </w:t>
      </w:r>
      <w:r w:rsidRPr="00975C02">
        <w:rPr>
          <w:rFonts w:eastAsia="Batang"/>
          <w:sz w:val="20"/>
          <w:szCs w:val="20"/>
          <w:lang w:val="es-ES" w:eastAsia="es-MX"/>
        </w:rPr>
        <w:t>individualizar, juzgar y, en su caso, sancionar a todos los responsables de los hechos</w:t>
      </w:r>
      <w:r w:rsidRPr="00975C02">
        <w:rPr>
          <w:rFonts w:eastAsia="Batang" w:cs="Verdana"/>
          <w:sz w:val="20"/>
          <w:szCs w:val="20"/>
          <w:vertAlign w:val="superscript"/>
          <w:lang w:val="es-ES" w:eastAsia="es-MX"/>
        </w:rPr>
        <w:footnoteReference w:id="375"/>
      </w:r>
      <w:r w:rsidRPr="00975C02">
        <w:rPr>
          <w:rFonts w:eastAsia="Batang" w:cs="Arial"/>
          <w:sz w:val="20"/>
          <w:szCs w:val="20"/>
          <w:lang w:val="es-ES" w:eastAsia="es-MX"/>
        </w:rPr>
        <w:t xml:space="preserve">. En el presente caso, las autoridades estatales no han sido diligentes en la investigación </w:t>
      </w:r>
      <w:r w:rsidR="00300318" w:rsidRPr="00975C02">
        <w:rPr>
          <w:rFonts w:eastAsia="Batang" w:cs="Arial"/>
          <w:sz w:val="20"/>
          <w:szCs w:val="20"/>
          <w:lang w:val="es-ES" w:eastAsia="es-MX"/>
        </w:rPr>
        <w:t>de los hechos</w:t>
      </w:r>
      <w:r w:rsidRPr="00975C02">
        <w:rPr>
          <w:rFonts w:eastAsia="Batang" w:cs="Arial"/>
          <w:sz w:val="20"/>
          <w:szCs w:val="20"/>
          <w:lang w:val="es-ES" w:eastAsia="es-MX"/>
        </w:rPr>
        <w:t xml:space="preserve"> de violencia sexual en contra de V.R.P., ni han tomado en cuenta los efectos del tiempo durante la etapa recursiva del proceso penal, cerca de seis años desde el veredicto absolutorio del jurado.</w:t>
      </w:r>
    </w:p>
    <w:p w14:paraId="2C1DF558" w14:textId="77777777" w:rsidR="00B5625C" w:rsidRPr="00975C02" w:rsidRDefault="00B5625C" w:rsidP="00B5625C">
      <w:pPr>
        <w:widowControl/>
        <w:adjustRightInd/>
        <w:spacing w:line="240" w:lineRule="auto"/>
        <w:textAlignment w:val="auto"/>
        <w:rPr>
          <w:rFonts w:eastAsia="Calibri" w:cs="Calibri"/>
          <w:sz w:val="20"/>
          <w:szCs w:val="20"/>
          <w:lang w:val="es-ES" w:eastAsia="es-MX"/>
        </w:rPr>
      </w:pPr>
    </w:p>
    <w:p w14:paraId="1459EBDE" w14:textId="099E630A" w:rsidR="00B5625C" w:rsidRPr="00975C02" w:rsidRDefault="00B5625C" w:rsidP="008A61D0">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cs="Arial"/>
          <w:sz w:val="20"/>
          <w:szCs w:val="20"/>
          <w:lang w:val="es-ES" w:eastAsia="es-MX"/>
        </w:rPr>
        <w:t xml:space="preserve">Lo anterior se constata dado que durante la etapa recursiva </w:t>
      </w:r>
      <w:r w:rsidR="00300318" w:rsidRPr="00975C02">
        <w:rPr>
          <w:rFonts w:eastAsia="Batang" w:cs="Arial"/>
          <w:sz w:val="20"/>
          <w:szCs w:val="20"/>
          <w:lang w:val="es-ES" w:eastAsia="es-MX"/>
        </w:rPr>
        <w:t>hubo</w:t>
      </w:r>
      <w:r w:rsidRPr="00975C02">
        <w:rPr>
          <w:rFonts w:eastAsia="Batang" w:cs="Arial"/>
          <w:sz w:val="20"/>
          <w:szCs w:val="20"/>
          <w:lang w:val="es-ES" w:eastAsia="es-MX"/>
        </w:rPr>
        <w:t xml:space="preserve"> períodos de inacción prolongados, sin que surja de los hechos alguna explicación o justificación por parte de las autoridades encargadas de encausar el proceso. En efecto, basta en este caso con advertir que no consta actividad alguna entre la remisión de la causa al Tribunal de Apelaciones el 15 de mayo de 2002</w:t>
      </w:r>
      <w:r w:rsidR="008A61D0" w:rsidRPr="00975C02">
        <w:rPr>
          <w:rFonts w:eastAsia="Batang" w:cs="Arial"/>
          <w:sz w:val="20"/>
          <w:szCs w:val="20"/>
          <w:lang w:val="es-ES" w:eastAsia="es-MX"/>
        </w:rPr>
        <w:t xml:space="preserve"> </w:t>
      </w:r>
      <w:r w:rsidR="008A61D0" w:rsidRPr="00975C02">
        <w:rPr>
          <w:rFonts w:eastAsia="Batang"/>
          <w:sz w:val="20"/>
          <w:szCs w:val="20"/>
          <w:lang w:val="es-ES" w:eastAsia="es-MX"/>
        </w:rPr>
        <w:t>(</w:t>
      </w:r>
      <w:r w:rsidR="008A61D0" w:rsidRPr="00975C02">
        <w:rPr>
          <w:rFonts w:eastAsia="Batang"/>
          <w:i/>
          <w:sz w:val="20"/>
          <w:szCs w:val="20"/>
          <w:lang w:val="es-ES" w:eastAsia="es-MX"/>
        </w:rPr>
        <w:t xml:space="preserve">supra </w:t>
      </w:r>
      <w:r w:rsidR="008A61D0" w:rsidRPr="00975C02">
        <w:rPr>
          <w:rFonts w:eastAsia="Batang"/>
          <w:sz w:val="20"/>
          <w:szCs w:val="20"/>
          <w:lang w:val="es-ES" w:eastAsia="es-MX"/>
        </w:rPr>
        <w:t xml:space="preserve">párr. </w:t>
      </w:r>
      <w:r w:rsidR="00300318" w:rsidRPr="00975C02">
        <w:rPr>
          <w:rFonts w:eastAsia="Batang"/>
          <w:sz w:val="20"/>
          <w:szCs w:val="20"/>
          <w:lang w:val="es-ES" w:eastAsia="es-MX"/>
        </w:rPr>
        <w:t>108</w:t>
      </w:r>
      <w:r w:rsidR="008A61D0" w:rsidRPr="00975C02">
        <w:rPr>
          <w:rFonts w:eastAsia="Batang"/>
          <w:sz w:val="20"/>
          <w:szCs w:val="20"/>
          <w:lang w:val="es-ES" w:eastAsia="es-MX"/>
        </w:rPr>
        <w:t>)</w:t>
      </w:r>
      <w:r w:rsidRPr="00975C02">
        <w:rPr>
          <w:rFonts w:eastAsia="Batang" w:cs="Arial"/>
          <w:sz w:val="20"/>
          <w:szCs w:val="20"/>
          <w:lang w:val="es-ES" w:eastAsia="es-MX"/>
        </w:rPr>
        <w:t xml:space="preserve"> y la declaración de nulidad del proceso dictado el 13 de enero de 2003</w:t>
      </w:r>
      <w:r w:rsidR="008A61D0" w:rsidRPr="00975C02">
        <w:rPr>
          <w:rFonts w:eastAsia="Batang" w:cs="Arial"/>
          <w:sz w:val="20"/>
          <w:szCs w:val="20"/>
          <w:lang w:val="es-ES" w:eastAsia="es-MX"/>
        </w:rPr>
        <w:t xml:space="preserve"> </w:t>
      </w:r>
      <w:r w:rsidR="008A61D0" w:rsidRPr="00975C02">
        <w:rPr>
          <w:rFonts w:eastAsia="Batang"/>
          <w:sz w:val="20"/>
          <w:szCs w:val="20"/>
          <w:lang w:val="es-ES" w:eastAsia="es-MX"/>
        </w:rPr>
        <w:t>(</w:t>
      </w:r>
      <w:r w:rsidR="008A61D0" w:rsidRPr="00975C02">
        <w:rPr>
          <w:rFonts w:eastAsia="Batang"/>
          <w:i/>
          <w:sz w:val="20"/>
          <w:szCs w:val="20"/>
          <w:lang w:val="es-ES" w:eastAsia="es-MX"/>
        </w:rPr>
        <w:t xml:space="preserve">supra </w:t>
      </w:r>
      <w:r w:rsidR="008A61D0" w:rsidRPr="00975C02">
        <w:rPr>
          <w:rFonts w:eastAsia="Batang"/>
          <w:sz w:val="20"/>
          <w:szCs w:val="20"/>
          <w:lang w:val="es-ES" w:eastAsia="es-MX"/>
        </w:rPr>
        <w:t xml:space="preserve">párr. </w:t>
      </w:r>
      <w:r w:rsidR="00300318" w:rsidRPr="00975C02">
        <w:rPr>
          <w:rFonts w:eastAsia="Batang"/>
          <w:sz w:val="20"/>
          <w:szCs w:val="20"/>
          <w:lang w:val="es-ES" w:eastAsia="es-MX"/>
        </w:rPr>
        <w:t>111</w:t>
      </w:r>
      <w:r w:rsidR="008A61D0" w:rsidRPr="00975C02">
        <w:rPr>
          <w:rFonts w:eastAsia="Batang"/>
          <w:sz w:val="20"/>
          <w:szCs w:val="20"/>
          <w:lang w:val="es-ES" w:eastAsia="es-MX"/>
        </w:rPr>
        <w:t>)</w:t>
      </w:r>
      <w:r w:rsidRPr="00975C02">
        <w:rPr>
          <w:rFonts w:eastAsia="Batang" w:cs="Arial"/>
          <w:sz w:val="20"/>
          <w:szCs w:val="20"/>
          <w:lang w:val="es-ES" w:eastAsia="es-MX"/>
        </w:rPr>
        <w:t>, es decir, un plazo de inactividad de ocho meses. También se advierte que</w:t>
      </w:r>
      <w:r w:rsidRPr="00975C02">
        <w:rPr>
          <w:rFonts w:eastAsia="Batang"/>
          <w:sz w:val="20"/>
          <w:szCs w:val="20"/>
          <w:lang w:val="es-ES" w:eastAsia="es-MX"/>
        </w:rPr>
        <w:t>, luego de las excusaciones pedidas por las partes cuya última petición fue rechazada el 12 de agosto de 2003</w:t>
      </w:r>
      <w:r w:rsidR="008A61D0" w:rsidRPr="00975C02">
        <w:rPr>
          <w:rFonts w:eastAsia="Batang"/>
          <w:sz w:val="20"/>
          <w:szCs w:val="20"/>
          <w:lang w:val="es-ES" w:eastAsia="es-MX"/>
        </w:rPr>
        <w:t xml:space="preserve"> (</w:t>
      </w:r>
      <w:r w:rsidR="008A61D0" w:rsidRPr="00975C02">
        <w:rPr>
          <w:rFonts w:eastAsia="Batang"/>
          <w:i/>
          <w:sz w:val="20"/>
          <w:szCs w:val="20"/>
          <w:lang w:val="es-ES" w:eastAsia="es-MX"/>
        </w:rPr>
        <w:t xml:space="preserve">supra </w:t>
      </w:r>
      <w:r w:rsidR="008A61D0" w:rsidRPr="00975C02">
        <w:rPr>
          <w:rFonts w:eastAsia="Batang"/>
          <w:sz w:val="20"/>
          <w:szCs w:val="20"/>
          <w:lang w:val="es-ES" w:eastAsia="es-MX"/>
        </w:rPr>
        <w:t xml:space="preserve">párr. </w:t>
      </w:r>
      <w:r w:rsidR="00300318" w:rsidRPr="00975C02">
        <w:rPr>
          <w:rFonts w:eastAsia="Batang"/>
          <w:sz w:val="20"/>
          <w:szCs w:val="20"/>
          <w:lang w:val="es-ES" w:eastAsia="es-MX"/>
        </w:rPr>
        <w:t>112</w:t>
      </w:r>
      <w:r w:rsidR="008A61D0" w:rsidRPr="00975C02">
        <w:rPr>
          <w:rFonts w:eastAsia="Batang"/>
          <w:sz w:val="20"/>
          <w:szCs w:val="20"/>
          <w:lang w:val="es-ES" w:eastAsia="es-MX"/>
        </w:rPr>
        <w:t>)</w:t>
      </w:r>
      <w:r w:rsidRPr="00975C02">
        <w:rPr>
          <w:rFonts w:eastAsia="Batang"/>
          <w:sz w:val="20"/>
          <w:szCs w:val="20"/>
          <w:lang w:val="es-ES" w:eastAsia="es-MX"/>
        </w:rPr>
        <w:t>, dos jueces se excusaron sin ningún motivo (el 23 de febrero de 2004 y el 1 de marzo de 2004)</w:t>
      </w:r>
      <w:r w:rsidR="008A61D0" w:rsidRPr="00975C02">
        <w:rPr>
          <w:rFonts w:eastAsia="Batang"/>
          <w:sz w:val="20"/>
          <w:szCs w:val="20"/>
          <w:lang w:val="es-ES" w:eastAsia="es-MX"/>
        </w:rPr>
        <w:t xml:space="preserve"> (</w:t>
      </w:r>
      <w:r w:rsidR="008A61D0" w:rsidRPr="00975C02">
        <w:rPr>
          <w:rFonts w:eastAsia="Batang"/>
          <w:i/>
          <w:sz w:val="20"/>
          <w:szCs w:val="20"/>
          <w:lang w:val="es-ES" w:eastAsia="es-MX"/>
        </w:rPr>
        <w:t xml:space="preserve">supra </w:t>
      </w:r>
      <w:r w:rsidR="008A61D0" w:rsidRPr="00975C02">
        <w:rPr>
          <w:rFonts w:eastAsia="Batang"/>
          <w:sz w:val="20"/>
          <w:szCs w:val="20"/>
          <w:lang w:val="es-ES" w:eastAsia="es-MX"/>
        </w:rPr>
        <w:t xml:space="preserve">párr. </w:t>
      </w:r>
      <w:r w:rsidR="00300318" w:rsidRPr="00975C02">
        <w:rPr>
          <w:rFonts w:eastAsia="Batang"/>
          <w:sz w:val="20"/>
          <w:szCs w:val="20"/>
          <w:lang w:val="es-ES" w:eastAsia="es-MX"/>
        </w:rPr>
        <w:t>114</w:t>
      </w:r>
      <w:r w:rsidR="008A61D0" w:rsidRPr="00975C02">
        <w:rPr>
          <w:rFonts w:eastAsia="Batang"/>
          <w:sz w:val="20"/>
          <w:szCs w:val="20"/>
          <w:lang w:val="es-ES" w:eastAsia="es-MX"/>
        </w:rPr>
        <w:t>)</w:t>
      </w:r>
      <w:r w:rsidRPr="00975C02">
        <w:rPr>
          <w:rFonts w:eastAsia="Batang"/>
          <w:sz w:val="20"/>
          <w:szCs w:val="20"/>
          <w:lang w:val="es-ES" w:eastAsia="es-MX"/>
        </w:rPr>
        <w:t xml:space="preserve"> y, con posterioridad, el expediente quedó en estado de inacción hasta el 13 de enero de 2005, fecha en que el Juzgado de Distrito Penal de Juicio asumió jurisdicción y competencia para tramitar la causa y ordenó la apertura a pruebas del incidente de nulidad del veredicto. Es decir, la Corte nota un período de inactividad jurisdiccional de </w:t>
      </w:r>
      <w:r w:rsidR="00804036" w:rsidRPr="00975C02">
        <w:rPr>
          <w:rFonts w:eastAsia="Batang"/>
          <w:sz w:val="20"/>
          <w:szCs w:val="20"/>
          <w:lang w:val="es-ES" w:eastAsia="es-MX"/>
        </w:rPr>
        <w:t>un año y medio</w:t>
      </w:r>
      <w:r w:rsidRPr="00975C02">
        <w:rPr>
          <w:rFonts w:eastAsia="Batang"/>
          <w:sz w:val="20"/>
          <w:szCs w:val="20"/>
          <w:lang w:val="es-ES" w:eastAsia="es-MX"/>
        </w:rPr>
        <w:t xml:space="preserve">. Por último, se advierte que el 9 de agosto de 2005 se rechazó el incidente sustancial del veredicto y el 25 de agosto de 2005 tanto el fiscal como V.P.C. apelaron esa resolución. Recién dos años y dos meses después, </w:t>
      </w:r>
      <w:r w:rsidR="00804036" w:rsidRPr="00975C02">
        <w:rPr>
          <w:rFonts w:eastAsia="Batang"/>
          <w:sz w:val="20"/>
          <w:szCs w:val="20"/>
          <w:lang w:val="es-ES" w:eastAsia="es-MX"/>
        </w:rPr>
        <w:t xml:space="preserve">eso es </w:t>
      </w:r>
      <w:r w:rsidRPr="00975C02">
        <w:rPr>
          <w:rFonts w:eastAsia="Batang"/>
          <w:sz w:val="20"/>
          <w:szCs w:val="20"/>
          <w:lang w:val="es-ES" w:eastAsia="es-MX"/>
        </w:rPr>
        <w:t>el 24 de octubre de 2007</w:t>
      </w:r>
      <w:r w:rsidR="00804036" w:rsidRPr="00975C02">
        <w:rPr>
          <w:rFonts w:eastAsia="Batang"/>
          <w:sz w:val="20"/>
          <w:szCs w:val="20"/>
          <w:lang w:val="es-ES" w:eastAsia="es-MX"/>
        </w:rPr>
        <w:t>,</w:t>
      </w:r>
      <w:r w:rsidRPr="00975C02">
        <w:rPr>
          <w:rFonts w:eastAsia="Batang"/>
          <w:sz w:val="20"/>
          <w:szCs w:val="20"/>
          <w:lang w:val="es-ES" w:eastAsia="es-MX"/>
        </w:rPr>
        <w:t xml:space="preserve"> el Tribunal de </w:t>
      </w:r>
      <w:r w:rsidR="00804036" w:rsidRPr="00975C02">
        <w:rPr>
          <w:rFonts w:eastAsia="Batang"/>
          <w:sz w:val="20"/>
          <w:szCs w:val="20"/>
          <w:lang w:val="es-ES" w:eastAsia="es-MX"/>
        </w:rPr>
        <w:t>A</w:t>
      </w:r>
      <w:r w:rsidRPr="00975C02">
        <w:rPr>
          <w:rFonts w:eastAsia="Batang"/>
          <w:sz w:val="20"/>
          <w:szCs w:val="20"/>
          <w:lang w:val="es-ES" w:eastAsia="es-MX"/>
        </w:rPr>
        <w:t xml:space="preserve">pelaciones dictó sentencia. En vista de lo anterior, si solo se consideran períodos de inactividad mayores de seis meses, ha habido, al menos, un tiempo mayor a cuatro años y </w:t>
      </w:r>
      <w:r w:rsidR="00804036" w:rsidRPr="00975C02">
        <w:rPr>
          <w:rFonts w:eastAsia="Batang"/>
          <w:sz w:val="20"/>
          <w:szCs w:val="20"/>
          <w:lang w:val="es-ES" w:eastAsia="es-MX"/>
        </w:rPr>
        <w:t xml:space="preserve">cuatro </w:t>
      </w:r>
      <w:r w:rsidRPr="00975C02">
        <w:rPr>
          <w:rFonts w:eastAsia="Batang"/>
          <w:sz w:val="20"/>
          <w:szCs w:val="20"/>
          <w:lang w:val="es-ES" w:eastAsia="es-MX"/>
        </w:rPr>
        <w:t>meses de inactividad absoluta.</w:t>
      </w:r>
      <w:r w:rsidR="008C5677" w:rsidRPr="00975C02">
        <w:rPr>
          <w:rFonts w:eastAsia="Batang"/>
          <w:sz w:val="20"/>
          <w:szCs w:val="20"/>
          <w:lang w:val="es-ES" w:eastAsia="es-MX"/>
        </w:rPr>
        <w:t xml:space="preserve"> </w:t>
      </w:r>
      <w:r w:rsidRPr="00975C02">
        <w:rPr>
          <w:rFonts w:eastAsia="Batang"/>
          <w:sz w:val="20"/>
          <w:szCs w:val="20"/>
          <w:lang w:val="es-ES" w:eastAsia="es-MX"/>
        </w:rPr>
        <w:t xml:space="preserve">Dado lo expuesto, lo que en definitiva generó la prolongación del proceso </w:t>
      </w:r>
      <w:r w:rsidR="00804036" w:rsidRPr="00975C02">
        <w:rPr>
          <w:rFonts w:eastAsia="Batang"/>
          <w:sz w:val="20"/>
          <w:szCs w:val="20"/>
          <w:lang w:val="es-ES" w:eastAsia="es-MX"/>
        </w:rPr>
        <w:t>fueron</w:t>
      </w:r>
      <w:r w:rsidRPr="00975C02">
        <w:rPr>
          <w:rFonts w:eastAsia="Batang"/>
          <w:sz w:val="20"/>
          <w:szCs w:val="20"/>
          <w:lang w:val="es-ES" w:eastAsia="es-MX"/>
        </w:rPr>
        <w:t xml:space="preserve"> distintos períodos de </w:t>
      </w:r>
      <w:r w:rsidRPr="00975C02">
        <w:rPr>
          <w:rFonts w:eastAsia="Batang" w:cs="Arial"/>
          <w:sz w:val="20"/>
          <w:szCs w:val="20"/>
          <w:lang w:val="es-ES" w:eastAsia="es-MX"/>
        </w:rPr>
        <w:t>inactividad</w:t>
      </w:r>
      <w:r w:rsidR="008C5677" w:rsidRPr="00975C02">
        <w:rPr>
          <w:rFonts w:eastAsia="Batang"/>
          <w:sz w:val="20"/>
          <w:szCs w:val="20"/>
          <w:lang w:val="es-ES" w:eastAsia="es-MX"/>
        </w:rPr>
        <w:t xml:space="preserve"> de las autoridades.</w:t>
      </w:r>
    </w:p>
    <w:p w14:paraId="58BA4E48" w14:textId="77777777" w:rsidR="00B5625C" w:rsidRPr="00975C02" w:rsidRDefault="00B5625C" w:rsidP="00B5625C">
      <w:pPr>
        <w:widowControl/>
        <w:tabs>
          <w:tab w:val="left" w:pos="-142"/>
        </w:tabs>
        <w:adjustRightInd/>
        <w:spacing w:line="240" w:lineRule="auto"/>
        <w:textAlignment w:val="auto"/>
        <w:rPr>
          <w:rFonts w:eastAsia="Batang"/>
          <w:sz w:val="20"/>
          <w:szCs w:val="20"/>
          <w:lang w:val="es-ES" w:eastAsia="es-MX"/>
        </w:rPr>
      </w:pPr>
    </w:p>
    <w:p w14:paraId="7E5A078E" w14:textId="77777777" w:rsidR="00F11668" w:rsidRPr="00975C02" w:rsidRDefault="00B5625C" w:rsidP="00FD4682">
      <w:pPr>
        <w:widowControl/>
        <w:numPr>
          <w:ilvl w:val="0"/>
          <w:numId w:val="2"/>
        </w:numPr>
        <w:tabs>
          <w:tab w:val="left" w:pos="567"/>
          <w:tab w:val="num" w:pos="12305"/>
        </w:tabs>
        <w:adjustRightInd/>
        <w:spacing w:line="240" w:lineRule="auto"/>
        <w:ind w:left="0" w:firstLine="0"/>
        <w:textAlignment w:val="auto"/>
        <w:rPr>
          <w:rFonts w:eastAsia="Calibri" w:cs="Calibri"/>
          <w:sz w:val="20"/>
          <w:szCs w:val="20"/>
          <w:lang w:val="es-ES" w:eastAsia="en-US"/>
        </w:rPr>
      </w:pPr>
      <w:r w:rsidRPr="00975C02">
        <w:rPr>
          <w:rFonts w:eastAsia="Batang"/>
          <w:sz w:val="20"/>
          <w:szCs w:val="20"/>
          <w:lang w:val="es-ES" w:eastAsia="es-MX"/>
        </w:rPr>
        <w:t xml:space="preserve">En lo </w:t>
      </w:r>
      <w:r w:rsidRPr="00975C02">
        <w:rPr>
          <w:rFonts w:eastAsia="Batang" w:cs="Arial"/>
          <w:sz w:val="20"/>
          <w:szCs w:val="20"/>
          <w:lang w:val="es-ES" w:eastAsia="es-MX"/>
        </w:rPr>
        <w:t>relativo</w:t>
      </w:r>
      <w:r w:rsidRPr="00975C02">
        <w:rPr>
          <w:rFonts w:eastAsia="Batang"/>
          <w:sz w:val="20"/>
          <w:szCs w:val="20"/>
          <w:lang w:val="es-ES" w:eastAsia="es-MX"/>
        </w:rPr>
        <w:t xml:space="preserve"> a </w:t>
      </w:r>
      <w:r w:rsidRPr="00975C02">
        <w:rPr>
          <w:rFonts w:eastAsia="Batang"/>
          <w:i/>
          <w:iCs/>
          <w:sz w:val="20"/>
          <w:szCs w:val="20"/>
          <w:lang w:val="es-ES" w:eastAsia="es-MX"/>
        </w:rPr>
        <w:t xml:space="preserve">la afectación generada en la situación jurídica de la persona involucrada en el proceso, </w:t>
      </w:r>
      <w:r w:rsidRPr="00975C02">
        <w:rPr>
          <w:rFonts w:eastAsia="Batang"/>
          <w:sz w:val="20"/>
          <w:szCs w:val="20"/>
          <w:lang w:val="es-ES" w:eastAsia="es-MX"/>
        </w:rPr>
        <w:t>este Tribunal ha establecido que</w:t>
      </w:r>
      <w:r w:rsidR="008C5677" w:rsidRPr="00975C02">
        <w:rPr>
          <w:rFonts w:eastAsia="Batang"/>
          <w:sz w:val="20"/>
          <w:szCs w:val="20"/>
          <w:lang w:val="es-ES" w:eastAsia="es-MX"/>
        </w:rPr>
        <w:t>,</w:t>
      </w:r>
      <w:r w:rsidRPr="00975C02">
        <w:rPr>
          <w:rFonts w:eastAsia="Batang"/>
          <w:sz w:val="20"/>
          <w:szCs w:val="20"/>
          <w:lang w:val="es-ES" w:eastAsia="es-MX"/>
        </w:rPr>
        <w:t xml:space="preserve"> si el paso del tiempo incide de manera relevante en la situación jurídica del individuo, resultará necesario que el procedimiento avance con mayor </w:t>
      </w:r>
      <w:r w:rsidRPr="00975C02">
        <w:rPr>
          <w:rFonts w:eastAsia="Batang"/>
          <w:sz w:val="20"/>
          <w:szCs w:val="20"/>
          <w:lang w:val="es-ES" w:eastAsia="es-MX"/>
        </w:rPr>
        <w:lastRenderedPageBreak/>
        <w:t>diligencia a fin de que el caso se resuelva en un tiempo breve</w:t>
      </w:r>
      <w:r w:rsidRPr="00975C02">
        <w:rPr>
          <w:rFonts w:eastAsia="Batang" w:cs="Verdana"/>
          <w:sz w:val="20"/>
          <w:szCs w:val="20"/>
          <w:vertAlign w:val="superscript"/>
          <w:lang w:val="es-ES" w:eastAsia="es-MX"/>
        </w:rPr>
        <w:footnoteReference w:id="376"/>
      </w:r>
      <w:r w:rsidRPr="00975C02">
        <w:rPr>
          <w:rFonts w:eastAsia="Batang"/>
          <w:sz w:val="20"/>
          <w:szCs w:val="20"/>
          <w:lang w:val="es-ES" w:eastAsia="es-MX"/>
        </w:rPr>
        <w:t xml:space="preserve">. </w:t>
      </w:r>
      <w:r w:rsidR="00F11668" w:rsidRPr="00975C02">
        <w:rPr>
          <w:rFonts w:eastAsia="Calibri" w:cs="Calibri"/>
          <w:sz w:val="20"/>
          <w:szCs w:val="20"/>
          <w:lang w:val="es-ES" w:eastAsia="en-US"/>
        </w:rPr>
        <w:t>Tratándose de una niña víctima de violencia sexual,</w:t>
      </w:r>
      <w:r w:rsidR="008B17C7" w:rsidRPr="00975C02">
        <w:rPr>
          <w:rFonts w:eastAsia="Calibri" w:cs="Calibri"/>
          <w:sz w:val="20"/>
          <w:szCs w:val="20"/>
          <w:lang w:val="es-ES" w:eastAsia="en-US"/>
        </w:rPr>
        <w:t xml:space="preserve"> la Corte estima que era exigible un criterio reforzado de celeridad.</w:t>
      </w:r>
    </w:p>
    <w:p w14:paraId="5EE0C5E6" w14:textId="77777777" w:rsidR="00F11668" w:rsidRPr="00975C02" w:rsidRDefault="00F11668" w:rsidP="00F11668">
      <w:pPr>
        <w:widowControl/>
        <w:tabs>
          <w:tab w:val="left" w:pos="567"/>
        </w:tabs>
        <w:adjustRightInd/>
        <w:spacing w:line="240" w:lineRule="auto"/>
        <w:textAlignment w:val="auto"/>
        <w:rPr>
          <w:rFonts w:eastAsia="Calibri" w:cs="Calibri"/>
          <w:sz w:val="20"/>
          <w:szCs w:val="20"/>
          <w:lang w:val="es-ES" w:eastAsia="en-US"/>
        </w:rPr>
      </w:pPr>
    </w:p>
    <w:p w14:paraId="7014F75F" w14:textId="72EE6E6B" w:rsidR="00B5625C" w:rsidRPr="00975C02" w:rsidRDefault="00B5625C" w:rsidP="008B17C7">
      <w:pPr>
        <w:widowControl/>
        <w:numPr>
          <w:ilvl w:val="0"/>
          <w:numId w:val="2"/>
        </w:numPr>
        <w:tabs>
          <w:tab w:val="left" w:pos="567"/>
          <w:tab w:val="num" w:pos="12305"/>
        </w:tabs>
        <w:adjustRightInd/>
        <w:spacing w:line="240" w:lineRule="auto"/>
        <w:ind w:left="0" w:firstLine="0"/>
        <w:textAlignment w:val="auto"/>
        <w:rPr>
          <w:rFonts w:eastAsia="Batang"/>
          <w:sz w:val="20"/>
          <w:szCs w:val="20"/>
          <w:lang w:val="es-ES" w:eastAsia="es-MX"/>
        </w:rPr>
      </w:pPr>
      <w:r w:rsidRPr="00975C02">
        <w:rPr>
          <w:rFonts w:eastAsia="Batang"/>
          <w:sz w:val="20"/>
          <w:szCs w:val="20"/>
          <w:lang w:val="es-ES" w:eastAsia="es-MX"/>
        </w:rPr>
        <w:t>En el presente caso, la Corte considera que la prueba que consta en el expediente confirma la grave afectación a la salud física y psíquica de V.R.P. ocasionada a raíz de la violencia sexual y sus posteriores necesidades de atención médica y psicológica</w:t>
      </w:r>
      <w:r w:rsidR="008C5677" w:rsidRPr="00975C02">
        <w:rPr>
          <w:rFonts w:eastAsia="Batang"/>
          <w:sz w:val="20"/>
          <w:szCs w:val="20"/>
          <w:lang w:val="es-ES" w:eastAsia="es-MX"/>
        </w:rPr>
        <w:t>.</w:t>
      </w:r>
      <w:r w:rsidR="008B17C7" w:rsidRPr="00975C02">
        <w:rPr>
          <w:rFonts w:eastAsia="Batang"/>
          <w:sz w:val="20"/>
          <w:szCs w:val="20"/>
          <w:lang w:val="es-ES" w:eastAsia="es-MX"/>
        </w:rPr>
        <w:t xml:space="preserve"> </w:t>
      </w:r>
      <w:r w:rsidRPr="00975C02">
        <w:rPr>
          <w:rFonts w:eastAsia="Calibri" w:cs="Calibri"/>
          <w:sz w:val="20"/>
          <w:szCs w:val="20"/>
          <w:lang w:val="es-ES" w:eastAsia="en-US"/>
        </w:rPr>
        <w:t xml:space="preserve">Por tanto, si las autoridades judiciales hubieran tenido en cuenta el estado de vulnerabilidad en que se </w:t>
      </w:r>
      <w:r w:rsidRPr="00975C02">
        <w:rPr>
          <w:rFonts w:eastAsia="Batang"/>
          <w:sz w:val="20"/>
          <w:szCs w:val="20"/>
          <w:lang w:val="es-ES" w:eastAsia="es-MX"/>
        </w:rPr>
        <w:t>encontraba</w:t>
      </w:r>
      <w:r w:rsidRPr="00975C02">
        <w:rPr>
          <w:rFonts w:eastAsia="Calibri" w:cs="Calibri"/>
          <w:sz w:val="20"/>
          <w:szCs w:val="20"/>
          <w:lang w:val="es-ES" w:eastAsia="en-US"/>
        </w:rPr>
        <w:t xml:space="preserve"> V.R.P., hubiera sido evidente que el presente </w:t>
      </w:r>
      <w:r w:rsidRPr="00975C02">
        <w:rPr>
          <w:rFonts w:eastAsia="Batang"/>
          <w:sz w:val="20"/>
          <w:szCs w:val="20"/>
          <w:lang w:val="es-ES" w:eastAsia="es-MX"/>
        </w:rPr>
        <w:t>caso</w:t>
      </w:r>
      <w:r w:rsidRPr="00975C02">
        <w:rPr>
          <w:rFonts w:eastAsia="Calibri" w:cs="Calibri"/>
          <w:sz w:val="20"/>
          <w:szCs w:val="20"/>
          <w:lang w:val="es-ES" w:eastAsia="en-US"/>
        </w:rPr>
        <w:t xml:space="preserve"> exigía por parte de las autoridades judiciales una mayor diligencia, pues de la brevedad del proceso dependía el objetivo primordial del proceso judicial, el cual era investigar y sancionar al responsable de la violencia sexual sufrida por V.R.P.</w:t>
      </w:r>
      <w:r w:rsidR="008B17C7" w:rsidRPr="00975C02">
        <w:rPr>
          <w:rFonts w:eastAsia="Calibri" w:cs="Calibri"/>
          <w:sz w:val="20"/>
          <w:szCs w:val="20"/>
          <w:lang w:val="es-ES" w:eastAsia="en-US"/>
        </w:rPr>
        <w:t>,</w:t>
      </w:r>
      <w:r w:rsidRPr="00975C02">
        <w:rPr>
          <w:rFonts w:eastAsia="Calibri" w:cs="Calibri"/>
          <w:sz w:val="20"/>
          <w:szCs w:val="20"/>
          <w:lang w:val="es-ES" w:eastAsia="en-US"/>
        </w:rPr>
        <w:t xml:space="preserve"> como así también obtener las terapias necesarias para tramitar los hechos traumáticos vividos por la niña.</w:t>
      </w:r>
      <w:r w:rsidR="00CA4774" w:rsidRPr="00975C02">
        <w:rPr>
          <w:rFonts w:eastAsia="Calibri" w:cs="Calibri"/>
          <w:sz w:val="20"/>
          <w:szCs w:val="20"/>
          <w:lang w:val="es-ES" w:eastAsia="en-US"/>
        </w:rPr>
        <w:t xml:space="preserve"> </w:t>
      </w:r>
      <w:r w:rsidRPr="00975C02">
        <w:rPr>
          <w:rFonts w:eastAsia="Calibri" w:cs="Calibri"/>
          <w:sz w:val="20"/>
          <w:szCs w:val="20"/>
          <w:lang w:val="es-ES" w:eastAsia="en-US"/>
        </w:rPr>
        <w:t xml:space="preserve">Teniendo en cuenta lo anterior, la Corte considera que se encuentra suficientemente probado que la </w:t>
      </w:r>
      <w:r w:rsidRPr="00975C02">
        <w:rPr>
          <w:rFonts w:eastAsia="Batang"/>
          <w:sz w:val="20"/>
          <w:szCs w:val="20"/>
          <w:lang w:val="es-ES" w:eastAsia="es-MX"/>
        </w:rPr>
        <w:t>prolongación</w:t>
      </w:r>
      <w:r w:rsidRPr="00975C02">
        <w:rPr>
          <w:rFonts w:eastAsia="Calibri" w:cs="Calibri"/>
          <w:sz w:val="20"/>
          <w:szCs w:val="20"/>
          <w:lang w:val="es-ES" w:eastAsia="en-US"/>
        </w:rPr>
        <w:t xml:space="preserve"> del </w:t>
      </w:r>
      <w:r w:rsidRPr="00975C02">
        <w:rPr>
          <w:rFonts w:eastAsia="Batang"/>
          <w:sz w:val="20"/>
          <w:szCs w:val="20"/>
          <w:lang w:val="es-ES" w:eastAsia="es-MX"/>
        </w:rPr>
        <w:t>proceso</w:t>
      </w:r>
      <w:r w:rsidRPr="00975C02">
        <w:rPr>
          <w:rFonts w:eastAsia="Calibri" w:cs="Calibri"/>
          <w:sz w:val="20"/>
          <w:szCs w:val="20"/>
          <w:lang w:val="es-ES" w:eastAsia="en-US"/>
        </w:rPr>
        <w:t xml:space="preserve"> en este caso incidió de manera relevante y cierta en la situación jurídica de la presunta víctima, por cuanto al retrasarse la resolución judicial del caso, se afectó el desarrollo diario de su vida.</w:t>
      </w:r>
    </w:p>
    <w:p w14:paraId="6F62EA26" w14:textId="77777777" w:rsidR="00B5625C" w:rsidRPr="00975C02" w:rsidRDefault="00B5625C" w:rsidP="00B5625C">
      <w:pPr>
        <w:widowControl/>
        <w:tabs>
          <w:tab w:val="left" w:pos="-142"/>
        </w:tabs>
        <w:adjustRightInd/>
        <w:spacing w:line="240" w:lineRule="auto"/>
        <w:textAlignment w:val="auto"/>
        <w:rPr>
          <w:rFonts w:eastAsia="Calibri" w:cs="Calibri"/>
          <w:sz w:val="20"/>
          <w:szCs w:val="20"/>
          <w:lang w:val="es-ES" w:eastAsia="en-US"/>
        </w:rPr>
      </w:pPr>
    </w:p>
    <w:p w14:paraId="40BDB0B6" w14:textId="400EFFD3" w:rsidR="00B5625C" w:rsidRPr="00975C02" w:rsidRDefault="00B5625C" w:rsidP="00CD287C">
      <w:pPr>
        <w:widowControl/>
        <w:numPr>
          <w:ilvl w:val="0"/>
          <w:numId w:val="2"/>
        </w:numPr>
        <w:tabs>
          <w:tab w:val="left" w:pos="567"/>
          <w:tab w:val="num" w:pos="12305"/>
        </w:tabs>
        <w:adjustRightInd/>
        <w:spacing w:line="240" w:lineRule="auto"/>
        <w:ind w:left="0" w:firstLine="0"/>
        <w:textAlignment w:val="auto"/>
        <w:rPr>
          <w:rFonts w:eastAsiaTheme="minorHAnsi" w:cs="Arial"/>
          <w:sz w:val="20"/>
          <w:szCs w:val="20"/>
          <w:lang w:val="es-ES" w:eastAsia="en-US"/>
        </w:rPr>
      </w:pPr>
      <w:r w:rsidRPr="00975C02">
        <w:rPr>
          <w:rFonts w:eastAsia="Batang" w:cs="Arial"/>
          <w:sz w:val="20"/>
          <w:szCs w:val="20"/>
          <w:lang w:val="es-ES" w:eastAsia="es-MX"/>
        </w:rPr>
        <w:t xml:space="preserve">Una vez analizados los cuatro elementos para determinar la razonabilidad del plazo, la Corte concluye que las autoridades judiciales no actuaron con la debida diligencia y el </w:t>
      </w:r>
      <w:r w:rsidRPr="00975C02">
        <w:rPr>
          <w:rFonts w:eastAsia="Batang"/>
          <w:sz w:val="20"/>
          <w:szCs w:val="20"/>
          <w:lang w:val="es-ES" w:eastAsia="es-MX"/>
        </w:rPr>
        <w:t>deber</w:t>
      </w:r>
      <w:r w:rsidRPr="00975C02">
        <w:rPr>
          <w:rFonts w:eastAsia="Batang" w:cs="Arial"/>
          <w:sz w:val="20"/>
          <w:szCs w:val="20"/>
          <w:lang w:val="es-ES" w:eastAsia="es-MX"/>
        </w:rPr>
        <w:t xml:space="preserve"> de celeridad que exigía la situación de vulnerabilidad en la que se encontraba V.R.P., tratándose de una niña víctima de violencia sexual, razón por la cual excedieron el plazo razonable</w:t>
      </w:r>
      <w:r w:rsidR="00340927" w:rsidRPr="00975C02">
        <w:rPr>
          <w:rFonts w:eastAsia="Batang" w:cs="Arial"/>
          <w:sz w:val="20"/>
          <w:szCs w:val="20"/>
          <w:lang w:val="es-ES" w:eastAsia="es-MX"/>
        </w:rPr>
        <w:t xml:space="preserve"> del proceso</w:t>
      </w:r>
      <w:r w:rsidRPr="00975C02">
        <w:rPr>
          <w:rFonts w:eastAsia="Batang" w:cs="Arial"/>
          <w:sz w:val="20"/>
          <w:szCs w:val="20"/>
          <w:lang w:val="es-ES" w:eastAsia="es-MX"/>
        </w:rPr>
        <w:t>, lo cual vulnera el derecho a las garan</w:t>
      </w:r>
      <w:r w:rsidR="001A107F" w:rsidRPr="00975C02">
        <w:rPr>
          <w:rFonts w:eastAsia="Batang" w:cs="Arial"/>
          <w:sz w:val="20"/>
          <w:szCs w:val="20"/>
          <w:lang w:val="es-ES" w:eastAsia="es-MX"/>
        </w:rPr>
        <w:t xml:space="preserve">tías judiciales establecido en </w:t>
      </w:r>
      <w:r w:rsidR="00416AA0" w:rsidRPr="00975C02">
        <w:rPr>
          <w:rFonts w:eastAsia="Batang" w:cs="Arial"/>
          <w:sz w:val="20"/>
          <w:szCs w:val="20"/>
          <w:lang w:val="es-ES" w:eastAsia="es-MX"/>
        </w:rPr>
        <w:t>e</w:t>
      </w:r>
      <w:r w:rsidRPr="00975C02">
        <w:rPr>
          <w:rFonts w:eastAsia="Batang" w:cs="Arial"/>
          <w:sz w:val="20"/>
          <w:szCs w:val="20"/>
          <w:lang w:val="es-ES" w:eastAsia="es-MX"/>
        </w:rPr>
        <w:t>l artículo 8.1</w:t>
      </w:r>
      <w:r w:rsidR="001A107F" w:rsidRPr="00975C02">
        <w:rPr>
          <w:rFonts w:eastAsia="Batang" w:cs="Arial"/>
          <w:sz w:val="20"/>
          <w:szCs w:val="20"/>
          <w:lang w:val="es-ES" w:eastAsia="es-MX"/>
        </w:rPr>
        <w:t xml:space="preserve"> </w:t>
      </w:r>
      <w:r w:rsidRPr="00975C02">
        <w:rPr>
          <w:rFonts w:eastAsia="Batang" w:cs="Arial"/>
          <w:sz w:val="20"/>
          <w:szCs w:val="20"/>
          <w:lang w:val="es-ES" w:eastAsia="es-MX"/>
        </w:rPr>
        <w:t>de la Convención Americana</w:t>
      </w:r>
      <w:r w:rsidR="001A107F" w:rsidRPr="00975C02">
        <w:rPr>
          <w:rFonts w:eastAsia="Batang" w:cs="Arial"/>
          <w:sz w:val="20"/>
          <w:szCs w:val="20"/>
          <w:lang w:val="es-ES" w:eastAsia="es-MX"/>
        </w:rPr>
        <w:t>, en relación con l</w:t>
      </w:r>
      <w:r w:rsidR="00416AA0" w:rsidRPr="00975C02">
        <w:rPr>
          <w:rFonts w:eastAsia="Batang" w:cs="Arial"/>
          <w:sz w:val="20"/>
          <w:szCs w:val="20"/>
          <w:lang w:val="es-ES" w:eastAsia="es-MX"/>
        </w:rPr>
        <w:t>os</w:t>
      </w:r>
      <w:r w:rsidR="001A107F" w:rsidRPr="00975C02">
        <w:rPr>
          <w:rFonts w:eastAsia="Batang" w:cs="Arial"/>
          <w:sz w:val="20"/>
          <w:szCs w:val="20"/>
          <w:lang w:val="es-ES" w:eastAsia="es-MX"/>
        </w:rPr>
        <w:t xml:space="preserve"> artículo</w:t>
      </w:r>
      <w:r w:rsidR="00416AA0" w:rsidRPr="00975C02">
        <w:rPr>
          <w:rFonts w:eastAsia="Batang" w:cs="Arial"/>
          <w:sz w:val="20"/>
          <w:szCs w:val="20"/>
          <w:lang w:val="es-ES" w:eastAsia="es-MX"/>
        </w:rPr>
        <w:t>s</w:t>
      </w:r>
      <w:r w:rsidR="001A107F" w:rsidRPr="00975C02">
        <w:rPr>
          <w:rFonts w:eastAsia="Batang" w:cs="Arial"/>
          <w:sz w:val="20"/>
          <w:szCs w:val="20"/>
          <w:lang w:val="es-ES" w:eastAsia="es-MX"/>
        </w:rPr>
        <w:t xml:space="preserve"> 1.1 </w:t>
      </w:r>
      <w:r w:rsidR="00416AA0" w:rsidRPr="00975C02">
        <w:rPr>
          <w:rFonts w:eastAsia="Batang" w:cs="Arial"/>
          <w:sz w:val="20"/>
          <w:szCs w:val="20"/>
          <w:lang w:val="es-ES" w:eastAsia="es-MX"/>
        </w:rPr>
        <w:t xml:space="preserve">y 19 </w:t>
      </w:r>
      <w:r w:rsidR="001A107F" w:rsidRPr="00975C02">
        <w:rPr>
          <w:rFonts w:eastAsia="Batang" w:cs="Arial"/>
          <w:sz w:val="20"/>
          <w:szCs w:val="20"/>
          <w:lang w:val="es-ES" w:eastAsia="es-MX"/>
        </w:rPr>
        <w:t>de la misma</w:t>
      </w:r>
      <w:r w:rsidRPr="00975C02">
        <w:rPr>
          <w:rFonts w:eastAsia="Batang" w:cs="Arial"/>
          <w:sz w:val="20"/>
          <w:szCs w:val="20"/>
          <w:lang w:val="es-ES" w:eastAsia="es-MX"/>
        </w:rPr>
        <w:t xml:space="preserve"> y el artículo 7.b</w:t>
      </w:r>
      <w:r w:rsidR="00CD287C" w:rsidRPr="00975C02">
        <w:rPr>
          <w:rFonts w:eastAsia="Batang" w:cs="Arial"/>
          <w:sz w:val="20"/>
          <w:szCs w:val="20"/>
          <w:lang w:val="es-ES" w:eastAsia="es-MX"/>
        </w:rPr>
        <w:t>)</w:t>
      </w:r>
      <w:r w:rsidRPr="00975C02">
        <w:rPr>
          <w:rFonts w:eastAsia="Batang" w:cs="Arial"/>
          <w:sz w:val="20"/>
          <w:szCs w:val="20"/>
          <w:lang w:val="es-ES" w:eastAsia="es-MX"/>
        </w:rPr>
        <w:t xml:space="preserve"> </w:t>
      </w:r>
      <w:r w:rsidRPr="00975C02">
        <w:rPr>
          <w:rFonts w:eastAsia="Batang"/>
          <w:sz w:val="20"/>
          <w:szCs w:val="20"/>
          <w:lang w:val="es-ES" w:eastAsia="es-MX"/>
        </w:rPr>
        <w:t xml:space="preserve">de la Convención </w:t>
      </w:r>
      <w:r w:rsidR="001A107F" w:rsidRPr="00975C02">
        <w:rPr>
          <w:rFonts w:eastAsia="Batang"/>
          <w:sz w:val="20"/>
          <w:szCs w:val="20"/>
          <w:lang w:val="es-ES" w:eastAsia="es-MX"/>
        </w:rPr>
        <w:t>de Belém do Pará</w:t>
      </w:r>
      <w:r w:rsidRPr="00975C02">
        <w:rPr>
          <w:rFonts w:eastAsia="Batang" w:cs="Arial"/>
          <w:sz w:val="20"/>
          <w:szCs w:val="20"/>
          <w:lang w:val="es-ES" w:eastAsia="es-MX"/>
        </w:rPr>
        <w:t>, en perjuicio de V.R.P.</w:t>
      </w:r>
      <w:r w:rsidR="001A107F" w:rsidRPr="00975C02">
        <w:rPr>
          <w:rFonts w:eastAsia="Batang" w:cs="Arial"/>
          <w:sz w:val="20"/>
          <w:szCs w:val="20"/>
          <w:lang w:val="es-ES" w:eastAsia="es-MX"/>
        </w:rPr>
        <w:t xml:space="preserve"> y V.P.C.</w:t>
      </w:r>
    </w:p>
    <w:p w14:paraId="4831082A" w14:textId="77777777" w:rsidR="00B5625C" w:rsidRPr="00975C02" w:rsidRDefault="00B5625C" w:rsidP="00B5625C">
      <w:pPr>
        <w:widowControl/>
        <w:adjustRightInd/>
        <w:spacing w:line="240" w:lineRule="auto"/>
        <w:textAlignment w:val="auto"/>
        <w:rPr>
          <w:sz w:val="20"/>
          <w:szCs w:val="20"/>
          <w:lang w:val="es-ES" w:eastAsia="en-US"/>
        </w:rPr>
      </w:pPr>
    </w:p>
    <w:p w14:paraId="1C130921" w14:textId="4376619B" w:rsidR="006F71B8" w:rsidRPr="00975C02" w:rsidRDefault="006F71B8" w:rsidP="00681AE9">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44" w:name="_Toc514172648"/>
      <w:r w:rsidRPr="00975C02">
        <w:rPr>
          <w:rFonts w:eastAsia="MS Mincho" w:cs="Arial"/>
          <w:b/>
          <w:bCs/>
          <w:i/>
          <w:kern w:val="2"/>
          <w:sz w:val="20"/>
          <w:szCs w:val="20"/>
          <w:lang w:val="es-ES" w:eastAsia="en-US"/>
        </w:rPr>
        <w:t xml:space="preserve">El principio de igualdad y no discriminación en </w:t>
      </w:r>
      <w:r w:rsidR="00117BEC" w:rsidRPr="00975C02">
        <w:rPr>
          <w:rFonts w:eastAsia="MS Mincho" w:cs="Arial"/>
          <w:b/>
          <w:bCs/>
          <w:i/>
          <w:kern w:val="2"/>
          <w:sz w:val="20"/>
          <w:szCs w:val="20"/>
          <w:lang w:val="es-ES" w:eastAsia="en-US"/>
        </w:rPr>
        <w:t>el acceso a la justicia</w:t>
      </w:r>
      <w:r w:rsidRPr="00975C02">
        <w:rPr>
          <w:rFonts w:eastAsia="MS Mincho" w:cs="Arial"/>
          <w:b/>
          <w:bCs/>
          <w:i/>
          <w:kern w:val="2"/>
          <w:sz w:val="20"/>
          <w:szCs w:val="20"/>
          <w:lang w:val="es-ES" w:eastAsia="en-US"/>
        </w:rPr>
        <w:t xml:space="preserve"> de la niña V.R.P. </w:t>
      </w:r>
      <w:r w:rsidR="00117BEC" w:rsidRPr="00975C02">
        <w:rPr>
          <w:rFonts w:eastAsia="MS Mincho" w:cs="Arial"/>
          <w:b/>
          <w:bCs/>
          <w:i/>
          <w:kern w:val="2"/>
          <w:sz w:val="20"/>
          <w:szCs w:val="20"/>
          <w:lang w:val="es-ES" w:eastAsia="en-US"/>
        </w:rPr>
        <w:t>y la violencia institucional</w:t>
      </w:r>
      <w:bookmarkEnd w:id="144"/>
    </w:p>
    <w:p w14:paraId="2151F09C" w14:textId="77777777" w:rsidR="006F71B8" w:rsidRPr="00975C02" w:rsidRDefault="006F71B8" w:rsidP="006F71B8">
      <w:pPr>
        <w:widowControl/>
        <w:adjustRightInd/>
        <w:spacing w:line="240" w:lineRule="auto"/>
        <w:jc w:val="left"/>
        <w:textAlignment w:val="auto"/>
        <w:rPr>
          <w:sz w:val="20"/>
          <w:szCs w:val="20"/>
          <w:lang w:val="es-ES"/>
        </w:rPr>
      </w:pPr>
    </w:p>
    <w:p w14:paraId="5F885E4C" w14:textId="77777777" w:rsidR="0032081D" w:rsidRPr="00975C02" w:rsidRDefault="00A32A5E" w:rsidP="00A32A5E">
      <w:pPr>
        <w:keepNext/>
        <w:keepLines/>
        <w:tabs>
          <w:tab w:val="left" w:pos="1701"/>
        </w:tabs>
        <w:spacing w:line="240" w:lineRule="auto"/>
        <w:ind w:left="1134"/>
        <w:outlineLvl w:val="1"/>
        <w:rPr>
          <w:bCs/>
          <w:i/>
          <w:sz w:val="20"/>
          <w:szCs w:val="20"/>
          <w:lang w:val="es-ES"/>
        </w:rPr>
      </w:pPr>
      <w:bookmarkStart w:id="145" w:name="_Toc514172649"/>
      <w:r w:rsidRPr="00975C02">
        <w:rPr>
          <w:bCs/>
          <w:i/>
          <w:sz w:val="20"/>
          <w:szCs w:val="20"/>
          <w:lang w:val="es-ES"/>
        </w:rPr>
        <w:t>D</w:t>
      </w:r>
      <w:r w:rsidR="0032081D" w:rsidRPr="00975C02">
        <w:rPr>
          <w:bCs/>
          <w:i/>
          <w:sz w:val="20"/>
          <w:szCs w:val="20"/>
          <w:lang w:val="es-ES"/>
        </w:rPr>
        <w:t xml:space="preserve">.1 </w:t>
      </w:r>
      <w:r w:rsidRPr="00975C02">
        <w:rPr>
          <w:bCs/>
          <w:i/>
          <w:sz w:val="20"/>
          <w:szCs w:val="20"/>
          <w:lang w:val="es-ES"/>
        </w:rPr>
        <w:tab/>
      </w:r>
      <w:r w:rsidR="0032081D" w:rsidRPr="00975C02">
        <w:rPr>
          <w:bCs/>
          <w:i/>
          <w:sz w:val="20"/>
          <w:szCs w:val="20"/>
          <w:lang w:val="es-ES"/>
        </w:rPr>
        <w:t>Alegatos de las partes y de la Comisión</w:t>
      </w:r>
      <w:bookmarkEnd w:id="145"/>
    </w:p>
    <w:p w14:paraId="0D966A58" w14:textId="77777777" w:rsidR="0032081D" w:rsidRPr="00975C02" w:rsidRDefault="0032081D" w:rsidP="006F71B8">
      <w:pPr>
        <w:widowControl/>
        <w:adjustRightInd/>
        <w:spacing w:line="240" w:lineRule="auto"/>
        <w:jc w:val="left"/>
        <w:textAlignment w:val="auto"/>
        <w:rPr>
          <w:sz w:val="20"/>
          <w:szCs w:val="20"/>
          <w:lang w:val="es-ES"/>
        </w:rPr>
      </w:pPr>
    </w:p>
    <w:p w14:paraId="7B51D433" w14:textId="0DF9D766" w:rsidR="00E67FC0" w:rsidRPr="00975C02" w:rsidRDefault="0032081D" w:rsidP="00681AE9">
      <w:pPr>
        <w:widowControl/>
        <w:numPr>
          <w:ilvl w:val="0"/>
          <w:numId w:val="2"/>
        </w:numPr>
        <w:tabs>
          <w:tab w:val="left" w:pos="567"/>
          <w:tab w:val="num" w:pos="12305"/>
        </w:tabs>
        <w:adjustRightInd/>
        <w:spacing w:line="240" w:lineRule="auto"/>
        <w:ind w:left="0" w:firstLine="0"/>
        <w:textAlignment w:val="auto"/>
        <w:rPr>
          <w:b/>
          <w:sz w:val="16"/>
          <w:szCs w:val="16"/>
          <w:lang w:val="es-ES"/>
        </w:rPr>
      </w:pPr>
      <w:r w:rsidRPr="00975C02">
        <w:rPr>
          <w:sz w:val="20"/>
          <w:szCs w:val="20"/>
          <w:lang w:val="es-ES"/>
        </w:rPr>
        <w:t xml:space="preserve">La </w:t>
      </w:r>
      <w:r w:rsidRPr="00975C02">
        <w:rPr>
          <w:b/>
          <w:i/>
          <w:sz w:val="20"/>
          <w:szCs w:val="20"/>
          <w:lang w:val="es-ES"/>
        </w:rPr>
        <w:t>Comisión</w:t>
      </w:r>
      <w:r w:rsidRPr="00975C02">
        <w:rPr>
          <w:sz w:val="20"/>
          <w:szCs w:val="20"/>
          <w:lang w:val="es-ES"/>
        </w:rPr>
        <w:t xml:space="preserve"> </w:t>
      </w:r>
      <w:r w:rsidRPr="00975C02">
        <w:rPr>
          <w:rFonts w:eastAsia="Batang" w:cs="Arial"/>
          <w:sz w:val="20"/>
          <w:szCs w:val="20"/>
          <w:lang w:val="es-ES" w:eastAsia="es-MX"/>
        </w:rPr>
        <w:t>destacó</w:t>
      </w:r>
      <w:r w:rsidRPr="00975C02">
        <w:rPr>
          <w:sz w:val="20"/>
          <w:szCs w:val="20"/>
          <w:lang w:val="es-ES"/>
        </w:rPr>
        <w:t xml:space="preserve"> que el Estado se encontraba frente a un hecho grave de violencia sexual contra una mujer y niña, el cual constituía una manifestación de la discriminación contra la mujer vigente en la sociedad. Al respecto, en el marco de la investigación y proceso penal, el Estado tenía la obligación no sólo de abstenerse de asumir actitudes discriminatorias o revictimizantes contra la víctima, sino de llevar a cabo una investigación con el deber reforzado de tomar en cuenta el doble grado de vulnerabilidad de V.R.P, como mujer y como niña víctima de violencia sexual. Sin embargo, varios aspectos de la investigación fueron una manifestación de que el Estado no cumplió con dicho deber, como por ejemplo el actuar del médico forense a cargo del primer examen de V.R.P., así como el de la jueza a cargo del proceso, quien solicitó la participación directa de </w:t>
      </w:r>
      <w:r w:rsidR="00AE389B" w:rsidRPr="00975C02">
        <w:rPr>
          <w:sz w:val="20"/>
          <w:szCs w:val="20"/>
          <w:lang w:val="es-ES"/>
        </w:rPr>
        <w:t>la niña</w:t>
      </w:r>
      <w:r w:rsidRPr="00975C02">
        <w:rPr>
          <w:sz w:val="20"/>
          <w:szCs w:val="20"/>
          <w:lang w:val="es-ES"/>
        </w:rPr>
        <w:t xml:space="preserve"> y que </w:t>
      </w:r>
      <w:r w:rsidR="00AE389B" w:rsidRPr="00975C02">
        <w:rPr>
          <w:sz w:val="20"/>
          <w:szCs w:val="20"/>
          <w:lang w:val="es-ES"/>
        </w:rPr>
        <w:t xml:space="preserve">la misma </w:t>
      </w:r>
      <w:r w:rsidRPr="00975C02">
        <w:rPr>
          <w:sz w:val="20"/>
          <w:szCs w:val="20"/>
          <w:lang w:val="es-ES"/>
        </w:rPr>
        <w:t xml:space="preserve">se colocara en la posición en </w:t>
      </w:r>
      <w:r w:rsidR="00AE389B" w:rsidRPr="00975C02">
        <w:rPr>
          <w:sz w:val="20"/>
          <w:szCs w:val="20"/>
          <w:lang w:val="es-ES"/>
        </w:rPr>
        <w:t xml:space="preserve">la </w:t>
      </w:r>
      <w:r w:rsidRPr="00975C02">
        <w:rPr>
          <w:sz w:val="20"/>
          <w:szCs w:val="20"/>
          <w:lang w:val="es-ES"/>
        </w:rPr>
        <w:t>que habría sido violada sexualmente por el perpetrador, sin ningún tipo de mecanismo de contención o apoyo psicológico. Asimismo, la Comisión recordó que la influencia de patrones socioculturales discriminatorios podía dar como resultado una descalificación de la credibilidad de la víctima durante el proceso penal en casos de violencia. Consideró que el Estado no había acreditado la manera en que, al momento de resolver la responsabilidad del presunto responsable, tomó en consideración las declaraciones consistentes de V.R.P., ni la manera en que valoró la prueba disponible. La Comisión consideró que existían suficientes elementos para concluir que la situación de impunidad en que se encontraba el caso obedeció precisamente a la falta de debida diligencia. En este sentido, concluyó que, si la situación de impunidad de un caso de violencia contra una mujer y niña se deb</w:t>
      </w:r>
      <w:r w:rsidR="00AE389B" w:rsidRPr="00975C02">
        <w:rPr>
          <w:sz w:val="20"/>
          <w:szCs w:val="20"/>
          <w:lang w:val="es-ES"/>
        </w:rPr>
        <w:t>ía</w:t>
      </w:r>
      <w:r w:rsidRPr="00975C02">
        <w:rPr>
          <w:sz w:val="20"/>
          <w:szCs w:val="20"/>
          <w:lang w:val="es-ES"/>
        </w:rPr>
        <w:t xml:space="preserve"> a las acciones y omisiones del propio Estado, dicha situación de impunidad constitu</w:t>
      </w:r>
      <w:r w:rsidR="00AE389B" w:rsidRPr="00975C02">
        <w:rPr>
          <w:sz w:val="20"/>
          <w:szCs w:val="20"/>
          <w:lang w:val="es-ES"/>
        </w:rPr>
        <w:t>ía</w:t>
      </w:r>
      <w:r w:rsidRPr="00975C02">
        <w:rPr>
          <w:sz w:val="20"/>
          <w:szCs w:val="20"/>
          <w:lang w:val="es-ES"/>
        </w:rPr>
        <w:t xml:space="preserve"> en sí misma una forma de perpetuación de la discriminación manifestada en la violencia así como una forma de discriminación </w:t>
      </w:r>
      <w:r w:rsidRPr="00975C02">
        <w:rPr>
          <w:sz w:val="20"/>
          <w:szCs w:val="20"/>
          <w:lang w:val="es-ES"/>
        </w:rPr>
        <w:lastRenderedPageBreak/>
        <w:t>en el acceso a la justicia. Con base en lo expuesto, la Comisión concluyó que el Estado era responsable por la violación del principio de igualdad y no discriminación establecido en el artículo 24 de la Convención Americana, en relación con el artículo 1.1 del mismo instrumento, en perjuicio de V.R.P.</w:t>
      </w:r>
      <w:r w:rsidR="00E67FC0" w:rsidRPr="00975C02">
        <w:rPr>
          <w:b/>
          <w:sz w:val="16"/>
          <w:szCs w:val="16"/>
          <w:lang w:val="es-ES"/>
        </w:rPr>
        <w:t xml:space="preserve"> </w:t>
      </w:r>
      <w:r w:rsidR="00E67FC0" w:rsidRPr="00975C02">
        <w:rPr>
          <w:sz w:val="20"/>
          <w:szCs w:val="20"/>
          <w:lang w:val="es-ES"/>
        </w:rPr>
        <w:t>Adicionalmente, l</w:t>
      </w:r>
      <w:r w:rsidR="00E67FC0" w:rsidRPr="00975C02">
        <w:rPr>
          <w:kern w:val="2"/>
          <w:sz w:val="20"/>
          <w:szCs w:val="20"/>
          <w:lang w:val="es-ES"/>
        </w:rPr>
        <w:t>a Comisión consideró que l</w:t>
      </w:r>
      <w:r w:rsidR="00E67FC0" w:rsidRPr="00975C02">
        <w:rPr>
          <w:kern w:val="2"/>
          <w:sz w:val="20"/>
          <w:szCs w:val="20"/>
          <w:lang w:val="es-ES" w:eastAsia="en-US"/>
        </w:rPr>
        <w:t xml:space="preserve">a actuación irregular del médico constituyó un grave acto de </w:t>
      </w:r>
      <w:r w:rsidR="00E67FC0" w:rsidRPr="00975C02">
        <w:rPr>
          <w:sz w:val="20"/>
          <w:szCs w:val="20"/>
          <w:lang w:val="es-ES"/>
        </w:rPr>
        <w:t>revictimización</w:t>
      </w:r>
      <w:r w:rsidR="00E67FC0" w:rsidRPr="00975C02">
        <w:rPr>
          <w:kern w:val="2"/>
          <w:sz w:val="20"/>
          <w:szCs w:val="20"/>
          <w:lang w:val="es-ES" w:eastAsia="en-US"/>
        </w:rPr>
        <w:t xml:space="preserve"> y un nuevo hecho de violencia sexual contra V.R.P., por lo que </w:t>
      </w:r>
      <w:r w:rsidR="00E67FC0" w:rsidRPr="00975C02">
        <w:rPr>
          <w:kern w:val="2"/>
          <w:sz w:val="20"/>
          <w:szCs w:val="20"/>
          <w:lang w:val="es-ES"/>
        </w:rPr>
        <w:t>“</w:t>
      </w:r>
      <w:r w:rsidR="00E67FC0" w:rsidRPr="00975C02">
        <w:rPr>
          <w:kern w:val="2"/>
          <w:sz w:val="20"/>
          <w:szCs w:val="20"/>
          <w:lang w:val="es-ES" w:eastAsia="en-US"/>
        </w:rPr>
        <w:t>dicho acto de agresión sexual cometido por un funcionario del Estado, tomando en cuenta la intensidad y el sufrimiento provocado</w:t>
      </w:r>
      <w:r w:rsidR="00E67FC0" w:rsidRPr="00975C02">
        <w:rPr>
          <w:kern w:val="2"/>
          <w:sz w:val="20"/>
          <w:szCs w:val="20"/>
          <w:lang w:val="es-ES"/>
        </w:rPr>
        <w:t>”</w:t>
      </w:r>
      <w:r w:rsidR="00E67FC0" w:rsidRPr="00975C02">
        <w:rPr>
          <w:kern w:val="2"/>
          <w:sz w:val="20"/>
          <w:szCs w:val="20"/>
          <w:lang w:val="es-ES" w:eastAsia="en-US"/>
        </w:rPr>
        <w:t xml:space="preserve">, </w:t>
      </w:r>
      <w:r w:rsidR="00E67FC0" w:rsidRPr="00975C02">
        <w:rPr>
          <w:kern w:val="2"/>
          <w:sz w:val="20"/>
          <w:szCs w:val="20"/>
          <w:lang w:val="es-ES"/>
        </w:rPr>
        <w:t>debería ser</w:t>
      </w:r>
      <w:r w:rsidR="00E67FC0" w:rsidRPr="00975C02">
        <w:rPr>
          <w:kern w:val="2"/>
          <w:sz w:val="20"/>
          <w:szCs w:val="20"/>
          <w:lang w:val="es-ES" w:eastAsia="en-US"/>
        </w:rPr>
        <w:t xml:space="preserve"> considerado por la Corte bajo el artículo 5.2 de la Convención</w:t>
      </w:r>
      <w:r w:rsidR="00E67FC0" w:rsidRPr="00975C02">
        <w:rPr>
          <w:kern w:val="2"/>
          <w:sz w:val="20"/>
          <w:szCs w:val="20"/>
          <w:lang w:val="es-ES"/>
        </w:rPr>
        <w:t>. De igual forma se pronunció respecto de</w:t>
      </w:r>
      <w:r w:rsidR="00E67FC0" w:rsidRPr="00975C02">
        <w:rPr>
          <w:kern w:val="2"/>
          <w:sz w:val="20"/>
          <w:szCs w:val="20"/>
          <w:lang w:val="es-ES" w:eastAsia="en-US"/>
        </w:rPr>
        <w:t xml:space="preserve"> la inspección ocular y la reconstrucción de los hechos, por lo que solicitó que se analizara a la luz del artículo 5.2 de la Convención</w:t>
      </w:r>
      <w:r w:rsidR="00E67FC0" w:rsidRPr="00975C02">
        <w:rPr>
          <w:kern w:val="2"/>
          <w:sz w:val="20"/>
          <w:szCs w:val="20"/>
          <w:lang w:val="es-ES"/>
        </w:rPr>
        <w:t>.</w:t>
      </w:r>
    </w:p>
    <w:p w14:paraId="1BBB4BA6" w14:textId="77777777" w:rsidR="00E67FC0" w:rsidRPr="00975C02" w:rsidRDefault="00E67FC0" w:rsidP="0032081D">
      <w:pPr>
        <w:spacing w:line="240" w:lineRule="auto"/>
        <w:rPr>
          <w:b/>
          <w:sz w:val="16"/>
          <w:szCs w:val="16"/>
          <w:lang w:val="es-ES"/>
        </w:rPr>
      </w:pPr>
    </w:p>
    <w:p w14:paraId="2304D781" w14:textId="3129E77B" w:rsidR="0032081D" w:rsidRPr="00975C02" w:rsidRDefault="0032081D" w:rsidP="002D3853">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Las</w:t>
      </w:r>
      <w:r w:rsidRPr="00975C02">
        <w:rPr>
          <w:b/>
          <w:sz w:val="20"/>
          <w:szCs w:val="20"/>
          <w:lang w:val="es-ES"/>
        </w:rPr>
        <w:t xml:space="preserve"> </w:t>
      </w:r>
      <w:r w:rsidRPr="00975C02">
        <w:rPr>
          <w:b/>
          <w:i/>
          <w:sz w:val="20"/>
          <w:szCs w:val="20"/>
          <w:lang w:val="es-ES"/>
        </w:rPr>
        <w:t>representantes</w:t>
      </w:r>
      <w:r w:rsidRPr="00975C02">
        <w:rPr>
          <w:b/>
          <w:sz w:val="20"/>
          <w:szCs w:val="20"/>
          <w:lang w:val="es-ES"/>
        </w:rPr>
        <w:t xml:space="preserve"> </w:t>
      </w:r>
      <w:r w:rsidRPr="00975C02">
        <w:rPr>
          <w:sz w:val="20"/>
          <w:szCs w:val="20"/>
          <w:lang w:val="es-ES"/>
        </w:rPr>
        <w:t>alegaron que el Estado sometió a la niña V.R.P. a violencia física y psicológica a través de los actos de sus funcionarios, haciéndola víctima de una doble agresión, sin considerar el deber reforzado del Estado de adoptar medidas especiales de protección y asistencia a favor de l</w:t>
      </w:r>
      <w:r w:rsidR="007E171B" w:rsidRPr="00975C02">
        <w:rPr>
          <w:sz w:val="20"/>
          <w:szCs w:val="20"/>
          <w:lang w:val="es-ES"/>
        </w:rPr>
        <w:t>a</w:t>
      </w:r>
      <w:r w:rsidRPr="00975C02">
        <w:rPr>
          <w:sz w:val="20"/>
          <w:szCs w:val="20"/>
          <w:lang w:val="es-ES"/>
        </w:rPr>
        <w:t xml:space="preserve"> niñ</w:t>
      </w:r>
      <w:r w:rsidR="007E171B" w:rsidRPr="00975C02">
        <w:rPr>
          <w:sz w:val="20"/>
          <w:szCs w:val="20"/>
          <w:lang w:val="es-ES"/>
        </w:rPr>
        <w:t>a</w:t>
      </w:r>
      <w:r w:rsidRPr="00975C02">
        <w:rPr>
          <w:sz w:val="20"/>
          <w:szCs w:val="20"/>
          <w:lang w:val="es-ES"/>
        </w:rPr>
        <w:t>, y obviando su condición de mujer. Las representantes coincidieron con la Comisión en afirmar que el Estado incumplió con su deber reforzado de tomar en cuenta el doble grado de vulnerabilidad de V.R.P., violando el derecho a la no discriminación establecido en el artículo 24.</w:t>
      </w:r>
    </w:p>
    <w:p w14:paraId="0BCC2A89" w14:textId="77777777" w:rsidR="0032081D" w:rsidRPr="00975C02" w:rsidRDefault="0032081D" w:rsidP="0032081D">
      <w:pPr>
        <w:spacing w:line="240" w:lineRule="auto"/>
        <w:rPr>
          <w:sz w:val="20"/>
          <w:szCs w:val="20"/>
          <w:lang w:val="es-ES"/>
        </w:rPr>
      </w:pPr>
    </w:p>
    <w:p w14:paraId="328885DD" w14:textId="67222646" w:rsidR="0032081D" w:rsidRPr="00975C02" w:rsidRDefault="0032081D" w:rsidP="002D3853">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El </w:t>
      </w:r>
      <w:r w:rsidRPr="00975C02">
        <w:rPr>
          <w:b/>
          <w:i/>
          <w:sz w:val="20"/>
          <w:szCs w:val="20"/>
          <w:lang w:val="es-ES"/>
        </w:rPr>
        <w:t>Estado</w:t>
      </w:r>
      <w:r w:rsidRPr="00975C02">
        <w:rPr>
          <w:sz w:val="20"/>
          <w:szCs w:val="20"/>
          <w:lang w:val="es-ES"/>
        </w:rPr>
        <w:t xml:space="preserve"> señaló que no existieron actitudes denigrantes ni revictimizantes en perjuicio de V.R.P., sino que por el contrario, el proceso a nivel interno se llevó a cabo con la debida diligencia. Ello, debido a que se realizaron diversas diligencias y pericias a nivel interno para obtener el mayor cúmulo de pruebas encaminadas a demostrar lo sucedido y la responsabilidad del autor, sin embargo, con base en la íntima convicción, el </w:t>
      </w:r>
      <w:r w:rsidR="007E171B" w:rsidRPr="00975C02">
        <w:rPr>
          <w:sz w:val="20"/>
          <w:szCs w:val="20"/>
          <w:lang w:val="es-ES"/>
        </w:rPr>
        <w:t>T</w:t>
      </w:r>
      <w:r w:rsidRPr="00975C02">
        <w:rPr>
          <w:sz w:val="20"/>
          <w:szCs w:val="20"/>
          <w:lang w:val="es-ES"/>
        </w:rPr>
        <w:t xml:space="preserve">ribunal de </w:t>
      </w:r>
      <w:r w:rsidR="007E171B" w:rsidRPr="00975C02">
        <w:rPr>
          <w:sz w:val="20"/>
          <w:szCs w:val="20"/>
          <w:lang w:val="es-ES"/>
        </w:rPr>
        <w:t>J</w:t>
      </w:r>
      <w:r w:rsidRPr="00975C02">
        <w:rPr>
          <w:sz w:val="20"/>
          <w:szCs w:val="20"/>
          <w:lang w:val="es-ES"/>
        </w:rPr>
        <w:t>urado</w:t>
      </w:r>
      <w:r w:rsidR="007E171B" w:rsidRPr="00975C02">
        <w:rPr>
          <w:sz w:val="20"/>
          <w:szCs w:val="20"/>
          <w:lang w:val="es-ES"/>
        </w:rPr>
        <w:t>s</w:t>
      </w:r>
      <w:r w:rsidRPr="00975C02">
        <w:rPr>
          <w:sz w:val="20"/>
          <w:szCs w:val="20"/>
          <w:lang w:val="es-ES"/>
        </w:rPr>
        <w:t xml:space="preserve"> decidió un veredicto de inocencia.</w:t>
      </w:r>
      <w:r w:rsidRPr="00975C02">
        <w:rPr>
          <w:b/>
          <w:sz w:val="16"/>
          <w:szCs w:val="16"/>
          <w:lang w:val="es-ES"/>
        </w:rPr>
        <w:t xml:space="preserve"> </w:t>
      </w:r>
      <w:r w:rsidRPr="00975C02">
        <w:rPr>
          <w:sz w:val="20"/>
          <w:szCs w:val="20"/>
          <w:lang w:val="es-ES"/>
        </w:rPr>
        <w:t>El Estado destacó que se brindó el apoyo psicológico a la víctima durante el proceso y que su declaración fue tomada en consideración por la jueza a cargo, quien con base en ella, ordenó la sentencia interlocutoria de auto de segura y formal prisión en contra de H.R.A.</w:t>
      </w:r>
    </w:p>
    <w:p w14:paraId="3A843CB0" w14:textId="77777777" w:rsidR="0032081D" w:rsidRPr="00975C02" w:rsidRDefault="0032081D" w:rsidP="006F71B8">
      <w:pPr>
        <w:widowControl/>
        <w:adjustRightInd/>
        <w:spacing w:line="240" w:lineRule="auto"/>
        <w:jc w:val="left"/>
        <w:textAlignment w:val="auto"/>
        <w:rPr>
          <w:sz w:val="20"/>
          <w:szCs w:val="20"/>
          <w:lang w:val="es-ES"/>
        </w:rPr>
      </w:pPr>
    </w:p>
    <w:p w14:paraId="7E18F7C3" w14:textId="77777777" w:rsidR="0032081D" w:rsidRPr="00975C02" w:rsidRDefault="00A32A5E" w:rsidP="00A32A5E">
      <w:pPr>
        <w:keepNext/>
        <w:keepLines/>
        <w:tabs>
          <w:tab w:val="left" w:pos="1701"/>
        </w:tabs>
        <w:spacing w:line="240" w:lineRule="auto"/>
        <w:ind w:left="1134"/>
        <w:outlineLvl w:val="1"/>
        <w:rPr>
          <w:bCs/>
          <w:i/>
          <w:sz w:val="20"/>
          <w:szCs w:val="20"/>
          <w:lang w:val="es-ES"/>
        </w:rPr>
      </w:pPr>
      <w:bookmarkStart w:id="146" w:name="_Toc514172650"/>
      <w:r w:rsidRPr="00975C02">
        <w:rPr>
          <w:bCs/>
          <w:i/>
          <w:sz w:val="20"/>
          <w:szCs w:val="20"/>
          <w:lang w:val="es-ES"/>
        </w:rPr>
        <w:t>D</w:t>
      </w:r>
      <w:r w:rsidR="0032081D" w:rsidRPr="00975C02">
        <w:rPr>
          <w:bCs/>
          <w:i/>
          <w:sz w:val="20"/>
          <w:szCs w:val="20"/>
          <w:lang w:val="es-ES"/>
        </w:rPr>
        <w:t xml:space="preserve">.2 </w:t>
      </w:r>
      <w:r w:rsidR="00516097" w:rsidRPr="00975C02">
        <w:rPr>
          <w:bCs/>
          <w:i/>
          <w:sz w:val="20"/>
          <w:szCs w:val="20"/>
          <w:lang w:val="es-ES"/>
        </w:rPr>
        <w:tab/>
      </w:r>
      <w:r w:rsidR="0032081D" w:rsidRPr="00975C02">
        <w:rPr>
          <w:bCs/>
          <w:i/>
          <w:sz w:val="20"/>
          <w:szCs w:val="20"/>
          <w:lang w:val="es-ES"/>
        </w:rPr>
        <w:t>Consideraciones de la Corte</w:t>
      </w:r>
      <w:bookmarkEnd w:id="146"/>
    </w:p>
    <w:p w14:paraId="1EE5ED27" w14:textId="77777777" w:rsidR="0032081D" w:rsidRPr="00975C02" w:rsidRDefault="0032081D" w:rsidP="006F71B8">
      <w:pPr>
        <w:widowControl/>
        <w:adjustRightInd/>
        <w:spacing w:line="240" w:lineRule="auto"/>
        <w:jc w:val="left"/>
        <w:textAlignment w:val="auto"/>
        <w:rPr>
          <w:sz w:val="20"/>
          <w:szCs w:val="20"/>
          <w:lang w:val="es-ES"/>
        </w:rPr>
      </w:pPr>
    </w:p>
    <w:p w14:paraId="75C7A7A3" w14:textId="3D71D194" w:rsidR="006F71B8" w:rsidRPr="00975C02" w:rsidRDefault="006F71B8" w:rsidP="006F71B8">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La Corte recuerda que en la actual etapa de la evolución del derecho internacional, el principio fundamental de igualdad y no discriminación ha ingresado en el dominio del </w:t>
      </w:r>
      <w:r w:rsidRPr="00975C02">
        <w:rPr>
          <w:i/>
          <w:sz w:val="20"/>
          <w:szCs w:val="20"/>
          <w:lang w:val="es-ES"/>
        </w:rPr>
        <w:t>jus cogens</w:t>
      </w:r>
      <w:r w:rsidRPr="00975C02">
        <w:rPr>
          <w:sz w:val="20"/>
          <w:szCs w:val="20"/>
          <w:lang w:val="es-ES"/>
        </w:rPr>
        <w:t xml:space="preserve">. Sobre él descansa el andamiaje jurídico del orden público nacional e internacional y permea todo el ordenamiento jurídico. Los Estados deben abstenerse de realizar acciones que de cualquier manera vayan dirigidas, directa o indirectamente, a crear situaciones de discriminación </w:t>
      </w:r>
      <w:r w:rsidRPr="00975C02">
        <w:rPr>
          <w:i/>
          <w:sz w:val="20"/>
          <w:szCs w:val="20"/>
          <w:lang w:val="es-ES"/>
        </w:rPr>
        <w:t xml:space="preserve">de jure </w:t>
      </w:r>
      <w:r w:rsidRPr="00975C02">
        <w:rPr>
          <w:sz w:val="20"/>
          <w:szCs w:val="20"/>
          <w:lang w:val="es-ES"/>
        </w:rPr>
        <w:t xml:space="preserve">o </w:t>
      </w:r>
      <w:r w:rsidRPr="00975C02">
        <w:rPr>
          <w:i/>
          <w:sz w:val="20"/>
          <w:szCs w:val="20"/>
          <w:lang w:val="es-ES"/>
        </w:rPr>
        <w:t>de facto</w:t>
      </w:r>
      <w:r w:rsidRPr="00975C02">
        <w:rPr>
          <w:sz w:val="20"/>
          <w:szCs w:val="20"/>
          <w:lang w:val="es-ES"/>
        </w:rPr>
        <w:t xml:space="preserve">. En este sentido, mientras la obligación general del artículo 1.1 de la Convención Americana se refiere al deber del Estado de respetar y garantizar, “sin discriminación”, los derechos contenidos en dicho tratado, el artículo 24 protege el derecho a “igual protección de la ley”. </w:t>
      </w:r>
      <w:r w:rsidR="00673408" w:rsidRPr="00975C02">
        <w:rPr>
          <w:rFonts w:eastAsia="Batang"/>
          <w:sz w:val="20"/>
          <w:szCs w:val="20"/>
          <w:lang w:val="es-ES" w:eastAsia="es-MX"/>
        </w:rPr>
        <w:t xml:space="preserve">En definitiva, la Corte ha afirmado que </w:t>
      </w:r>
      <w:r w:rsidR="00673408" w:rsidRPr="00975C02">
        <w:rPr>
          <w:rFonts w:eastAsia="Calibri"/>
          <w:sz w:val="20"/>
          <w:szCs w:val="20"/>
          <w:lang w:val="es-ES" w:eastAsia="de-DE"/>
        </w:rPr>
        <w:t xml:space="preserve">si un Estado discrimina en el respeto o garantía de un derecho convencional, violaría el artículo 1.1 y el derecho sustantivo en cuestión. </w:t>
      </w:r>
      <w:r w:rsidR="00673408" w:rsidRPr="00975C02">
        <w:rPr>
          <w:rFonts w:eastAsia="Batang"/>
          <w:sz w:val="20"/>
          <w:szCs w:val="20"/>
          <w:lang w:val="es-ES" w:eastAsia="es-ES"/>
        </w:rPr>
        <w:t>Si, por el contrario, la discriminación se refiere a una protección desigual de la ley interna o su aplicación, el hecho debe analizarse a la luz del artículo 24 de la Convención Americana</w:t>
      </w:r>
      <w:r w:rsidR="00673408" w:rsidRPr="00975C02">
        <w:rPr>
          <w:rFonts w:eastAsia="Calibri"/>
          <w:sz w:val="20"/>
          <w:szCs w:val="20"/>
          <w:vertAlign w:val="superscript"/>
          <w:lang w:val="es-ES" w:eastAsia="de-DE"/>
        </w:rPr>
        <w:footnoteReference w:id="377"/>
      </w:r>
      <w:r w:rsidR="00673408" w:rsidRPr="00975C02">
        <w:rPr>
          <w:rFonts w:eastAsia="Calibri"/>
          <w:sz w:val="20"/>
          <w:szCs w:val="20"/>
          <w:lang w:val="es-ES" w:eastAsia="de-DE"/>
        </w:rPr>
        <w:t>.</w:t>
      </w:r>
      <w:r w:rsidR="003C296B" w:rsidRPr="00975C02">
        <w:rPr>
          <w:rFonts w:eastAsia="Calibri"/>
          <w:sz w:val="20"/>
          <w:szCs w:val="20"/>
          <w:lang w:val="es-ES" w:eastAsia="de-DE"/>
        </w:rPr>
        <w:t xml:space="preserve"> </w:t>
      </w:r>
      <w:r w:rsidR="003C296B" w:rsidRPr="00975C02">
        <w:rPr>
          <w:sz w:val="20"/>
          <w:lang w:val="es-ES"/>
        </w:rPr>
        <w:t>Por consiguiente, los Estados tienen la obligación de no introducir en su ordenamiento jurídico regulaciones discriminatorias, eliminar las regulaciones de carácter discriminatorio, combatir las prácticas de este carácter y establecer normas y otras medidas que reconozcan y aseguren la efectiva igualdad ante la ley de todas las personas</w:t>
      </w:r>
      <w:r w:rsidR="003C296B" w:rsidRPr="00975C02">
        <w:rPr>
          <w:rStyle w:val="FootnoteReference"/>
          <w:sz w:val="20"/>
          <w:lang w:val="es-ES"/>
        </w:rPr>
        <w:footnoteReference w:id="378"/>
      </w:r>
      <w:r w:rsidR="003C296B" w:rsidRPr="00975C02">
        <w:rPr>
          <w:sz w:val="20"/>
          <w:lang w:val="es-ES"/>
        </w:rPr>
        <w:t xml:space="preserve">. </w:t>
      </w:r>
      <w:r w:rsidRPr="00975C02">
        <w:rPr>
          <w:sz w:val="20"/>
          <w:szCs w:val="20"/>
          <w:lang w:val="es-ES"/>
        </w:rPr>
        <w:t xml:space="preserve">En este </w:t>
      </w:r>
      <w:r w:rsidR="00117BEC" w:rsidRPr="00975C02">
        <w:rPr>
          <w:sz w:val="20"/>
          <w:szCs w:val="20"/>
          <w:lang w:val="es-ES"/>
        </w:rPr>
        <w:t>caso</w:t>
      </w:r>
      <w:r w:rsidRPr="00975C02">
        <w:rPr>
          <w:sz w:val="20"/>
          <w:szCs w:val="20"/>
          <w:lang w:val="es-ES"/>
        </w:rPr>
        <w:t xml:space="preserve">, la Corte analizará las violaciones alegadas bajo </w:t>
      </w:r>
      <w:r w:rsidR="00755D99" w:rsidRPr="00975C02">
        <w:rPr>
          <w:sz w:val="20"/>
          <w:szCs w:val="20"/>
          <w:lang w:val="es-ES"/>
        </w:rPr>
        <w:t>ambas modalidades</w:t>
      </w:r>
      <w:r w:rsidR="00117BEC" w:rsidRPr="00975C02">
        <w:rPr>
          <w:sz w:val="20"/>
          <w:szCs w:val="20"/>
          <w:lang w:val="es-ES"/>
        </w:rPr>
        <w:t xml:space="preserve">, toda vez que </w:t>
      </w:r>
      <w:r w:rsidR="00D13FB1" w:rsidRPr="00975C02">
        <w:rPr>
          <w:sz w:val="20"/>
          <w:szCs w:val="20"/>
          <w:lang w:val="es-ES"/>
        </w:rPr>
        <w:t>los argumentos se centran en la cuestión relativa a</w:t>
      </w:r>
      <w:r w:rsidR="00117BEC" w:rsidRPr="00975C02">
        <w:rPr>
          <w:sz w:val="20"/>
          <w:szCs w:val="20"/>
          <w:lang w:val="es-ES"/>
        </w:rPr>
        <w:t xml:space="preserve"> que no se tomaron medidas de acción positiva</w:t>
      </w:r>
      <w:r w:rsidR="00516097" w:rsidRPr="00975C02">
        <w:rPr>
          <w:sz w:val="20"/>
          <w:szCs w:val="20"/>
          <w:lang w:val="es-ES"/>
        </w:rPr>
        <w:t>, específicas y reforzadas,</w:t>
      </w:r>
      <w:r w:rsidR="00117BEC" w:rsidRPr="00975C02">
        <w:rPr>
          <w:sz w:val="20"/>
          <w:szCs w:val="20"/>
          <w:lang w:val="es-ES"/>
        </w:rPr>
        <w:t xml:space="preserve"> para garantizar los derechos convencionales</w:t>
      </w:r>
      <w:r w:rsidR="00FE4B48" w:rsidRPr="00975C02">
        <w:rPr>
          <w:sz w:val="20"/>
          <w:szCs w:val="20"/>
          <w:lang w:val="es-ES"/>
        </w:rPr>
        <w:t xml:space="preserve"> </w:t>
      </w:r>
      <w:r w:rsidR="00FE4B48" w:rsidRPr="00975C02">
        <w:rPr>
          <w:sz w:val="20"/>
          <w:szCs w:val="20"/>
          <w:lang w:val="es-ES"/>
        </w:rPr>
        <w:lastRenderedPageBreak/>
        <w:t>por</w:t>
      </w:r>
      <w:r w:rsidR="00117BEC" w:rsidRPr="00975C02">
        <w:rPr>
          <w:sz w:val="20"/>
          <w:szCs w:val="20"/>
          <w:lang w:val="es-ES"/>
        </w:rPr>
        <w:t xml:space="preserve"> </w:t>
      </w:r>
      <w:r w:rsidR="00FE4B48" w:rsidRPr="00975C02">
        <w:rPr>
          <w:rFonts w:eastAsiaTheme="minorHAnsi" w:cs="Arial"/>
          <w:sz w:val="20"/>
          <w:szCs w:val="20"/>
          <w:lang w:val="es-ES" w:eastAsia="en-US"/>
        </w:rPr>
        <w:t>motivos de sexo y género,</w:t>
      </w:r>
      <w:r w:rsidR="00117BEC" w:rsidRPr="00975C02">
        <w:rPr>
          <w:sz w:val="20"/>
          <w:szCs w:val="20"/>
          <w:lang w:val="es-ES"/>
        </w:rPr>
        <w:t xml:space="preserve"> </w:t>
      </w:r>
      <w:r w:rsidR="00FE4B48" w:rsidRPr="00975C02">
        <w:rPr>
          <w:sz w:val="20"/>
          <w:szCs w:val="20"/>
          <w:lang w:val="es-ES"/>
        </w:rPr>
        <w:t>así como por</w:t>
      </w:r>
      <w:r w:rsidR="00117BEC" w:rsidRPr="00975C02">
        <w:rPr>
          <w:sz w:val="20"/>
          <w:szCs w:val="20"/>
          <w:lang w:val="es-ES"/>
        </w:rPr>
        <w:t xml:space="preserve"> la </w:t>
      </w:r>
      <w:r w:rsidR="009C2AF2" w:rsidRPr="00975C02">
        <w:rPr>
          <w:sz w:val="20"/>
          <w:szCs w:val="20"/>
          <w:lang w:val="es-ES"/>
        </w:rPr>
        <w:t>condición de persona en desarrollo</w:t>
      </w:r>
      <w:r w:rsidR="00117BEC" w:rsidRPr="00975C02">
        <w:rPr>
          <w:sz w:val="20"/>
          <w:szCs w:val="20"/>
          <w:lang w:val="es-ES"/>
        </w:rPr>
        <w:t xml:space="preserve"> de la víctima</w:t>
      </w:r>
      <w:r w:rsidR="00FE4B48" w:rsidRPr="00975C02">
        <w:rPr>
          <w:sz w:val="20"/>
          <w:szCs w:val="20"/>
          <w:lang w:val="es-ES"/>
        </w:rPr>
        <w:t xml:space="preserve">, categorías protegidas </w:t>
      </w:r>
      <w:r w:rsidR="007E171B" w:rsidRPr="00975C02">
        <w:rPr>
          <w:sz w:val="20"/>
          <w:szCs w:val="20"/>
          <w:lang w:val="es-ES"/>
        </w:rPr>
        <w:t>convencionalmente</w:t>
      </w:r>
      <w:r w:rsidRPr="00975C02">
        <w:rPr>
          <w:sz w:val="20"/>
          <w:szCs w:val="20"/>
          <w:lang w:val="es-ES"/>
        </w:rPr>
        <w:t>.</w:t>
      </w:r>
    </w:p>
    <w:p w14:paraId="07771A72" w14:textId="77777777" w:rsidR="00A51640" w:rsidRPr="00975C02" w:rsidRDefault="00A51640" w:rsidP="00A51640">
      <w:pPr>
        <w:widowControl/>
        <w:tabs>
          <w:tab w:val="left" w:pos="567"/>
        </w:tabs>
        <w:adjustRightInd/>
        <w:spacing w:line="240" w:lineRule="auto"/>
        <w:textAlignment w:val="auto"/>
        <w:rPr>
          <w:sz w:val="20"/>
          <w:szCs w:val="20"/>
          <w:lang w:val="es-ES"/>
        </w:rPr>
      </w:pPr>
    </w:p>
    <w:p w14:paraId="605E9718" w14:textId="551E0311" w:rsidR="00A51640" w:rsidRPr="00975C02" w:rsidRDefault="00A51640" w:rsidP="005000F0">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La Corte ha considerado que la violación sexual es una forma de violencia </w:t>
      </w:r>
      <w:r w:rsidR="007A6789" w:rsidRPr="00975C02">
        <w:rPr>
          <w:sz w:val="20"/>
          <w:szCs w:val="20"/>
          <w:lang w:val="es-ES"/>
        </w:rPr>
        <w:t>sexual</w:t>
      </w:r>
      <w:r w:rsidR="007A6789" w:rsidRPr="00975C02">
        <w:rPr>
          <w:sz w:val="20"/>
          <w:szCs w:val="20"/>
          <w:vertAlign w:val="superscript"/>
          <w:lang w:val="es-ES"/>
        </w:rPr>
        <w:footnoteReference w:id="379"/>
      </w:r>
      <w:r w:rsidRPr="00975C02">
        <w:rPr>
          <w:sz w:val="20"/>
          <w:szCs w:val="20"/>
          <w:lang w:val="es-ES"/>
        </w:rPr>
        <w:t>. Tanto la Convención de Belém do Pará</w:t>
      </w:r>
      <w:r w:rsidR="004A18D1" w:rsidRPr="00975C02">
        <w:rPr>
          <w:sz w:val="20"/>
          <w:szCs w:val="20"/>
          <w:lang w:val="es-ES"/>
        </w:rPr>
        <w:t>,</w:t>
      </w:r>
      <w:r w:rsidRPr="00975C02">
        <w:rPr>
          <w:sz w:val="20"/>
          <w:szCs w:val="20"/>
          <w:lang w:val="es-ES"/>
        </w:rPr>
        <w:t xml:space="preserve"> como </w:t>
      </w:r>
      <w:r w:rsidR="004A18D1" w:rsidRPr="00975C02">
        <w:rPr>
          <w:sz w:val="20"/>
          <w:szCs w:val="20"/>
          <w:lang w:val="es-ES"/>
        </w:rPr>
        <w:t xml:space="preserve">la </w:t>
      </w:r>
      <w:r w:rsidR="004A18D1" w:rsidRPr="00975C02">
        <w:rPr>
          <w:bCs/>
          <w:sz w:val="20"/>
          <w:szCs w:val="20"/>
          <w:lang w:val="es-ES"/>
        </w:rPr>
        <w:t xml:space="preserve">Convención </w:t>
      </w:r>
      <w:r w:rsidR="004A18D1" w:rsidRPr="00975C02">
        <w:rPr>
          <w:sz w:val="20"/>
          <w:szCs w:val="20"/>
          <w:lang w:val="es-ES"/>
        </w:rPr>
        <w:t xml:space="preserve">sobre la </w:t>
      </w:r>
      <w:r w:rsidR="004A18D1" w:rsidRPr="00975C02">
        <w:rPr>
          <w:bCs/>
          <w:sz w:val="20"/>
          <w:szCs w:val="20"/>
          <w:lang w:val="es-ES"/>
        </w:rPr>
        <w:t>Eliminación de Todas las Formas de Discriminación contra la Mujer</w:t>
      </w:r>
      <w:r w:rsidR="004A18D1" w:rsidRPr="00975C02">
        <w:rPr>
          <w:sz w:val="20"/>
          <w:szCs w:val="20"/>
          <w:lang w:val="es-ES"/>
        </w:rPr>
        <w:t xml:space="preserve"> y su órgano de supervisión,</w:t>
      </w:r>
      <w:r w:rsidRPr="00975C02">
        <w:rPr>
          <w:sz w:val="20"/>
          <w:szCs w:val="20"/>
          <w:lang w:val="es-ES"/>
        </w:rPr>
        <w:t xml:space="preserve"> han reconocido el vínculo existente entre la violencia contra las mujeres y la discriminación</w:t>
      </w:r>
      <w:r w:rsidR="007332D9" w:rsidRPr="00975C02">
        <w:rPr>
          <w:rStyle w:val="FootnoteReference"/>
          <w:sz w:val="20"/>
          <w:szCs w:val="20"/>
          <w:lang w:val="es-ES"/>
        </w:rPr>
        <w:footnoteReference w:id="380"/>
      </w:r>
      <w:r w:rsidRPr="00975C02">
        <w:rPr>
          <w:sz w:val="20"/>
          <w:szCs w:val="20"/>
          <w:lang w:val="es-ES"/>
        </w:rPr>
        <w:t>.</w:t>
      </w:r>
      <w:r w:rsidR="009445BC" w:rsidRPr="00975C02">
        <w:rPr>
          <w:sz w:val="20"/>
          <w:szCs w:val="20"/>
          <w:lang w:val="es-ES"/>
        </w:rPr>
        <w:t xml:space="preserve"> </w:t>
      </w:r>
      <w:r w:rsidR="00C936AE" w:rsidRPr="00975C02">
        <w:rPr>
          <w:kern w:val="2"/>
          <w:sz w:val="20"/>
          <w:szCs w:val="20"/>
          <w:lang w:val="es-ES"/>
        </w:rPr>
        <w:t>La C</w:t>
      </w:r>
      <w:r w:rsidR="00FF3EC1" w:rsidRPr="00975C02">
        <w:rPr>
          <w:kern w:val="2"/>
          <w:sz w:val="20"/>
          <w:szCs w:val="20"/>
          <w:lang w:val="es-ES"/>
        </w:rPr>
        <w:t>orte ya resaltó la especial vulnerabilidad de las niñas a la violencia sexual, especialme</w:t>
      </w:r>
      <w:r w:rsidR="006E5BF7" w:rsidRPr="00975C02">
        <w:rPr>
          <w:kern w:val="2"/>
          <w:sz w:val="20"/>
          <w:szCs w:val="20"/>
          <w:lang w:val="es-ES"/>
        </w:rPr>
        <w:t>nte en la esfera familiar</w:t>
      </w:r>
      <w:r w:rsidR="00FF3EC1" w:rsidRPr="00975C02">
        <w:rPr>
          <w:kern w:val="2"/>
          <w:sz w:val="20"/>
          <w:szCs w:val="20"/>
          <w:lang w:val="es-ES"/>
        </w:rPr>
        <w:t xml:space="preserve">, así como los obstáculos y factores que pueden </w:t>
      </w:r>
      <w:r w:rsidR="007E1729" w:rsidRPr="00975C02">
        <w:rPr>
          <w:kern w:val="2"/>
          <w:sz w:val="20"/>
          <w:szCs w:val="20"/>
          <w:lang w:val="es-ES"/>
        </w:rPr>
        <w:t>afrontar</w:t>
      </w:r>
      <w:r w:rsidR="00FF3EC1" w:rsidRPr="00975C02">
        <w:rPr>
          <w:kern w:val="2"/>
          <w:sz w:val="20"/>
          <w:szCs w:val="20"/>
          <w:lang w:val="es-ES"/>
        </w:rPr>
        <w:t xml:space="preserve"> en su búsqueda de justicia (</w:t>
      </w:r>
      <w:r w:rsidR="00FF3EC1" w:rsidRPr="00975C02">
        <w:rPr>
          <w:i/>
          <w:kern w:val="2"/>
          <w:sz w:val="20"/>
          <w:szCs w:val="20"/>
          <w:lang w:val="es-ES"/>
        </w:rPr>
        <w:t xml:space="preserve">supra </w:t>
      </w:r>
      <w:r w:rsidR="00B31B77" w:rsidRPr="00975C02">
        <w:rPr>
          <w:kern w:val="2"/>
          <w:sz w:val="20"/>
          <w:szCs w:val="20"/>
          <w:lang w:val="es-ES"/>
        </w:rPr>
        <w:t>párr. 156</w:t>
      </w:r>
      <w:r w:rsidR="00FF3EC1" w:rsidRPr="00975C02">
        <w:rPr>
          <w:kern w:val="2"/>
          <w:sz w:val="20"/>
          <w:szCs w:val="20"/>
          <w:lang w:val="es-ES"/>
        </w:rPr>
        <w:t>).</w:t>
      </w:r>
      <w:r w:rsidR="00C936AE" w:rsidRPr="00975C02">
        <w:rPr>
          <w:kern w:val="2"/>
          <w:sz w:val="20"/>
          <w:szCs w:val="20"/>
          <w:lang w:val="es-ES"/>
        </w:rPr>
        <w:t xml:space="preserve"> </w:t>
      </w:r>
      <w:r w:rsidR="009445BC" w:rsidRPr="00975C02">
        <w:rPr>
          <w:sz w:val="20"/>
          <w:szCs w:val="20"/>
          <w:lang w:val="es-ES"/>
        </w:rPr>
        <w:t>En este caso, dicha violencia fue ejercida por un particular. No obstante, ello no exime al Estado de responsabilidad</w:t>
      </w:r>
      <w:r w:rsidR="00C936AE" w:rsidRPr="00975C02">
        <w:rPr>
          <w:sz w:val="20"/>
          <w:szCs w:val="20"/>
          <w:lang w:val="es-ES"/>
        </w:rPr>
        <w:t xml:space="preserve"> ya que se encontraba llamado a adoptar políticas integrales para prevenir, sancionar y erradicar la violencia contra la mujer, tomando particularmente en cuenta los casos en que la mujer sea menor de 18 años de edad.</w:t>
      </w:r>
    </w:p>
    <w:p w14:paraId="27D7622A" w14:textId="77777777" w:rsidR="00A51640" w:rsidRPr="00975C02" w:rsidRDefault="00A51640" w:rsidP="00A51640">
      <w:pPr>
        <w:widowControl/>
        <w:tabs>
          <w:tab w:val="left" w:pos="567"/>
        </w:tabs>
        <w:adjustRightInd/>
        <w:spacing w:line="240" w:lineRule="auto"/>
        <w:textAlignment w:val="auto"/>
        <w:rPr>
          <w:sz w:val="20"/>
          <w:szCs w:val="20"/>
          <w:lang w:val="es-ES"/>
        </w:rPr>
      </w:pPr>
    </w:p>
    <w:p w14:paraId="0CDDB50F" w14:textId="77777777" w:rsidR="006F71B8" w:rsidRPr="00975C02" w:rsidRDefault="00B415F3" w:rsidP="006F71B8">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rFonts w:eastAsia="Batang"/>
          <w:sz w:val="20"/>
          <w:szCs w:val="20"/>
          <w:lang w:val="es-ES" w:eastAsia="es-MX"/>
        </w:rPr>
        <w:t xml:space="preserve">La Corte </w:t>
      </w:r>
      <w:r w:rsidRPr="00975C02">
        <w:rPr>
          <w:rFonts w:eastAsia="MS Mincho"/>
          <w:sz w:val="20"/>
          <w:szCs w:val="20"/>
          <w:lang w:val="es-ES"/>
        </w:rPr>
        <w:t>reitera</w:t>
      </w:r>
      <w:r w:rsidRPr="00975C02">
        <w:rPr>
          <w:rFonts w:eastAsia="Batang"/>
          <w:sz w:val="20"/>
          <w:szCs w:val="20"/>
          <w:lang w:val="es-ES" w:eastAsia="es-MX"/>
        </w:rPr>
        <w:t xml:space="preserve"> que la ineficacia judicial frente a casos individuales de violencia contra la mujer </w:t>
      </w:r>
      <w:r w:rsidRPr="00975C02">
        <w:rPr>
          <w:rFonts w:eastAsia="Calibri"/>
          <w:sz w:val="20"/>
          <w:szCs w:val="20"/>
          <w:lang w:val="es-ES" w:eastAsia="es-MX"/>
        </w:rPr>
        <w:t>propicia</w:t>
      </w:r>
      <w:r w:rsidRPr="00975C02">
        <w:rPr>
          <w:rFonts w:eastAsia="Batang"/>
          <w:sz w:val="20"/>
          <w:szCs w:val="20"/>
          <w:lang w:val="es-ES" w:eastAsia="es-MX"/>
        </w:rPr>
        <w:t xml:space="preserve"> un ambiente de impunidad que facilita y promueve la repetición de los hechos de violencia en general y envía un mensaje según el cual la violencia contra la mujer puede ser tolerada y aceptada, lo que favorece su perpetuación y la aceptación social del fenómeno, el sentimiento y la sensación de inseguridad de las mujeres, así como una persistente desconfianza de estas en el sistema de administración de justicia</w:t>
      </w:r>
      <w:r w:rsidRPr="00975C02">
        <w:rPr>
          <w:rFonts w:eastAsia="Batang"/>
          <w:sz w:val="20"/>
          <w:szCs w:val="20"/>
          <w:vertAlign w:val="superscript"/>
          <w:lang w:val="es-ES" w:eastAsia="es-MX"/>
        </w:rPr>
        <w:footnoteReference w:id="381"/>
      </w:r>
      <w:r w:rsidRPr="00975C02">
        <w:rPr>
          <w:rFonts w:eastAsia="Batang"/>
          <w:sz w:val="20"/>
          <w:szCs w:val="20"/>
          <w:lang w:val="es-ES" w:eastAsia="es-MX"/>
        </w:rPr>
        <w:t>. Dicha ineficacia o indiferencia constituye en sí misma una discriminación de la mujer en el acceso a la justicia.</w:t>
      </w:r>
    </w:p>
    <w:p w14:paraId="3077C516" w14:textId="77777777" w:rsidR="006F71B8" w:rsidRPr="00975C02" w:rsidRDefault="006F71B8" w:rsidP="006F71B8">
      <w:pPr>
        <w:autoSpaceDE w:val="0"/>
        <w:autoSpaceDN w:val="0"/>
        <w:spacing w:line="240" w:lineRule="auto"/>
        <w:ind w:right="-174"/>
        <w:textAlignment w:val="auto"/>
        <w:rPr>
          <w:sz w:val="20"/>
          <w:szCs w:val="20"/>
          <w:lang w:val="es-ES"/>
        </w:rPr>
      </w:pPr>
    </w:p>
    <w:p w14:paraId="7DD09F27" w14:textId="769381AA" w:rsidR="006F71B8" w:rsidRPr="00975C02" w:rsidRDefault="006F71B8" w:rsidP="006F71B8">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En este sentido, como se mencionó anteriormente, el Estado debe reforzar las garantías de protección durante la investigación y proceso penal, cuando el caso se refiere a la violación sexual de una </w:t>
      </w:r>
      <w:r w:rsidR="0016216D" w:rsidRPr="00975C02">
        <w:rPr>
          <w:sz w:val="20"/>
          <w:szCs w:val="20"/>
          <w:lang w:val="es-ES"/>
        </w:rPr>
        <w:t>niña</w:t>
      </w:r>
      <w:r w:rsidRPr="00975C02">
        <w:rPr>
          <w:sz w:val="20"/>
          <w:szCs w:val="20"/>
          <w:lang w:val="es-ES"/>
        </w:rPr>
        <w:t xml:space="preserve">, máxime si esta </w:t>
      </w:r>
      <w:r w:rsidR="00957A51" w:rsidRPr="00975C02">
        <w:rPr>
          <w:sz w:val="20"/>
          <w:szCs w:val="20"/>
          <w:lang w:val="es-ES"/>
        </w:rPr>
        <w:t xml:space="preserve">violencia </w:t>
      </w:r>
      <w:r w:rsidRPr="00975C02">
        <w:rPr>
          <w:sz w:val="20"/>
          <w:szCs w:val="20"/>
          <w:lang w:val="es-ES"/>
        </w:rPr>
        <w:t>sexual</w:t>
      </w:r>
      <w:r w:rsidR="00957A51" w:rsidRPr="00975C02">
        <w:rPr>
          <w:sz w:val="20"/>
          <w:szCs w:val="20"/>
          <w:lang w:val="es-ES"/>
        </w:rPr>
        <w:t xml:space="preserve"> fue ejercida</w:t>
      </w:r>
      <w:r w:rsidRPr="00975C02">
        <w:rPr>
          <w:sz w:val="20"/>
          <w:szCs w:val="20"/>
          <w:lang w:val="es-ES"/>
        </w:rPr>
        <w:t xml:space="preserve"> en la esfera familiar, es decir en el ambiente en el cual debió haberla protegido. En estos supuestos, las obligaciones de debida diligencia y de adopción de medidas de protección deben extremarse. Además, las investigaciones y proceso penal deben ser dirigidos por el Estado con una perspectiva de género</w:t>
      </w:r>
      <w:r w:rsidR="00957A51" w:rsidRPr="00975C02">
        <w:rPr>
          <w:sz w:val="20"/>
          <w:szCs w:val="20"/>
          <w:lang w:val="es-ES"/>
        </w:rPr>
        <w:t xml:space="preserve"> </w:t>
      </w:r>
      <w:r w:rsidR="00C35CE3">
        <w:rPr>
          <w:sz w:val="20"/>
          <w:szCs w:val="20"/>
          <w:lang w:val="es-ES"/>
        </w:rPr>
        <w:t>y niñez</w:t>
      </w:r>
      <w:r w:rsidRPr="00975C02">
        <w:rPr>
          <w:sz w:val="20"/>
          <w:szCs w:val="20"/>
          <w:lang w:val="es-ES"/>
        </w:rPr>
        <w:t>, con base en la condición de niña de la víctima y tomando en cuenta la naturaleza agravada de la violación sexual, así como los efectos que podrían causar en la niña</w:t>
      </w:r>
      <w:r w:rsidR="00EE672A" w:rsidRPr="00975C02">
        <w:rPr>
          <w:sz w:val="20"/>
          <w:szCs w:val="20"/>
          <w:lang w:val="es-ES"/>
        </w:rPr>
        <w:t>.</w:t>
      </w:r>
    </w:p>
    <w:p w14:paraId="477683EB" w14:textId="77777777" w:rsidR="006F71B8" w:rsidRPr="00975C02" w:rsidRDefault="006F71B8" w:rsidP="006F71B8">
      <w:pPr>
        <w:autoSpaceDE w:val="0"/>
        <w:autoSpaceDN w:val="0"/>
        <w:spacing w:line="240" w:lineRule="auto"/>
        <w:ind w:right="-174"/>
        <w:textAlignment w:val="auto"/>
        <w:rPr>
          <w:sz w:val="20"/>
          <w:szCs w:val="20"/>
          <w:lang w:val="es-ES"/>
        </w:rPr>
      </w:pPr>
    </w:p>
    <w:p w14:paraId="28AFA5D0" w14:textId="7DC34F77" w:rsidR="004C2F3B" w:rsidRPr="00975C02" w:rsidRDefault="006F71B8" w:rsidP="004C2F3B">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La Corte nota que el Estado se encontraba ante un hecho de violación sexual, el cual es una manifestación de la discriminación contra la mujer</w:t>
      </w:r>
      <w:r w:rsidR="001E2126" w:rsidRPr="00975C02">
        <w:rPr>
          <w:sz w:val="20"/>
          <w:szCs w:val="20"/>
          <w:lang w:val="es-ES"/>
        </w:rPr>
        <w:t>, por lo que debía</w:t>
      </w:r>
      <w:r w:rsidRPr="00975C02">
        <w:rPr>
          <w:sz w:val="20"/>
          <w:szCs w:val="20"/>
          <w:lang w:val="es-ES"/>
        </w:rPr>
        <w:t xml:space="preserve"> </w:t>
      </w:r>
      <w:r w:rsidR="007331CA" w:rsidRPr="00975C02">
        <w:rPr>
          <w:sz w:val="20"/>
          <w:szCs w:val="20"/>
          <w:lang w:val="es-ES"/>
        </w:rPr>
        <w:t xml:space="preserve">adoptar medidas positivas para garantizar un efectivo </w:t>
      </w:r>
      <w:r w:rsidR="000F7FC9" w:rsidRPr="00975C02">
        <w:rPr>
          <w:sz w:val="20"/>
          <w:szCs w:val="20"/>
          <w:lang w:val="es-ES"/>
        </w:rPr>
        <w:t xml:space="preserve">e igualitario </w:t>
      </w:r>
      <w:r w:rsidR="007331CA" w:rsidRPr="00975C02">
        <w:rPr>
          <w:sz w:val="20"/>
          <w:szCs w:val="20"/>
          <w:lang w:val="es-ES"/>
        </w:rPr>
        <w:t>acceso a la justicia</w:t>
      </w:r>
      <w:r w:rsidR="007D09F2" w:rsidRPr="00975C02">
        <w:rPr>
          <w:sz w:val="20"/>
          <w:szCs w:val="20"/>
          <w:lang w:val="es-ES"/>
        </w:rPr>
        <w:t>, en los términos de lo establecido por esta Corte en el capítulo sobre los componentes esenciales del deber de debida diligencia</w:t>
      </w:r>
      <w:r w:rsidR="00963AF3" w:rsidRPr="00975C02">
        <w:rPr>
          <w:sz w:val="20"/>
          <w:szCs w:val="20"/>
          <w:lang w:val="es-ES"/>
        </w:rPr>
        <w:t xml:space="preserve"> y protección</w:t>
      </w:r>
      <w:r w:rsidR="007D09F2" w:rsidRPr="00975C02">
        <w:rPr>
          <w:sz w:val="20"/>
          <w:szCs w:val="20"/>
          <w:lang w:val="es-ES"/>
        </w:rPr>
        <w:t xml:space="preserve"> reforzad</w:t>
      </w:r>
      <w:r w:rsidR="00963AF3" w:rsidRPr="00975C02">
        <w:rPr>
          <w:sz w:val="20"/>
          <w:szCs w:val="20"/>
          <w:lang w:val="es-ES"/>
        </w:rPr>
        <w:t>a</w:t>
      </w:r>
      <w:r w:rsidR="001E21D4">
        <w:rPr>
          <w:sz w:val="20"/>
          <w:szCs w:val="20"/>
          <w:lang w:val="es-ES"/>
        </w:rPr>
        <w:t xml:space="preserve"> (</w:t>
      </w:r>
      <w:r w:rsidR="001E21D4">
        <w:rPr>
          <w:i/>
          <w:sz w:val="20"/>
          <w:szCs w:val="20"/>
          <w:lang w:val="es-ES"/>
        </w:rPr>
        <w:t>supra</w:t>
      </w:r>
      <w:r w:rsidR="001E21D4">
        <w:rPr>
          <w:sz w:val="20"/>
          <w:szCs w:val="20"/>
          <w:lang w:val="es-ES"/>
        </w:rPr>
        <w:t xml:space="preserve"> párrs. 158 a 170)</w:t>
      </w:r>
      <w:r w:rsidR="007331CA" w:rsidRPr="00975C02">
        <w:rPr>
          <w:sz w:val="20"/>
          <w:szCs w:val="20"/>
          <w:lang w:val="es-ES"/>
        </w:rPr>
        <w:t>.</w:t>
      </w:r>
      <w:r w:rsidR="000F7FC9" w:rsidRPr="00975C02">
        <w:rPr>
          <w:sz w:val="20"/>
          <w:szCs w:val="20"/>
          <w:lang w:val="es-ES"/>
        </w:rPr>
        <w:t xml:space="preserve"> Así, la Corte se refirió a la información sobre el proceso y los servicios de atención integral disponibles; el derecho a la participación y que las opiniones sean tenidas en cuenta; el derecho a la asistencia jurídica gratuita;</w:t>
      </w:r>
      <w:r w:rsidR="00C03417" w:rsidRPr="00975C02">
        <w:rPr>
          <w:sz w:val="20"/>
          <w:szCs w:val="20"/>
          <w:lang w:val="es-ES"/>
        </w:rPr>
        <w:t xml:space="preserve"> la especialización de todos los funcionarios intervinientes;</w:t>
      </w:r>
      <w:r w:rsidR="000F7FC9" w:rsidRPr="00975C02">
        <w:rPr>
          <w:sz w:val="20"/>
          <w:szCs w:val="20"/>
          <w:lang w:val="es-ES"/>
        </w:rPr>
        <w:t xml:space="preserve"> </w:t>
      </w:r>
      <w:r w:rsidR="004C2F3B" w:rsidRPr="00975C02">
        <w:rPr>
          <w:sz w:val="20"/>
          <w:szCs w:val="20"/>
          <w:lang w:val="es-ES"/>
        </w:rPr>
        <w:t xml:space="preserve">y </w:t>
      </w:r>
      <w:r w:rsidR="000F7FC9" w:rsidRPr="00975C02">
        <w:rPr>
          <w:sz w:val="20"/>
          <w:szCs w:val="20"/>
          <w:lang w:val="es-ES"/>
        </w:rPr>
        <w:t xml:space="preserve">el derecho a contar con servicios de asistencia médica, psicológica y psiquiátrica que permitan su </w:t>
      </w:r>
      <w:r w:rsidR="000F7FC9" w:rsidRPr="00975C02">
        <w:rPr>
          <w:kern w:val="2"/>
          <w:sz w:val="20"/>
          <w:szCs w:val="20"/>
          <w:lang w:val="es-ES" w:eastAsia="en-US"/>
        </w:rPr>
        <w:t>recuperación, rehabilitación y reintegración</w:t>
      </w:r>
      <w:r w:rsidR="00C03417" w:rsidRPr="00975C02">
        <w:rPr>
          <w:kern w:val="2"/>
          <w:sz w:val="20"/>
          <w:szCs w:val="20"/>
          <w:lang w:val="es-ES" w:eastAsia="en-US"/>
        </w:rPr>
        <w:t>.</w:t>
      </w:r>
      <w:r w:rsidR="004C2F3B" w:rsidRPr="00975C02">
        <w:rPr>
          <w:kern w:val="2"/>
          <w:sz w:val="20"/>
          <w:szCs w:val="20"/>
          <w:lang w:val="es-ES" w:eastAsia="en-US"/>
        </w:rPr>
        <w:t xml:space="preserve"> </w:t>
      </w:r>
      <w:r w:rsidR="004C2F3B" w:rsidRPr="00975C02">
        <w:rPr>
          <w:sz w:val="20"/>
          <w:szCs w:val="20"/>
          <w:lang w:val="es-ES"/>
        </w:rPr>
        <w:t xml:space="preserve">En el presente caso, </w:t>
      </w:r>
      <w:r w:rsidR="009C62D0">
        <w:rPr>
          <w:sz w:val="20"/>
          <w:szCs w:val="20"/>
          <w:lang w:val="es-ES"/>
        </w:rPr>
        <w:t>quedó</w:t>
      </w:r>
      <w:r w:rsidR="00576E82" w:rsidRPr="00975C02">
        <w:rPr>
          <w:sz w:val="20"/>
          <w:szCs w:val="20"/>
          <w:lang w:val="es-ES"/>
        </w:rPr>
        <w:t xml:space="preserve"> demostrado</w:t>
      </w:r>
      <w:r w:rsidR="004C2F3B" w:rsidRPr="00975C02">
        <w:rPr>
          <w:sz w:val="20"/>
          <w:szCs w:val="20"/>
          <w:lang w:val="es-ES"/>
        </w:rPr>
        <w:t xml:space="preserve"> que dichas medidas no fueron adoptadas</w:t>
      </w:r>
      <w:r w:rsidR="00D9021C" w:rsidRPr="00975C02">
        <w:rPr>
          <w:sz w:val="20"/>
          <w:szCs w:val="20"/>
          <w:lang w:val="es-ES"/>
        </w:rPr>
        <w:t xml:space="preserve">, por lo que existió una discriminación en el acceso a la justicia, </w:t>
      </w:r>
      <w:r w:rsidR="00F20A5E" w:rsidRPr="00975C02">
        <w:rPr>
          <w:sz w:val="20"/>
          <w:szCs w:val="20"/>
          <w:lang w:val="es-ES"/>
        </w:rPr>
        <w:t xml:space="preserve">por </w:t>
      </w:r>
      <w:r w:rsidR="00F20A5E" w:rsidRPr="00975C02">
        <w:rPr>
          <w:rFonts w:eastAsiaTheme="minorHAnsi" w:cs="Arial"/>
          <w:sz w:val="20"/>
          <w:szCs w:val="20"/>
          <w:lang w:val="es-ES" w:eastAsia="en-US"/>
        </w:rPr>
        <w:t>motivos de sexo y género,</w:t>
      </w:r>
      <w:r w:rsidR="00F20A5E" w:rsidRPr="00975C02">
        <w:rPr>
          <w:sz w:val="20"/>
          <w:szCs w:val="20"/>
          <w:lang w:val="es-ES"/>
        </w:rPr>
        <w:t xml:space="preserve"> así como por la condición de persona en desarrollo de la víctima</w:t>
      </w:r>
      <w:r w:rsidR="004C2F3B" w:rsidRPr="00975C02">
        <w:rPr>
          <w:sz w:val="20"/>
          <w:szCs w:val="20"/>
          <w:lang w:val="es-ES"/>
        </w:rPr>
        <w:t>.</w:t>
      </w:r>
    </w:p>
    <w:p w14:paraId="7578F56D" w14:textId="77777777" w:rsidR="004C2F3B" w:rsidRPr="00975C02" w:rsidRDefault="004C2F3B" w:rsidP="004C2F3B">
      <w:pPr>
        <w:widowControl/>
        <w:tabs>
          <w:tab w:val="left" w:pos="567"/>
          <w:tab w:val="num" w:pos="12305"/>
        </w:tabs>
        <w:adjustRightInd/>
        <w:spacing w:line="240" w:lineRule="auto"/>
        <w:textAlignment w:val="auto"/>
        <w:rPr>
          <w:sz w:val="20"/>
          <w:szCs w:val="20"/>
          <w:lang w:val="es-ES"/>
        </w:rPr>
      </w:pPr>
    </w:p>
    <w:p w14:paraId="3C6C40C6" w14:textId="3BABD21E" w:rsidR="00A93E8D" w:rsidRPr="00975C02" w:rsidRDefault="007D09F2" w:rsidP="006F71B8">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kern w:val="2"/>
          <w:sz w:val="20"/>
          <w:szCs w:val="20"/>
          <w:lang w:val="es-ES" w:eastAsia="en-US"/>
        </w:rPr>
        <w:lastRenderedPageBreak/>
        <w:t>Además, correspondía a Nicaragua extremar las medidas de protección a favor de V.R.P. para no perjudicarla causándole ulteriores daños con el proceso de investigación, entendiendo que todas las decisiones que se adopta</w:t>
      </w:r>
      <w:r w:rsidR="000F7FC9" w:rsidRPr="00975C02">
        <w:rPr>
          <w:kern w:val="2"/>
          <w:sz w:val="20"/>
          <w:szCs w:val="20"/>
          <w:lang w:val="es-ES" w:eastAsia="en-US"/>
        </w:rPr>
        <w:t>ra</w:t>
      </w:r>
      <w:r w:rsidRPr="00975C02">
        <w:rPr>
          <w:kern w:val="2"/>
          <w:sz w:val="20"/>
          <w:szCs w:val="20"/>
          <w:lang w:val="es-ES" w:eastAsia="en-US"/>
        </w:rPr>
        <w:t>n deb</w:t>
      </w:r>
      <w:r w:rsidR="000F7FC9" w:rsidRPr="00975C02">
        <w:rPr>
          <w:kern w:val="2"/>
          <w:sz w:val="20"/>
          <w:szCs w:val="20"/>
          <w:lang w:val="es-ES" w:eastAsia="en-US"/>
        </w:rPr>
        <w:t>ía</w:t>
      </w:r>
      <w:r w:rsidRPr="00975C02">
        <w:rPr>
          <w:kern w:val="2"/>
          <w:sz w:val="20"/>
          <w:szCs w:val="20"/>
          <w:lang w:val="es-ES" w:eastAsia="en-US"/>
        </w:rPr>
        <w:t>n obedecer a la finalidad principal de proteger los derechos de la niña en forma integral, salvaguardar su posterior desarrollo</w:t>
      </w:r>
      <w:r w:rsidR="00947985">
        <w:rPr>
          <w:kern w:val="2"/>
          <w:sz w:val="20"/>
          <w:szCs w:val="20"/>
          <w:lang w:val="es-ES" w:eastAsia="en-US"/>
        </w:rPr>
        <w:t>,</w:t>
      </w:r>
      <w:r w:rsidRPr="00975C02">
        <w:rPr>
          <w:kern w:val="2"/>
          <w:sz w:val="20"/>
          <w:szCs w:val="20"/>
          <w:lang w:val="es-ES" w:eastAsia="en-US"/>
        </w:rPr>
        <w:t xml:space="preserve"> velar por su interés superior</w:t>
      </w:r>
      <w:r w:rsidR="006723FB" w:rsidRPr="00975C02">
        <w:rPr>
          <w:kern w:val="2"/>
          <w:sz w:val="20"/>
          <w:szCs w:val="20"/>
          <w:lang w:val="es-ES" w:eastAsia="en-US"/>
        </w:rPr>
        <w:t>, y evitar su revictimización</w:t>
      </w:r>
      <w:r w:rsidRPr="00975C02">
        <w:rPr>
          <w:kern w:val="2"/>
          <w:sz w:val="20"/>
          <w:szCs w:val="20"/>
          <w:lang w:val="es-ES" w:eastAsia="en-US"/>
        </w:rPr>
        <w:t>.</w:t>
      </w:r>
    </w:p>
    <w:p w14:paraId="1FFDAE3E" w14:textId="77777777" w:rsidR="00A93E8D" w:rsidRPr="00975C02" w:rsidRDefault="00A93E8D" w:rsidP="00A93E8D">
      <w:pPr>
        <w:widowControl/>
        <w:tabs>
          <w:tab w:val="left" w:pos="567"/>
        </w:tabs>
        <w:adjustRightInd/>
        <w:spacing w:line="240" w:lineRule="auto"/>
        <w:textAlignment w:val="auto"/>
        <w:rPr>
          <w:sz w:val="20"/>
          <w:szCs w:val="20"/>
          <w:lang w:val="es-ES"/>
        </w:rPr>
      </w:pPr>
    </w:p>
    <w:p w14:paraId="621250D8" w14:textId="3FBE752A" w:rsidR="00A93E8D" w:rsidRPr="00975C02" w:rsidRDefault="00A93E8D" w:rsidP="00A93E8D">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975C02">
        <w:rPr>
          <w:kern w:val="2"/>
          <w:sz w:val="20"/>
          <w:szCs w:val="20"/>
          <w:lang w:val="es-ES" w:eastAsia="en-US"/>
        </w:rPr>
        <w:t xml:space="preserve">En este caso, el Estado requirió que la niña se sometiera a diversos exámenes médicos de manera innecesaria, fuera entrevistada para que contara lo sucedido en diversas ocasiones, participara en la reconstrucción de los hechos haciéndola revivir momentos sumamente traumatizantes, entre otros actos analizados anteriormente. </w:t>
      </w:r>
      <w:r w:rsidRPr="00975C02">
        <w:rPr>
          <w:sz w:val="20"/>
          <w:szCs w:val="20"/>
          <w:lang w:val="es-ES"/>
        </w:rPr>
        <w:t xml:space="preserve">Además, el actuar del médico forense fue discriminatorio, al no considerar el derecho de V.R.P. a ser oída y a brindar su consentimiento, cuando se negó a someterse al primer examen médico. El médico culpabilizó a la niña ante su negativa de someterse al examen. </w:t>
      </w:r>
      <w:r w:rsidRPr="00975C02">
        <w:rPr>
          <w:kern w:val="2"/>
          <w:sz w:val="20"/>
          <w:szCs w:val="20"/>
          <w:lang w:val="es-ES" w:eastAsia="en-US"/>
        </w:rPr>
        <w:t>Todo ello, sumado a la falta de atención integral a la víctima, aumentó el trauma sufrido, mantuvo presente el estrés post-traumático e impidió la recuperación y rehabilitación de la niña, cuyo impacto perdura en su integridad personal hasta la actualidad.</w:t>
      </w:r>
      <w:r w:rsidR="00480EC1" w:rsidRPr="00975C02">
        <w:rPr>
          <w:kern w:val="2"/>
          <w:sz w:val="20"/>
          <w:szCs w:val="20"/>
          <w:lang w:val="es-ES" w:eastAsia="en-US"/>
        </w:rPr>
        <w:t xml:space="preserve"> </w:t>
      </w:r>
      <w:r w:rsidR="00480EC1" w:rsidRPr="00975C02">
        <w:rPr>
          <w:bCs/>
          <w:sz w:val="20"/>
          <w:szCs w:val="20"/>
          <w:lang w:val="es-ES"/>
        </w:rPr>
        <w:t xml:space="preserve">En consecuencia, la Corte estima que la forma en la que fue conducida la </w:t>
      </w:r>
      <w:r w:rsidR="00480EC1" w:rsidRPr="00975C02">
        <w:rPr>
          <w:kern w:val="2"/>
          <w:sz w:val="20"/>
          <w:szCs w:val="20"/>
          <w:lang w:val="es-ES" w:eastAsia="en-US"/>
        </w:rPr>
        <w:t>investigación</w:t>
      </w:r>
      <w:r w:rsidR="00480EC1" w:rsidRPr="00975C02">
        <w:rPr>
          <w:bCs/>
          <w:sz w:val="20"/>
          <w:szCs w:val="20"/>
          <w:lang w:val="es-ES"/>
        </w:rPr>
        <w:t xml:space="preserve"> por la violación sexual de V.R.P. fue discriminatoria y no fue llevada a cabo con una perspectiva de género y de protección reforzada de los derechos de las niñas, de acuerdo con las obligaciones especiales impuestas por </w:t>
      </w:r>
      <w:r w:rsidR="00C35CE3">
        <w:rPr>
          <w:bCs/>
          <w:sz w:val="20"/>
          <w:szCs w:val="20"/>
          <w:lang w:val="es-ES"/>
        </w:rPr>
        <w:t xml:space="preserve">el artículo 19 de la Convención Americana y </w:t>
      </w:r>
      <w:r w:rsidR="00480EC1" w:rsidRPr="00975C02">
        <w:rPr>
          <w:bCs/>
          <w:sz w:val="20"/>
          <w:szCs w:val="20"/>
          <w:lang w:val="es-ES"/>
        </w:rPr>
        <w:t>l</w:t>
      </w:r>
      <w:r w:rsidR="00C35CE3">
        <w:rPr>
          <w:bCs/>
          <w:sz w:val="20"/>
          <w:szCs w:val="20"/>
          <w:lang w:val="es-ES"/>
        </w:rPr>
        <w:t>a Convención de Belém do Pará</w:t>
      </w:r>
      <w:r w:rsidR="00480EC1" w:rsidRPr="00975C02">
        <w:rPr>
          <w:bCs/>
          <w:sz w:val="20"/>
          <w:szCs w:val="20"/>
          <w:lang w:val="es-ES"/>
        </w:rPr>
        <w:t>.</w:t>
      </w:r>
    </w:p>
    <w:p w14:paraId="73B463E1" w14:textId="77777777" w:rsidR="00A93E8D" w:rsidRPr="00975C02" w:rsidRDefault="00A93E8D" w:rsidP="00A93E8D">
      <w:pPr>
        <w:widowControl/>
        <w:tabs>
          <w:tab w:val="left" w:pos="567"/>
        </w:tabs>
        <w:adjustRightInd/>
        <w:spacing w:line="240" w:lineRule="auto"/>
        <w:textAlignment w:val="auto"/>
        <w:rPr>
          <w:sz w:val="20"/>
          <w:szCs w:val="20"/>
          <w:lang w:val="es-ES"/>
        </w:rPr>
      </w:pPr>
    </w:p>
    <w:p w14:paraId="6A68A0C7" w14:textId="0F7C9A00" w:rsidR="000F6BA6" w:rsidRPr="00210C5A" w:rsidRDefault="000F6BA6" w:rsidP="000F6BA6">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Sobre la base de lo que antecede, la Corte considera que el Estado incumplió su obligación de garantizar, sin discriminación</w:t>
      </w:r>
      <w:r w:rsidR="00F20A5E" w:rsidRPr="00975C02">
        <w:rPr>
          <w:sz w:val="20"/>
          <w:szCs w:val="20"/>
          <w:lang w:val="es-ES"/>
        </w:rPr>
        <w:t xml:space="preserve"> por </w:t>
      </w:r>
      <w:r w:rsidR="00F20A5E" w:rsidRPr="00975C02">
        <w:rPr>
          <w:rFonts w:eastAsiaTheme="minorHAnsi" w:cs="Arial"/>
          <w:sz w:val="20"/>
          <w:szCs w:val="20"/>
          <w:lang w:val="es-ES" w:eastAsia="en-US"/>
        </w:rPr>
        <w:t>m</w:t>
      </w:r>
      <w:r w:rsidR="00F20A5E" w:rsidRPr="00210C5A">
        <w:rPr>
          <w:rFonts w:eastAsiaTheme="minorHAnsi" w:cs="Arial"/>
          <w:sz w:val="20"/>
          <w:szCs w:val="20"/>
          <w:lang w:val="es-ES" w:eastAsia="en-US"/>
        </w:rPr>
        <w:t>otivos de sexo y género,</w:t>
      </w:r>
      <w:r w:rsidR="00F20A5E" w:rsidRPr="00210C5A">
        <w:rPr>
          <w:sz w:val="20"/>
          <w:szCs w:val="20"/>
          <w:lang w:val="es-ES"/>
        </w:rPr>
        <w:t xml:space="preserve"> así como por la condición de persona en desarrollo de la víctima</w:t>
      </w:r>
      <w:r w:rsidRPr="00210C5A">
        <w:rPr>
          <w:sz w:val="20"/>
          <w:szCs w:val="20"/>
          <w:lang w:val="es-ES"/>
        </w:rPr>
        <w:t>, el derecho de acceso a la justicia en los términos de los artículos 8.1 y 25.1 de la Convención Americana, en relación con l</w:t>
      </w:r>
      <w:r w:rsidR="00D90499" w:rsidRPr="00210C5A">
        <w:rPr>
          <w:sz w:val="20"/>
          <w:szCs w:val="20"/>
          <w:lang w:val="es-ES"/>
        </w:rPr>
        <w:t>os</w:t>
      </w:r>
      <w:r w:rsidRPr="00210C5A">
        <w:rPr>
          <w:sz w:val="20"/>
          <w:szCs w:val="20"/>
          <w:lang w:val="es-ES"/>
        </w:rPr>
        <w:t xml:space="preserve"> artículo</w:t>
      </w:r>
      <w:r w:rsidR="00D90499" w:rsidRPr="00210C5A">
        <w:rPr>
          <w:sz w:val="20"/>
          <w:szCs w:val="20"/>
          <w:lang w:val="es-ES"/>
        </w:rPr>
        <w:t>s</w:t>
      </w:r>
      <w:r w:rsidRPr="00210C5A">
        <w:rPr>
          <w:sz w:val="20"/>
          <w:szCs w:val="20"/>
          <w:lang w:val="es-ES"/>
        </w:rPr>
        <w:t xml:space="preserve"> 1.1</w:t>
      </w:r>
      <w:r w:rsidR="00755D99" w:rsidRPr="00210C5A">
        <w:rPr>
          <w:sz w:val="20"/>
          <w:szCs w:val="20"/>
          <w:lang w:val="es-ES"/>
        </w:rPr>
        <w:t>,</w:t>
      </w:r>
      <w:r w:rsidR="00D90499" w:rsidRPr="00210C5A">
        <w:rPr>
          <w:sz w:val="20"/>
          <w:szCs w:val="20"/>
          <w:lang w:val="es-ES"/>
        </w:rPr>
        <w:t xml:space="preserve"> 19</w:t>
      </w:r>
      <w:r w:rsidR="00755D99" w:rsidRPr="00210C5A">
        <w:rPr>
          <w:sz w:val="20"/>
          <w:szCs w:val="20"/>
          <w:lang w:val="es-ES"/>
        </w:rPr>
        <w:t xml:space="preserve"> y 24</w:t>
      </w:r>
      <w:r w:rsidRPr="00210C5A">
        <w:rPr>
          <w:sz w:val="20"/>
          <w:szCs w:val="20"/>
          <w:lang w:val="es-ES"/>
        </w:rPr>
        <w:t xml:space="preserve"> de</w:t>
      </w:r>
      <w:r w:rsidR="00214C9A" w:rsidRPr="00210C5A">
        <w:rPr>
          <w:sz w:val="20"/>
          <w:szCs w:val="20"/>
          <w:lang w:val="es-ES"/>
        </w:rPr>
        <w:t xml:space="preserve"> </w:t>
      </w:r>
      <w:r w:rsidRPr="00210C5A">
        <w:rPr>
          <w:sz w:val="20"/>
          <w:szCs w:val="20"/>
          <w:lang w:val="es-ES"/>
        </w:rPr>
        <w:t>l</w:t>
      </w:r>
      <w:r w:rsidR="00214C9A" w:rsidRPr="00210C5A">
        <w:rPr>
          <w:sz w:val="20"/>
          <w:szCs w:val="20"/>
          <w:lang w:val="es-ES"/>
        </w:rPr>
        <w:t>a</w:t>
      </w:r>
      <w:r w:rsidRPr="00210C5A">
        <w:rPr>
          <w:sz w:val="20"/>
          <w:szCs w:val="20"/>
          <w:lang w:val="es-ES"/>
        </w:rPr>
        <w:t xml:space="preserve"> mism</w:t>
      </w:r>
      <w:r w:rsidR="00214C9A" w:rsidRPr="00210C5A">
        <w:rPr>
          <w:sz w:val="20"/>
          <w:szCs w:val="20"/>
          <w:lang w:val="es-ES"/>
        </w:rPr>
        <w:t>a</w:t>
      </w:r>
      <w:r w:rsidR="00C35CE3" w:rsidRPr="00210C5A">
        <w:rPr>
          <w:sz w:val="20"/>
          <w:szCs w:val="20"/>
          <w:lang w:val="es-ES"/>
        </w:rPr>
        <w:t xml:space="preserve"> </w:t>
      </w:r>
      <w:r w:rsidR="00C35CE3" w:rsidRPr="00210C5A">
        <w:rPr>
          <w:sz w:val="20"/>
          <w:szCs w:val="20"/>
          <w:lang w:val="es-ES" w:eastAsia="en-US"/>
        </w:rPr>
        <w:t xml:space="preserve">y </w:t>
      </w:r>
      <w:r w:rsidR="00C35CE3" w:rsidRPr="00210C5A">
        <w:rPr>
          <w:rFonts w:eastAsia="Batang" w:cs="Arial"/>
          <w:sz w:val="20"/>
          <w:szCs w:val="20"/>
          <w:lang w:val="es-ES" w:eastAsia="es-MX"/>
        </w:rPr>
        <w:t xml:space="preserve">el artículo 7.b) </w:t>
      </w:r>
      <w:r w:rsidR="00C35CE3" w:rsidRPr="00210C5A">
        <w:rPr>
          <w:rFonts w:eastAsia="Batang"/>
          <w:sz w:val="20"/>
          <w:szCs w:val="20"/>
          <w:lang w:val="es-ES" w:eastAsia="es-MX"/>
        </w:rPr>
        <w:t>de la Convención de Belém do Pará</w:t>
      </w:r>
      <w:r w:rsidRPr="00210C5A">
        <w:rPr>
          <w:sz w:val="20"/>
          <w:szCs w:val="20"/>
          <w:lang w:val="es-ES"/>
        </w:rPr>
        <w:t>, en perjuicio de V.R.P.</w:t>
      </w:r>
    </w:p>
    <w:p w14:paraId="4AECDDD1" w14:textId="77777777" w:rsidR="000F6BA6" w:rsidRPr="00975C02" w:rsidRDefault="000F6BA6" w:rsidP="000F6BA6">
      <w:pPr>
        <w:widowControl/>
        <w:tabs>
          <w:tab w:val="left" w:pos="567"/>
        </w:tabs>
        <w:adjustRightInd/>
        <w:spacing w:line="240" w:lineRule="auto"/>
        <w:textAlignment w:val="auto"/>
        <w:rPr>
          <w:rFonts w:eastAsia="Calibri"/>
          <w:sz w:val="20"/>
          <w:szCs w:val="20"/>
          <w:lang w:val="es-ES" w:eastAsia="en-US" w:bidi="en-US"/>
        </w:rPr>
      </w:pPr>
    </w:p>
    <w:p w14:paraId="7C066780" w14:textId="69F4C4EC" w:rsidR="00A93E8D" w:rsidRPr="00975C02" w:rsidRDefault="000F6BA6" w:rsidP="00A93E8D">
      <w:pPr>
        <w:widowControl/>
        <w:numPr>
          <w:ilvl w:val="0"/>
          <w:numId w:val="2"/>
        </w:numPr>
        <w:tabs>
          <w:tab w:val="left" w:pos="567"/>
          <w:tab w:val="num" w:pos="12305"/>
        </w:tabs>
        <w:adjustRightInd/>
        <w:spacing w:line="240" w:lineRule="auto"/>
        <w:ind w:left="0" w:firstLine="0"/>
        <w:textAlignment w:val="auto"/>
        <w:rPr>
          <w:rFonts w:eastAsia="Calibri"/>
          <w:sz w:val="20"/>
          <w:szCs w:val="20"/>
          <w:lang w:val="es-ES" w:eastAsia="en-US" w:bidi="en-US"/>
        </w:rPr>
      </w:pPr>
      <w:r w:rsidRPr="00975C02">
        <w:rPr>
          <w:kern w:val="2"/>
          <w:sz w:val="20"/>
          <w:szCs w:val="20"/>
          <w:lang w:val="es-ES" w:eastAsia="en-US"/>
        </w:rPr>
        <w:t>Adicionalmente</w:t>
      </w:r>
      <w:r w:rsidR="00A93E8D" w:rsidRPr="00975C02">
        <w:rPr>
          <w:kern w:val="2"/>
          <w:sz w:val="20"/>
          <w:szCs w:val="20"/>
          <w:lang w:val="es-ES" w:eastAsia="en-US"/>
        </w:rPr>
        <w:t>, la Corte estima que en el presente caso el Estado se convirtió en un segundo agresor, al cometer distintos actos revictimizantes que, tomando</w:t>
      </w:r>
      <w:r w:rsidR="00A93E8D" w:rsidRPr="00975C02">
        <w:rPr>
          <w:rFonts w:cs="Tahoma"/>
          <w:sz w:val="20"/>
          <w:szCs w:val="20"/>
          <w:lang w:val="es-ES"/>
        </w:rPr>
        <w:t xml:space="preserve"> en cuenta la definición de violencia contra la mujer adoptada en la Convención de Belém do Pará, </w:t>
      </w:r>
      <w:r w:rsidR="00A93E8D" w:rsidRPr="00975C02">
        <w:rPr>
          <w:kern w:val="2"/>
          <w:sz w:val="20"/>
          <w:szCs w:val="20"/>
          <w:lang w:val="es-ES" w:eastAsia="en-US"/>
        </w:rPr>
        <w:t>constituyeron violencia institucional. En efecto, l</w:t>
      </w:r>
      <w:r w:rsidR="00A93E8D" w:rsidRPr="00975C02">
        <w:rPr>
          <w:rFonts w:eastAsia="MS Mincho"/>
          <w:sz w:val="20"/>
          <w:szCs w:val="20"/>
          <w:lang w:val="es-ES" w:eastAsia="en-US" w:bidi="en-US"/>
        </w:rPr>
        <w:t xml:space="preserve">a </w:t>
      </w:r>
      <w:r w:rsidR="00A93E8D" w:rsidRPr="00975C02">
        <w:rPr>
          <w:rStyle w:val="Strong"/>
          <w:rFonts w:cs="Tahoma"/>
          <w:b w:val="0"/>
          <w:sz w:val="20"/>
          <w:szCs w:val="20"/>
          <w:shd w:val="clear" w:color="auto" w:fill="FFFFFF"/>
          <w:lang w:val="es-ES"/>
        </w:rPr>
        <w:t>Convención de Belém do Pará ha establecido parámetros</w:t>
      </w:r>
      <w:r w:rsidR="00A93E8D" w:rsidRPr="00975C02">
        <w:rPr>
          <w:rFonts w:cs="Tahoma"/>
          <w:sz w:val="20"/>
          <w:szCs w:val="20"/>
          <w:lang w:val="es-ES"/>
        </w:rPr>
        <w:t xml:space="preserve"> para identificar cuándo un acto constituye violencia y define en su artículo 1° que “debe entenderse por violencia contra la mujer, cualquier acción o conducta, basada en su género, que cause muerte, daño o sufrimiento físico, sexual o psicológico a la mujer, tanto en el ámbito público como en el privado”</w:t>
      </w:r>
      <w:r w:rsidR="00A93E8D" w:rsidRPr="00975C02">
        <w:rPr>
          <w:rStyle w:val="FootnoteReference"/>
          <w:rFonts w:eastAsiaTheme="minorHAnsi"/>
          <w:sz w:val="20"/>
          <w:szCs w:val="20"/>
          <w:lang w:val="es-ES"/>
        </w:rPr>
        <w:footnoteReference w:id="382"/>
      </w:r>
      <w:r w:rsidR="00A93E8D" w:rsidRPr="00975C02">
        <w:rPr>
          <w:rFonts w:cs="Tahoma"/>
          <w:sz w:val="20"/>
          <w:szCs w:val="20"/>
          <w:lang w:val="es-ES"/>
        </w:rPr>
        <w:t xml:space="preserve">. Asimismo, </w:t>
      </w:r>
      <w:r w:rsidR="00A93E8D" w:rsidRPr="00975C02">
        <w:rPr>
          <w:sz w:val="20"/>
          <w:szCs w:val="20"/>
          <w:lang w:val="es-ES"/>
        </w:rPr>
        <w:t>dicho instrumento resalta que dicha violencia incluye la que sea perpetrada o tolerada por el Estado o sus agentes, donde quiera que ocurra.</w:t>
      </w:r>
    </w:p>
    <w:p w14:paraId="1CBD8BC5" w14:textId="77777777" w:rsidR="00A93E8D" w:rsidRPr="00975C02" w:rsidRDefault="00A93E8D" w:rsidP="00A93E8D">
      <w:pPr>
        <w:widowControl/>
        <w:autoSpaceDE w:val="0"/>
        <w:autoSpaceDN w:val="0"/>
        <w:spacing w:line="240" w:lineRule="auto"/>
        <w:textAlignment w:val="auto"/>
        <w:rPr>
          <w:rFonts w:eastAsiaTheme="minorHAnsi" w:cs="Arial"/>
          <w:sz w:val="20"/>
          <w:szCs w:val="20"/>
          <w:lang w:val="es-ES" w:eastAsia="en-US"/>
        </w:rPr>
      </w:pPr>
    </w:p>
    <w:p w14:paraId="2EA7B832" w14:textId="50231A0B" w:rsidR="00117BEC" w:rsidRPr="00975C02" w:rsidRDefault="00A93E8D" w:rsidP="00117BEC">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En conclusión</w:t>
      </w:r>
      <w:r w:rsidR="00117BEC" w:rsidRPr="00975C02">
        <w:rPr>
          <w:sz w:val="20"/>
          <w:szCs w:val="20"/>
          <w:lang w:val="es-ES"/>
        </w:rPr>
        <w:t>, la Corte considera que la niña sufrió una doble violencia: por un lado, la violencia sexual por parte de un agente no estatal; y</w:t>
      </w:r>
      <w:r w:rsidR="00100F58" w:rsidRPr="00975C02">
        <w:rPr>
          <w:sz w:val="20"/>
          <w:szCs w:val="20"/>
          <w:lang w:val="es-ES"/>
        </w:rPr>
        <w:t>,</w:t>
      </w:r>
      <w:r w:rsidR="00117BEC" w:rsidRPr="00975C02">
        <w:rPr>
          <w:sz w:val="20"/>
          <w:szCs w:val="20"/>
          <w:lang w:val="es-ES"/>
        </w:rPr>
        <w:t xml:space="preserve"> por el otro, la violencia institucional durante el procedimiento judicial, en particular, </w:t>
      </w:r>
      <w:r w:rsidR="00100F58" w:rsidRPr="00975C02">
        <w:rPr>
          <w:sz w:val="20"/>
          <w:szCs w:val="20"/>
          <w:lang w:val="es-ES"/>
        </w:rPr>
        <w:t>a raíz d</w:t>
      </w:r>
      <w:r w:rsidR="00117BEC" w:rsidRPr="00975C02">
        <w:rPr>
          <w:sz w:val="20"/>
          <w:szCs w:val="20"/>
          <w:lang w:val="es-ES"/>
        </w:rPr>
        <w:t xml:space="preserve">el examen médico forense y la reconstrucción de los hechos. </w:t>
      </w:r>
      <w:r w:rsidR="00B6074F" w:rsidRPr="00975C02">
        <w:rPr>
          <w:sz w:val="20"/>
          <w:szCs w:val="20"/>
          <w:lang w:val="es-ES"/>
        </w:rPr>
        <w:t>L</w:t>
      </w:r>
      <w:r w:rsidR="00117BEC" w:rsidRPr="00975C02">
        <w:rPr>
          <w:sz w:val="20"/>
          <w:szCs w:val="20"/>
          <w:lang w:val="es-ES"/>
        </w:rPr>
        <w:t xml:space="preserve">a niña </w:t>
      </w:r>
      <w:r w:rsidR="00B6074F" w:rsidRPr="00975C02">
        <w:rPr>
          <w:sz w:val="20"/>
          <w:szCs w:val="20"/>
          <w:lang w:val="es-ES"/>
        </w:rPr>
        <w:t xml:space="preserve">y su familia </w:t>
      </w:r>
      <w:r w:rsidR="00117BEC" w:rsidRPr="00975C02">
        <w:rPr>
          <w:sz w:val="20"/>
          <w:szCs w:val="20"/>
          <w:lang w:val="es-ES"/>
        </w:rPr>
        <w:t>acudi</w:t>
      </w:r>
      <w:r w:rsidR="00B6074F" w:rsidRPr="00975C02">
        <w:rPr>
          <w:sz w:val="20"/>
          <w:szCs w:val="20"/>
          <w:lang w:val="es-ES"/>
        </w:rPr>
        <w:t>eron</w:t>
      </w:r>
      <w:r w:rsidR="00117BEC" w:rsidRPr="00975C02">
        <w:rPr>
          <w:sz w:val="20"/>
          <w:szCs w:val="20"/>
          <w:lang w:val="es-ES"/>
        </w:rPr>
        <w:t xml:space="preserve"> al sistema judicial en busca de protección y para obtener la restitución de sus derechos vulnerados. Sin embargo, el Estado no solo no cumplió con la debida diligencia reforzada</w:t>
      </w:r>
      <w:r w:rsidR="001D6D2A" w:rsidRPr="00975C02">
        <w:rPr>
          <w:sz w:val="20"/>
          <w:szCs w:val="20"/>
          <w:lang w:val="es-ES"/>
        </w:rPr>
        <w:t xml:space="preserve"> y protección especial</w:t>
      </w:r>
      <w:r w:rsidR="00117BEC" w:rsidRPr="00975C02">
        <w:rPr>
          <w:sz w:val="20"/>
          <w:szCs w:val="20"/>
          <w:lang w:val="es-ES"/>
        </w:rPr>
        <w:t xml:space="preserve"> requerida en el proceso judicial donde se investigaba una situación de violencia sexual</w:t>
      </w:r>
      <w:r w:rsidR="0044295D" w:rsidRPr="00975C02">
        <w:rPr>
          <w:sz w:val="20"/>
          <w:szCs w:val="20"/>
          <w:lang w:val="es-ES"/>
        </w:rPr>
        <w:t>,</w:t>
      </w:r>
      <w:r w:rsidR="00117BEC" w:rsidRPr="00975C02">
        <w:rPr>
          <w:sz w:val="20"/>
          <w:szCs w:val="20"/>
          <w:lang w:val="es-ES"/>
        </w:rPr>
        <w:t xml:space="preserve"> sino que respondió con una nueva forma de violencia. </w:t>
      </w:r>
      <w:r w:rsidR="001508AC" w:rsidRPr="00975C02">
        <w:rPr>
          <w:sz w:val="20"/>
          <w:szCs w:val="20"/>
          <w:lang w:val="es-ES"/>
        </w:rPr>
        <w:t>En este sentido, además de la vulneración del derecho de acceso a la justicia sin discriminación, la Corte considera que el Estado ejerció violencia institucional, causándole una mayor afectación y multiplicando la vivencia traumática sufrida por V.R.P.</w:t>
      </w:r>
    </w:p>
    <w:p w14:paraId="73520F68" w14:textId="77777777" w:rsidR="00117BEC" w:rsidRPr="00975C02" w:rsidRDefault="00117BEC" w:rsidP="00117BEC">
      <w:pPr>
        <w:widowControl/>
        <w:tabs>
          <w:tab w:val="left" w:pos="567"/>
        </w:tabs>
        <w:adjustRightInd/>
        <w:spacing w:line="240" w:lineRule="auto"/>
        <w:textAlignment w:val="auto"/>
        <w:rPr>
          <w:sz w:val="20"/>
          <w:szCs w:val="20"/>
          <w:lang w:val="es-ES"/>
        </w:rPr>
      </w:pPr>
    </w:p>
    <w:p w14:paraId="2E26004B" w14:textId="35E6532C" w:rsidR="00117BEC" w:rsidRPr="00975C02" w:rsidRDefault="00117BEC" w:rsidP="00117BEC">
      <w:pPr>
        <w:widowControl/>
        <w:numPr>
          <w:ilvl w:val="0"/>
          <w:numId w:val="2"/>
        </w:numPr>
        <w:tabs>
          <w:tab w:val="left" w:pos="567"/>
          <w:tab w:val="num" w:pos="12305"/>
        </w:tabs>
        <w:adjustRightInd/>
        <w:spacing w:line="240" w:lineRule="auto"/>
        <w:ind w:left="0" w:firstLine="0"/>
        <w:textAlignment w:val="auto"/>
        <w:rPr>
          <w:sz w:val="20"/>
          <w:szCs w:val="20"/>
          <w:lang w:val="es-ES"/>
        </w:rPr>
      </w:pPr>
      <w:r w:rsidRPr="00975C02">
        <w:rPr>
          <w:sz w:val="20"/>
          <w:szCs w:val="20"/>
          <w:lang w:val="es-ES"/>
        </w:rPr>
        <w:t xml:space="preserve">En consecuencia, este Tribunal </w:t>
      </w:r>
      <w:r w:rsidR="00B6074F" w:rsidRPr="00975C02">
        <w:rPr>
          <w:sz w:val="20"/>
          <w:szCs w:val="20"/>
          <w:lang w:val="es-ES"/>
        </w:rPr>
        <w:t xml:space="preserve">determina que los </w:t>
      </w:r>
      <w:r w:rsidRPr="00975C02">
        <w:rPr>
          <w:sz w:val="20"/>
          <w:szCs w:val="20"/>
          <w:lang w:val="es-ES"/>
        </w:rPr>
        <w:t xml:space="preserve">actos revictimizantes </w:t>
      </w:r>
      <w:r w:rsidR="00B6074F" w:rsidRPr="00975C02">
        <w:rPr>
          <w:sz w:val="20"/>
          <w:szCs w:val="20"/>
          <w:lang w:val="es-ES"/>
        </w:rPr>
        <w:t xml:space="preserve">llevados a cabo por funcionarios estatales </w:t>
      </w:r>
      <w:r w:rsidR="00214C9A" w:rsidRPr="00975C02">
        <w:rPr>
          <w:sz w:val="20"/>
          <w:szCs w:val="20"/>
          <w:lang w:val="es-ES"/>
        </w:rPr>
        <w:t xml:space="preserve">en perjuicio de V.R.P. </w:t>
      </w:r>
      <w:r w:rsidRPr="00975C02">
        <w:rPr>
          <w:sz w:val="20"/>
          <w:szCs w:val="20"/>
          <w:lang w:val="es-ES"/>
        </w:rPr>
        <w:t>constituye</w:t>
      </w:r>
      <w:r w:rsidR="00B6074F" w:rsidRPr="00975C02">
        <w:rPr>
          <w:sz w:val="20"/>
          <w:szCs w:val="20"/>
          <w:lang w:val="es-ES"/>
        </w:rPr>
        <w:t>ro</w:t>
      </w:r>
      <w:r w:rsidRPr="00975C02">
        <w:rPr>
          <w:sz w:val="20"/>
          <w:szCs w:val="20"/>
          <w:lang w:val="es-ES"/>
        </w:rPr>
        <w:t>n violencia institucional y deben calificarse, teniendo en cuenta la entidad del sufrimiento provocado, como</w:t>
      </w:r>
      <w:r w:rsidR="00B6074F" w:rsidRPr="00975C02">
        <w:rPr>
          <w:sz w:val="20"/>
          <w:szCs w:val="20"/>
          <w:lang w:val="es-ES"/>
        </w:rPr>
        <w:t xml:space="preserve"> un</w:t>
      </w:r>
      <w:r w:rsidRPr="00975C02">
        <w:rPr>
          <w:sz w:val="20"/>
          <w:szCs w:val="20"/>
          <w:lang w:val="es-ES"/>
        </w:rPr>
        <w:t xml:space="preserve"> trato</w:t>
      </w:r>
      <w:r w:rsidR="0075685F" w:rsidRPr="00975C02">
        <w:rPr>
          <w:sz w:val="20"/>
          <w:szCs w:val="20"/>
          <w:lang w:val="es-ES"/>
        </w:rPr>
        <w:t xml:space="preserve"> cruel</w:t>
      </w:r>
      <w:r w:rsidR="00C464BF">
        <w:rPr>
          <w:sz w:val="20"/>
          <w:szCs w:val="20"/>
          <w:lang w:val="es-ES"/>
        </w:rPr>
        <w:t>,</w:t>
      </w:r>
      <w:r w:rsidR="0075685F" w:rsidRPr="00975C02">
        <w:rPr>
          <w:sz w:val="20"/>
          <w:szCs w:val="20"/>
          <w:lang w:val="es-ES"/>
        </w:rPr>
        <w:t xml:space="preserve"> </w:t>
      </w:r>
      <w:r w:rsidRPr="00975C02">
        <w:rPr>
          <w:sz w:val="20"/>
          <w:szCs w:val="20"/>
          <w:lang w:val="es-ES"/>
        </w:rPr>
        <w:lastRenderedPageBreak/>
        <w:t>inhumano</w:t>
      </w:r>
      <w:r w:rsidR="00C464BF">
        <w:rPr>
          <w:sz w:val="20"/>
          <w:szCs w:val="20"/>
          <w:lang w:val="es-ES"/>
        </w:rPr>
        <w:t xml:space="preserve"> y de</w:t>
      </w:r>
      <w:r w:rsidR="000166E0">
        <w:rPr>
          <w:sz w:val="20"/>
          <w:szCs w:val="20"/>
          <w:lang w:val="es-ES"/>
        </w:rPr>
        <w:t>gradante</w:t>
      </w:r>
      <w:r w:rsidRPr="00975C02">
        <w:rPr>
          <w:sz w:val="20"/>
          <w:szCs w:val="20"/>
          <w:lang w:val="es-ES"/>
        </w:rPr>
        <w:t xml:space="preserve"> en los términos del artículo 5.2 de la Convención Americana</w:t>
      </w:r>
      <w:r w:rsidR="00214C9A" w:rsidRPr="00975C02">
        <w:rPr>
          <w:sz w:val="20"/>
          <w:szCs w:val="20"/>
          <w:lang w:val="es-ES"/>
        </w:rPr>
        <w:t>,</w:t>
      </w:r>
      <w:r w:rsidR="00214C9A" w:rsidRPr="00975C02">
        <w:rPr>
          <w:rFonts w:eastAsia="Times"/>
          <w:sz w:val="20"/>
          <w:szCs w:val="20"/>
          <w:lang w:val="es-ES"/>
        </w:rPr>
        <w:t xml:space="preserve"> en relación con el artículo 1.1 de la misma</w:t>
      </w:r>
      <w:r w:rsidRPr="00975C02">
        <w:rPr>
          <w:sz w:val="20"/>
          <w:szCs w:val="20"/>
          <w:lang w:val="es-ES"/>
        </w:rPr>
        <w:t>.</w:t>
      </w:r>
    </w:p>
    <w:p w14:paraId="02E60C4D" w14:textId="77777777" w:rsidR="000F6BA6" w:rsidRPr="00975C02" w:rsidRDefault="000F6BA6" w:rsidP="00117BEC">
      <w:pPr>
        <w:widowControl/>
        <w:adjustRightInd/>
        <w:spacing w:line="240" w:lineRule="auto"/>
        <w:textAlignment w:val="auto"/>
        <w:rPr>
          <w:sz w:val="20"/>
          <w:szCs w:val="20"/>
          <w:lang w:val="es-ES" w:eastAsia="en-US"/>
        </w:rPr>
      </w:pPr>
    </w:p>
    <w:p w14:paraId="4E728B49" w14:textId="6E337709" w:rsidR="0012038C" w:rsidRPr="00975C02" w:rsidRDefault="00525DF6" w:rsidP="00681AE9">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47" w:name="_Toc514172651"/>
      <w:r w:rsidRPr="00975C02">
        <w:rPr>
          <w:rFonts w:eastAsia="MS Mincho" w:cs="Arial"/>
          <w:b/>
          <w:bCs/>
          <w:i/>
          <w:kern w:val="2"/>
          <w:sz w:val="20"/>
          <w:szCs w:val="20"/>
          <w:lang w:val="es-ES" w:eastAsia="en-US"/>
        </w:rPr>
        <w:t>Recurso efectivo</w:t>
      </w:r>
      <w:r w:rsidR="00464B78" w:rsidRPr="00975C02">
        <w:rPr>
          <w:rFonts w:eastAsia="MS Mincho" w:cs="Arial"/>
          <w:b/>
          <w:bCs/>
          <w:i/>
          <w:kern w:val="2"/>
          <w:sz w:val="20"/>
          <w:szCs w:val="20"/>
          <w:lang w:val="es-ES" w:eastAsia="en-US"/>
        </w:rPr>
        <w:t xml:space="preserve"> y derecho a </w:t>
      </w:r>
      <w:r w:rsidR="00D513F8" w:rsidRPr="00975C02">
        <w:rPr>
          <w:rFonts w:eastAsia="MS Mincho" w:cs="Arial"/>
          <w:b/>
          <w:bCs/>
          <w:i/>
          <w:kern w:val="2"/>
          <w:sz w:val="20"/>
          <w:szCs w:val="20"/>
          <w:lang w:val="es-ES" w:eastAsia="en-US"/>
        </w:rPr>
        <w:t xml:space="preserve">conocer </w:t>
      </w:r>
      <w:r w:rsidR="00464B78" w:rsidRPr="00975C02">
        <w:rPr>
          <w:rFonts w:eastAsia="MS Mincho" w:cs="Arial"/>
          <w:b/>
          <w:bCs/>
          <w:i/>
          <w:kern w:val="2"/>
          <w:sz w:val="20"/>
          <w:szCs w:val="20"/>
          <w:lang w:val="es-ES" w:eastAsia="en-US"/>
        </w:rPr>
        <w:t>la verdad</w:t>
      </w:r>
      <w:bookmarkEnd w:id="147"/>
    </w:p>
    <w:p w14:paraId="1B565AE6" w14:textId="77777777" w:rsidR="00525DF6" w:rsidRPr="00975C02" w:rsidRDefault="00525DF6" w:rsidP="00B5625C">
      <w:pPr>
        <w:widowControl/>
        <w:adjustRightInd/>
        <w:spacing w:line="240" w:lineRule="auto"/>
        <w:textAlignment w:val="auto"/>
        <w:rPr>
          <w:sz w:val="20"/>
          <w:szCs w:val="20"/>
          <w:lang w:val="es-ES" w:eastAsia="en-US"/>
        </w:rPr>
      </w:pPr>
    </w:p>
    <w:p w14:paraId="5AE9D8D5" w14:textId="77777777" w:rsidR="00525DF6" w:rsidRPr="00975C02" w:rsidRDefault="00525DF6" w:rsidP="00525DF6">
      <w:pPr>
        <w:pStyle w:val="Heading2"/>
        <w:tabs>
          <w:tab w:val="left" w:pos="1843"/>
        </w:tabs>
        <w:spacing w:before="0" w:line="240" w:lineRule="auto"/>
        <w:ind w:left="1134"/>
        <w:rPr>
          <w:rFonts w:ascii="Verdana" w:hAnsi="Verdana"/>
          <w:b w:val="0"/>
          <w:i/>
          <w:color w:val="auto"/>
          <w:sz w:val="20"/>
          <w:szCs w:val="20"/>
          <w:lang w:val="es-ES"/>
        </w:rPr>
      </w:pPr>
      <w:bookmarkStart w:id="148" w:name="_Toc514172652"/>
      <w:r w:rsidRPr="00975C02">
        <w:rPr>
          <w:rFonts w:ascii="Verdana" w:hAnsi="Verdana"/>
          <w:b w:val="0"/>
          <w:i/>
          <w:color w:val="auto"/>
          <w:sz w:val="20"/>
          <w:szCs w:val="20"/>
          <w:lang w:val="es-ES"/>
        </w:rPr>
        <w:t>E.1</w:t>
      </w:r>
      <w:r w:rsidRPr="00975C02">
        <w:rPr>
          <w:rFonts w:ascii="Verdana" w:hAnsi="Verdana"/>
          <w:b w:val="0"/>
          <w:i/>
          <w:color w:val="auto"/>
          <w:sz w:val="20"/>
          <w:szCs w:val="20"/>
          <w:lang w:val="es-ES"/>
        </w:rPr>
        <w:tab/>
        <w:t>Argumentos de las partes y de la Comisión</w:t>
      </w:r>
      <w:bookmarkEnd w:id="148"/>
    </w:p>
    <w:p w14:paraId="583054D2" w14:textId="77777777" w:rsidR="00525DF6" w:rsidRPr="00975C02" w:rsidRDefault="00525DF6" w:rsidP="00B5625C">
      <w:pPr>
        <w:widowControl/>
        <w:adjustRightInd/>
        <w:spacing w:line="240" w:lineRule="auto"/>
        <w:textAlignment w:val="auto"/>
        <w:rPr>
          <w:sz w:val="20"/>
          <w:szCs w:val="20"/>
          <w:lang w:val="es-ES" w:eastAsia="en-US"/>
        </w:rPr>
      </w:pPr>
    </w:p>
    <w:p w14:paraId="5132D647" w14:textId="3B9EF99B" w:rsidR="00464B78" w:rsidRPr="00975C02" w:rsidRDefault="0032081D" w:rsidP="000779A3">
      <w:pPr>
        <w:widowControl/>
        <w:numPr>
          <w:ilvl w:val="0"/>
          <w:numId w:val="2"/>
        </w:numPr>
        <w:tabs>
          <w:tab w:val="left" w:pos="567"/>
          <w:tab w:val="num" w:pos="12305"/>
        </w:tabs>
        <w:adjustRightInd/>
        <w:spacing w:line="240" w:lineRule="auto"/>
        <w:ind w:left="0" w:firstLine="0"/>
        <w:textAlignment w:val="auto"/>
        <w:rPr>
          <w:b/>
          <w:sz w:val="16"/>
          <w:szCs w:val="16"/>
          <w:lang w:val="es-ES"/>
        </w:rPr>
      </w:pPr>
      <w:r w:rsidRPr="00975C02">
        <w:rPr>
          <w:rFonts w:cs="Arial"/>
          <w:sz w:val="20"/>
          <w:szCs w:val="20"/>
          <w:lang w:val="es-ES"/>
        </w:rPr>
        <w:t xml:space="preserve">Las </w:t>
      </w:r>
      <w:r w:rsidRPr="00975C02">
        <w:rPr>
          <w:rFonts w:cs="Arial"/>
          <w:b/>
          <w:i/>
          <w:sz w:val="20"/>
          <w:szCs w:val="20"/>
          <w:lang w:val="es-ES"/>
        </w:rPr>
        <w:t>representantes</w:t>
      </w:r>
      <w:r w:rsidRPr="00975C02">
        <w:rPr>
          <w:rFonts w:cs="Arial"/>
          <w:sz w:val="20"/>
          <w:szCs w:val="20"/>
          <w:lang w:val="es-ES"/>
        </w:rPr>
        <w:t xml:space="preserve"> señalaron que, a nivel interno, se presentaron en diversas ocasiones, escritos que contenían solicitudes ante los distintos órganos de justicia poniendo en conocimiento las irregularidades en el proceso, se ofrecieron medios de prueba, y se solicitaron diligencias, todo ello para pretender demostrar la forma viciada e irregular del actuar de los servidores públicos. V.P.C. no encontró en el Estado de Nicaragua un recurso efectivo que le permitiera la protección real a los derechos de su hija. Las representantes destacaron</w:t>
      </w:r>
      <w:r w:rsidR="000779A3" w:rsidRPr="00975C02">
        <w:rPr>
          <w:rFonts w:cs="Arial"/>
          <w:sz w:val="20"/>
          <w:szCs w:val="20"/>
          <w:lang w:val="es-ES"/>
        </w:rPr>
        <w:t>,</w:t>
      </w:r>
      <w:r w:rsidRPr="00975C02">
        <w:rPr>
          <w:rFonts w:cs="Arial"/>
          <w:sz w:val="20"/>
          <w:szCs w:val="20"/>
          <w:lang w:val="es-ES"/>
        </w:rPr>
        <w:t xml:space="preserve"> además, la inexistencia de un recurso ordinario que le permitiera a las partes recurrir ante una instancia superior. Con base en ello, concluyeron que el Estado era responsable por la violación de los artículos 25 y 25.1 de la Convención Americana, </w:t>
      </w:r>
      <w:r w:rsidRPr="00975C02">
        <w:rPr>
          <w:sz w:val="20"/>
          <w:szCs w:val="20"/>
          <w:lang w:val="es-ES"/>
        </w:rPr>
        <w:t xml:space="preserve">en relación con el artículo 1.1 del mismo instrumento. </w:t>
      </w:r>
      <w:r w:rsidR="000779A3" w:rsidRPr="00975C02">
        <w:rPr>
          <w:sz w:val="20"/>
          <w:szCs w:val="20"/>
          <w:lang w:val="es-ES"/>
        </w:rPr>
        <w:t>Adicionalmente, l</w:t>
      </w:r>
      <w:r w:rsidR="00464B78" w:rsidRPr="00975C02">
        <w:rPr>
          <w:sz w:val="20"/>
          <w:szCs w:val="20"/>
          <w:lang w:val="es-ES"/>
        </w:rPr>
        <w:t>as representantes alegaron que el derecho a la verdad fue violentado por el Estado</w:t>
      </w:r>
      <w:r w:rsidR="009511ED" w:rsidRPr="00975C02">
        <w:rPr>
          <w:sz w:val="20"/>
          <w:szCs w:val="20"/>
          <w:lang w:val="es-ES"/>
        </w:rPr>
        <w:t>,</w:t>
      </w:r>
      <w:r w:rsidR="00464B78" w:rsidRPr="00975C02">
        <w:rPr>
          <w:sz w:val="20"/>
          <w:szCs w:val="20"/>
          <w:lang w:val="es-ES"/>
        </w:rPr>
        <w:t xml:space="preserve"> ya que </w:t>
      </w:r>
      <w:r w:rsidR="00464B78" w:rsidRPr="00975C02">
        <w:rPr>
          <w:rFonts w:cs="Arial"/>
          <w:sz w:val="20"/>
          <w:szCs w:val="20"/>
          <w:lang w:val="es-ES"/>
        </w:rPr>
        <w:t>no realizó una</w:t>
      </w:r>
      <w:r w:rsidR="00464B78" w:rsidRPr="00975C02">
        <w:rPr>
          <w:sz w:val="20"/>
          <w:szCs w:val="20"/>
          <w:lang w:val="es-ES"/>
        </w:rPr>
        <w:t xml:space="preserve"> </w:t>
      </w:r>
      <w:r w:rsidR="00464B78" w:rsidRPr="00975C02">
        <w:rPr>
          <w:rFonts w:cs="Arial"/>
          <w:sz w:val="20"/>
          <w:szCs w:val="20"/>
          <w:lang w:val="es-ES"/>
        </w:rPr>
        <w:t>investigación completa y efectiva para esclarecer los hechos; no se llevaron a cabo las investigaciones necesarias a fin de conocer la verdad en relación a las razones que llevaron al jurado a decidir como lo hicieron, a pesar de existir todas las pruebas de la responsabilidad del procesado</w:t>
      </w:r>
      <w:r w:rsidR="001D593F" w:rsidRPr="00975C02">
        <w:rPr>
          <w:rFonts w:cs="Arial"/>
          <w:sz w:val="20"/>
          <w:szCs w:val="20"/>
          <w:lang w:val="es-ES"/>
        </w:rPr>
        <w:t>. Destacaron que</w:t>
      </w:r>
      <w:r w:rsidR="00464B78" w:rsidRPr="00975C02">
        <w:rPr>
          <w:rFonts w:cs="Arial"/>
          <w:sz w:val="20"/>
          <w:szCs w:val="20"/>
          <w:lang w:val="es-ES"/>
        </w:rPr>
        <w:t xml:space="preserve"> tampoco se investigó ni se tomaron medidas </w:t>
      </w:r>
      <w:r w:rsidR="001D593F" w:rsidRPr="00975C02">
        <w:rPr>
          <w:rFonts w:cs="Arial"/>
          <w:sz w:val="20"/>
          <w:szCs w:val="20"/>
          <w:lang w:val="es-ES"/>
        </w:rPr>
        <w:t xml:space="preserve">con </w:t>
      </w:r>
      <w:r w:rsidR="00464B78" w:rsidRPr="00975C02">
        <w:rPr>
          <w:rFonts w:cs="Arial"/>
          <w:sz w:val="20"/>
          <w:szCs w:val="20"/>
          <w:lang w:val="es-ES"/>
        </w:rPr>
        <w:t>relación a las denuncias interpuestas por V.P.C. sobre irregularidades por parte de algunos actores del proceso, ni se procesó a los funcionarios públicos por los delitos cometidos por ellos en ejercicio de sus funciones.</w:t>
      </w:r>
    </w:p>
    <w:p w14:paraId="26534167" w14:textId="77777777" w:rsidR="00464B78" w:rsidRPr="00975C02" w:rsidRDefault="00464B78" w:rsidP="0032081D">
      <w:pPr>
        <w:autoSpaceDE w:val="0"/>
        <w:autoSpaceDN w:val="0"/>
        <w:spacing w:line="240" w:lineRule="auto"/>
        <w:rPr>
          <w:b/>
          <w:sz w:val="20"/>
          <w:szCs w:val="20"/>
          <w:lang w:val="es-ES"/>
        </w:rPr>
      </w:pPr>
    </w:p>
    <w:p w14:paraId="6300DD90" w14:textId="592C0ADE" w:rsidR="00464B78" w:rsidRPr="008B6E5F" w:rsidRDefault="0032081D" w:rsidP="00464B78">
      <w:pPr>
        <w:widowControl/>
        <w:numPr>
          <w:ilvl w:val="0"/>
          <w:numId w:val="2"/>
        </w:numPr>
        <w:tabs>
          <w:tab w:val="left" w:pos="567"/>
          <w:tab w:val="num" w:pos="12305"/>
        </w:tabs>
        <w:adjustRightInd/>
        <w:spacing w:line="240" w:lineRule="auto"/>
        <w:ind w:left="0" w:firstLine="0"/>
        <w:textAlignment w:val="auto"/>
        <w:rPr>
          <w:rFonts w:cs="Arial"/>
          <w:sz w:val="20"/>
          <w:szCs w:val="20"/>
          <w:lang w:val="es-ES"/>
        </w:rPr>
      </w:pPr>
      <w:r w:rsidRPr="00975C02">
        <w:rPr>
          <w:sz w:val="20"/>
          <w:szCs w:val="20"/>
          <w:lang w:val="es-ES"/>
        </w:rPr>
        <w:t xml:space="preserve">El </w:t>
      </w:r>
      <w:r w:rsidRPr="00975C02">
        <w:rPr>
          <w:b/>
          <w:i/>
          <w:sz w:val="20"/>
          <w:szCs w:val="20"/>
          <w:lang w:val="es-ES"/>
        </w:rPr>
        <w:t>Estado</w:t>
      </w:r>
      <w:r w:rsidRPr="00975C02">
        <w:rPr>
          <w:sz w:val="20"/>
          <w:szCs w:val="20"/>
          <w:lang w:val="es-ES"/>
        </w:rPr>
        <w:t xml:space="preserve"> advirtió que en el desarrollo de la vista pública a nivel interno, no se presentó ningún incidente en relación </w:t>
      </w:r>
      <w:r w:rsidR="001D593F" w:rsidRPr="00975C02">
        <w:rPr>
          <w:sz w:val="20"/>
          <w:szCs w:val="20"/>
          <w:lang w:val="es-ES"/>
        </w:rPr>
        <w:t xml:space="preserve">con </w:t>
      </w:r>
      <w:r w:rsidRPr="00975C02">
        <w:rPr>
          <w:sz w:val="20"/>
          <w:szCs w:val="20"/>
          <w:lang w:val="es-ES"/>
        </w:rPr>
        <w:t xml:space="preserve">las supuestas irregularidades y que las incidencias fueron planteadas luego de que V.P.C. tuvo conocimiento del resultado del veredicto del jurado de inocencia. </w:t>
      </w:r>
      <w:r w:rsidR="00464B78" w:rsidRPr="00975C02">
        <w:rPr>
          <w:rFonts w:cs="Arial"/>
          <w:sz w:val="20"/>
          <w:szCs w:val="20"/>
          <w:lang w:val="es-ES"/>
        </w:rPr>
        <w:t xml:space="preserve">El Estado señaló que lo indicado por las representantes en el sentido de que “no se realizaron las investigaciones necesarias a fin de conocer la verdad” no tomó en consideración las pruebas recabadas que sirvieron de sustento para la sentencia interlocutoria de segura y formal prisión del señor H.R.A., ya </w:t>
      </w:r>
      <w:r w:rsidR="00464B78" w:rsidRPr="008B6E5F">
        <w:rPr>
          <w:rFonts w:cs="Arial"/>
          <w:sz w:val="20"/>
          <w:szCs w:val="20"/>
          <w:lang w:val="es-ES"/>
        </w:rPr>
        <w:t>que sin estas no se habría podido dictar dicha medida.</w:t>
      </w:r>
    </w:p>
    <w:p w14:paraId="3340D2A7" w14:textId="77777777" w:rsidR="0032081D" w:rsidRPr="008B6E5F" w:rsidRDefault="0032081D" w:rsidP="0032081D">
      <w:pPr>
        <w:autoSpaceDE w:val="0"/>
        <w:autoSpaceDN w:val="0"/>
        <w:spacing w:line="240" w:lineRule="auto"/>
        <w:rPr>
          <w:b/>
          <w:sz w:val="16"/>
          <w:szCs w:val="16"/>
          <w:lang w:val="es-ES"/>
        </w:rPr>
      </w:pPr>
    </w:p>
    <w:p w14:paraId="58DE1560" w14:textId="77777777" w:rsidR="0032081D" w:rsidRPr="008B6E5F" w:rsidRDefault="0032081D" w:rsidP="00525DF6">
      <w:pPr>
        <w:widowControl/>
        <w:numPr>
          <w:ilvl w:val="0"/>
          <w:numId w:val="2"/>
        </w:numPr>
        <w:tabs>
          <w:tab w:val="left" w:pos="567"/>
          <w:tab w:val="num" w:pos="12305"/>
        </w:tabs>
        <w:adjustRightInd/>
        <w:spacing w:line="240" w:lineRule="auto"/>
        <w:ind w:left="0" w:firstLine="0"/>
        <w:textAlignment w:val="auto"/>
        <w:rPr>
          <w:rFonts w:cs="Arial"/>
          <w:sz w:val="20"/>
          <w:szCs w:val="20"/>
          <w:lang w:val="es-ES"/>
        </w:rPr>
      </w:pPr>
      <w:r w:rsidRPr="008B6E5F">
        <w:rPr>
          <w:rFonts w:cs="Arial"/>
          <w:sz w:val="20"/>
          <w:szCs w:val="20"/>
          <w:lang w:val="es-ES"/>
        </w:rPr>
        <w:t xml:space="preserve">La </w:t>
      </w:r>
      <w:r w:rsidRPr="008B6E5F">
        <w:rPr>
          <w:rFonts w:cs="Arial"/>
          <w:b/>
          <w:i/>
          <w:sz w:val="20"/>
          <w:szCs w:val="20"/>
          <w:lang w:val="es-ES"/>
        </w:rPr>
        <w:t>Comisión</w:t>
      </w:r>
      <w:r w:rsidR="00871008" w:rsidRPr="008B6E5F">
        <w:rPr>
          <w:rFonts w:cs="Arial"/>
          <w:sz w:val="20"/>
          <w:szCs w:val="20"/>
          <w:lang w:val="es-ES"/>
        </w:rPr>
        <w:t xml:space="preserve"> no se pronunció sobre estos</w:t>
      </w:r>
      <w:r w:rsidRPr="008B6E5F">
        <w:rPr>
          <w:rFonts w:cs="Arial"/>
          <w:sz w:val="20"/>
          <w:szCs w:val="20"/>
          <w:lang w:val="es-ES"/>
        </w:rPr>
        <w:t xml:space="preserve"> punto</w:t>
      </w:r>
      <w:r w:rsidR="00871008" w:rsidRPr="008B6E5F">
        <w:rPr>
          <w:rFonts w:cs="Arial"/>
          <w:sz w:val="20"/>
          <w:szCs w:val="20"/>
          <w:lang w:val="es-ES"/>
        </w:rPr>
        <w:t>s</w:t>
      </w:r>
      <w:r w:rsidRPr="008B6E5F">
        <w:rPr>
          <w:rFonts w:cs="Arial"/>
          <w:sz w:val="20"/>
          <w:szCs w:val="20"/>
          <w:lang w:val="es-ES"/>
        </w:rPr>
        <w:t>.</w:t>
      </w:r>
    </w:p>
    <w:p w14:paraId="5AE6F35E" w14:textId="77777777" w:rsidR="0032081D" w:rsidRPr="008B6E5F" w:rsidRDefault="0032081D" w:rsidP="00B5625C">
      <w:pPr>
        <w:widowControl/>
        <w:adjustRightInd/>
        <w:spacing w:line="240" w:lineRule="auto"/>
        <w:textAlignment w:val="auto"/>
        <w:rPr>
          <w:sz w:val="20"/>
          <w:szCs w:val="20"/>
          <w:lang w:val="es-ES" w:eastAsia="en-US"/>
        </w:rPr>
      </w:pPr>
    </w:p>
    <w:p w14:paraId="691341C6" w14:textId="77777777" w:rsidR="00525DF6" w:rsidRPr="008B6E5F" w:rsidRDefault="00525DF6" w:rsidP="00525DF6">
      <w:pPr>
        <w:keepNext/>
        <w:keepLines/>
        <w:tabs>
          <w:tab w:val="left" w:pos="1701"/>
        </w:tabs>
        <w:spacing w:line="240" w:lineRule="auto"/>
        <w:ind w:left="1134"/>
        <w:outlineLvl w:val="1"/>
        <w:rPr>
          <w:bCs/>
          <w:i/>
          <w:sz w:val="20"/>
          <w:szCs w:val="20"/>
          <w:lang w:val="es-ES"/>
        </w:rPr>
      </w:pPr>
      <w:bookmarkStart w:id="149" w:name="_Toc514172653"/>
      <w:r w:rsidRPr="008B6E5F">
        <w:rPr>
          <w:bCs/>
          <w:i/>
          <w:sz w:val="20"/>
          <w:szCs w:val="20"/>
          <w:lang w:val="es-ES"/>
        </w:rPr>
        <w:t xml:space="preserve">E.2 </w:t>
      </w:r>
      <w:r w:rsidR="00D513F8" w:rsidRPr="008B6E5F">
        <w:rPr>
          <w:bCs/>
          <w:i/>
          <w:sz w:val="20"/>
          <w:szCs w:val="20"/>
          <w:lang w:val="es-ES"/>
        </w:rPr>
        <w:tab/>
      </w:r>
      <w:r w:rsidRPr="008B6E5F">
        <w:rPr>
          <w:bCs/>
          <w:i/>
          <w:sz w:val="20"/>
          <w:szCs w:val="20"/>
          <w:lang w:val="es-ES"/>
        </w:rPr>
        <w:t>Consideraciones de la Corte</w:t>
      </w:r>
      <w:bookmarkEnd w:id="149"/>
    </w:p>
    <w:p w14:paraId="22CF46F6" w14:textId="77777777" w:rsidR="00525DF6" w:rsidRPr="008B6E5F" w:rsidRDefault="00525DF6" w:rsidP="00B5625C">
      <w:pPr>
        <w:widowControl/>
        <w:adjustRightInd/>
        <w:spacing w:line="240" w:lineRule="auto"/>
        <w:textAlignment w:val="auto"/>
        <w:rPr>
          <w:sz w:val="20"/>
          <w:szCs w:val="20"/>
          <w:lang w:val="es-ES" w:eastAsia="en-US"/>
        </w:rPr>
      </w:pPr>
    </w:p>
    <w:p w14:paraId="04E212C7" w14:textId="7BE21EBE" w:rsidR="00525DF6" w:rsidRPr="008B6E5F" w:rsidRDefault="00871008" w:rsidP="00871008">
      <w:pPr>
        <w:widowControl/>
        <w:numPr>
          <w:ilvl w:val="0"/>
          <w:numId w:val="2"/>
        </w:numPr>
        <w:tabs>
          <w:tab w:val="left" w:pos="567"/>
          <w:tab w:val="num" w:pos="12305"/>
        </w:tabs>
        <w:adjustRightInd/>
        <w:spacing w:line="240" w:lineRule="auto"/>
        <w:ind w:left="0" w:firstLine="0"/>
        <w:textAlignment w:val="auto"/>
        <w:rPr>
          <w:sz w:val="20"/>
          <w:lang w:val="es-ES"/>
        </w:rPr>
      </w:pPr>
      <w:r w:rsidRPr="008B6E5F">
        <w:rPr>
          <w:sz w:val="20"/>
          <w:lang w:val="es-ES"/>
        </w:rPr>
        <w:t xml:space="preserve">La Corte considera que el análisis relevante sobre los aspectos adicionales esgrimidos por las representantes, ya </w:t>
      </w:r>
      <w:r w:rsidR="009511ED" w:rsidRPr="008B6E5F">
        <w:rPr>
          <w:sz w:val="20"/>
          <w:lang w:val="es-ES"/>
        </w:rPr>
        <w:t>fueron debidamente considerados</w:t>
      </w:r>
      <w:r w:rsidRPr="008B6E5F">
        <w:rPr>
          <w:sz w:val="20"/>
          <w:lang w:val="es-ES"/>
        </w:rPr>
        <w:t xml:space="preserve"> en los apartados anteriores, por lo que no estima pertinente </w:t>
      </w:r>
      <w:r w:rsidR="00F431D8" w:rsidRPr="008B6E5F">
        <w:rPr>
          <w:sz w:val="20"/>
          <w:lang w:val="es-ES"/>
        </w:rPr>
        <w:t>emitir un pronunciamiento autónomo</w:t>
      </w:r>
      <w:r w:rsidR="00150638" w:rsidRPr="008B6E5F">
        <w:rPr>
          <w:sz w:val="20"/>
          <w:lang w:val="es-ES"/>
        </w:rPr>
        <w:t xml:space="preserve"> sobre su alegada violación</w:t>
      </w:r>
      <w:r w:rsidRPr="008B6E5F">
        <w:rPr>
          <w:sz w:val="20"/>
          <w:lang w:val="es-ES"/>
        </w:rPr>
        <w:t>.</w:t>
      </w:r>
    </w:p>
    <w:p w14:paraId="6FF713BD" w14:textId="77777777" w:rsidR="00871008" w:rsidRPr="008B6E5F" w:rsidRDefault="00871008" w:rsidP="00B5625C">
      <w:pPr>
        <w:widowControl/>
        <w:adjustRightInd/>
        <w:spacing w:line="240" w:lineRule="auto"/>
        <w:textAlignment w:val="auto"/>
        <w:rPr>
          <w:sz w:val="20"/>
          <w:szCs w:val="20"/>
          <w:lang w:val="es-ES" w:eastAsia="en-US"/>
        </w:rPr>
      </w:pPr>
    </w:p>
    <w:p w14:paraId="74BD2362" w14:textId="50027051" w:rsidR="00BB428E" w:rsidRPr="008B6E5F" w:rsidRDefault="00BB428E" w:rsidP="00681AE9">
      <w:pPr>
        <w:pStyle w:val="ListParagraph"/>
        <w:keepNext/>
        <w:keepLines/>
        <w:widowControl/>
        <w:numPr>
          <w:ilvl w:val="0"/>
          <w:numId w:val="16"/>
        </w:numPr>
        <w:tabs>
          <w:tab w:val="left" w:pos="1134"/>
        </w:tabs>
        <w:autoSpaceDE w:val="0"/>
        <w:autoSpaceDN w:val="0"/>
        <w:adjustRightInd/>
        <w:spacing w:line="240" w:lineRule="auto"/>
        <w:ind w:left="1134" w:hanging="567"/>
        <w:textAlignment w:val="auto"/>
        <w:outlineLvl w:val="1"/>
        <w:rPr>
          <w:rFonts w:eastAsia="MS Mincho" w:cs="Arial"/>
          <w:b/>
          <w:bCs/>
          <w:i/>
          <w:kern w:val="2"/>
          <w:sz w:val="20"/>
          <w:szCs w:val="20"/>
          <w:lang w:val="es-ES" w:eastAsia="en-US"/>
        </w:rPr>
      </w:pPr>
      <w:bookmarkStart w:id="150" w:name="_Toc514172654"/>
      <w:r w:rsidRPr="008B6E5F">
        <w:rPr>
          <w:rFonts w:eastAsia="MS Mincho" w:cs="Arial"/>
          <w:b/>
          <w:bCs/>
          <w:i/>
          <w:kern w:val="2"/>
          <w:sz w:val="20"/>
          <w:szCs w:val="20"/>
          <w:lang w:val="es-ES" w:eastAsia="en-US"/>
        </w:rPr>
        <w:t>Conclusión</w:t>
      </w:r>
      <w:bookmarkEnd w:id="150"/>
    </w:p>
    <w:p w14:paraId="17034BD5" w14:textId="77777777" w:rsidR="00BB428E" w:rsidRPr="008B6E5F" w:rsidRDefault="00BB428E" w:rsidP="00B5625C">
      <w:pPr>
        <w:widowControl/>
        <w:adjustRightInd/>
        <w:spacing w:line="240" w:lineRule="auto"/>
        <w:textAlignment w:val="auto"/>
        <w:rPr>
          <w:sz w:val="20"/>
          <w:szCs w:val="20"/>
          <w:lang w:val="es-ES" w:eastAsia="en-US"/>
        </w:rPr>
      </w:pPr>
    </w:p>
    <w:p w14:paraId="7480ED23" w14:textId="7FAC1539" w:rsidR="00BB428E" w:rsidRPr="00975C02" w:rsidRDefault="00BB428E" w:rsidP="00BB428E">
      <w:pPr>
        <w:widowControl/>
        <w:numPr>
          <w:ilvl w:val="0"/>
          <w:numId w:val="2"/>
        </w:numPr>
        <w:tabs>
          <w:tab w:val="left" w:pos="567"/>
          <w:tab w:val="num" w:pos="12305"/>
        </w:tabs>
        <w:adjustRightInd/>
        <w:spacing w:line="240" w:lineRule="auto"/>
        <w:ind w:left="0" w:firstLine="0"/>
        <w:textAlignment w:val="auto"/>
        <w:rPr>
          <w:kern w:val="2"/>
          <w:sz w:val="20"/>
          <w:szCs w:val="20"/>
          <w:lang w:val="es-ES" w:eastAsia="en-US"/>
        </w:rPr>
      </w:pPr>
      <w:r w:rsidRPr="008B6E5F">
        <w:rPr>
          <w:kern w:val="2"/>
          <w:sz w:val="20"/>
          <w:szCs w:val="20"/>
          <w:lang w:val="es-ES" w:eastAsia="en-US"/>
        </w:rPr>
        <w:t xml:space="preserve">Con base en todo lo señalado, la Corte concluye que el Estado de Nicaragua no actuó con debida diligencia </w:t>
      </w:r>
      <w:r w:rsidR="00935EC2" w:rsidRPr="008B6E5F">
        <w:rPr>
          <w:kern w:val="2"/>
          <w:sz w:val="20"/>
          <w:szCs w:val="20"/>
          <w:lang w:val="es-ES" w:eastAsia="en-US"/>
        </w:rPr>
        <w:t xml:space="preserve">reforzada </w:t>
      </w:r>
      <w:r w:rsidR="001D6D2A" w:rsidRPr="008B6E5F">
        <w:rPr>
          <w:kern w:val="2"/>
          <w:sz w:val="20"/>
          <w:szCs w:val="20"/>
          <w:lang w:val="es-ES" w:eastAsia="en-US"/>
        </w:rPr>
        <w:t xml:space="preserve">y protección especial requerida </w:t>
      </w:r>
      <w:r w:rsidRPr="008B6E5F">
        <w:rPr>
          <w:kern w:val="2"/>
          <w:sz w:val="20"/>
          <w:szCs w:val="20"/>
          <w:lang w:val="es-ES" w:eastAsia="en-US"/>
        </w:rPr>
        <w:t xml:space="preserve">en las investigaciones y proceso penal por la violación sexual de la niña V.R.P., lo cual conllevó a la comisión de actos violatorios de sus derechos a la integridad personal, </w:t>
      </w:r>
      <w:r w:rsidR="00D61200" w:rsidRPr="008B6E5F">
        <w:rPr>
          <w:kern w:val="2"/>
          <w:sz w:val="20"/>
          <w:szCs w:val="20"/>
          <w:lang w:val="es-ES" w:eastAsia="en-US"/>
        </w:rPr>
        <w:t>a las gara</w:t>
      </w:r>
      <w:r w:rsidR="00D61200" w:rsidRPr="00975C02">
        <w:rPr>
          <w:kern w:val="2"/>
          <w:sz w:val="20"/>
          <w:szCs w:val="20"/>
          <w:lang w:val="es-ES" w:eastAsia="en-US"/>
        </w:rPr>
        <w:t>ntías judiciales, a la vida privada y familiar ,y a la protección judicial</w:t>
      </w:r>
      <w:r w:rsidRPr="00975C02">
        <w:rPr>
          <w:kern w:val="2"/>
          <w:sz w:val="20"/>
          <w:szCs w:val="20"/>
          <w:lang w:val="es-ES" w:eastAsia="en-US"/>
        </w:rPr>
        <w:t>, reco</w:t>
      </w:r>
      <w:r w:rsidR="00D61200" w:rsidRPr="00975C02">
        <w:rPr>
          <w:kern w:val="2"/>
          <w:sz w:val="20"/>
          <w:szCs w:val="20"/>
          <w:lang w:val="es-ES" w:eastAsia="en-US"/>
        </w:rPr>
        <w:t>noc</w:t>
      </w:r>
      <w:r w:rsidRPr="00975C02">
        <w:rPr>
          <w:kern w:val="2"/>
          <w:sz w:val="20"/>
          <w:szCs w:val="20"/>
          <w:lang w:val="es-ES" w:eastAsia="en-US"/>
        </w:rPr>
        <w:t>idos en los artículos 5.1,</w:t>
      </w:r>
      <w:r w:rsidR="00464B78" w:rsidRPr="00975C02">
        <w:rPr>
          <w:kern w:val="2"/>
          <w:sz w:val="20"/>
          <w:szCs w:val="20"/>
          <w:lang w:val="es-ES" w:eastAsia="en-US"/>
        </w:rPr>
        <w:t xml:space="preserve"> 5.2,</w:t>
      </w:r>
      <w:r w:rsidR="00D61200" w:rsidRPr="00975C02">
        <w:rPr>
          <w:kern w:val="2"/>
          <w:sz w:val="20"/>
          <w:szCs w:val="20"/>
          <w:lang w:val="es-ES" w:eastAsia="en-US"/>
        </w:rPr>
        <w:t xml:space="preserve"> 8.1,</w:t>
      </w:r>
      <w:r w:rsidRPr="00975C02">
        <w:rPr>
          <w:kern w:val="2"/>
          <w:sz w:val="20"/>
          <w:szCs w:val="20"/>
          <w:lang w:val="es-ES" w:eastAsia="en-US"/>
        </w:rPr>
        <w:t xml:space="preserve"> 11.2 y </w:t>
      </w:r>
      <w:r w:rsidR="00D61200" w:rsidRPr="00975C02">
        <w:rPr>
          <w:kern w:val="2"/>
          <w:sz w:val="20"/>
          <w:szCs w:val="20"/>
          <w:lang w:val="es-ES" w:eastAsia="en-US"/>
        </w:rPr>
        <w:t>25.1</w:t>
      </w:r>
      <w:r w:rsidRPr="00975C02">
        <w:rPr>
          <w:kern w:val="2"/>
          <w:sz w:val="20"/>
          <w:szCs w:val="20"/>
          <w:lang w:val="es-ES" w:eastAsia="en-US"/>
        </w:rPr>
        <w:t xml:space="preserve"> de la Convención Americana, en relación con los artículos 1.1 </w:t>
      </w:r>
      <w:r w:rsidR="00D61200" w:rsidRPr="00975C02">
        <w:rPr>
          <w:kern w:val="2"/>
          <w:sz w:val="20"/>
          <w:szCs w:val="20"/>
          <w:lang w:val="es-ES" w:eastAsia="en-US"/>
        </w:rPr>
        <w:t xml:space="preserve">y 19 </w:t>
      </w:r>
      <w:r w:rsidRPr="00975C02">
        <w:rPr>
          <w:kern w:val="2"/>
          <w:sz w:val="20"/>
          <w:szCs w:val="20"/>
          <w:lang w:val="es-ES" w:eastAsia="en-US"/>
        </w:rPr>
        <w:t>del mismo instrumento</w:t>
      </w:r>
      <w:r w:rsidR="00100F58" w:rsidRPr="00975C02">
        <w:rPr>
          <w:kern w:val="2"/>
          <w:sz w:val="20"/>
          <w:szCs w:val="20"/>
          <w:lang w:val="es-ES" w:eastAsia="en-US"/>
        </w:rPr>
        <w:t xml:space="preserve"> y las obligaciones contenidas en el 7.b) de la Convención de Belém do Pará</w:t>
      </w:r>
      <w:r w:rsidR="00464B78" w:rsidRPr="00975C02">
        <w:rPr>
          <w:kern w:val="2"/>
          <w:sz w:val="20"/>
          <w:szCs w:val="20"/>
          <w:lang w:val="es-ES" w:eastAsia="en-US"/>
        </w:rPr>
        <w:t>, en perjuicio de V.R.P. y V.P.C.</w:t>
      </w:r>
    </w:p>
    <w:p w14:paraId="111651DA" w14:textId="77777777" w:rsidR="00BB428E" w:rsidRPr="00975C02" w:rsidRDefault="00BB428E" w:rsidP="00B5625C">
      <w:pPr>
        <w:widowControl/>
        <w:adjustRightInd/>
        <w:spacing w:line="240" w:lineRule="auto"/>
        <w:textAlignment w:val="auto"/>
        <w:rPr>
          <w:sz w:val="20"/>
          <w:szCs w:val="20"/>
          <w:lang w:val="es-ES" w:eastAsia="en-US"/>
        </w:rPr>
      </w:pPr>
    </w:p>
    <w:p w14:paraId="204ECEAC" w14:textId="77777777" w:rsidR="00B5625C" w:rsidRPr="00975C02" w:rsidRDefault="00B5625C" w:rsidP="009A3E37">
      <w:pPr>
        <w:keepNext/>
        <w:keepLines/>
        <w:widowControl/>
        <w:tabs>
          <w:tab w:val="left" w:pos="851"/>
        </w:tabs>
        <w:autoSpaceDE w:val="0"/>
        <w:autoSpaceDN w:val="0"/>
        <w:adjustRightInd/>
        <w:spacing w:line="240" w:lineRule="auto"/>
        <w:jc w:val="center"/>
        <w:textAlignment w:val="auto"/>
        <w:outlineLvl w:val="0"/>
        <w:rPr>
          <w:rFonts w:cs="Arial"/>
          <w:b/>
          <w:bCs/>
          <w:caps/>
          <w:kern w:val="2"/>
          <w:sz w:val="20"/>
          <w:szCs w:val="20"/>
          <w:lang w:val="es-ES" w:eastAsia="en-US"/>
        </w:rPr>
      </w:pPr>
      <w:bookmarkStart w:id="151" w:name="_Toc514172655"/>
      <w:r w:rsidRPr="00975C02">
        <w:rPr>
          <w:rFonts w:cs="Arial"/>
          <w:b/>
          <w:bCs/>
          <w:caps/>
          <w:kern w:val="2"/>
          <w:sz w:val="20"/>
          <w:szCs w:val="20"/>
          <w:lang w:val="es-ES" w:eastAsia="en-US"/>
        </w:rPr>
        <w:lastRenderedPageBreak/>
        <w:t>VIII-</w:t>
      </w:r>
      <w:r w:rsidR="0049359E" w:rsidRPr="00975C02">
        <w:rPr>
          <w:rFonts w:cs="Arial"/>
          <w:b/>
          <w:bCs/>
          <w:caps/>
          <w:kern w:val="2"/>
          <w:sz w:val="20"/>
          <w:szCs w:val="20"/>
          <w:lang w:val="es-ES" w:eastAsia="en-US"/>
        </w:rPr>
        <w:t>2</w:t>
      </w:r>
      <w:r w:rsidRPr="00975C02">
        <w:rPr>
          <w:rFonts w:cs="Arial"/>
          <w:b/>
          <w:bCs/>
          <w:caps/>
          <w:kern w:val="2"/>
          <w:sz w:val="20"/>
          <w:szCs w:val="20"/>
          <w:lang w:val="es-ES" w:eastAsia="en-US"/>
        </w:rPr>
        <w:br/>
      </w:r>
      <w:bookmarkStart w:id="152" w:name="_Toc493511343"/>
      <w:r w:rsidR="009A3E37" w:rsidRPr="00975C02">
        <w:rPr>
          <w:rFonts w:cs="Arial"/>
          <w:b/>
          <w:bCs/>
          <w:caps/>
          <w:kern w:val="2"/>
          <w:sz w:val="20"/>
          <w:szCs w:val="20"/>
          <w:lang w:val="es-ES" w:eastAsia="en-US"/>
        </w:rPr>
        <w:t>DERECHOS DE RESIDENCIA</w:t>
      </w:r>
      <w:r w:rsidR="009A3E37" w:rsidRPr="00975C02">
        <w:rPr>
          <w:rStyle w:val="FootnoteReference"/>
          <w:rFonts w:cs="Arial"/>
          <w:b/>
          <w:bCs/>
          <w:caps/>
          <w:kern w:val="2"/>
          <w:sz w:val="20"/>
          <w:szCs w:val="20"/>
          <w:lang w:val="es-ES" w:eastAsia="en-US"/>
        </w:rPr>
        <w:footnoteReference w:id="383"/>
      </w:r>
      <w:r w:rsidR="009A3E37" w:rsidRPr="00975C02">
        <w:rPr>
          <w:rFonts w:cs="Arial"/>
          <w:b/>
          <w:bCs/>
          <w:caps/>
          <w:kern w:val="2"/>
          <w:sz w:val="20"/>
          <w:szCs w:val="20"/>
          <w:lang w:val="es-ES" w:eastAsia="en-US"/>
        </w:rPr>
        <w:t>, A LA PROTECCIÓN A LA FAMILIA</w:t>
      </w:r>
      <w:r w:rsidR="009A3E37" w:rsidRPr="00975C02">
        <w:rPr>
          <w:rStyle w:val="FootnoteReference"/>
          <w:rFonts w:cs="Arial"/>
          <w:b/>
          <w:bCs/>
          <w:caps/>
          <w:kern w:val="2"/>
          <w:sz w:val="20"/>
          <w:szCs w:val="20"/>
          <w:lang w:val="es-ES" w:eastAsia="en-US"/>
        </w:rPr>
        <w:footnoteReference w:id="384"/>
      </w:r>
      <w:r w:rsidR="009A3E37" w:rsidRPr="00975C02">
        <w:rPr>
          <w:rFonts w:cs="Arial"/>
          <w:b/>
          <w:bCs/>
          <w:caps/>
          <w:kern w:val="2"/>
          <w:sz w:val="20"/>
          <w:szCs w:val="20"/>
          <w:lang w:val="es-ES" w:eastAsia="en-US"/>
        </w:rPr>
        <w:t>, Y A LAS MEDIDAS ESPECIALES DE PROTECCIÓN DE NIÑAS</w:t>
      </w:r>
      <w:r w:rsidR="009A3E37" w:rsidRPr="00975C02">
        <w:rPr>
          <w:rStyle w:val="FootnoteReference"/>
          <w:rFonts w:cs="Arial"/>
          <w:b/>
          <w:bCs/>
          <w:caps/>
          <w:kern w:val="2"/>
          <w:sz w:val="20"/>
          <w:szCs w:val="20"/>
          <w:lang w:val="es-ES" w:eastAsia="en-US"/>
        </w:rPr>
        <w:footnoteReference w:id="385"/>
      </w:r>
      <w:r w:rsidR="009A3E37" w:rsidRPr="00975C02">
        <w:rPr>
          <w:rFonts w:cs="Arial"/>
          <w:b/>
          <w:bCs/>
          <w:caps/>
          <w:kern w:val="2"/>
          <w:sz w:val="20"/>
          <w:szCs w:val="20"/>
          <w:lang w:val="es-ES" w:eastAsia="en-US"/>
        </w:rPr>
        <w:t xml:space="preserve"> EN RELACIÓN CON LAS</w:t>
      </w:r>
      <w:r w:rsidR="000E7ECB" w:rsidRPr="00975C02">
        <w:rPr>
          <w:rFonts w:cs="Arial"/>
          <w:b/>
          <w:bCs/>
          <w:caps/>
          <w:kern w:val="2"/>
          <w:sz w:val="20"/>
          <w:szCs w:val="20"/>
          <w:lang w:val="es-ES" w:eastAsia="en-US"/>
        </w:rPr>
        <w:t xml:space="preserve"> OBLIGACIONES DE RESPETAR</w:t>
      </w:r>
      <w:r w:rsidR="009A3E37" w:rsidRPr="00975C02">
        <w:rPr>
          <w:rFonts w:cs="Arial"/>
          <w:b/>
          <w:bCs/>
          <w:caps/>
          <w:kern w:val="2"/>
          <w:sz w:val="20"/>
          <w:szCs w:val="20"/>
          <w:lang w:val="es-ES" w:eastAsia="en-US"/>
        </w:rPr>
        <w:t xml:space="preserve"> Y GARANT</w:t>
      </w:r>
      <w:r w:rsidR="000E7ECB" w:rsidRPr="00975C02">
        <w:rPr>
          <w:rFonts w:cs="Arial"/>
          <w:b/>
          <w:bCs/>
          <w:caps/>
          <w:kern w:val="2"/>
          <w:sz w:val="20"/>
          <w:szCs w:val="20"/>
          <w:lang w:val="es-ES" w:eastAsia="en-US"/>
        </w:rPr>
        <w:t>IZAR LOS DERECHOS</w:t>
      </w:r>
      <w:bookmarkEnd w:id="151"/>
    </w:p>
    <w:bookmarkEnd w:id="152"/>
    <w:p w14:paraId="0A5B51FD" w14:textId="77777777" w:rsidR="00B5625C" w:rsidRPr="00975C02" w:rsidRDefault="00B5625C" w:rsidP="00B5625C">
      <w:pPr>
        <w:widowControl/>
        <w:adjustRightInd/>
        <w:spacing w:line="240" w:lineRule="auto"/>
        <w:textAlignment w:val="auto"/>
        <w:rPr>
          <w:rFonts w:eastAsiaTheme="minorHAnsi" w:cs="Arial"/>
          <w:b/>
          <w:sz w:val="20"/>
          <w:szCs w:val="20"/>
          <w:lang w:val="es-ES" w:eastAsia="en-US"/>
        </w:rPr>
      </w:pPr>
    </w:p>
    <w:p w14:paraId="6C64FE8B" w14:textId="77777777" w:rsidR="00B5625C" w:rsidRPr="00975C02" w:rsidRDefault="00B5625C" w:rsidP="00B5625C">
      <w:pPr>
        <w:keepNext/>
        <w:keepLines/>
        <w:widowControl/>
        <w:tabs>
          <w:tab w:val="left" w:pos="1134"/>
        </w:tabs>
        <w:autoSpaceDE w:val="0"/>
        <w:autoSpaceDN w:val="0"/>
        <w:adjustRightInd/>
        <w:spacing w:line="240" w:lineRule="auto"/>
        <w:ind w:left="567" w:firstLine="1"/>
        <w:jc w:val="left"/>
        <w:textAlignment w:val="auto"/>
        <w:outlineLvl w:val="1"/>
        <w:rPr>
          <w:rFonts w:eastAsia="MS Mincho" w:cs="Arial"/>
          <w:b/>
          <w:bCs/>
          <w:i/>
          <w:kern w:val="2"/>
          <w:sz w:val="20"/>
          <w:szCs w:val="20"/>
          <w:lang w:val="es-ES" w:eastAsia="en-US"/>
        </w:rPr>
      </w:pPr>
      <w:bookmarkStart w:id="153" w:name="_Toc514172656"/>
      <w:r w:rsidRPr="00975C02">
        <w:rPr>
          <w:rFonts w:eastAsia="MS Mincho" w:cs="Arial"/>
          <w:b/>
          <w:bCs/>
          <w:i/>
          <w:kern w:val="2"/>
          <w:sz w:val="20"/>
          <w:szCs w:val="20"/>
          <w:lang w:val="es-ES" w:eastAsia="en-US"/>
        </w:rPr>
        <w:t>A.</w:t>
      </w:r>
      <w:r w:rsidRPr="00975C02">
        <w:rPr>
          <w:rFonts w:eastAsia="MS Mincho" w:cs="Arial"/>
          <w:b/>
          <w:bCs/>
          <w:i/>
          <w:kern w:val="2"/>
          <w:sz w:val="20"/>
          <w:szCs w:val="20"/>
          <w:lang w:val="es-ES" w:eastAsia="en-US"/>
        </w:rPr>
        <w:tab/>
        <w:t>Argumentos de las partes y de la Comisión</w:t>
      </w:r>
      <w:bookmarkEnd w:id="153"/>
    </w:p>
    <w:p w14:paraId="79861E11" w14:textId="77777777" w:rsidR="00B5625C" w:rsidRPr="00975C02" w:rsidRDefault="00B5625C" w:rsidP="00B5625C">
      <w:pPr>
        <w:widowControl/>
        <w:adjustRightInd/>
        <w:spacing w:line="240" w:lineRule="auto"/>
        <w:textAlignment w:val="auto"/>
        <w:rPr>
          <w:rFonts w:eastAsiaTheme="minorHAnsi" w:cs="Arial"/>
          <w:b/>
          <w:sz w:val="20"/>
          <w:szCs w:val="20"/>
          <w:lang w:val="es-ES" w:eastAsia="en-US"/>
        </w:rPr>
      </w:pPr>
    </w:p>
    <w:p w14:paraId="293C70E2" w14:textId="77777777" w:rsidR="00B5625C" w:rsidRPr="00975C02" w:rsidRDefault="00B5625C" w:rsidP="009A3E37">
      <w:pPr>
        <w:widowControl/>
        <w:numPr>
          <w:ilvl w:val="0"/>
          <w:numId w:val="2"/>
        </w:numPr>
        <w:tabs>
          <w:tab w:val="left" w:pos="567"/>
          <w:tab w:val="num" w:pos="12305"/>
        </w:tabs>
        <w:adjustRightInd/>
        <w:spacing w:line="240" w:lineRule="auto"/>
        <w:ind w:left="0" w:firstLine="0"/>
        <w:textAlignment w:val="auto"/>
        <w:rPr>
          <w:rFonts w:eastAsiaTheme="minorHAnsi" w:cs="Arial"/>
          <w:sz w:val="20"/>
          <w:szCs w:val="20"/>
          <w:lang w:val="es-ES" w:eastAsia="en-US"/>
        </w:rPr>
      </w:pPr>
      <w:r w:rsidRPr="00975C02">
        <w:rPr>
          <w:rFonts w:eastAsia="Batang" w:cs="Arial"/>
          <w:sz w:val="20"/>
          <w:szCs w:val="20"/>
          <w:lang w:val="es-ES" w:eastAsia="es-MX"/>
        </w:rPr>
        <w:t>La</w:t>
      </w:r>
      <w:r w:rsidRPr="00975C02">
        <w:rPr>
          <w:rFonts w:eastAsiaTheme="minorHAnsi" w:cs="Arial"/>
          <w:sz w:val="20"/>
          <w:szCs w:val="20"/>
          <w:lang w:val="es-ES" w:eastAsia="en-US"/>
        </w:rPr>
        <w:t xml:space="preserve"> </w:t>
      </w:r>
      <w:r w:rsidRPr="00975C02">
        <w:rPr>
          <w:rFonts w:eastAsiaTheme="minorHAnsi" w:cs="Arial"/>
          <w:b/>
          <w:i/>
          <w:sz w:val="20"/>
          <w:szCs w:val="20"/>
          <w:lang w:val="es-ES" w:eastAsia="en-US"/>
        </w:rPr>
        <w:t>Comisión</w:t>
      </w:r>
      <w:r w:rsidRPr="00975C02">
        <w:rPr>
          <w:rFonts w:eastAsiaTheme="minorHAnsi" w:cs="Arial"/>
          <w:sz w:val="20"/>
          <w:szCs w:val="20"/>
          <w:lang w:val="es-ES" w:eastAsia="en-US"/>
        </w:rPr>
        <w:t xml:space="preserve"> no se pronunció </w:t>
      </w:r>
      <w:r w:rsidRPr="00975C02">
        <w:rPr>
          <w:rFonts w:eastAsia="Batang" w:cs="Arial"/>
          <w:sz w:val="20"/>
          <w:szCs w:val="20"/>
          <w:lang w:val="es-ES" w:eastAsia="es-MX"/>
        </w:rPr>
        <w:t>respecto</w:t>
      </w:r>
      <w:r w:rsidRPr="00975C02">
        <w:rPr>
          <w:rFonts w:eastAsiaTheme="minorHAnsi" w:cs="Arial"/>
          <w:sz w:val="20"/>
          <w:szCs w:val="20"/>
          <w:lang w:val="es-ES" w:eastAsia="en-US"/>
        </w:rPr>
        <w:t xml:space="preserve"> a este punto.</w:t>
      </w:r>
    </w:p>
    <w:p w14:paraId="0EC34793" w14:textId="77777777" w:rsidR="00495E03" w:rsidRPr="00975C02" w:rsidRDefault="00495E03" w:rsidP="006E0342">
      <w:pPr>
        <w:widowControl/>
        <w:adjustRightInd/>
        <w:spacing w:line="240" w:lineRule="auto"/>
        <w:textAlignment w:val="auto"/>
        <w:rPr>
          <w:rFonts w:eastAsiaTheme="minorHAnsi" w:cs="Arial"/>
          <w:b/>
          <w:sz w:val="20"/>
          <w:szCs w:val="20"/>
          <w:lang w:val="es-ES" w:eastAsia="en-US"/>
        </w:rPr>
      </w:pPr>
    </w:p>
    <w:p w14:paraId="749D9217" w14:textId="4CD09F1F" w:rsidR="00495E03" w:rsidRPr="00975C02" w:rsidRDefault="00495E03" w:rsidP="00495E03">
      <w:pPr>
        <w:widowControl/>
        <w:numPr>
          <w:ilvl w:val="0"/>
          <w:numId w:val="2"/>
        </w:numPr>
        <w:tabs>
          <w:tab w:val="left" w:pos="567"/>
          <w:tab w:val="num" w:pos="12305"/>
        </w:tabs>
        <w:autoSpaceDE w:val="0"/>
        <w:autoSpaceDN w:val="0"/>
        <w:spacing w:line="240" w:lineRule="auto"/>
        <w:ind w:left="0" w:firstLine="0"/>
        <w:textAlignment w:val="auto"/>
        <w:rPr>
          <w:rFonts w:eastAsiaTheme="minorHAnsi" w:cs="Arial"/>
          <w:lang w:val="es-ES"/>
        </w:rPr>
      </w:pPr>
      <w:r w:rsidRPr="00975C02">
        <w:rPr>
          <w:rFonts w:eastAsia="Batang" w:cs="Arial"/>
          <w:sz w:val="20"/>
          <w:szCs w:val="20"/>
          <w:lang w:val="es-ES" w:eastAsia="es-MX"/>
        </w:rPr>
        <w:t>Las</w:t>
      </w:r>
      <w:r w:rsidRPr="00975C02">
        <w:rPr>
          <w:rFonts w:eastAsia="MS Mincho" w:cs="Arial"/>
          <w:sz w:val="20"/>
          <w:szCs w:val="20"/>
          <w:lang w:val="es-ES"/>
        </w:rPr>
        <w:t xml:space="preserve"> </w:t>
      </w:r>
      <w:r w:rsidRPr="00975C02">
        <w:rPr>
          <w:rFonts w:eastAsia="MS Mincho" w:cs="Arial"/>
          <w:b/>
          <w:i/>
          <w:sz w:val="20"/>
          <w:szCs w:val="20"/>
          <w:lang w:val="es-ES"/>
        </w:rPr>
        <w:t>representantes</w:t>
      </w:r>
      <w:r w:rsidRPr="00975C02">
        <w:rPr>
          <w:rFonts w:eastAsia="MS Mincho" w:cs="Arial"/>
          <w:sz w:val="20"/>
          <w:szCs w:val="20"/>
          <w:lang w:val="es-ES"/>
        </w:rPr>
        <w:t xml:space="preserve"> señalaron que la señora V.P.C. fue denunciada por los delitos de injurias y calumnias</w:t>
      </w:r>
      <w:r w:rsidRPr="00975C02" w:rsidDel="009E7F35">
        <w:rPr>
          <w:rFonts w:eastAsia="MS Mincho" w:cs="Arial"/>
          <w:sz w:val="20"/>
          <w:szCs w:val="20"/>
          <w:lang w:val="es-ES"/>
        </w:rPr>
        <w:t xml:space="preserve"> </w:t>
      </w:r>
      <w:r w:rsidRPr="00975C02">
        <w:rPr>
          <w:rFonts w:eastAsia="MS Mincho" w:cs="Arial"/>
          <w:sz w:val="20"/>
          <w:szCs w:val="20"/>
          <w:lang w:val="es-ES"/>
        </w:rPr>
        <w:t xml:space="preserve">por diferentes servidores públicos que intervinieron en el procedimiento. Además, indicaron que la niña V.R.P. dejó de asistir al colegio porque sentía vergüenza y miedo al rechazo, y que tenían </w:t>
      </w:r>
      <w:r w:rsidR="00E96D8C">
        <w:rPr>
          <w:rFonts w:eastAsia="MS Mincho" w:cs="Arial"/>
          <w:sz w:val="20"/>
          <w:szCs w:val="20"/>
          <w:lang w:val="es-ES"/>
        </w:rPr>
        <w:t>temor</w:t>
      </w:r>
      <w:r w:rsidRPr="00975C02">
        <w:rPr>
          <w:rFonts w:eastAsia="MS Mincho" w:cs="Arial"/>
          <w:sz w:val="20"/>
          <w:szCs w:val="20"/>
          <w:lang w:val="es-ES"/>
        </w:rPr>
        <w:t xml:space="preserve"> de que la señora V.P.C. fuera a prisión y que “el agresor se quedara con la custodia de la niña y continuara haciéndole daño”</w:t>
      </w:r>
      <w:r w:rsidR="006E0342" w:rsidRPr="00975C02">
        <w:rPr>
          <w:rFonts w:eastAsia="MS Mincho" w:cs="Arial"/>
          <w:sz w:val="20"/>
          <w:szCs w:val="20"/>
          <w:lang w:val="es-ES"/>
        </w:rPr>
        <w:t>.</w:t>
      </w:r>
      <w:r w:rsidRPr="00975C02">
        <w:rPr>
          <w:rFonts w:eastAsia="MS Mincho" w:cs="Arial"/>
          <w:sz w:val="20"/>
          <w:szCs w:val="20"/>
          <w:lang w:val="es-ES"/>
        </w:rPr>
        <w:t xml:space="preserve"> Sostuvieron que, ante tales circunstancias, en diciembre de 2002 la señora V.P.C. “tuvo que abandonar y huir de Nicaragua” junto a sus hijas V.R.P. y N.R.P. debido a la “persecución del Poder Judicial politizado en su contra, persecución religiosa por ser mormona y persecución de género”, y recibieron asilo en los Estados Unidos. </w:t>
      </w:r>
      <w:r w:rsidRPr="00975C02">
        <w:rPr>
          <w:rFonts w:eastAsiaTheme="minorHAnsi" w:cs="Arial"/>
          <w:sz w:val="20"/>
          <w:szCs w:val="20"/>
          <w:lang w:val="es-ES"/>
        </w:rPr>
        <w:t xml:space="preserve">Alegaron que el Estado no prestó la protección debida a la familia, ya </w:t>
      </w:r>
      <w:r w:rsidRPr="00975C02">
        <w:rPr>
          <w:rFonts w:eastAsia="MS Mincho" w:cs="Arial"/>
          <w:sz w:val="20"/>
          <w:szCs w:val="20"/>
          <w:lang w:val="es-ES"/>
        </w:rPr>
        <w:t>que</w:t>
      </w:r>
      <w:r w:rsidRPr="00975C02">
        <w:rPr>
          <w:rFonts w:eastAsiaTheme="minorHAnsi" w:cs="Arial"/>
          <w:sz w:val="20"/>
          <w:szCs w:val="20"/>
          <w:lang w:val="es-ES"/>
        </w:rPr>
        <w:t xml:space="preserve"> “las denuncias y amenazas que provenían de los servidores públicos que participaron en dicho proceso” </w:t>
      </w:r>
      <w:r w:rsidR="00D57585" w:rsidRPr="00975C02">
        <w:rPr>
          <w:rFonts w:eastAsiaTheme="minorHAnsi" w:cs="Arial"/>
          <w:sz w:val="20"/>
          <w:szCs w:val="20"/>
          <w:lang w:val="es-ES"/>
        </w:rPr>
        <w:t>trajeron</w:t>
      </w:r>
      <w:r w:rsidRPr="00975C02">
        <w:rPr>
          <w:rFonts w:eastAsiaTheme="minorHAnsi" w:cs="Arial"/>
          <w:sz w:val="20"/>
          <w:szCs w:val="20"/>
          <w:lang w:val="es-ES"/>
        </w:rPr>
        <w:t xml:space="preserve"> como consecuencia el desplazamiento de algunos integrantes de la familia</w:t>
      </w:r>
      <w:r w:rsidR="006E0342" w:rsidRPr="00975C02">
        <w:rPr>
          <w:rFonts w:eastAsiaTheme="minorHAnsi" w:cs="Arial"/>
          <w:sz w:val="20"/>
          <w:szCs w:val="20"/>
          <w:lang w:val="es-ES"/>
        </w:rPr>
        <w:t>.</w:t>
      </w:r>
      <w:r w:rsidRPr="00975C02">
        <w:rPr>
          <w:rFonts w:eastAsiaTheme="minorHAnsi" w:cs="Arial"/>
          <w:lang w:val="es-ES"/>
        </w:rPr>
        <w:t xml:space="preserve"> </w:t>
      </w:r>
      <w:r w:rsidRPr="00975C02">
        <w:rPr>
          <w:rFonts w:eastAsia="MS Mincho" w:cs="Arial"/>
          <w:sz w:val="20"/>
          <w:szCs w:val="20"/>
          <w:lang w:val="es-ES"/>
        </w:rPr>
        <w:t>Señalaron que V.R.P., su madre y hermana quedaron sin vivienda. Asimismo, manifestaron que existió un desarraigo de su comunidad, la fragmentación del núcleo familiar y la pérdida de la figura esencial de la madre, quien era la única que velaba por sus hijos</w:t>
      </w:r>
      <w:r w:rsidR="006E0342" w:rsidRPr="00975C02">
        <w:rPr>
          <w:rFonts w:eastAsia="MS Mincho" w:cs="Arial"/>
          <w:sz w:val="20"/>
          <w:szCs w:val="20"/>
          <w:lang w:val="es-ES"/>
        </w:rPr>
        <w:t>.</w:t>
      </w:r>
      <w:r w:rsidRPr="00975C02">
        <w:rPr>
          <w:rFonts w:eastAsiaTheme="minorHAnsi" w:cs="Arial"/>
          <w:lang w:val="es-ES"/>
        </w:rPr>
        <w:t xml:space="preserve"> </w:t>
      </w:r>
      <w:r w:rsidRPr="00975C02">
        <w:rPr>
          <w:rFonts w:eastAsiaTheme="minorHAnsi" w:cs="Arial"/>
          <w:sz w:val="20"/>
          <w:szCs w:val="20"/>
          <w:lang w:val="es-ES"/>
        </w:rPr>
        <w:t xml:space="preserve">Por lo anterior, las representantes alegaron que el Estado violó los artículos 1.1, 17.1, </w:t>
      </w:r>
      <w:r w:rsidR="000377EA" w:rsidRPr="00975C02">
        <w:rPr>
          <w:rFonts w:eastAsiaTheme="minorHAnsi" w:cs="Arial"/>
          <w:sz w:val="20"/>
          <w:szCs w:val="20"/>
          <w:lang w:val="es-ES"/>
        </w:rPr>
        <w:t xml:space="preserve">12.1, </w:t>
      </w:r>
      <w:r w:rsidRPr="00975C02">
        <w:rPr>
          <w:rFonts w:eastAsiaTheme="minorHAnsi" w:cs="Arial"/>
          <w:sz w:val="20"/>
          <w:szCs w:val="20"/>
          <w:lang w:val="es-ES"/>
        </w:rPr>
        <w:t>19 y 22.1 de la Convención Americana</w:t>
      </w:r>
      <w:r w:rsidR="006E0342" w:rsidRPr="00975C02">
        <w:rPr>
          <w:rFonts w:eastAsiaTheme="minorHAnsi" w:cs="Arial"/>
          <w:sz w:val="20"/>
          <w:szCs w:val="20"/>
          <w:lang w:val="es-ES"/>
        </w:rPr>
        <w:t>.</w:t>
      </w:r>
    </w:p>
    <w:p w14:paraId="5BFA6554" w14:textId="77777777" w:rsidR="00495E03" w:rsidRPr="00975C02" w:rsidRDefault="00495E03" w:rsidP="006E0342">
      <w:pPr>
        <w:widowControl/>
        <w:adjustRightInd/>
        <w:spacing w:line="240" w:lineRule="auto"/>
        <w:textAlignment w:val="auto"/>
        <w:rPr>
          <w:rFonts w:eastAsiaTheme="minorHAnsi" w:cs="Arial"/>
          <w:sz w:val="20"/>
          <w:szCs w:val="20"/>
          <w:lang w:val="es-ES"/>
        </w:rPr>
      </w:pPr>
    </w:p>
    <w:p w14:paraId="300E33CA" w14:textId="6CD4C430" w:rsidR="00495E03" w:rsidRPr="00975C02" w:rsidRDefault="00495E03" w:rsidP="00495E03">
      <w:pPr>
        <w:pStyle w:val="ListParagraph"/>
        <w:widowControl/>
        <w:numPr>
          <w:ilvl w:val="0"/>
          <w:numId w:val="2"/>
        </w:numPr>
        <w:adjustRightInd/>
        <w:spacing w:line="240" w:lineRule="auto"/>
        <w:ind w:left="0" w:firstLine="0"/>
        <w:contextualSpacing/>
        <w:textAlignment w:val="auto"/>
        <w:rPr>
          <w:rFonts w:eastAsiaTheme="minorHAnsi" w:cs="Arial"/>
          <w:lang w:val="es-ES"/>
        </w:rPr>
      </w:pPr>
      <w:r w:rsidRPr="00975C02">
        <w:rPr>
          <w:rFonts w:eastAsiaTheme="minorHAnsi" w:cs="Arial"/>
          <w:sz w:val="20"/>
          <w:szCs w:val="20"/>
          <w:lang w:val="es-ES"/>
        </w:rPr>
        <w:t xml:space="preserve">El </w:t>
      </w:r>
      <w:r w:rsidRPr="00975C02">
        <w:rPr>
          <w:rFonts w:eastAsiaTheme="minorHAnsi" w:cs="Arial"/>
          <w:b/>
          <w:i/>
          <w:sz w:val="20"/>
          <w:szCs w:val="20"/>
          <w:lang w:val="es-ES"/>
        </w:rPr>
        <w:t>Estado</w:t>
      </w:r>
      <w:r w:rsidRPr="00975C02">
        <w:rPr>
          <w:rFonts w:eastAsiaTheme="minorHAnsi" w:cs="Arial"/>
          <w:sz w:val="20"/>
          <w:szCs w:val="20"/>
          <w:lang w:val="es-ES"/>
        </w:rPr>
        <w:t xml:space="preserve"> sostuvo que los funcionarios públicos que presentaron denuncia no actuaron en su carácter funcional sino como particulares. Agregó que los delitos de injurias o calumnias no conllevaban penas privativas de libertad</w:t>
      </w:r>
      <w:r w:rsidR="006E0342" w:rsidRPr="00975C02">
        <w:rPr>
          <w:rFonts w:eastAsiaTheme="minorHAnsi" w:cs="Arial"/>
          <w:sz w:val="20"/>
          <w:szCs w:val="20"/>
          <w:lang w:val="es-ES"/>
        </w:rPr>
        <w:t>.</w:t>
      </w:r>
      <w:r w:rsidRPr="00975C02">
        <w:rPr>
          <w:rFonts w:eastAsiaTheme="minorHAnsi" w:cs="Arial"/>
          <w:sz w:val="20"/>
          <w:szCs w:val="20"/>
          <w:lang w:val="es-ES"/>
        </w:rPr>
        <w:t xml:space="preserve"> Consideró que el hecho de que las causas contra V.P.C. hayan sido interpuestas por particulares demuestra que no hubo persecución política. Asimismo, indicó que tampoco hubo persecución religiosa ya que las “iglesias mormonas” tienen libertad de culto y Nicaragua es un Estado laico.</w:t>
      </w:r>
      <w:r w:rsidRPr="00975C02">
        <w:rPr>
          <w:rFonts w:eastAsiaTheme="minorHAnsi" w:cs="Arial"/>
          <w:b/>
          <w:sz w:val="20"/>
          <w:szCs w:val="20"/>
          <w:lang w:val="es-ES"/>
        </w:rPr>
        <w:t xml:space="preserve"> </w:t>
      </w:r>
      <w:r w:rsidRPr="00975C02">
        <w:rPr>
          <w:rFonts w:eastAsiaTheme="minorHAnsi" w:cs="Arial"/>
          <w:sz w:val="20"/>
          <w:szCs w:val="20"/>
          <w:lang w:val="es-ES"/>
        </w:rPr>
        <w:t>Respecto al abandono escolar de V.R.P., el Estado afirmó que se proveyó la atención psicológica necesaria a la niña para superar la situación; sin embargo, su madre decidió salir del país, a pesar de que en Nicaragua la educación es gratuita y podía ser inscrita en otro colegio</w:t>
      </w:r>
      <w:r w:rsidR="006E0342" w:rsidRPr="00975C02">
        <w:rPr>
          <w:rFonts w:eastAsiaTheme="minorHAnsi" w:cs="Arial"/>
          <w:sz w:val="20"/>
          <w:szCs w:val="20"/>
          <w:lang w:val="es-ES"/>
        </w:rPr>
        <w:t>.</w:t>
      </w:r>
      <w:r w:rsidRPr="00975C02">
        <w:rPr>
          <w:rFonts w:eastAsiaTheme="minorHAnsi" w:cs="Arial"/>
          <w:sz w:val="20"/>
          <w:szCs w:val="20"/>
          <w:lang w:val="es-ES"/>
        </w:rPr>
        <w:t xml:space="preserve"> Con relación a la solicitud de asilo, el Estado indicó que V.P.C. abandonó el país debido a una decisión personal y voluntaria cuya consecuencia fue la separación de la familia</w:t>
      </w:r>
      <w:r w:rsidR="006E0342" w:rsidRPr="00975C02">
        <w:rPr>
          <w:rFonts w:eastAsiaTheme="minorHAnsi" w:cs="Arial"/>
          <w:sz w:val="20"/>
          <w:szCs w:val="20"/>
          <w:lang w:val="es-ES"/>
        </w:rPr>
        <w:t>.</w:t>
      </w:r>
      <w:r w:rsidRPr="00975C02">
        <w:rPr>
          <w:rFonts w:eastAsiaTheme="minorHAnsi" w:cs="Arial"/>
          <w:sz w:val="20"/>
          <w:szCs w:val="20"/>
          <w:lang w:val="es-ES"/>
        </w:rPr>
        <w:t xml:space="preserve"> Afirmó que la decisión de un Estado de otorgar asilo a una persona se realiza en ejercicio de su soberanía de acuerdo a sus leyes internas. Asimismo, negó que la familia se haya quedado sin vivienda ya que V.P.C. continúa ejerciendo su derecho de dominio sobre una propiedad en la ciudad de Jinotega. Afirmó que V.P.C., V.R.P. y N.R.P., no han tenido restricción para ingresar a Nicaragua, como lo demuestran los movimientos migratorios de V.P.C. que ha ingresado al territorio nacional en dos ocasiones. En el mismo sentido, agregó que el resto de la familia sigue residiendo en el país. Por lo señalado, el Estado negó la violación a los artículos 1.1,</w:t>
      </w:r>
      <w:r w:rsidR="00D57585" w:rsidRPr="00975C02">
        <w:rPr>
          <w:rFonts w:eastAsiaTheme="minorHAnsi" w:cs="Arial"/>
          <w:sz w:val="20"/>
          <w:szCs w:val="20"/>
          <w:lang w:val="es-ES"/>
        </w:rPr>
        <w:t xml:space="preserve"> 12.1,</w:t>
      </w:r>
      <w:r w:rsidRPr="00975C02">
        <w:rPr>
          <w:rFonts w:eastAsiaTheme="minorHAnsi" w:cs="Arial"/>
          <w:sz w:val="20"/>
          <w:szCs w:val="20"/>
          <w:lang w:val="es-ES"/>
        </w:rPr>
        <w:t xml:space="preserve"> 17.1, 19 y 22.1 de la </w:t>
      </w:r>
      <w:r w:rsidRPr="00975C02">
        <w:rPr>
          <w:sz w:val="20"/>
          <w:szCs w:val="20"/>
          <w:lang w:val="es-ES"/>
        </w:rPr>
        <w:t>Convención</w:t>
      </w:r>
      <w:r w:rsidRPr="00975C02">
        <w:rPr>
          <w:rFonts w:eastAsiaTheme="minorHAnsi" w:cs="Arial"/>
          <w:sz w:val="20"/>
          <w:szCs w:val="20"/>
          <w:lang w:val="es-ES"/>
        </w:rPr>
        <w:t xml:space="preserve"> Americana.</w:t>
      </w:r>
    </w:p>
    <w:p w14:paraId="2BE591EB" w14:textId="77777777" w:rsidR="00495E03" w:rsidRPr="00975C02" w:rsidRDefault="00495E03" w:rsidP="00495E03">
      <w:pPr>
        <w:pStyle w:val="ListParagraph"/>
        <w:ind w:left="0"/>
        <w:rPr>
          <w:rFonts w:eastAsiaTheme="minorHAnsi" w:cs="Arial"/>
          <w:sz w:val="20"/>
          <w:szCs w:val="20"/>
          <w:lang w:val="es-ES"/>
        </w:rPr>
      </w:pPr>
    </w:p>
    <w:p w14:paraId="211BAD6E" w14:textId="77777777" w:rsidR="00495E03" w:rsidRPr="00975C02" w:rsidRDefault="00495E03" w:rsidP="0011586B">
      <w:pPr>
        <w:keepNext/>
        <w:keepLines/>
        <w:tabs>
          <w:tab w:val="left" w:pos="1134"/>
        </w:tabs>
        <w:autoSpaceDE w:val="0"/>
        <w:autoSpaceDN w:val="0"/>
        <w:spacing w:line="240" w:lineRule="auto"/>
        <w:ind w:left="567" w:firstLine="1"/>
        <w:outlineLvl w:val="1"/>
        <w:rPr>
          <w:rFonts w:eastAsia="MS Mincho" w:cs="Arial"/>
          <w:b/>
          <w:bCs/>
          <w:i/>
          <w:kern w:val="2"/>
          <w:sz w:val="20"/>
          <w:szCs w:val="20"/>
          <w:lang w:val="es-ES"/>
        </w:rPr>
      </w:pPr>
      <w:bookmarkStart w:id="154" w:name="_Toc514172657"/>
      <w:r w:rsidRPr="00975C02">
        <w:rPr>
          <w:rFonts w:eastAsia="MS Mincho" w:cs="Arial"/>
          <w:b/>
          <w:bCs/>
          <w:i/>
          <w:kern w:val="2"/>
          <w:sz w:val="20"/>
          <w:szCs w:val="20"/>
          <w:lang w:val="es-ES"/>
        </w:rPr>
        <w:t>B.</w:t>
      </w:r>
      <w:r w:rsidRPr="00975C02">
        <w:rPr>
          <w:rFonts w:eastAsia="MS Mincho" w:cs="Arial"/>
          <w:b/>
          <w:bCs/>
          <w:i/>
          <w:kern w:val="2"/>
          <w:sz w:val="20"/>
          <w:szCs w:val="20"/>
          <w:lang w:val="es-ES"/>
        </w:rPr>
        <w:tab/>
        <w:t>Consideraciones de la Corte</w:t>
      </w:r>
      <w:bookmarkEnd w:id="154"/>
    </w:p>
    <w:p w14:paraId="3DD90C42" w14:textId="77777777" w:rsidR="00495E03" w:rsidRPr="00975C02" w:rsidRDefault="00495E03" w:rsidP="0011586B">
      <w:pPr>
        <w:pStyle w:val="ListParagraph"/>
        <w:spacing w:line="240" w:lineRule="auto"/>
        <w:ind w:left="0"/>
        <w:rPr>
          <w:sz w:val="20"/>
          <w:szCs w:val="20"/>
          <w:lang w:val="es-ES"/>
        </w:rPr>
      </w:pPr>
    </w:p>
    <w:p w14:paraId="4AB81BC3" w14:textId="0B8F8656" w:rsidR="00495E03" w:rsidRPr="00975C02" w:rsidRDefault="00495E03" w:rsidP="0011586B">
      <w:pPr>
        <w:pStyle w:val="ListParagraph"/>
        <w:widowControl/>
        <w:numPr>
          <w:ilvl w:val="0"/>
          <w:numId w:val="2"/>
        </w:numPr>
        <w:adjustRightInd/>
        <w:spacing w:line="240" w:lineRule="auto"/>
        <w:ind w:left="0" w:firstLine="0"/>
        <w:textAlignment w:val="auto"/>
        <w:rPr>
          <w:sz w:val="20"/>
          <w:szCs w:val="20"/>
          <w:lang w:val="es-ES"/>
        </w:rPr>
      </w:pPr>
      <w:r w:rsidRPr="00975C02">
        <w:rPr>
          <w:sz w:val="20"/>
          <w:szCs w:val="20"/>
          <w:lang w:val="es-ES"/>
        </w:rPr>
        <w:lastRenderedPageBreak/>
        <w:t>El artículo 22.1 de la Convención reconoce el derecho de circulación y de residencia. En esta línea, la Corte ha considerado que esta norma protege el derecho a no ser desplazado forzadamente dentro de un Estado Parte o a no tener que salir forzadamente fuera del territorio del Estado en el cual se halle legalmente</w:t>
      </w:r>
      <w:r w:rsidR="008A7BAE" w:rsidRPr="00975C02">
        <w:rPr>
          <w:rStyle w:val="FootnoteReference"/>
          <w:sz w:val="20"/>
          <w:szCs w:val="20"/>
          <w:lang w:val="es-ES"/>
        </w:rPr>
        <w:footnoteReference w:id="386"/>
      </w:r>
      <w:r w:rsidRPr="00975C02">
        <w:rPr>
          <w:sz w:val="20"/>
          <w:szCs w:val="20"/>
          <w:lang w:val="es-ES"/>
        </w:rPr>
        <w:t>. Asimismo, este Tribunal ha señalado en forma reiterada que el derecho de circulación y residencia es una condición indispensable para el libre desarrollo de la persona</w:t>
      </w:r>
      <w:r w:rsidRPr="00975C02">
        <w:rPr>
          <w:sz w:val="20"/>
          <w:szCs w:val="20"/>
          <w:vertAlign w:val="superscript"/>
          <w:lang w:val="es-ES"/>
        </w:rPr>
        <w:footnoteReference w:id="387"/>
      </w:r>
      <w:r w:rsidRPr="00975C02">
        <w:rPr>
          <w:sz w:val="20"/>
          <w:szCs w:val="20"/>
          <w:lang w:val="es-ES"/>
        </w:rPr>
        <w:t>.</w:t>
      </w:r>
    </w:p>
    <w:p w14:paraId="140DF53D" w14:textId="77777777" w:rsidR="00495E03" w:rsidRPr="00975C02" w:rsidRDefault="00495E03" w:rsidP="0011586B">
      <w:pPr>
        <w:spacing w:line="240" w:lineRule="auto"/>
        <w:rPr>
          <w:sz w:val="20"/>
          <w:szCs w:val="20"/>
          <w:lang w:val="es-ES"/>
        </w:rPr>
      </w:pPr>
    </w:p>
    <w:p w14:paraId="7685E020" w14:textId="77777777" w:rsidR="00495E03" w:rsidRPr="00975C02" w:rsidRDefault="00495E03" w:rsidP="0011586B">
      <w:pPr>
        <w:pStyle w:val="ListParagraph"/>
        <w:widowControl/>
        <w:numPr>
          <w:ilvl w:val="0"/>
          <w:numId w:val="2"/>
        </w:numPr>
        <w:adjustRightInd/>
        <w:spacing w:line="240" w:lineRule="auto"/>
        <w:ind w:left="0" w:right="49" w:firstLine="0"/>
        <w:textAlignment w:val="auto"/>
        <w:rPr>
          <w:sz w:val="20"/>
          <w:szCs w:val="20"/>
          <w:lang w:val="es-ES"/>
        </w:rPr>
      </w:pPr>
      <w:r w:rsidRPr="00975C02">
        <w:rPr>
          <w:sz w:val="20"/>
          <w:szCs w:val="20"/>
          <w:lang w:val="es-ES"/>
        </w:rPr>
        <w:t xml:space="preserve">La Corte ha señalado que el derecho de circulación y de residencia puede ser vulnerado por restricciones </w:t>
      </w:r>
      <w:r w:rsidRPr="00975C02">
        <w:rPr>
          <w:i/>
          <w:sz w:val="20"/>
          <w:szCs w:val="20"/>
          <w:lang w:val="es-ES"/>
        </w:rPr>
        <w:t>de facto</w:t>
      </w:r>
      <w:r w:rsidRPr="00975C02">
        <w:rPr>
          <w:sz w:val="20"/>
          <w:szCs w:val="20"/>
          <w:lang w:val="es-ES"/>
        </w:rPr>
        <w:t xml:space="preserve"> si el Estado no ha establecido las condiciones</w:t>
      </w:r>
      <w:r w:rsidR="00E747B5" w:rsidRPr="00975C02">
        <w:rPr>
          <w:sz w:val="20"/>
          <w:szCs w:val="20"/>
          <w:lang w:val="es-ES"/>
        </w:rPr>
        <w:t>,</w:t>
      </w:r>
      <w:r w:rsidRPr="00975C02">
        <w:rPr>
          <w:sz w:val="20"/>
          <w:szCs w:val="20"/>
          <w:lang w:val="es-ES"/>
        </w:rPr>
        <w:t xml:space="preserve"> ni provisto los medios que permiten ejercerlo</w:t>
      </w:r>
      <w:r w:rsidRPr="00975C02">
        <w:rPr>
          <w:rStyle w:val="FootnoteReference"/>
          <w:sz w:val="20"/>
          <w:szCs w:val="20"/>
          <w:lang w:val="es-ES"/>
        </w:rPr>
        <w:footnoteReference w:id="388"/>
      </w:r>
      <w:r w:rsidRPr="00975C02">
        <w:rPr>
          <w:sz w:val="20"/>
          <w:szCs w:val="20"/>
          <w:lang w:val="es-ES"/>
        </w:rPr>
        <w:t>. En este sentido, el derecho de circulación y de residencia puede resultar afectado cuando una persona es víctima de amenazas u hostigamientos y el Estado no provee las garantías necesarias para que pueda transitar y residir libremente en el territorio de que se trate, incluso cuando las amenazas y hostigamientos provienen de actores no estatales</w:t>
      </w:r>
      <w:r w:rsidRPr="00975C02">
        <w:rPr>
          <w:rStyle w:val="FootnoteReference"/>
          <w:sz w:val="20"/>
          <w:szCs w:val="20"/>
          <w:lang w:val="es-ES"/>
        </w:rPr>
        <w:footnoteReference w:id="389"/>
      </w:r>
      <w:r w:rsidRPr="00975C02">
        <w:rPr>
          <w:sz w:val="20"/>
          <w:szCs w:val="20"/>
          <w:lang w:val="es-ES"/>
        </w:rPr>
        <w:t xml:space="preserve">. </w:t>
      </w:r>
      <w:r w:rsidRPr="00975C02">
        <w:rPr>
          <w:rFonts w:cs="Arial"/>
          <w:sz w:val="20"/>
          <w:szCs w:val="20"/>
          <w:lang w:val="es-ES"/>
        </w:rPr>
        <w:t xml:space="preserve">Asimismo, </w:t>
      </w:r>
      <w:r w:rsidRPr="00975C02">
        <w:rPr>
          <w:rFonts w:cs="Arial"/>
          <w:bCs/>
          <w:sz w:val="20"/>
          <w:szCs w:val="20"/>
          <w:lang w:val="es-ES"/>
        </w:rPr>
        <w:t>la falta de una investigación efectiva de hechos violentos, así como la situación de impunidad, pueden menoscabar la confianza de las víctimas en el sistema de justicia y contribuir a condiciones de inseguridad</w:t>
      </w:r>
      <w:r w:rsidRPr="00975C02">
        <w:rPr>
          <w:rStyle w:val="FootnoteReference"/>
          <w:rFonts w:cs="Arial"/>
          <w:bCs/>
          <w:sz w:val="20"/>
          <w:szCs w:val="20"/>
          <w:lang w:val="es-ES"/>
        </w:rPr>
        <w:footnoteReference w:id="390"/>
      </w:r>
      <w:r w:rsidRPr="00975C02">
        <w:rPr>
          <w:rFonts w:cs="Arial"/>
          <w:bCs/>
          <w:sz w:val="20"/>
          <w:szCs w:val="20"/>
          <w:lang w:val="es-ES"/>
        </w:rPr>
        <w:t>. Además, dicha situación de impunidad puede propiciar o perpetuar un exilio o desplazamiento forzado</w:t>
      </w:r>
      <w:r w:rsidRPr="00975C02">
        <w:rPr>
          <w:rStyle w:val="FootnoteReference"/>
          <w:rFonts w:cs="Arial"/>
          <w:bCs/>
          <w:sz w:val="20"/>
          <w:szCs w:val="20"/>
          <w:lang w:val="es-ES"/>
        </w:rPr>
        <w:footnoteReference w:id="391"/>
      </w:r>
      <w:r w:rsidRPr="00975C02">
        <w:rPr>
          <w:rFonts w:cs="Arial"/>
          <w:bCs/>
          <w:sz w:val="20"/>
          <w:szCs w:val="20"/>
          <w:lang w:val="es-ES"/>
        </w:rPr>
        <w:t>.</w:t>
      </w:r>
    </w:p>
    <w:p w14:paraId="08F429F5" w14:textId="77777777" w:rsidR="00495E03" w:rsidRPr="00975C02" w:rsidRDefault="00495E03" w:rsidP="0011586B">
      <w:pPr>
        <w:spacing w:line="240" w:lineRule="auto"/>
        <w:rPr>
          <w:sz w:val="20"/>
          <w:szCs w:val="20"/>
          <w:lang w:val="es-ES"/>
        </w:rPr>
      </w:pPr>
    </w:p>
    <w:p w14:paraId="19FA5913" w14:textId="77777777" w:rsidR="00495E03" w:rsidRPr="00975C02" w:rsidRDefault="00495E03" w:rsidP="0011586B">
      <w:pPr>
        <w:pStyle w:val="ListParagraph"/>
        <w:widowControl/>
        <w:numPr>
          <w:ilvl w:val="0"/>
          <w:numId w:val="2"/>
        </w:numPr>
        <w:adjustRightInd/>
        <w:spacing w:line="240" w:lineRule="auto"/>
        <w:ind w:left="0" w:firstLine="0"/>
        <w:textAlignment w:val="auto"/>
        <w:rPr>
          <w:rFonts w:cs="Arial"/>
          <w:sz w:val="20"/>
          <w:szCs w:val="20"/>
          <w:lang w:val="es-ES"/>
        </w:rPr>
      </w:pPr>
      <w:r w:rsidRPr="00975C02">
        <w:rPr>
          <w:rFonts w:cs="Arial"/>
          <w:sz w:val="20"/>
          <w:szCs w:val="20"/>
          <w:lang w:val="es-ES"/>
        </w:rPr>
        <w:t>La Corte ha señalado que la concesión de asilo en otro país permite dimensionar el alto nivel de credibilidad que las autoridades del Estado asilante le dieron a las denuncias hechas por las víctimas</w:t>
      </w:r>
      <w:r w:rsidRPr="00975C02">
        <w:rPr>
          <w:rStyle w:val="FootnoteReference"/>
          <w:rFonts w:cs="Arial"/>
          <w:sz w:val="20"/>
          <w:szCs w:val="20"/>
          <w:lang w:val="es-ES"/>
        </w:rPr>
        <w:footnoteReference w:id="392"/>
      </w:r>
      <w:r w:rsidRPr="00975C02">
        <w:rPr>
          <w:rFonts w:cs="Arial"/>
          <w:sz w:val="20"/>
          <w:szCs w:val="20"/>
          <w:lang w:val="es-ES"/>
        </w:rPr>
        <w:t>. No obstante, tal reconocimiento tampoco es suficiente por sí solo para sostener que en el caso se configuró la vulneración del derecho de residencia. Se trata de un indicio más a tener en cuenta en el conjunto de circunstancias particulares del caso.</w:t>
      </w:r>
    </w:p>
    <w:p w14:paraId="3437E2CE" w14:textId="77777777" w:rsidR="00495E03" w:rsidRPr="00975C02" w:rsidRDefault="00495E03" w:rsidP="0011586B">
      <w:pPr>
        <w:spacing w:line="240" w:lineRule="auto"/>
        <w:ind w:right="49"/>
        <w:rPr>
          <w:sz w:val="20"/>
          <w:szCs w:val="20"/>
          <w:lang w:val="es-ES"/>
        </w:rPr>
      </w:pPr>
    </w:p>
    <w:p w14:paraId="5F04B574" w14:textId="41327BB6" w:rsidR="00495E03" w:rsidRPr="00975C02" w:rsidRDefault="00495E03" w:rsidP="0011586B">
      <w:pPr>
        <w:pStyle w:val="ListParagraph"/>
        <w:widowControl/>
        <w:numPr>
          <w:ilvl w:val="0"/>
          <w:numId w:val="2"/>
        </w:numPr>
        <w:adjustRightInd/>
        <w:spacing w:line="240" w:lineRule="auto"/>
        <w:ind w:left="0" w:firstLine="0"/>
        <w:textAlignment w:val="auto"/>
        <w:rPr>
          <w:sz w:val="20"/>
          <w:szCs w:val="20"/>
          <w:lang w:val="es-ES"/>
        </w:rPr>
      </w:pPr>
      <w:r w:rsidRPr="00975C02">
        <w:rPr>
          <w:sz w:val="20"/>
          <w:szCs w:val="20"/>
          <w:lang w:val="es-ES"/>
        </w:rPr>
        <w:t>Respecto al artículo 17 en relación con el artículo 19 de la Convención Americana, la Corte ha señalado que el Estado se halla obligado no sólo a disponer y ejecutar directamente medidas de protección de niñas</w:t>
      </w:r>
      <w:r w:rsidR="0007139B" w:rsidRPr="00975C02">
        <w:rPr>
          <w:sz w:val="20"/>
          <w:szCs w:val="20"/>
          <w:lang w:val="es-ES"/>
        </w:rPr>
        <w:t>,</w:t>
      </w:r>
      <w:r w:rsidRPr="00975C02">
        <w:rPr>
          <w:sz w:val="20"/>
          <w:szCs w:val="20"/>
          <w:lang w:val="es-ES"/>
        </w:rPr>
        <w:t xml:space="preserve"> niños</w:t>
      </w:r>
      <w:r w:rsidR="0007139B" w:rsidRPr="00975C02">
        <w:rPr>
          <w:sz w:val="20"/>
          <w:szCs w:val="20"/>
          <w:lang w:val="es-ES"/>
        </w:rPr>
        <w:t xml:space="preserve"> y adolescentes</w:t>
      </w:r>
      <w:r w:rsidRPr="00975C02">
        <w:rPr>
          <w:sz w:val="20"/>
          <w:szCs w:val="20"/>
          <w:lang w:val="es-ES"/>
        </w:rPr>
        <w:t>, sino también a favorecer, de la manera más amplia, el desarrollo y la fortaleza del núcleo familiar. En consecuencia, la Corte ha establecido que la separación de niñas</w:t>
      </w:r>
      <w:r w:rsidR="0007139B" w:rsidRPr="00975C02">
        <w:rPr>
          <w:sz w:val="20"/>
          <w:szCs w:val="20"/>
          <w:lang w:val="es-ES"/>
        </w:rPr>
        <w:t>,</w:t>
      </w:r>
      <w:r w:rsidRPr="00975C02">
        <w:rPr>
          <w:sz w:val="20"/>
          <w:szCs w:val="20"/>
          <w:lang w:val="es-ES"/>
        </w:rPr>
        <w:t xml:space="preserve"> niños</w:t>
      </w:r>
      <w:r w:rsidR="0007139B" w:rsidRPr="00975C02">
        <w:rPr>
          <w:sz w:val="20"/>
          <w:szCs w:val="20"/>
          <w:lang w:val="es-ES"/>
        </w:rPr>
        <w:t xml:space="preserve"> y </w:t>
      </w:r>
      <w:r w:rsidR="008A7BAE" w:rsidRPr="00975C02">
        <w:rPr>
          <w:sz w:val="20"/>
          <w:szCs w:val="20"/>
          <w:lang w:val="es-ES"/>
        </w:rPr>
        <w:t>adolescentes</w:t>
      </w:r>
      <w:r w:rsidRPr="00975C02">
        <w:rPr>
          <w:sz w:val="20"/>
          <w:szCs w:val="20"/>
          <w:lang w:val="es-ES"/>
        </w:rPr>
        <w:t xml:space="preserve"> de su familia constituye, bajo ciertas condiciones, una violación de su derecho a la familia reconocido en el artículo 17 de la Convención Americana</w:t>
      </w:r>
      <w:r w:rsidRPr="00975C02">
        <w:rPr>
          <w:rStyle w:val="FootnoteReference"/>
          <w:sz w:val="20"/>
          <w:szCs w:val="20"/>
          <w:lang w:val="es-ES"/>
        </w:rPr>
        <w:footnoteReference w:id="393"/>
      </w:r>
      <w:r w:rsidRPr="00975C02">
        <w:rPr>
          <w:sz w:val="20"/>
          <w:szCs w:val="20"/>
          <w:lang w:val="es-ES"/>
        </w:rPr>
        <w:t>, toda vez que el disfrute mutuo de la convivencia entre padres e hijos constituye un elemento fundamental en la vida de familia</w:t>
      </w:r>
      <w:r w:rsidRPr="00975C02">
        <w:rPr>
          <w:rStyle w:val="FootnoteReference"/>
          <w:sz w:val="20"/>
          <w:szCs w:val="20"/>
          <w:lang w:val="es-ES"/>
        </w:rPr>
        <w:footnoteReference w:id="394"/>
      </w:r>
      <w:r w:rsidRPr="00975C02">
        <w:rPr>
          <w:sz w:val="20"/>
          <w:szCs w:val="20"/>
          <w:lang w:val="es-ES"/>
        </w:rPr>
        <w:t>.</w:t>
      </w:r>
    </w:p>
    <w:p w14:paraId="52B1FAF5" w14:textId="77777777" w:rsidR="00495E03" w:rsidRPr="00975C02" w:rsidRDefault="00495E03" w:rsidP="0011586B">
      <w:pPr>
        <w:spacing w:line="240" w:lineRule="auto"/>
        <w:rPr>
          <w:sz w:val="20"/>
          <w:szCs w:val="20"/>
          <w:lang w:val="es-ES"/>
        </w:rPr>
      </w:pPr>
    </w:p>
    <w:p w14:paraId="10F55E5A" w14:textId="7B2EED8C" w:rsidR="00495E03" w:rsidRPr="00975C02" w:rsidRDefault="00495E03" w:rsidP="0011586B">
      <w:pPr>
        <w:pStyle w:val="ListParagraph"/>
        <w:widowControl/>
        <w:numPr>
          <w:ilvl w:val="0"/>
          <w:numId w:val="2"/>
        </w:numPr>
        <w:adjustRightInd/>
        <w:spacing w:line="240" w:lineRule="auto"/>
        <w:ind w:left="0" w:right="49" w:firstLine="0"/>
        <w:textAlignment w:val="auto"/>
        <w:rPr>
          <w:sz w:val="20"/>
          <w:szCs w:val="20"/>
          <w:lang w:val="es-ES"/>
        </w:rPr>
      </w:pPr>
      <w:r w:rsidRPr="00975C02">
        <w:rPr>
          <w:sz w:val="20"/>
          <w:szCs w:val="20"/>
          <w:lang w:val="es-ES"/>
        </w:rPr>
        <w:lastRenderedPageBreak/>
        <w:t xml:space="preserve">La Corte analizará a continuación si la señora V.P.C. y sus hijas V.R.P. y N.R.P. </w:t>
      </w:r>
      <w:r w:rsidR="00DF3D71" w:rsidRPr="00975C02">
        <w:rPr>
          <w:sz w:val="20"/>
          <w:szCs w:val="20"/>
          <w:lang w:val="es-ES"/>
        </w:rPr>
        <w:t>sufrieron un temor fundado de desprotección de sus derechos por el cual se vieron forzadas</w:t>
      </w:r>
      <w:r w:rsidRPr="00975C02">
        <w:rPr>
          <w:sz w:val="20"/>
          <w:szCs w:val="20"/>
          <w:lang w:val="es-ES"/>
        </w:rPr>
        <w:t xml:space="preserve"> a </w:t>
      </w:r>
      <w:r w:rsidR="00887701" w:rsidRPr="00975C02">
        <w:rPr>
          <w:sz w:val="20"/>
          <w:szCs w:val="20"/>
          <w:lang w:val="es-ES"/>
        </w:rPr>
        <w:t>salir de</w:t>
      </w:r>
      <w:r w:rsidRPr="00975C02">
        <w:rPr>
          <w:sz w:val="20"/>
          <w:szCs w:val="20"/>
          <w:lang w:val="es-ES"/>
        </w:rPr>
        <w:t xml:space="preserve"> Nicaragua, provocando la vulneración de su derecho de residencia reconocido en el artículo 22.1 de la Convención. Asimismo, se determinará si las circunstancias de la salida del país generaron otras consecuencias jurídicas que impliquen vulneración de los derechos a la protección de la familia en perjuicio de V.P.C., </w:t>
      </w:r>
      <w:r w:rsidR="002E1EE5" w:rsidRPr="00975C02">
        <w:rPr>
          <w:sz w:val="20"/>
          <w:szCs w:val="20"/>
          <w:lang w:val="es-ES"/>
        </w:rPr>
        <w:t xml:space="preserve">N.R.P., </w:t>
      </w:r>
      <w:r w:rsidRPr="00975C02">
        <w:rPr>
          <w:sz w:val="20"/>
          <w:szCs w:val="20"/>
          <w:lang w:val="es-ES"/>
        </w:rPr>
        <w:t>H.J.R.P., V.A.R.P. y V.R.P. y</w:t>
      </w:r>
      <w:r w:rsidR="00C15A2E" w:rsidRPr="00975C02">
        <w:rPr>
          <w:sz w:val="20"/>
          <w:szCs w:val="20"/>
          <w:lang w:val="es-ES"/>
        </w:rPr>
        <w:t>,</w:t>
      </w:r>
      <w:r w:rsidRPr="00975C02">
        <w:rPr>
          <w:sz w:val="20"/>
          <w:szCs w:val="20"/>
          <w:lang w:val="es-ES"/>
        </w:rPr>
        <w:t xml:space="preserve"> en particular</w:t>
      </w:r>
      <w:r w:rsidR="00C15A2E" w:rsidRPr="00975C02">
        <w:rPr>
          <w:sz w:val="20"/>
          <w:szCs w:val="20"/>
          <w:lang w:val="es-ES"/>
        </w:rPr>
        <w:t>,</w:t>
      </w:r>
      <w:r w:rsidRPr="00975C02">
        <w:rPr>
          <w:sz w:val="20"/>
          <w:szCs w:val="20"/>
          <w:lang w:val="es-ES"/>
        </w:rPr>
        <w:t xml:space="preserve"> a las medidas especiales de protección de niñas en perjuicio de V.R.P.</w:t>
      </w:r>
    </w:p>
    <w:p w14:paraId="303151E7" w14:textId="77777777" w:rsidR="00495E03" w:rsidRPr="00975C02" w:rsidRDefault="00495E03" w:rsidP="0011586B">
      <w:pPr>
        <w:pStyle w:val="ListParagraph"/>
        <w:spacing w:line="240" w:lineRule="auto"/>
        <w:ind w:left="0"/>
        <w:rPr>
          <w:rFonts w:cs="Arial"/>
          <w:sz w:val="20"/>
          <w:szCs w:val="20"/>
          <w:lang w:val="es-ES"/>
        </w:rPr>
      </w:pPr>
    </w:p>
    <w:p w14:paraId="6F1FCF06" w14:textId="525C0AC5" w:rsidR="0038400D" w:rsidRPr="00975C02" w:rsidRDefault="0038400D" w:rsidP="0038400D">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 xml:space="preserve">La Corte resalta </w:t>
      </w:r>
      <w:r w:rsidRPr="00975C02">
        <w:rPr>
          <w:sz w:val="20"/>
          <w:szCs w:val="20"/>
          <w:lang w:val="es-ES"/>
        </w:rPr>
        <w:t>que</w:t>
      </w:r>
      <w:r w:rsidRPr="00975C02">
        <w:rPr>
          <w:rFonts w:cs="Arial"/>
          <w:sz w:val="20"/>
          <w:szCs w:val="20"/>
          <w:lang w:val="es-ES"/>
        </w:rPr>
        <w:t>, en el presente caso, las alegadas vulneraciones de derechos humanos deben ser valoradas desde una perspectiva de género</w:t>
      </w:r>
      <w:r w:rsidRPr="00975C02">
        <w:rPr>
          <w:rFonts w:cs="Arial"/>
          <w:sz w:val="20"/>
          <w:szCs w:val="20"/>
          <w:vertAlign w:val="superscript"/>
          <w:lang w:val="es-ES"/>
        </w:rPr>
        <w:footnoteReference w:id="395"/>
      </w:r>
      <w:r w:rsidRPr="00975C02">
        <w:rPr>
          <w:rFonts w:cs="Arial"/>
          <w:sz w:val="20"/>
          <w:szCs w:val="20"/>
          <w:lang w:val="es-ES"/>
        </w:rPr>
        <w:t xml:space="preserve"> y en observancia del paradigma de protección integral de niñas</w:t>
      </w:r>
      <w:r w:rsidR="00907F82" w:rsidRPr="00975C02">
        <w:rPr>
          <w:rFonts w:cs="Arial"/>
          <w:sz w:val="20"/>
          <w:szCs w:val="20"/>
          <w:lang w:val="es-ES"/>
        </w:rPr>
        <w:t>,</w:t>
      </w:r>
      <w:r w:rsidRPr="00975C02">
        <w:rPr>
          <w:rFonts w:cs="Arial"/>
          <w:sz w:val="20"/>
          <w:szCs w:val="20"/>
          <w:lang w:val="es-ES"/>
        </w:rPr>
        <w:t xml:space="preserve"> niños</w:t>
      </w:r>
      <w:r w:rsidR="00907F82" w:rsidRPr="00975C02">
        <w:rPr>
          <w:rFonts w:cs="Arial"/>
          <w:sz w:val="20"/>
          <w:szCs w:val="20"/>
          <w:lang w:val="es-ES"/>
        </w:rPr>
        <w:t xml:space="preserve"> y adolescentes</w:t>
      </w:r>
      <w:r w:rsidRPr="00975C02">
        <w:rPr>
          <w:rFonts w:cs="Arial"/>
          <w:sz w:val="20"/>
          <w:szCs w:val="20"/>
          <w:vertAlign w:val="superscript"/>
          <w:lang w:val="es-ES"/>
        </w:rPr>
        <w:footnoteReference w:id="396"/>
      </w:r>
      <w:r w:rsidRPr="00975C02">
        <w:rPr>
          <w:rFonts w:cs="Arial"/>
          <w:sz w:val="20"/>
          <w:szCs w:val="20"/>
          <w:lang w:val="es-ES"/>
        </w:rPr>
        <w:t>. En este sentido, la Corte observa que la violación sexual es causa de severos daños físicos y psicológicos</w:t>
      </w:r>
      <w:r w:rsidRPr="00975C02">
        <w:rPr>
          <w:rFonts w:cs="Arial"/>
          <w:sz w:val="20"/>
          <w:szCs w:val="20"/>
          <w:vertAlign w:val="superscript"/>
          <w:lang w:val="es-ES"/>
        </w:rPr>
        <w:footnoteReference w:id="397"/>
      </w:r>
      <w:r w:rsidRPr="00975C02">
        <w:rPr>
          <w:rFonts w:cs="Arial"/>
          <w:sz w:val="20"/>
          <w:szCs w:val="20"/>
          <w:lang w:val="es-ES"/>
        </w:rPr>
        <w:t>, que se intensifican cuando la víctima es una niña, y en especial cuando el agresor ostenta una posición de autoridad sobre la misma. Todo ello puede razonablemente generar en la víctima un temor fundado de desprotección equiparable a persecución. Dentro de ese marco, aunque la violación sexual haya sido cometida por un particular, la responsabilidad internacional del Estado ante tal situación de temor fundado de desprotección equiparable a persecución puede generarse en cuanto tolere deliberadamente el acto causante, o se niegue a brindar protección, o sea incapaz de hacerlo</w:t>
      </w:r>
      <w:r w:rsidRPr="00975C02">
        <w:rPr>
          <w:rFonts w:cs="Arial"/>
          <w:sz w:val="20"/>
          <w:szCs w:val="20"/>
          <w:vertAlign w:val="superscript"/>
          <w:lang w:val="es-ES"/>
        </w:rPr>
        <w:footnoteReference w:id="398"/>
      </w:r>
      <w:r w:rsidRPr="00975C02">
        <w:rPr>
          <w:rFonts w:cs="Arial"/>
          <w:sz w:val="20"/>
          <w:szCs w:val="20"/>
          <w:lang w:val="es-ES"/>
        </w:rPr>
        <w:t>.</w:t>
      </w:r>
    </w:p>
    <w:p w14:paraId="32561DA7" w14:textId="77777777" w:rsidR="0038400D" w:rsidRPr="00975C02" w:rsidRDefault="0038400D" w:rsidP="0038400D">
      <w:pPr>
        <w:pStyle w:val="ListParagraph"/>
        <w:widowControl/>
        <w:adjustRightInd/>
        <w:spacing w:line="240" w:lineRule="auto"/>
        <w:ind w:left="0" w:right="49"/>
        <w:textAlignment w:val="auto"/>
        <w:rPr>
          <w:rFonts w:cs="Arial"/>
          <w:sz w:val="20"/>
          <w:szCs w:val="20"/>
          <w:lang w:val="es-ES"/>
        </w:rPr>
      </w:pPr>
    </w:p>
    <w:p w14:paraId="2CBC6EE7" w14:textId="5F5280AC" w:rsidR="0038400D" w:rsidRPr="006457BC" w:rsidRDefault="0038400D" w:rsidP="0038400D">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De conformidad con tales consideraciones, la Corte toma como punto de partida de su análisis el hecho de que la niña V.R.P. fue víctima de violación sexual, perpetrada, según ella ha indicado en reiteradas ocasiones, por su padre, lo cual le produjo graves daños físicos y profundas afectaciones psicológicas, así como también a su entorno familiar (</w:t>
      </w:r>
      <w:r w:rsidRPr="00975C02">
        <w:rPr>
          <w:rFonts w:cs="Arial"/>
          <w:i/>
          <w:sz w:val="20"/>
          <w:szCs w:val="20"/>
          <w:lang w:val="es-ES"/>
        </w:rPr>
        <w:t xml:space="preserve">supra </w:t>
      </w:r>
      <w:r w:rsidR="006E5BF7" w:rsidRPr="00975C02">
        <w:rPr>
          <w:rFonts w:cs="Arial"/>
          <w:sz w:val="20"/>
          <w:szCs w:val="20"/>
          <w:lang w:val="es-ES"/>
        </w:rPr>
        <w:t>C</w:t>
      </w:r>
      <w:r w:rsidRPr="00975C02">
        <w:rPr>
          <w:rFonts w:cs="Arial"/>
          <w:sz w:val="20"/>
          <w:szCs w:val="20"/>
          <w:lang w:val="es-ES"/>
        </w:rPr>
        <w:t xml:space="preserve">apítulo </w:t>
      </w:r>
      <w:r w:rsidR="006E5BF7" w:rsidRPr="00975C02">
        <w:rPr>
          <w:rFonts w:cs="Arial"/>
          <w:sz w:val="20"/>
          <w:szCs w:val="20"/>
          <w:lang w:val="es-ES"/>
        </w:rPr>
        <w:t>VIII-3</w:t>
      </w:r>
      <w:r w:rsidRPr="00975C02">
        <w:rPr>
          <w:rFonts w:cs="Arial"/>
          <w:sz w:val="20"/>
          <w:szCs w:val="20"/>
          <w:lang w:val="es-ES"/>
        </w:rPr>
        <w:t>). A raíz de estos hechos, su progenitora presentó una denuncia por violación sexual. En la tramitación del proceso penal, el Estado no sólo no adoptó medidas especiales de protección de los derechos que correspondían a V.R.P.</w:t>
      </w:r>
      <w:r w:rsidR="006E5BF7" w:rsidRPr="00975C02">
        <w:rPr>
          <w:rFonts w:cs="Arial"/>
          <w:sz w:val="20"/>
          <w:szCs w:val="20"/>
          <w:lang w:val="es-ES"/>
        </w:rPr>
        <w:t>,</w:t>
      </w:r>
      <w:r w:rsidRPr="00975C02">
        <w:rPr>
          <w:rFonts w:cs="Arial"/>
          <w:sz w:val="20"/>
          <w:szCs w:val="20"/>
          <w:lang w:val="es-ES"/>
        </w:rPr>
        <w:t xml:space="preserve"> como niña víctima de violencia sexual, sino que faltó a su deber de debida diligencia reforzada y ejerció a través de sus funcionarios públicos actos de violencia institucional </w:t>
      </w:r>
      <w:r w:rsidRPr="00975C02">
        <w:rPr>
          <w:rFonts w:cs="Arial"/>
          <w:sz w:val="20"/>
          <w:szCs w:val="20"/>
          <w:lang w:val="es-ES"/>
        </w:rPr>
        <w:lastRenderedPageBreak/>
        <w:t>contra V.R.P.</w:t>
      </w:r>
      <w:r w:rsidR="006E5BF7" w:rsidRPr="00975C02">
        <w:rPr>
          <w:rFonts w:cs="Arial"/>
          <w:sz w:val="20"/>
          <w:szCs w:val="20"/>
          <w:lang w:val="es-ES"/>
        </w:rPr>
        <w:t>, los</w:t>
      </w:r>
      <w:r w:rsidRPr="00975C02">
        <w:rPr>
          <w:rFonts w:cs="Arial"/>
          <w:sz w:val="20"/>
          <w:szCs w:val="20"/>
          <w:lang w:val="es-ES"/>
        </w:rPr>
        <w:t xml:space="preserve"> que provocaron graves efectos de revictimización (</w:t>
      </w:r>
      <w:r w:rsidRPr="00975C02">
        <w:rPr>
          <w:rFonts w:cs="Arial"/>
          <w:i/>
          <w:sz w:val="20"/>
          <w:szCs w:val="20"/>
          <w:lang w:val="es-ES"/>
        </w:rPr>
        <w:t xml:space="preserve">supra </w:t>
      </w:r>
      <w:r w:rsidR="006E5BF7" w:rsidRPr="00975C02">
        <w:rPr>
          <w:rFonts w:cs="Arial"/>
          <w:sz w:val="20"/>
          <w:szCs w:val="20"/>
          <w:lang w:val="es-ES"/>
        </w:rPr>
        <w:t>párrs. 291 a 299</w:t>
      </w:r>
      <w:r w:rsidRPr="00975C02">
        <w:rPr>
          <w:rFonts w:cs="Arial"/>
          <w:sz w:val="20"/>
          <w:szCs w:val="20"/>
          <w:lang w:val="es-ES"/>
        </w:rPr>
        <w:t xml:space="preserve">). </w:t>
      </w:r>
      <w:r w:rsidR="00FA687A" w:rsidRPr="006457BC">
        <w:rPr>
          <w:rFonts w:cs="Arial"/>
          <w:sz w:val="20"/>
          <w:szCs w:val="20"/>
          <w:lang w:val="es-ES"/>
        </w:rPr>
        <w:t>L</w:t>
      </w:r>
      <w:r w:rsidRPr="006457BC">
        <w:rPr>
          <w:rFonts w:cs="Arial"/>
          <w:sz w:val="20"/>
          <w:szCs w:val="20"/>
          <w:lang w:val="es-ES"/>
        </w:rPr>
        <w:t>os actos de violencia institucional consistieron</w:t>
      </w:r>
      <w:r w:rsidR="006457BC">
        <w:rPr>
          <w:rFonts w:cs="Arial"/>
          <w:sz w:val="20"/>
          <w:szCs w:val="20"/>
          <w:lang w:val="es-ES"/>
        </w:rPr>
        <w:t>, entre otros,</w:t>
      </w:r>
      <w:r w:rsidRPr="006457BC">
        <w:rPr>
          <w:rFonts w:cs="Arial"/>
          <w:sz w:val="20"/>
          <w:szCs w:val="20"/>
          <w:lang w:val="es-ES"/>
        </w:rPr>
        <w:t xml:space="preserve"> en forzar a V.R.P. para que se sometiera al primer examen médico forense</w:t>
      </w:r>
      <w:r w:rsidR="008A4CF8" w:rsidRPr="006457BC">
        <w:rPr>
          <w:rFonts w:cs="Arial"/>
          <w:sz w:val="20"/>
          <w:szCs w:val="20"/>
          <w:lang w:val="es-ES"/>
        </w:rPr>
        <w:t xml:space="preserve"> </w:t>
      </w:r>
      <w:r w:rsidRPr="006457BC">
        <w:rPr>
          <w:rFonts w:cs="Arial"/>
          <w:sz w:val="20"/>
          <w:szCs w:val="20"/>
          <w:lang w:val="es-ES"/>
        </w:rPr>
        <w:t xml:space="preserve">y </w:t>
      </w:r>
      <w:r w:rsidR="00A02FB7">
        <w:rPr>
          <w:rFonts w:cs="Arial"/>
          <w:sz w:val="20"/>
          <w:szCs w:val="20"/>
          <w:lang w:val="es-ES"/>
        </w:rPr>
        <w:t>participara en</w:t>
      </w:r>
      <w:r w:rsidRPr="006457BC">
        <w:rPr>
          <w:rFonts w:cs="Arial"/>
          <w:sz w:val="20"/>
          <w:szCs w:val="20"/>
          <w:lang w:val="es-ES"/>
        </w:rPr>
        <w:t xml:space="preserve"> la reconstrucción de los hechos, a pesar de su negativa a hacerlo, mediante amenazas de que en caso contrario su agresor saldría en libertad</w:t>
      </w:r>
      <w:r w:rsidR="006457BC">
        <w:rPr>
          <w:rFonts w:cs="Arial"/>
          <w:sz w:val="20"/>
          <w:szCs w:val="20"/>
          <w:lang w:val="es-ES"/>
        </w:rPr>
        <w:t xml:space="preserve"> (</w:t>
      </w:r>
      <w:r w:rsidR="006457BC">
        <w:rPr>
          <w:rFonts w:cs="Arial"/>
          <w:i/>
          <w:sz w:val="20"/>
          <w:szCs w:val="20"/>
          <w:lang w:val="es-ES"/>
        </w:rPr>
        <w:t>supra</w:t>
      </w:r>
      <w:r w:rsidR="006457BC">
        <w:rPr>
          <w:rFonts w:cs="Arial"/>
          <w:sz w:val="20"/>
          <w:szCs w:val="20"/>
          <w:lang w:val="es-ES"/>
        </w:rPr>
        <w:t xml:space="preserve"> párr. 295)</w:t>
      </w:r>
      <w:r w:rsidRPr="006457BC">
        <w:rPr>
          <w:rFonts w:cs="Arial"/>
          <w:sz w:val="20"/>
          <w:szCs w:val="20"/>
          <w:lang w:val="es-ES"/>
        </w:rPr>
        <w:t>.</w:t>
      </w:r>
    </w:p>
    <w:p w14:paraId="53F76896" w14:textId="77777777" w:rsidR="0038400D" w:rsidRPr="00975C02" w:rsidRDefault="0038400D" w:rsidP="0038400D">
      <w:pPr>
        <w:pStyle w:val="ListParagraph"/>
        <w:widowControl/>
        <w:adjustRightInd/>
        <w:spacing w:line="240" w:lineRule="auto"/>
        <w:ind w:left="0" w:right="49"/>
        <w:textAlignment w:val="auto"/>
        <w:rPr>
          <w:rFonts w:cs="Arial"/>
          <w:sz w:val="20"/>
          <w:szCs w:val="20"/>
          <w:lang w:val="es-ES"/>
        </w:rPr>
      </w:pPr>
    </w:p>
    <w:p w14:paraId="55742612" w14:textId="397B2129" w:rsidR="0038400D" w:rsidRPr="00975C02" w:rsidRDefault="0038400D" w:rsidP="0038400D">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Asimismo, como fue demostrado anteriormente, los hechos de violencia sexual quedaron en impunidad tras la decisión de un Tribunal de Jurados cuestionado por su falta de imparcialidad objetiva (</w:t>
      </w:r>
      <w:r w:rsidRPr="00975C02">
        <w:rPr>
          <w:rFonts w:cs="Arial"/>
          <w:i/>
          <w:sz w:val="20"/>
          <w:szCs w:val="20"/>
          <w:lang w:val="es-ES"/>
        </w:rPr>
        <w:t xml:space="preserve">supra </w:t>
      </w:r>
      <w:r w:rsidR="00FA687A" w:rsidRPr="00975C02">
        <w:rPr>
          <w:rFonts w:cs="Arial"/>
          <w:sz w:val="20"/>
          <w:szCs w:val="20"/>
          <w:lang w:val="es-ES"/>
        </w:rPr>
        <w:t>párr. 253</w:t>
      </w:r>
      <w:r w:rsidR="00907F82" w:rsidRPr="00975C02">
        <w:rPr>
          <w:rFonts w:cs="Arial"/>
          <w:sz w:val="20"/>
          <w:szCs w:val="20"/>
          <w:lang w:val="es-ES"/>
        </w:rPr>
        <w:t>)</w:t>
      </w:r>
      <w:r w:rsidRPr="00975C02">
        <w:rPr>
          <w:rFonts w:cs="Arial"/>
          <w:sz w:val="20"/>
          <w:szCs w:val="20"/>
          <w:lang w:val="es-ES"/>
        </w:rPr>
        <w:t>, cuyo veredicto de absolución significó un resultado imprevisible según las actuaciones realizadas a lo largo del proceso penal (</w:t>
      </w:r>
      <w:r w:rsidRPr="00975C02">
        <w:rPr>
          <w:rFonts w:cs="Arial"/>
          <w:i/>
          <w:sz w:val="20"/>
          <w:szCs w:val="20"/>
          <w:lang w:val="es-ES"/>
        </w:rPr>
        <w:t xml:space="preserve">supra </w:t>
      </w:r>
      <w:r w:rsidRPr="00975C02">
        <w:rPr>
          <w:rFonts w:cs="Arial"/>
          <w:sz w:val="20"/>
          <w:szCs w:val="20"/>
          <w:lang w:val="es-ES"/>
        </w:rPr>
        <w:t xml:space="preserve">párr. </w:t>
      </w:r>
      <w:r w:rsidR="00FA687A" w:rsidRPr="00975C02">
        <w:rPr>
          <w:rFonts w:cs="Arial"/>
          <w:sz w:val="20"/>
          <w:szCs w:val="20"/>
          <w:lang w:val="es-ES"/>
        </w:rPr>
        <w:t>269</w:t>
      </w:r>
      <w:r w:rsidR="00907F82" w:rsidRPr="00975C02">
        <w:rPr>
          <w:rFonts w:cs="Arial"/>
          <w:sz w:val="20"/>
          <w:szCs w:val="20"/>
          <w:lang w:val="es-ES"/>
        </w:rPr>
        <w:t>)</w:t>
      </w:r>
      <w:r w:rsidRPr="00975C02">
        <w:rPr>
          <w:rFonts w:cs="Arial"/>
          <w:sz w:val="20"/>
          <w:szCs w:val="20"/>
          <w:lang w:val="es-ES"/>
        </w:rPr>
        <w:t>. Tras dicho veredicto, la señora V.P.C. y su hermana presentaron denuncia penal contra H.R.A. por amenazas que habrían sufrido la noche del mismo día en que se dictó la absolución</w:t>
      </w:r>
      <w:r w:rsidR="00110FC4" w:rsidRPr="00975C02">
        <w:rPr>
          <w:rFonts w:cs="Arial"/>
          <w:sz w:val="20"/>
          <w:szCs w:val="20"/>
          <w:lang w:val="es-ES"/>
        </w:rPr>
        <w:t xml:space="preserve"> (</w:t>
      </w:r>
      <w:r w:rsidR="00110FC4" w:rsidRPr="00975C02">
        <w:rPr>
          <w:rFonts w:cs="Arial"/>
          <w:i/>
          <w:sz w:val="20"/>
          <w:szCs w:val="20"/>
          <w:lang w:val="es-ES"/>
        </w:rPr>
        <w:t xml:space="preserve">supra </w:t>
      </w:r>
      <w:r w:rsidR="00110FC4" w:rsidRPr="00975C02">
        <w:rPr>
          <w:rFonts w:cs="Arial"/>
          <w:sz w:val="20"/>
          <w:szCs w:val="20"/>
          <w:lang w:val="es-ES"/>
        </w:rPr>
        <w:t xml:space="preserve">párr. </w:t>
      </w:r>
      <w:r w:rsidR="00FA687A" w:rsidRPr="00975C02">
        <w:rPr>
          <w:rFonts w:cs="Arial"/>
          <w:sz w:val="20"/>
          <w:szCs w:val="20"/>
          <w:lang w:val="es-ES"/>
        </w:rPr>
        <w:t>102</w:t>
      </w:r>
      <w:r w:rsidR="00110FC4" w:rsidRPr="00975C02">
        <w:rPr>
          <w:rFonts w:cs="Arial"/>
          <w:sz w:val="20"/>
          <w:szCs w:val="20"/>
          <w:lang w:val="es-ES"/>
        </w:rPr>
        <w:t>)</w:t>
      </w:r>
      <w:r w:rsidRPr="00975C02">
        <w:rPr>
          <w:rFonts w:cs="Arial"/>
          <w:sz w:val="20"/>
          <w:szCs w:val="20"/>
          <w:lang w:val="es-ES"/>
        </w:rPr>
        <w:t>. Por otra parte, la falta de respuesta de las autoridades frente a las quejas presentadas por V.P.C. ante los actos de violencia institucional y demás irregularidades cometidas en el transcurso del proceso penal por violencia sexual (</w:t>
      </w:r>
      <w:r w:rsidRPr="00975C02">
        <w:rPr>
          <w:rFonts w:cs="Arial"/>
          <w:i/>
          <w:sz w:val="20"/>
          <w:szCs w:val="20"/>
          <w:lang w:val="es-ES"/>
        </w:rPr>
        <w:t xml:space="preserve">supra </w:t>
      </w:r>
      <w:r w:rsidR="00FA687A" w:rsidRPr="00975C02">
        <w:rPr>
          <w:rFonts w:cs="Arial"/>
          <w:sz w:val="20"/>
          <w:szCs w:val="20"/>
          <w:lang w:val="es-ES"/>
        </w:rPr>
        <w:t>párrs. 125 a 132</w:t>
      </w:r>
      <w:r w:rsidRPr="00975C02">
        <w:rPr>
          <w:rFonts w:cs="Arial"/>
          <w:sz w:val="20"/>
          <w:szCs w:val="20"/>
          <w:lang w:val="es-ES"/>
        </w:rPr>
        <w:t>), se vio agravada por las denuncias interpuestas en contra de V.P.C. y de otros familiares que se habían involucrado en la búsqueda de justicia</w:t>
      </w:r>
      <w:r w:rsidR="00FA687A" w:rsidRPr="00975C02">
        <w:rPr>
          <w:rFonts w:cs="Arial"/>
          <w:sz w:val="20"/>
          <w:szCs w:val="20"/>
          <w:lang w:val="es-ES"/>
        </w:rPr>
        <w:t xml:space="preserve"> (</w:t>
      </w:r>
      <w:r w:rsidR="00FA687A" w:rsidRPr="00975C02">
        <w:rPr>
          <w:rFonts w:cs="Arial"/>
          <w:i/>
          <w:sz w:val="20"/>
          <w:szCs w:val="20"/>
          <w:lang w:val="es-ES"/>
        </w:rPr>
        <w:t xml:space="preserve">supra </w:t>
      </w:r>
      <w:r w:rsidR="00FA687A" w:rsidRPr="00975C02">
        <w:rPr>
          <w:rFonts w:cs="Arial"/>
          <w:sz w:val="20"/>
          <w:szCs w:val="20"/>
          <w:lang w:val="es-ES"/>
        </w:rPr>
        <w:t>párr. 133)</w:t>
      </w:r>
      <w:r w:rsidRPr="00975C02">
        <w:rPr>
          <w:rFonts w:cs="Arial"/>
          <w:sz w:val="20"/>
          <w:szCs w:val="20"/>
          <w:lang w:val="es-ES"/>
        </w:rPr>
        <w:t>, por parte de funcionarios y servidores públicos que intervinieron en el proceso penal por violación sexual y las diferentes citaciones judiciales recibidas con motivo de los mencionados procedimientos penales a fin de que comparecieran al Juzgado Local de lo Penal de Jinotega para prestar declaración</w:t>
      </w:r>
      <w:r w:rsidRPr="00975C02">
        <w:rPr>
          <w:rFonts w:cs="Arial"/>
          <w:sz w:val="20"/>
          <w:szCs w:val="20"/>
          <w:vertAlign w:val="superscript"/>
          <w:lang w:val="es-ES"/>
        </w:rPr>
        <w:footnoteReference w:id="399"/>
      </w:r>
      <w:r w:rsidRPr="00975C02">
        <w:rPr>
          <w:rFonts w:cs="Arial"/>
          <w:sz w:val="20"/>
          <w:szCs w:val="20"/>
          <w:lang w:val="es-ES"/>
        </w:rPr>
        <w:t>. Además, quedó comprobada la estigmatización social sufrida por V.R.P. y sus familiares a consecuencia del proceso judicial, cuyos efectos se intensificaron tras el veredicto de absolución (</w:t>
      </w:r>
      <w:r w:rsidRPr="00975C02">
        <w:rPr>
          <w:rFonts w:cs="Arial"/>
          <w:i/>
          <w:sz w:val="20"/>
          <w:szCs w:val="20"/>
          <w:lang w:val="es-ES"/>
        </w:rPr>
        <w:t xml:space="preserve">supra </w:t>
      </w:r>
      <w:r w:rsidR="00FA687A" w:rsidRPr="00975C02">
        <w:rPr>
          <w:rFonts w:cs="Arial"/>
          <w:sz w:val="20"/>
          <w:szCs w:val="20"/>
          <w:lang w:val="es-ES"/>
        </w:rPr>
        <w:t>C</w:t>
      </w:r>
      <w:r w:rsidRPr="00975C02">
        <w:rPr>
          <w:rFonts w:cs="Arial"/>
          <w:sz w:val="20"/>
          <w:szCs w:val="20"/>
          <w:lang w:val="es-ES"/>
        </w:rPr>
        <w:t xml:space="preserve">apítulo </w:t>
      </w:r>
      <w:r w:rsidR="00FA687A" w:rsidRPr="00975C02">
        <w:rPr>
          <w:rFonts w:cs="Arial"/>
          <w:sz w:val="20"/>
          <w:szCs w:val="20"/>
          <w:lang w:val="es-ES"/>
        </w:rPr>
        <w:t>VIII-3</w:t>
      </w:r>
      <w:r w:rsidRPr="00975C02">
        <w:rPr>
          <w:rFonts w:cs="Arial"/>
          <w:sz w:val="20"/>
          <w:szCs w:val="20"/>
          <w:lang w:val="es-ES"/>
        </w:rPr>
        <w:t>).</w:t>
      </w:r>
    </w:p>
    <w:p w14:paraId="63E569BD" w14:textId="77777777" w:rsidR="0038400D" w:rsidRPr="00975C02" w:rsidRDefault="0038400D" w:rsidP="0038400D">
      <w:pPr>
        <w:pStyle w:val="ListParagraph"/>
        <w:widowControl/>
        <w:adjustRightInd/>
        <w:spacing w:line="240" w:lineRule="auto"/>
        <w:ind w:left="0" w:right="49"/>
        <w:textAlignment w:val="auto"/>
        <w:rPr>
          <w:rFonts w:cs="Arial"/>
          <w:sz w:val="20"/>
          <w:szCs w:val="20"/>
          <w:lang w:val="es-ES"/>
        </w:rPr>
      </w:pPr>
    </w:p>
    <w:p w14:paraId="73165265" w14:textId="634EB6CA" w:rsidR="0038400D" w:rsidRPr="00975C02" w:rsidRDefault="0038400D" w:rsidP="00C67008">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Ante este contexto, la señora V.P.C. señaló en la audiencia ante esta Corte que, cuando salieron de Nicaragua, “iban con miedo, producto de todas las acusaciones criminales, que tanto el médico forense como la juez local y la otra persona del jurado habían interpuesto en [su] contra […], en contra de [su] madre que era una señora de 70 años, y en contra de [su] hermana por el solo hecho de acompañar[la] en los procesos”. Precisó que el temor que sentían se refería al hecho de “ser castigadas o perseguidas por haber proseguido con todas las denuncias que se hicieron en contra de los funcionarios públicos”. Agregó que no tenían “la confianza en el Estado de Nicaragua de que realmente las cosas se [iban] a hacer de una manera de respetar los derechos”</w:t>
      </w:r>
      <w:r w:rsidRPr="00975C02">
        <w:rPr>
          <w:rFonts w:cs="Arial"/>
          <w:sz w:val="20"/>
          <w:szCs w:val="20"/>
          <w:vertAlign w:val="superscript"/>
          <w:lang w:val="es-ES"/>
        </w:rPr>
        <w:footnoteReference w:id="400"/>
      </w:r>
      <w:r w:rsidRPr="00975C02">
        <w:rPr>
          <w:rFonts w:cs="Arial"/>
          <w:sz w:val="20"/>
          <w:szCs w:val="20"/>
          <w:lang w:val="es-ES"/>
        </w:rPr>
        <w:t>. En igual sentido se expresaron sus hijos V.R.P.</w:t>
      </w:r>
      <w:r w:rsidRPr="00975C02">
        <w:rPr>
          <w:rFonts w:cs="Arial"/>
          <w:sz w:val="20"/>
          <w:szCs w:val="20"/>
          <w:vertAlign w:val="superscript"/>
          <w:lang w:val="es-ES"/>
        </w:rPr>
        <w:footnoteReference w:id="401"/>
      </w:r>
      <w:r w:rsidRPr="00975C02">
        <w:rPr>
          <w:rFonts w:cs="Arial"/>
          <w:sz w:val="20"/>
          <w:szCs w:val="20"/>
          <w:lang w:val="es-ES"/>
        </w:rPr>
        <w:t xml:space="preserve"> y H.</w:t>
      </w:r>
      <w:r w:rsidR="0036509B" w:rsidRPr="00975C02">
        <w:rPr>
          <w:rFonts w:cs="Arial"/>
          <w:sz w:val="20"/>
          <w:szCs w:val="20"/>
          <w:lang w:val="es-ES"/>
        </w:rPr>
        <w:t>J.</w:t>
      </w:r>
      <w:r w:rsidRPr="00975C02">
        <w:rPr>
          <w:rFonts w:cs="Arial"/>
          <w:sz w:val="20"/>
          <w:szCs w:val="20"/>
          <w:lang w:val="es-ES"/>
        </w:rPr>
        <w:t>R.P.</w:t>
      </w:r>
      <w:r w:rsidRPr="00975C02">
        <w:rPr>
          <w:rFonts w:cs="Arial"/>
          <w:sz w:val="20"/>
          <w:szCs w:val="20"/>
          <w:vertAlign w:val="superscript"/>
          <w:lang w:val="es-ES"/>
        </w:rPr>
        <w:footnoteReference w:id="402"/>
      </w:r>
      <w:r w:rsidRPr="00975C02">
        <w:rPr>
          <w:rFonts w:cs="Arial"/>
          <w:sz w:val="20"/>
          <w:szCs w:val="20"/>
          <w:lang w:val="es-ES"/>
        </w:rPr>
        <w:t xml:space="preserve"> en torno a las circunstancias de la salida de Nicaragua de V.P.C., junto con sus hijas.</w:t>
      </w:r>
    </w:p>
    <w:p w14:paraId="3A63EB9F" w14:textId="77777777" w:rsidR="00C67008" w:rsidRPr="00975C02" w:rsidRDefault="00C67008" w:rsidP="00C67008">
      <w:pPr>
        <w:pStyle w:val="ListParagraph"/>
        <w:widowControl/>
        <w:adjustRightInd/>
        <w:spacing w:line="240" w:lineRule="auto"/>
        <w:ind w:left="0" w:right="49"/>
        <w:textAlignment w:val="auto"/>
        <w:rPr>
          <w:rFonts w:cs="Arial"/>
          <w:sz w:val="20"/>
          <w:szCs w:val="20"/>
          <w:lang w:val="es-ES"/>
        </w:rPr>
      </w:pPr>
    </w:p>
    <w:p w14:paraId="26530137" w14:textId="5DC73BF2" w:rsidR="0038400D" w:rsidRPr="00975C02" w:rsidRDefault="0038400D" w:rsidP="008513A5">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lastRenderedPageBreak/>
        <w:t xml:space="preserve">A partir de la valoración integral de las razones esgrimidas, la Corte </w:t>
      </w:r>
      <w:r w:rsidR="00192F16" w:rsidRPr="00975C02">
        <w:rPr>
          <w:rFonts w:cs="Arial"/>
          <w:sz w:val="20"/>
          <w:szCs w:val="20"/>
          <w:lang w:val="es-ES"/>
        </w:rPr>
        <w:t xml:space="preserve">encuentra probado </w:t>
      </w:r>
      <w:r w:rsidRPr="00975C02">
        <w:rPr>
          <w:rFonts w:cs="Arial"/>
          <w:sz w:val="20"/>
          <w:szCs w:val="20"/>
          <w:lang w:val="es-ES"/>
        </w:rPr>
        <w:t xml:space="preserve">que se trata de un cúmulo de factores que en su conjunto demuestran que el temor de desprotección de sus derechos por parte del Estado </w:t>
      </w:r>
      <w:r w:rsidRPr="00975C02">
        <w:rPr>
          <w:rFonts w:cs="Arial"/>
          <w:bCs/>
          <w:sz w:val="20"/>
          <w:szCs w:val="20"/>
          <w:lang w:val="es-ES"/>
        </w:rPr>
        <w:t>si permanecían en Nicaragua,</w:t>
      </w:r>
      <w:r w:rsidRPr="00975C02">
        <w:rPr>
          <w:rFonts w:cs="Arial"/>
          <w:sz w:val="20"/>
          <w:szCs w:val="20"/>
          <w:lang w:val="es-ES"/>
        </w:rPr>
        <w:t xml:space="preserve"> era razonable y fundado. El Estado, a través del accionar que desplegó desde el momento en que tomó conocimiento de los hechos de violencia sexual y a lo largo de todo el proceso, demostró que era incapaz de brindar una protección adecuada a los derechos de las víctimas desde una perspectiva de género y en observancia del paradigma de protección integral de niñas</w:t>
      </w:r>
      <w:r w:rsidR="0036509B" w:rsidRPr="00975C02">
        <w:rPr>
          <w:rFonts w:cs="Arial"/>
          <w:sz w:val="20"/>
          <w:szCs w:val="20"/>
          <w:lang w:val="es-ES"/>
        </w:rPr>
        <w:t>,</w:t>
      </w:r>
      <w:r w:rsidRPr="00975C02">
        <w:rPr>
          <w:rFonts w:cs="Arial"/>
          <w:sz w:val="20"/>
          <w:szCs w:val="20"/>
          <w:lang w:val="es-ES"/>
        </w:rPr>
        <w:t xml:space="preserve"> niños</w:t>
      </w:r>
      <w:r w:rsidR="0036509B" w:rsidRPr="00975C02">
        <w:rPr>
          <w:rFonts w:cs="Arial"/>
          <w:sz w:val="20"/>
          <w:szCs w:val="20"/>
          <w:lang w:val="es-ES"/>
        </w:rPr>
        <w:t xml:space="preserve"> y adolescentes</w:t>
      </w:r>
      <w:r w:rsidRPr="00975C02">
        <w:rPr>
          <w:rFonts w:cs="Arial"/>
          <w:sz w:val="20"/>
          <w:szCs w:val="20"/>
          <w:lang w:val="es-ES"/>
        </w:rPr>
        <w:t>. Incluso, el Estado se posicionó como un agente capaz de intensificar la violencia sufrida y sus efectos ante situaciones en que se requería su resguardo.</w:t>
      </w:r>
    </w:p>
    <w:p w14:paraId="59625546" w14:textId="77777777" w:rsidR="008513A5" w:rsidRPr="00975C02" w:rsidRDefault="008513A5" w:rsidP="008513A5">
      <w:pPr>
        <w:pStyle w:val="ListParagraph"/>
        <w:widowControl/>
        <w:adjustRightInd/>
        <w:spacing w:line="240" w:lineRule="auto"/>
        <w:ind w:left="0" w:right="49"/>
        <w:textAlignment w:val="auto"/>
        <w:rPr>
          <w:rFonts w:cs="Arial"/>
          <w:sz w:val="20"/>
          <w:szCs w:val="20"/>
          <w:lang w:val="es-ES"/>
        </w:rPr>
      </w:pPr>
    </w:p>
    <w:p w14:paraId="2C6E4469" w14:textId="673A5A09" w:rsidR="008513A5" w:rsidRPr="00975C02" w:rsidRDefault="0038400D" w:rsidP="008513A5">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En cuanto a las denuncias interpuestas contra la señora V.P.C., la jurisprudencia de la Corte ha sostenido que es evidente que un Estado no puede evitar que una persona ejerza alguna acción legal contra otra. En este sentido, es claro que el Estado no tiene responsabilidad por el hecho en sí de que esas personas hayan interpuesto una querella y una denuncia o instaurado un proceso civil contra ella o de que las autoridades judiciales hayan abierto las causas respectivas</w:t>
      </w:r>
      <w:r w:rsidRPr="00975C02">
        <w:rPr>
          <w:rFonts w:cs="Arial"/>
          <w:sz w:val="20"/>
          <w:szCs w:val="20"/>
          <w:vertAlign w:val="superscript"/>
          <w:lang w:val="es-ES"/>
        </w:rPr>
        <w:footnoteReference w:id="403"/>
      </w:r>
      <w:r w:rsidRPr="00975C02">
        <w:rPr>
          <w:rFonts w:cs="Arial"/>
          <w:sz w:val="20"/>
          <w:szCs w:val="20"/>
          <w:lang w:val="es-ES"/>
        </w:rPr>
        <w:t>. No obstante, la Corte advierte que en este caso existe una estrecha relación entre las denuncias interpuestas contra V.P.C. y el ejercicio de un cargo de poder como era la función pública o servicio público de las personas denunciantes. Los funcionarios y servidores públicos intervinientes en el proceso penal accionaron judicialmente en respuesta a las quejas y denuncias que V.P.C. había formulado alegando deficiencias e irregularidades en el desempeño de sus respectivos cargos públicos, que tuvieron la entidad de configurar violencia institucional y de género. En consecuencia, resulta razonable entender que las denuncias constituyeron para las víctimas una forma de amedrentamiento que generó</w:t>
      </w:r>
      <w:r w:rsidR="0036509B" w:rsidRPr="00975C02">
        <w:rPr>
          <w:rFonts w:cs="Arial"/>
          <w:sz w:val="20"/>
          <w:szCs w:val="20"/>
          <w:lang w:val="es-ES"/>
        </w:rPr>
        <w:t>,</w:t>
      </w:r>
      <w:r w:rsidRPr="00975C02">
        <w:rPr>
          <w:rFonts w:cs="Arial"/>
          <w:sz w:val="20"/>
          <w:szCs w:val="20"/>
          <w:lang w:val="es-ES"/>
        </w:rPr>
        <w:t xml:space="preserve"> en su subjetividad</w:t>
      </w:r>
      <w:r w:rsidR="0036509B" w:rsidRPr="00975C02">
        <w:rPr>
          <w:rFonts w:cs="Arial"/>
          <w:sz w:val="20"/>
          <w:szCs w:val="20"/>
          <w:lang w:val="es-ES"/>
        </w:rPr>
        <w:t>,</w:t>
      </w:r>
      <w:r w:rsidRPr="00975C02">
        <w:rPr>
          <w:rFonts w:cs="Arial"/>
          <w:sz w:val="20"/>
          <w:szCs w:val="20"/>
          <w:lang w:val="es-ES"/>
        </w:rPr>
        <w:t xml:space="preserve"> un temor fundado de hostigamiento judicial.</w:t>
      </w:r>
    </w:p>
    <w:p w14:paraId="1D432BCA" w14:textId="77777777" w:rsidR="00EE3F08" w:rsidRPr="00975C02" w:rsidRDefault="00EE3F08" w:rsidP="00EE3F08">
      <w:pPr>
        <w:pStyle w:val="ListParagraph"/>
        <w:widowControl/>
        <w:adjustRightInd/>
        <w:spacing w:line="240" w:lineRule="auto"/>
        <w:ind w:left="0" w:right="49"/>
        <w:textAlignment w:val="auto"/>
        <w:rPr>
          <w:rFonts w:cs="Arial"/>
          <w:sz w:val="20"/>
          <w:szCs w:val="20"/>
          <w:lang w:val="es-ES"/>
        </w:rPr>
      </w:pPr>
    </w:p>
    <w:p w14:paraId="34F3AE57" w14:textId="51093D86" w:rsidR="0038400D" w:rsidRPr="00975C02" w:rsidRDefault="0038400D" w:rsidP="000D41E0">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 xml:space="preserve">Asimismo, </w:t>
      </w:r>
      <w:r w:rsidR="00EE3F08" w:rsidRPr="00975C02">
        <w:rPr>
          <w:rFonts w:cs="Arial"/>
          <w:sz w:val="20"/>
          <w:szCs w:val="20"/>
          <w:lang w:val="es-ES"/>
        </w:rPr>
        <w:t>diferentes informes advirtieron sobre la posible influencia del poder político sobre el sistema judicial de Nicaragua y su falta de imparcialidad e independencia y, en particular, sobre la respuesta del sistema judicial frente a casos de violencia sexual contra niñ</w:t>
      </w:r>
      <w:r w:rsidR="002900D1" w:rsidRPr="00975C02">
        <w:rPr>
          <w:rFonts w:cs="Arial"/>
          <w:sz w:val="20"/>
          <w:szCs w:val="20"/>
          <w:lang w:val="es-ES"/>
        </w:rPr>
        <w:t>a</w:t>
      </w:r>
      <w:r w:rsidR="00EE3F08" w:rsidRPr="00975C02">
        <w:rPr>
          <w:rFonts w:cs="Arial"/>
          <w:sz w:val="20"/>
          <w:szCs w:val="20"/>
          <w:lang w:val="es-ES"/>
        </w:rPr>
        <w:t>s</w:t>
      </w:r>
      <w:r w:rsidR="002900D1" w:rsidRPr="00975C02">
        <w:rPr>
          <w:rFonts w:cs="Arial"/>
          <w:sz w:val="20"/>
          <w:szCs w:val="20"/>
          <w:lang w:val="es-ES"/>
        </w:rPr>
        <w:t>,</w:t>
      </w:r>
      <w:r w:rsidR="00EE3F08" w:rsidRPr="00975C02">
        <w:rPr>
          <w:rFonts w:cs="Arial"/>
          <w:sz w:val="20"/>
          <w:szCs w:val="20"/>
          <w:lang w:val="es-ES"/>
        </w:rPr>
        <w:t xml:space="preserve"> niñ</w:t>
      </w:r>
      <w:r w:rsidR="002900D1" w:rsidRPr="00975C02">
        <w:rPr>
          <w:rFonts w:cs="Arial"/>
          <w:sz w:val="20"/>
          <w:szCs w:val="20"/>
          <w:lang w:val="es-ES"/>
        </w:rPr>
        <w:t>o</w:t>
      </w:r>
      <w:r w:rsidR="00EE3F08" w:rsidRPr="00975C02">
        <w:rPr>
          <w:rFonts w:cs="Arial"/>
          <w:sz w:val="20"/>
          <w:szCs w:val="20"/>
          <w:lang w:val="es-ES"/>
        </w:rPr>
        <w:t>s</w:t>
      </w:r>
      <w:r w:rsidR="002900D1" w:rsidRPr="00975C02">
        <w:rPr>
          <w:rFonts w:cs="Arial"/>
          <w:sz w:val="20"/>
          <w:szCs w:val="20"/>
          <w:lang w:val="es-ES"/>
        </w:rPr>
        <w:t xml:space="preserve"> y adolescentes</w:t>
      </w:r>
      <w:r w:rsidR="00EE3F08" w:rsidRPr="00975C02">
        <w:rPr>
          <w:rFonts w:cs="Arial"/>
          <w:sz w:val="20"/>
          <w:szCs w:val="20"/>
          <w:lang w:val="es-ES"/>
        </w:rPr>
        <w:t>, en relación con la impunidad de los agresores y la obstaculización del acceso a la justicia de las víctimas</w:t>
      </w:r>
      <w:r w:rsidR="00EE3F08" w:rsidRPr="00975C02">
        <w:rPr>
          <w:sz w:val="20"/>
          <w:szCs w:val="20"/>
          <w:vertAlign w:val="superscript"/>
          <w:lang w:val="es-ES"/>
        </w:rPr>
        <w:footnoteReference w:id="404"/>
      </w:r>
      <w:r w:rsidR="00EE3F08" w:rsidRPr="00975C02">
        <w:rPr>
          <w:rFonts w:cs="Arial"/>
          <w:sz w:val="20"/>
          <w:szCs w:val="20"/>
          <w:lang w:val="es-ES"/>
        </w:rPr>
        <w:t xml:space="preserve">. </w:t>
      </w:r>
      <w:r w:rsidR="001E7EDD" w:rsidRPr="00975C02">
        <w:rPr>
          <w:rFonts w:cs="Arial"/>
          <w:sz w:val="20"/>
          <w:szCs w:val="20"/>
          <w:lang w:val="es-ES"/>
        </w:rPr>
        <w:t xml:space="preserve">Por ello, </w:t>
      </w:r>
      <w:r w:rsidRPr="00975C02">
        <w:rPr>
          <w:rFonts w:cs="Arial"/>
          <w:sz w:val="20"/>
          <w:szCs w:val="20"/>
          <w:lang w:val="es-ES"/>
        </w:rPr>
        <w:t xml:space="preserve">era razonable que la señora V.P.C. y sus hijas </w:t>
      </w:r>
      <w:r w:rsidRPr="00975C02">
        <w:rPr>
          <w:rFonts w:cs="Arial"/>
          <w:bCs/>
          <w:sz w:val="20"/>
          <w:szCs w:val="20"/>
          <w:lang w:val="es-ES"/>
        </w:rPr>
        <w:t>no quisieran acogerse a la protección de su país de origen debido a la desco</w:t>
      </w:r>
      <w:r w:rsidR="00EE3F08" w:rsidRPr="00975C02">
        <w:rPr>
          <w:rFonts w:cs="Arial"/>
          <w:bCs/>
          <w:sz w:val="20"/>
          <w:szCs w:val="20"/>
          <w:lang w:val="es-ES"/>
        </w:rPr>
        <w:t>nfianza en el sistema judicial</w:t>
      </w:r>
      <w:r w:rsidR="00110188" w:rsidRPr="00975C02">
        <w:rPr>
          <w:rFonts w:cs="Arial"/>
          <w:bCs/>
          <w:sz w:val="20"/>
          <w:szCs w:val="20"/>
          <w:lang w:val="es-ES"/>
        </w:rPr>
        <w:t xml:space="preserve"> ante este tipo de delitos</w:t>
      </w:r>
      <w:r w:rsidR="00EE3F08" w:rsidRPr="00975C02">
        <w:rPr>
          <w:rFonts w:cs="Arial"/>
          <w:bCs/>
          <w:sz w:val="20"/>
          <w:szCs w:val="20"/>
          <w:lang w:val="es-ES"/>
        </w:rPr>
        <w:t>.</w:t>
      </w:r>
    </w:p>
    <w:p w14:paraId="0373FDCD" w14:textId="77777777" w:rsidR="000D41E0" w:rsidRPr="00975C02" w:rsidRDefault="000D41E0" w:rsidP="000D41E0">
      <w:pPr>
        <w:pStyle w:val="ListParagraph"/>
        <w:widowControl/>
        <w:adjustRightInd/>
        <w:spacing w:line="240" w:lineRule="auto"/>
        <w:ind w:left="0" w:right="49"/>
        <w:textAlignment w:val="auto"/>
        <w:rPr>
          <w:rFonts w:cs="Arial"/>
          <w:i/>
          <w:sz w:val="20"/>
          <w:szCs w:val="20"/>
          <w:lang w:val="es-ES"/>
        </w:rPr>
      </w:pPr>
    </w:p>
    <w:p w14:paraId="13DC4BCF" w14:textId="6A76E8AA" w:rsidR="0038400D" w:rsidRPr="00975C02" w:rsidRDefault="0038400D" w:rsidP="000D41E0">
      <w:pPr>
        <w:pStyle w:val="ListParagraph"/>
        <w:widowControl/>
        <w:numPr>
          <w:ilvl w:val="0"/>
          <w:numId w:val="2"/>
        </w:numPr>
        <w:adjustRightInd/>
        <w:spacing w:line="240" w:lineRule="auto"/>
        <w:ind w:left="0" w:right="49" w:firstLine="0"/>
        <w:textAlignment w:val="auto"/>
        <w:rPr>
          <w:rFonts w:cs="Arial"/>
          <w:sz w:val="20"/>
          <w:szCs w:val="20"/>
          <w:lang w:val="es-ES"/>
        </w:rPr>
      </w:pPr>
      <w:r w:rsidRPr="00975C02">
        <w:rPr>
          <w:rFonts w:cs="Arial"/>
          <w:sz w:val="20"/>
          <w:szCs w:val="20"/>
          <w:lang w:val="es-ES"/>
        </w:rPr>
        <w:t>La Corte estima que el hecho de no querer acogerse a la protección del Estado por la desconfianza en su efectividad y</w:t>
      </w:r>
      <w:r w:rsidR="007E67EE" w:rsidRPr="00975C02">
        <w:rPr>
          <w:rFonts w:cs="Arial"/>
          <w:sz w:val="20"/>
          <w:szCs w:val="20"/>
          <w:lang w:val="es-ES"/>
        </w:rPr>
        <w:t>,</w:t>
      </w:r>
      <w:r w:rsidRPr="00975C02">
        <w:rPr>
          <w:rFonts w:cs="Arial"/>
          <w:sz w:val="20"/>
          <w:szCs w:val="20"/>
          <w:lang w:val="es-ES"/>
        </w:rPr>
        <w:t xml:space="preserve"> en consecuencia</w:t>
      </w:r>
      <w:r w:rsidR="007E67EE" w:rsidRPr="00975C02">
        <w:rPr>
          <w:rFonts w:cs="Arial"/>
          <w:sz w:val="20"/>
          <w:szCs w:val="20"/>
          <w:lang w:val="es-ES"/>
        </w:rPr>
        <w:t>,</w:t>
      </w:r>
      <w:r w:rsidRPr="00975C02">
        <w:rPr>
          <w:rFonts w:cs="Arial"/>
          <w:sz w:val="20"/>
          <w:szCs w:val="20"/>
          <w:lang w:val="es-ES"/>
        </w:rPr>
        <w:t xml:space="preserve"> trasladar el lugar de residencia, puede ser entendido como una decisión de las víctimas. No obstante, a partir de una valoración integral de las circunstancias del caso, la Corte advierte que se trata de una decisión forzada</w:t>
      </w:r>
      <w:r w:rsidR="007E67EE" w:rsidRPr="00975C02">
        <w:rPr>
          <w:rFonts w:cs="Arial"/>
          <w:sz w:val="20"/>
          <w:szCs w:val="20"/>
          <w:lang w:val="es-ES"/>
        </w:rPr>
        <w:t>,</w:t>
      </w:r>
      <w:r w:rsidRPr="00975C02">
        <w:rPr>
          <w:rFonts w:cs="Arial"/>
          <w:sz w:val="20"/>
          <w:szCs w:val="20"/>
          <w:lang w:val="es-ES"/>
        </w:rPr>
        <w:t xml:space="preserve"> debido al cúmulo de factores objetivos que generaron la situación de desprotección de los derechos de las víctimas por parte del Estado y un temor fundado de hostigamiento judicial y de mayor vulnerabilidad ante eventuales ataques a sus derechos. De este modo, el Estado es responsable por haber generado las condiciones que forzaron</w:t>
      </w:r>
      <w:r w:rsidR="00B437B2">
        <w:rPr>
          <w:rFonts w:cs="Arial"/>
          <w:sz w:val="20"/>
          <w:szCs w:val="20"/>
          <w:lang w:val="es-ES"/>
        </w:rPr>
        <w:t xml:space="preserve"> a</w:t>
      </w:r>
      <w:r w:rsidRPr="00975C02">
        <w:rPr>
          <w:rFonts w:cs="Arial"/>
          <w:sz w:val="20"/>
          <w:szCs w:val="20"/>
          <w:lang w:val="es-ES"/>
        </w:rPr>
        <w:t xml:space="preserve"> la salida de las </w:t>
      </w:r>
      <w:r w:rsidR="000415F8" w:rsidRPr="00975C02">
        <w:rPr>
          <w:rFonts w:cs="Arial"/>
          <w:sz w:val="20"/>
          <w:szCs w:val="20"/>
          <w:lang w:val="es-ES"/>
        </w:rPr>
        <w:t xml:space="preserve">presuntas </w:t>
      </w:r>
      <w:r w:rsidRPr="00975C02">
        <w:rPr>
          <w:rFonts w:cs="Arial"/>
          <w:sz w:val="20"/>
          <w:szCs w:val="20"/>
          <w:lang w:val="es-ES"/>
        </w:rPr>
        <w:t>víctimas de su país</w:t>
      </w:r>
      <w:r w:rsidR="00C8288B" w:rsidRPr="00975C02">
        <w:rPr>
          <w:rFonts w:cs="Arial"/>
          <w:sz w:val="20"/>
          <w:szCs w:val="20"/>
          <w:lang w:val="es-ES"/>
        </w:rPr>
        <w:t xml:space="preserve"> de origen</w:t>
      </w:r>
      <w:r w:rsidR="00B230DF" w:rsidRPr="00975C02">
        <w:rPr>
          <w:rFonts w:cs="Arial"/>
          <w:sz w:val="20"/>
          <w:szCs w:val="20"/>
          <w:lang w:val="es-ES"/>
        </w:rPr>
        <w:t>,</w:t>
      </w:r>
      <w:r w:rsidR="00B555F1" w:rsidRPr="00975C02">
        <w:rPr>
          <w:rFonts w:cs="Arial"/>
          <w:sz w:val="20"/>
          <w:szCs w:val="20"/>
          <w:lang w:val="es-ES"/>
        </w:rPr>
        <w:t xml:space="preserve"> lo</w:t>
      </w:r>
      <w:r w:rsidR="00B230DF" w:rsidRPr="00975C02">
        <w:rPr>
          <w:rFonts w:cs="Arial"/>
          <w:sz w:val="20"/>
          <w:szCs w:val="20"/>
          <w:lang w:val="es-ES"/>
        </w:rPr>
        <w:t xml:space="preserve"> que a su vez conllevó a la separación de la familia.</w:t>
      </w:r>
    </w:p>
    <w:p w14:paraId="05550FBB" w14:textId="77777777" w:rsidR="000D41E0" w:rsidRPr="00975C02" w:rsidRDefault="000D41E0" w:rsidP="000D41E0">
      <w:pPr>
        <w:pStyle w:val="ListParagraph"/>
        <w:widowControl/>
        <w:adjustRightInd/>
        <w:spacing w:line="240" w:lineRule="auto"/>
        <w:ind w:left="0" w:right="49"/>
        <w:textAlignment w:val="auto"/>
        <w:rPr>
          <w:rFonts w:cs="Arial"/>
          <w:sz w:val="20"/>
          <w:szCs w:val="20"/>
          <w:lang w:val="es-ES"/>
        </w:rPr>
      </w:pPr>
    </w:p>
    <w:p w14:paraId="2B493002" w14:textId="11694A94" w:rsidR="0038400D" w:rsidRPr="00975C02" w:rsidRDefault="0038400D" w:rsidP="000D41E0">
      <w:pPr>
        <w:pStyle w:val="ListParagraph"/>
        <w:widowControl/>
        <w:numPr>
          <w:ilvl w:val="0"/>
          <w:numId w:val="2"/>
        </w:numPr>
        <w:adjustRightInd/>
        <w:spacing w:line="240" w:lineRule="auto"/>
        <w:ind w:left="0" w:right="49" w:firstLine="0"/>
        <w:textAlignment w:val="auto"/>
        <w:rPr>
          <w:rFonts w:cs="Arial"/>
          <w:bCs/>
          <w:sz w:val="20"/>
          <w:szCs w:val="20"/>
          <w:lang w:val="es-ES"/>
        </w:rPr>
      </w:pPr>
      <w:r w:rsidRPr="00975C02">
        <w:rPr>
          <w:rFonts w:cs="Arial"/>
          <w:bCs/>
          <w:sz w:val="20"/>
          <w:szCs w:val="20"/>
          <w:lang w:val="es-ES"/>
        </w:rPr>
        <w:lastRenderedPageBreak/>
        <w:t>Por tanto, si bien no consta que el Estado restringi</w:t>
      </w:r>
      <w:r w:rsidR="00B555F1" w:rsidRPr="00975C02">
        <w:rPr>
          <w:rFonts w:cs="Arial"/>
          <w:bCs/>
          <w:sz w:val="20"/>
          <w:szCs w:val="20"/>
          <w:lang w:val="es-ES"/>
        </w:rPr>
        <w:t>era</w:t>
      </w:r>
      <w:r w:rsidRPr="00975C02">
        <w:rPr>
          <w:rFonts w:cs="Arial"/>
          <w:bCs/>
          <w:sz w:val="20"/>
          <w:szCs w:val="20"/>
          <w:lang w:val="es-ES"/>
        </w:rPr>
        <w:t xml:space="preserve"> de manera formal la libertad de residencia, la Corte considera que en este caso dicha libertad se </w:t>
      </w:r>
      <w:r w:rsidR="007C395D" w:rsidRPr="00975C02">
        <w:rPr>
          <w:rFonts w:cs="Arial"/>
          <w:bCs/>
          <w:sz w:val="20"/>
          <w:szCs w:val="20"/>
          <w:lang w:val="es-ES"/>
        </w:rPr>
        <w:t xml:space="preserve">vio </w:t>
      </w:r>
      <w:r w:rsidRPr="00975C02">
        <w:rPr>
          <w:rFonts w:cs="Arial"/>
          <w:bCs/>
          <w:sz w:val="20"/>
          <w:szCs w:val="20"/>
          <w:lang w:val="es-ES"/>
        </w:rPr>
        <w:t xml:space="preserve">limitada </w:t>
      </w:r>
      <w:r w:rsidR="007C395D" w:rsidRPr="00975C02">
        <w:rPr>
          <w:rFonts w:cs="Arial"/>
          <w:bCs/>
          <w:sz w:val="20"/>
          <w:szCs w:val="20"/>
          <w:lang w:val="es-ES"/>
        </w:rPr>
        <w:t>a raíz del</w:t>
      </w:r>
      <w:r w:rsidRPr="00975C02">
        <w:rPr>
          <w:rFonts w:cs="Arial"/>
          <w:bCs/>
          <w:sz w:val="20"/>
          <w:szCs w:val="20"/>
          <w:lang w:val="es-ES"/>
        </w:rPr>
        <w:t xml:space="preserve"> temor de desprotección de </w:t>
      </w:r>
      <w:r w:rsidR="007C395D" w:rsidRPr="00975C02">
        <w:rPr>
          <w:rFonts w:cs="Arial"/>
          <w:bCs/>
          <w:sz w:val="20"/>
          <w:szCs w:val="20"/>
          <w:lang w:val="es-ES"/>
        </w:rPr>
        <w:t xml:space="preserve">los </w:t>
      </w:r>
      <w:r w:rsidRPr="00975C02">
        <w:rPr>
          <w:rFonts w:cs="Arial"/>
          <w:bCs/>
          <w:sz w:val="20"/>
          <w:szCs w:val="20"/>
          <w:lang w:val="es-ES"/>
        </w:rPr>
        <w:t>derechos</w:t>
      </w:r>
      <w:r w:rsidR="007C395D" w:rsidRPr="00975C02">
        <w:rPr>
          <w:rFonts w:cs="Arial"/>
          <w:bCs/>
          <w:sz w:val="20"/>
          <w:szCs w:val="20"/>
          <w:lang w:val="es-ES"/>
        </w:rPr>
        <w:t xml:space="preserve"> de V.R.P. y V.P.C.</w:t>
      </w:r>
      <w:r w:rsidRPr="00975C02">
        <w:rPr>
          <w:rFonts w:cs="Arial"/>
          <w:bCs/>
          <w:sz w:val="20"/>
          <w:szCs w:val="20"/>
          <w:lang w:val="es-ES"/>
        </w:rPr>
        <w:t>, que se encuentra fundado por elementos objetivos imputables a</w:t>
      </w:r>
      <w:r w:rsidR="00C37341">
        <w:rPr>
          <w:rFonts w:cs="Arial"/>
          <w:bCs/>
          <w:sz w:val="20"/>
          <w:szCs w:val="20"/>
          <w:lang w:val="es-ES"/>
        </w:rPr>
        <w:t xml:space="preserve"> la responsabilidad del Estado.</w:t>
      </w:r>
    </w:p>
    <w:p w14:paraId="31C3839C" w14:textId="77777777" w:rsidR="0038400D" w:rsidRPr="00975C02" w:rsidRDefault="0038400D" w:rsidP="0011586B">
      <w:pPr>
        <w:pStyle w:val="ListParagraph"/>
        <w:spacing w:line="240" w:lineRule="auto"/>
        <w:ind w:left="0"/>
        <w:rPr>
          <w:rFonts w:cs="Arial"/>
          <w:sz w:val="20"/>
          <w:szCs w:val="20"/>
          <w:lang w:val="es-ES"/>
        </w:rPr>
      </w:pPr>
    </w:p>
    <w:p w14:paraId="349CCB11" w14:textId="05B1B588" w:rsidR="00495E03" w:rsidRPr="00975C02" w:rsidRDefault="00495E03" w:rsidP="0011586B">
      <w:pPr>
        <w:pStyle w:val="ListParagraph"/>
        <w:widowControl/>
        <w:numPr>
          <w:ilvl w:val="0"/>
          <w:numId w:val="2"/>
        </w:numPr>
        <w:adjustRightInd/>
        <w:spacing w:line="240" w:lineRule="auto"/>
        <w:ind w:left="0" w:firstLine="0"/>
        <w:textAlignment w:val="auto"/>
        <w:rPr>
          <w:sz w:val="20"/>
          <w:szCs w:val="20"/>
          <w:lang w:val="es-ES"/>
        </w:rPr>
      </w:pPr>
      <w:r w:rsidRPr="00975C02">
        <w:rPr>
          <w:sz w:val="20"/>
          <w:szCs w:val="20"/>
          <w:lang w:val="es-ES"/>
        </w:rPr>
        <w:t xml:space="preserve">En consecuencia, la Corte considera que el Estado </w:t>
      </w:r>
      <w:r w:rsidR="00D61200" w:rsidRPr="00975C02">
        <w:rPr>
          <w:sz w:val="20"/>
          <w:szCs w:val="20"/>
          <w:lang w:val="es-ES"/>
        </w:rPr>
        <w:t>es responsable por la violación de los derechos de residencia y</w:t>
      </w:r>
      <w:r w:rsidRPr="00975C02">
        <w:rPr>
          <w:sz w:val="20"/>
          <w:szCs w:val="20"/>
          <w:lang w:val="es-ES"/>
        </w:rPr>
        <w:t xml:space="preserve"> a la protección de la familia, </w:t>
      </w:r>
      <w:r w:rsidR="00D61200" w:rsidRPr="00975C02">
        <w:rPr>
          <w:sz w:val="20"/>
          <w:szCs w:val="20"/>
          <w:lang w:val="es-ES"/>
        </w:rPr>
        <w:t xml:space="preserve">reconocidos en los artículos 22.1 y 17.1 de la Convención Americana, </w:t>
      </w:r>
      <w:r w:rsidRPr="00975C02">
        <w:rPr>
          <w:sz w:val="20"/>
          <w:szCs w:val="20"/>
          <w:lang w:val="es-ES"/>
        </w:rPr>
        <w:t>en relación con los artículos 1.1</w:t>
      </w:r>
      <w:r w:rsidR="000D7883" w:rsidRPr="00975C02">
        <w:rPr>
          <w:sz w:val="20"/>
          <w:szCs w:val="20"/>
          <w:lang w:val="es-ES"/>
        </w:rPr>
        <w:t xml:space="preserve"> y 19</w:t>
      </w:r>
      <w:r w:rsidR="00D61200" w:rsidRPr="00975C02">
        <w:rPr>
          <w:sz w:val="20"/>
          <w:szCs w:val="20"/>
          <w:lang w:val="es-ES"/>
        </w:rPr>
        <w:t xml:space="preserve"> de la misma</w:t>
      </w:r>
      <w:r w:rsidRPr="00975C02">
        <w:rPr>
          <w:sz w:val="20"/>
          <w:szCs w:val="20"/>
          <w:lang w:val="es-ES"/>
        </w:rPr>
        <w:t xml:space="preserve">, en perjuicio de V.R.P. Asimismo, el Estado </w:t>
      </w:r>
      <w:r w:rsidR="00D61200" w:rsidRPr="00975C02">
        <w:rPr>
          <w:sz w:val="20"/>
          <w:szCs w:val="20"/>
          <w:lang w:val="es-ES"/>
        </w:rPr>
        <w:t>es responsable por la violación de los derechos de residencia y a la protección de la familia, reconocidos en los artículos 22.1 y 17.1 de la Convención Americana,</w:t>
      </w:r>
      <w:r w:rsidRPr="00975C02">
        <w:rPr>
          <w:sz w:val="20"/>
          <w:szCs w:val="20"/>
          <w:lang w:val="es-ES"/>
        </w:rPr>
        <w:t xml:space="preserve"> en relación con el artículo 1.1</w:t>
      </w:r>
      <w:r w:rsidR="00D61200" w:rsidRPr="00975C02">
        <w:rPr>
          <w:sz w:val="20"/>
          <w:szCs w:val="20"/>
          <w:lang w:val="es-ES"/>
        </w:rPr>
        <w:t xml:space="preserve"> de la misma</w:t>
      </w:r>
      <w:r w:rsidRPr="00975C02">
        <w:rPr>
          <w:sz w:val="20"/>
          <w:szCs w:val="20"/>
          <w:lang w:val="es-ES"/>
        </w:rPr>
        <w:t xml:space="preserve">, en perjuicio de V.P.C. y N.R.P. Del mismo modo, el Estado </w:t>
      </w:r>
      <w:r w:rsidR="00D61200" w:rsidRPr="00975C02">
        <w:rPr>
          <w:sz w:val="20"/>
          <w:szCs w:val="20"/>
          <w:lang w:val="es-ES"/>
        </w:rPr>
        <w:t>es responsable por la violación del derecho a la protección de la familia, reconocido en el artículo 17.1 de la Convención Americana,</w:t>
      </w:r>
      <w:r w:rsidRPr="00975C02">
        <w:rPr>
          <w:sz w:val="20"/>
          <w:szCs w:val="20"/>
          <w:lang w:val="es-ES"/>
        </w:rPr>
        <w:t xml:space="preserve"> en relación con el artículo 1.1, en perjuicio de H.J.R.P. y V.A.R.P.</w:t>
      </w:r>
    </w:p>
    <w:p w14:paraId="7E272B61" w14:textId="77777777" w:rsidR="00B5625C" w:rsidRPr="00975C02" w:rsidRDefault="00B5625C" w:rsidP="0011586B">
      <w:pPr>
        <w:tabs>
          <w:tab w:val="left" w:pos="567"/>
        </w:tabs>
        <w:spacing w:line="240" w:lineRule="auto"/>
        <w:rPr>
          <w:rFonts w:eastAsiaTheme="minorHAnsi" w:cstheme="minorBidi"/>
          <w:sz w:val="20"/>
          <w:szCs w:val="20"/>
          <w:lang w:val="es-ES" w:eastAsia="en-US"/>
        </w:rPr>
      </w:pPr>
    </w:p>
    <w:p w14:paraId="3FB83122" w14:textId="55A556B7" w:rsidR="003D24D2" w:rsidRPr="00975C02" w:rsidRDefault="003D24D2" w:rsidP="003D24D2">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 xml:space="preserve">En relación con los alegatos de las representantes referidos a que la salida de Nicaragua se debió a una </w:t>
      </w:r>
      <w:r w:rsidRPr="00975C02">
        <w:rPr>
          <w:sz w:val="20"/>
          <w:szCs w:val="20"/>
          <w:lang w:val="es-ES"/>
        </w:rPr>
        <w:t>supuesta</w:t>
      </w:r>
      <w:r w:rsidRPr="00975C02">
        <w:rPr>
          <w:rFonts w:eastAsiaTheme="minorHAnsi" w:cstheme="minorBidi"/>
          <w:sz w:val="20"/>
          <w:szCs w:val="20"/>
          <w:lang w:val="es-ES" w:eastAsia="en-US"/>
        </w:rPr>
        <w:t xml:space="preserve"> persecución religiosa en desmedro del principio de no discriminación y del derecho a la libertad religiosa, la Corte </w:t>
      </w:r>
      <w:r w:rsidR="00FD0F7C" w:rsidRPr="00975C02">
        <w:rPr>
          <w:rFonts w:eastAsiaTheme="minorHAnsi" w:cstheme="minorBidi"/>
          <w:sz w:val="20"/>
          <w:szCs w:val="20"/>
          <w:lang w:val="es-ES" w:eastAsia="en-US"/>
        </w:rPr>
        <w:t>nota</w:t>
      </w:r>
      <w:r w:rsidRPr="00975C02">
        <w:rPr>
          <w:rFonts w:eastAsiaTheme="minorHAnsi" w:cstheme="minorBidi"/>
          <w:sz w:val="20"/>
          <w:szCs w:val="20"/>
          <w:lang w:val="es-ES" w:eastAsia="en-US"/>
        </w:rPr>
        <w:t xml:space="preserve"> que tales afirmaciones no han sido probadas y no existen elementos que pudieran objetivamente indicar que las vulneraciones de derechos reconocidas en esta Sentencia hayan obedecido a la religión profesada por las víctimas. Por tanto, la Corte considera que </w:t>
      </w:r>
      <w:r w:rsidR="00D61200" w:rsidRPr="00975C02">
        <w:rPr>
          <w:rFonts w:eastAsiaTheme="minorHAnsi" w:cstheme="minorBidi"/>
          <w:sz w:val="20"/>
          <w:szCs w:val="20"/>
          <w:lang w:val="es-ES" w:eastAsia="en-US"/>
        </w:rPr>
        <w:t>el Estado no incurrió en responsabilidad por la</w:t>
      </w:r>
      <w:r w:rsidRPr="00975C02">
        <w:rPr>
          <w:rFonts w:eastAsiaTheme="minorHAnsi" w:cstheme="minorBidi"/>
          <w:sz w:val="20"/>
          <w:szCs w:val="20"/>
          <w:lang w:val="es-ES" w:eastAsia="en-US"/>
        </w:rPr>
        <w:t xml:space="preserve"> </w:t>
      </w:r>
      <w:r w:rsidR="00E122AF" w:rsidRPr="00975C02">
        <w:rPr>
          <w:rFonts w:eastAsiaTheme="minorHAnsi" w:cstheme="minorBidi"/>
          <w:sz w:val="20"/>
          <w:szCs w:val="20"/>
          <w:lang w:val="es-ES" w:eastAsia="en-US"/>
        </w:rPr>
        <w:t xml:space="preserve">alegada </w:t>
      </w:r>
      <w:r w:rsidRPr="00975C02">
        <w:rPr>
          <w:rFonts w:eastAsiaTheme="minorHAnsi" w:cstheme="minorBidi"/>
          <w:sz w:val="20"/>
          <w:szCs w:val="20"/>
          <w:lang w:val="es-ES" w:eastAsia="en-US"/>
        </w:rPr>
        <w:t>vulner</w:t>
      </w:r>
      <w:r w:rsidR="00D61200" w:rsidRPr="00975C02">
        <w:rPr>
          <w:rFonts w:eastAsiaTheme="minorHAnsi" w:cstheme="minorBidi"/>
          <w:sz w:val="20"/>
          <w:szCs w:val="20"/>
          <w:lang w:val="es-ES" w:eastAsia="en-US"/>
        </w:rPr>
        <w:t>ación d</w:t>
      </w:r>
      <w:r w:rsidRPr="00975C02">
        <w:rPr>
          <w:rFonts w:eastAsiaTheme="minorHAnsi" w:cstheme="minorBidi"/>
          <w:sz w:val="20"/>
          <w:szCs w:val="20"/>
          <w:lang w:val="es-ES" w:eastAsia="en-US"/>
        </w:rPr>
        <w:t xml:space="preserve">el principio de no discriminación por </w:t>
      </w:r>
      <w:r w:rsidR="00D61200" w:rsidRPr="00975C02">
        <w:rPr>
          <w:rFonts w:eastAsiaTheme="minorHAnsi" w:cstheme="minorBidi"/>
          <w:sz w:val="20"/>
          <w:szCs w:val="20"/>
          <w:lang w:val="es-ES" w:eastAsia="en-US"/>
        </w:rPr>
        <w:t>motivo</w:t>
      </w:r>
      <w:r w:rsidRPr="00975C02">
        <w:rPr>
          <w:rFonts w:eastAsiaTheme="minorHAnsi" w:cstheme="minorBidi"/>
          <w:sz w:val="20"/>
          <w:szCs w:val="20"/>
          <w:lang w:val="es-ES" w:eastAsia="en-US"/>
        </w:rPr>
        <w:t xml:space="preserve"> de religión</w:t>
      </w:r>
      <w:r w:rsidR="00D61200"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w:t>
      </w:r>
      <w:r w:rsidR="00D61200" w:rsidRPr="00975C02">
        <w:rPr>
          <w:rFonts w:eastAsiaTheme="minorHAnsi" w:cstheme="minorBidi"/>
          <w:sz w:val="20"/>
          <w:szCs w:val="20"/>
          <w:lang w:val="es-ES" w:eastAsia="en-US"/>
        </w:rPr>
        <w:t>protegido</w:t>
      </w:r>
      <w:r w:rsidRPr="00975C02">
        <w:rPr>
          <w:rFonts w:eastAsiaTheme="minorHAnsi" w:cstheme="minorBidi"/>
          <w:sz w:val="20"/>
          <w:szCs w:val="20"/>
          <w:lang w:val="es-ES" w:eastAsia="en-US"/>
        </w:rPr>
        <w:t xml:space="preserve"> en el artículo 1.1 de la Convención</w:t>
      </w:r>
      <w:r w:rsidR="00D61200" w:rsidRPr="00975C02">
        <w:rPr>
          <w:rFonts w:eastAsiaTheme="minorHAnsi" w:cstheme="minorBidi"/>
          <w:sz w:val="20"/>
          <w:szCs w:val="20"/>
          <w:lang w:val="es-ES" w:eastAsia="en-US"/>
        </w:rPr>
        <w:t xml:space="preserve"> Americana</w:t>
      </w:r>
      <w:r w:rsidRPr="00975C02">
        <w:rPr>
          <w:rFonts w:eastAsiaTheme="minorHAnsi" w:cstheme="minorBidi"/>
          <w:sz w:val="20"/>
          <w:szCs w:val="20"/>
          <w:lang w:val="es-ES" w:eastAsia="en-US"/>
        </w:rPr>
        <w:t xml:space="preserve">, así como tampoco </w:t>
      </w:r>
      <w:r w:rsidR="00E122AF" w:rsidRPr="00975C02">
        <w:rPr>
          <w:rFonts w:eastAsiaTheme="minorHAnsi" w:cstheme="minorBidi"/>
          <w:sz w:val="20"/>
          <w:szCs w:val="20"/>
          <w:lang w:val="es-ES" w:eastAsia="en-US"/>
        </w:rPr>
        <w:t>incurrió en responsabilidad por la alegada vulneración de</w:t>
      </w:r>
      <w:r w:rsidRPr="00975C02">
        <w:rPr>
          <w:rFonts w:eastAsiaTheme="minorHAnsi" w:cstheme="minorBidi"/>
          <w:sz w:val="20"/>
          <w:szCs w:val="20"/>
          <w:lang w:val="es-ES" w:eastAsia="en-US"/>
        </w:rPr>
        <w:t>l derecho a la libertad de religión</w:t>
      </w:r>
      <w:r w:rsidR="00323329"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reconocido en el artículo 12</w:t>
      </w:r>
      <w:r w:rsidR="002900D1" w:rsidRPr="00975C02">
        <w:rPr>
          <w:rFonts w:eastAsiaTheme="minorHAnsi" w:cstheme="minorBidi"/>
          <w:sz w:val="20"/>
          <w:szCs w:val="20"/>
          <w:lang w:val="es-ES" w:eastAsia="en-US"/>
        </w:rPr>
        <w:t>.1</w:t>
      </w:r>
      <w:r w:rsidRPr="00975C02">
        <w:rPr>
          <w:rFonts w:eastAsiaTheme="minorHAnsi" w:cstheme="minorBidi"/>
          <w:sz w:val="20"/>
          <w:szCs w:val="20"/>
          <w:lang w:val="es-ES" w:eastAsia="en-US"/>
        </w:rPr>
        <w:t xml:space="preserve"> de la Convención</w:t>
      </w:r>
      <w:r w:rsidR="00E122AF" w:rsidRPr="00975C02">
        <w:rPr>
          <w:rFonts w:eastAsiaTheme="minorHAnsi" w:cstheme="minorBidi"/>
          <w:sz w:val="20"/>
          <w:szCs w:val="20"/>
          <w:lang w:val="es-ES" w:eastAsia="en-US"/>
        </w:rPr>
        <w:t xml:space="preserve"> Americana</w:t>
      </w:r>
      <w:r w:rsidRPr="00975C02">
        <w:rPr>
          <w:rFonts w:eastAsiaTheme="minorHAnsi" w:cstheme="minorBidi"/>
          <w:sz w:val="20"/>
          <w:szCs w:val="20"/>
          <w:lang w:val="es-ES" w:eastAsia="en-US"/>
        </w:rPr>
        <w:t>.</w:t>
      </w:r>
    </w:p>
    <w:p w14:paraId="1841B9CC" w14:textId="77777777" w:rsidR="003D24D2" w:rsidRPr="00975C02" w:rsidRDefault="003D24D2" w:rsidP="0011586B">
      <w:pPr>
        <w:tabs>
          <w:tab w:val="left" w:pos="567"/>
        </w:tabs>
        <w:spacing w:line="240" w:lineRule="auto"/>
        <w:rPr>
          <w:rFonts w:eastAsiaTheme="minorHAnsi" w:cstheme="minorBidi"/>
          <w:sz w:val="20"/>
          <w:szCs w:val="20"/>
          <w:lang w:val="es-ES" w:eastAsia="en-US"/>
        </w:rPr>
      </w:pPr>
    </w:p>
    <w:p w14:paraId="2C8195C9" w14:textId="77777777" w:rsidR="00B5625C" w:rsidRPr="00975C02" w:rsidRDefault="00B5625C" w:rsidP="00B5625C">
      <w:pPr>
        <w:keepNext/>
        <w:keepLines/>
        <w:widowControl/>
        <w:tabs>
          <w:tab w:val="left" w:pos="851"/>
        </w:tabs>
        <w:autoSpaceDE w:val="0"/>
        <w:autoSpaceDN w:val="0"/>
        <w:spacing w:line="240" w:lineRule="auto"/>
        <w:jc w:val="center"/>
        <w:textAlignment w:val="auto"/>
        <w:outlineLvl w:val="0"/>
        <w:rPr>
          <w:rFonts w:cs="Arial"/>
          <w:b/>
          <w:bCs/>
          <w:caps/>
          <w:sz w:val="20"/>
          <w:szCs w:val="20"/>
          <w:lang w:val="es-ES" w:eastAsia="en-US"/>
        </w:rPr>
      </w:pPr>
      <w:bookmarkStart w:id="155" w:name="_Toc495658690"/>
      <w:bookmarkStart w:id="156" w:name="_Toc514172658"/>
      <w:r w:rsidRPr="00975C02">
        <w:rPr>
          <w:rFonts w:cs="Arial"/>
          <w:b/>
          <w:bCs/>
          <w:caps/>
          <w:sz w:val="20"/>
          <w:szCs w:val="20"/>
          <w:lang w:val="es-ES" w:eastAsia="en-US"/>
        </w:rPr>
        <w:t>VIII-</w:t>
      </w:r>
      <w:r w:rsidR="0049359E" w:rsidRPr="00975C02">
        <w:rPr>
          <w:rFonts w:cs="Arial"/>
          <w:b/>
          <w:bCs/>
          <w:caps/>
          <w:sz w:val="20"/>
          <w:szCs w:val="20"/>
          <w:lang w:val="es-ES" w:eastAsia="en-US"/>
        </w:rPr>
        <w:t>3</w:t>
      </w:r>
      <w:r w:rsidRPr="00975C02">
        <w:rPr>
          <w:rFonts w:cs="Arial"/>
          <w:b/>
          <w:bCs/>
          <w:caps/>
          <w:sz w:val="20"/>
          <w:szCs w:val="20"/>
          <w:lang w:val="es-ES" w:eastAsia="en-US"/>
        </w:rPr>
        <w:br/>
        <w:t>derecho A LA INTEGRIDAD personal</w:t>
      </w:r>
      <w:r w:rsidRPr="00975C02">
        <w:rPr>
          <w:rFonts w:eastAsiaTheme="majorEastAsia" w:cs="Arial"/>
          <w:bCs/>
          <w:caps/>
          <w:sz w:val="20"/>
          <w:szCs w:val="20"/>
          <w:vertAlign w:val="superscript"/>
          <w:lang w:val="es-ES" w:eastAsia="en-US"/>
        </w:rPr>
        <w:footnoteReference w:id="405"/>
      </w:r>
      <w:r w:rsidRPr="00975C02">
        <w:rPr>
          <w:rFonts w:cs="Arial"/>
          <w:b/>
          <w:bCs/>
          <w:caps/>
          <w:sz w:val="20"/>
          <w:szCs w:val="20"/>
          <w:lang w:val="es-ES" w:eastAsia="en-US"/>
        </w:rPr>
        <w:t xml:space="preserve"> DE LOS FAMILIARES en relación con la obligación de respetar los derechos</w:t>
      </w:r>
      <w:bookmarkEnd w:id="155"/>
      <w:bookmarkEnd w:id="156"/>
    </w:p>
    <w:p w14:paraId="025C0F39" w14:textId="77777777" w:rsidR="00B5625C" w:rsidRPr="00975C02" w:rsidRDefault="00B5625C" w:rsidP="00B5625C">
      <w:pPr>
        <w:tabs>
          <w:tab w:val="left" w:pos="720"/>
          <w:tab w:val="num" w:pos="1569"/>
        </w:tabs>
        <w:spacing w:line="240" w:lineRule="auto"/>
        <w:ind w:right="-90"/>
        <w:rPr>
          <w:rFonts w:cs="Verdana"/>
          <w:caps/>
          <w:snapToGrid w:val="0"/>
          <w:sz w:val="20"/>
          <w:szCs w:val="20"/>
          <w:lang w:val="es-ES"/>
        </w:rPr>
      </w:pPr>
    </w:p>
    <w:p w14:paraId="20C0B0F6" w14:textId="77777777" w:rsidR="00B5625C" w:rsidRPr="00975C02" w:rsidRDefault="00B5625C" w:rsidP="00B5625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val="es-ES" w:eastAsia="en-US"/>
        </w:rPr>
      </w:pPr>
      <w:bookmarkStart w:id="157" w:name="_Toc495658691"/>
      <w:bookmarkStart w:id="158" w:name="_Toc514172659"/>
      <w:r w:rsidRPr="00975C02">
        <w:rPr>
          <w:rFonts w:eastAsia="MS Mincho" w:cs="Arial"/>
          <w:b/>
          <w:bCs/>
          <w:i/>
          <w:sz w:val="20"/>
          <w:szCs w:val="20"/>
          <w:lang w:val="es-ES" w:eastAsia="en-US"/>
        </w:rPr>
        <w:t>A.</w:t>
      </w:r>
      <w:r w:rsidRPr="00975C02">
        <w:rPr>
          <w:rFonts w:eastAsia="MS Mincho" w:cs="Arial"/>
          <w:b/>
          <w:bCs/>
          <w:i/>
          <w:sz w:val="20"/>
          <w:szCs w:val="20"/>
          <w:lang w:val="es-ES" w:eastAsia="en-US"/>
        </w:rPr>
        <w:tab/>
        <w:t>Argumentos de las partes y de la Comisión</w:t>
      </w:r>
      <w:bookmarkEnd w:id="157"/>
      <w:bookmarkEnd w:id="158"/>
    </w:p>
    <w:p w14:paraId="1B518A24" w14:textId="77777777" w:rsidR="00B5625C" w:rsidRPr="00975C02" w:rsidRDefault="00B5625C" w:rsidP="00B5625C">
      <w:pPr>
        <w:tabs>
          <w:tab w:val="left" w:pos="720"/>
          <w:tab w:val="num" w:pos="1569"/>
        </w:tabs>
        <w:spacing w:line="240" w:lineRule="auto"/>
        <w:ind w:right="-90"/>
        <w:rPr>
          <w:rFonts w:cs="Verdana"/>
          <w:caps/>
          <w:snapToGrid w:val="0"/>
          <w:sz w:val="20"/>
          <w:szCs w:val="20"/>
          <w:lang w:val="es-ES"/>
        </w:rPr>
      </w:pPr>
    </w:p>
    <w:p w14:paraId="222D371C" w14:textId="06E9B182"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 xml:space="preserve">La </w:t>
      </w:r>
      <w:r w:rsidRPr="00975C02">
        <w:rPr>
          <w:rFonts w:eastAsiaTheme="minorHAnsi" w:cstheme="minorBidi"/>
          <w:b/>
          <w:i/>
          <w:sz w:val="20"/>
          <w:szCs w:val="20"/>
          <w:lang w:val="es-ES" w:eastAsia="en-US"/>
        </w:rPr>
        <w:t>Comisión</w:t>
      </w:r>
      <w:r w:rsidRPr="00975C02">
        <w:rPr>
          <w:rFonts w:eastAsiaTheme="minorHAnsi" w:cstheme="minorBidi"/>
          <w:sz w:val="20"/>
          <w:szCs w:val="20"/>
          <w:lang w:val="es-ES" w:eastAsia="en-US"/>
        </w:rPr>
        <w:t xml:space="preserve"> observó que, </w:t>
      </w:r>
      <w:r w:rsidR="00EB3E59" w:rsidRPr="00975C02">
        <w:rPr>
          <w:rFonts w:eastAsiaTheme="minorHAnsi" w:cstheme="minorBidi"/>
          <w:sz w:val="20"/>
          <w:szCs w:val="20"/>
          <w:lang w:val="es-ES" w:eastAsia="en-US"/>
        </w:rPr>
        <w:t>de la declaración de</w:t>
      </w:r>
      <w:r w:rsidRPr="00975C02">
        <w:rPr>
          <w:rFonts w:eastAsiaTheme="minorHAnsi" w:cstheme="minorBidi"/>
          <w:sz w:val="20"/>
          <w:szCs w:val="20"/>
          <w:lang w:val="es-ES" w:eastAsia="en-US"/>
        </w:rPr>
        <w:t xml:space="preserve"> V.P.C., se desprendían afectaciones a su integridad personal y a la de sus </w:t>
      </w:r>
      <w:r w:rsidR="00EB3E59" w:rsidRPr="00975C02">
        <w:rPr>
          <w:rFonts w:eastAsiaTheme="minorHAnsi" w:cstheme="minorBidi"/>
          <w:sz w:val="20"/>
          <w:szCs w:val="20"/>
          <w:lang w:val="es-ES" w:eastAsia="en-US"/>
        </w:rPr>
        <w:t xml:space="preserve">hijas e </w:t>
      </w:r>
      <w:r w:rsidRPr="00975C02">
        <w:rPr>
          <w:rFonts w:eastAsiaTheme="minorHAnsi" w:cstheme="minorBidi"/>
          <w:sz w:val="20"/>
          <w:szCs w:val="20"/>
          <w:lang w:val="es-ES" w:eastAsia="en-US"/>
        </w:rPr>
        <w:t xml:space="preserve">hijos. Además, la Comisión </w:t>
      </w:r>
      <w:r w:rsidRPr="00975C02">
        <w:rPr>
          <w:sz w:val="20"/>
          <w:szCs w:val="20"/>
          <w:lang w:val="es-ES"/>
        </w:rPr>
        <w:t>resaltó</w:t>
      </w:r>
      <w:r w:rsidRPr="00975C02">
        <w:rPr>
          <w:rFonts w:eastAsiaTheme="minorHAnsi" w:cstheme="minorBidi"/>
          <w:sz w:val="20"/>
          <w:szCs w:val="20"/>
          <w:lang w:val="es-ES" w:eastAsia="en-US"/>
        </w:rPr>
        <w:t xml:space="preserve"> los distintos obstáculos que la señora V.P.C. </w:t>
      </w:r>
      <w:r w:rsidR="00EB3E59" w:rsidRPr="00975C02">
        <w:rPr>
          <w:rFonts w:eastAsiaTheme="minorHAnsi" w:cstheme="minorBidi"/>
          <w:sz w:val="20"/>
          <w:szCs w:val="20"/>
          <w:lang w:val="es-ES" w:eastAsia="en-US"/>
        </w:rPr>
        <w:t>tuvo</w:t>
      </w:r>
      <w:r w:rsidRPr="00975C02">
        <w:rPr>
          <w:rFonts w:eastAsiaTheme="minorHAnsi" w:cstheme="minorBidi"/>
          <w:sz w:val="20"/>
          <w:szCs w:val="20"/>
          <w:lang w:val="es-ES" w:eastAsia="en-US"/>
        </w:rPr>
        <w:t xml:space="preserve"> que enfrentar en la búsqueda de justicia, </w:t>
      </w:r>
      <w:r w:rsidR="00EB3E59" w:rsidRPr="00975C02">
        <w:rPr>
          <w:rFonts w:eastAsiaTheme="minorHAnsi" w:cstheme="minorBidi"/>
          <w:sz w:val="20"/>
          <w:szCs w:val="20"/>
          <w:lang w:val="es-ES" w:eastAsia="en-US"/>
        </w:rPr>
        <w:t>y el hecho de que</w:t>
      </w:r>
      <w:r w:rsidRPr="00975C02">
        <w:rPr>
          <w:rFonts w:eastAsiaTheme="minorHAnsi" w:cstheme="minorBidi"/>
          <w:sz w:val="20"/>
          <w:szCs w:val="20"/>
          <w:lang w:val="es-ES" w:eastAsia="en-US"/>
        </w:rPr>
        <w:t xml:space="preserve"> fue denunciada por dos miembros del jurado que </w:t>
      </w:r>
      <w:r w:rsidR="00EB3E59" w:rsidRPr="00975C02">
        <w:rPr>
          <w:rFonts w:eastAsiaTheme="minorHAnsi" w:cstheme="minorBidi"/>
          <w:sz w:val="20"/>
          <w:szCs w:val="20"/>
          <w:lang w:val="es-ES" w:eastAsia="en-US"/>
        </w:rPr>
        <w:t>resolvieron la absolución</w:t>
      </w:r>
      <w:r w:rsidRPr="00975C02">
        <w:rPr>
          <w:rFonts w:eastAsiaTheme="minorHAnsi" w:cstheme="minorBidi"/>
          <w:sz w:val="20"/>
          <w:szCs w:val="20"/>
          <w:lang w:val="es-ES" w:eastAsia="en-US"/>
        </w:rPr>
        <w:t xml:space="preserve"> del </w:t>
      </w:r>
      <w:r w:rsidR="00EB3E59" w:rsidRPr="00975C02">
        <w:rPr>
          <w:rFonts w:eastAsiaTheme="minorHAnsi" w:cstheme="minorBidi"/>
          <w:sz w:val="20"/>
          <w:szCs w:val="20"/>
          <w:lang w:val="es-ES" w:eastAsia="en-US"/>
        </w:rPr>
        <w:t>acusado</w:t>
      </w:r>
      <w:r w:rsidRPr="00975C02">
        <w:rPr>
          <w:rFonts w:eastAsiaTheme="minorHAnsi" w:cstheme="minorBidi"/>
          <w:sz w:val="20"/>
          <w:szCs w:val="20"/>
          <w:lang w:val="es-ES" w:eastAsia="en-US"/>
        </w:rPr>
        <w:t xml:space="preserve">, así como </w:t>
      </w:r>
      <w:r w:rsidR="00EB3E59" w:rsidRPr="00975C02">
        <w:rPr>
          <w:rFonts w:eastAsiaTheme="minorHAnsi" w:cstheme="minorBidi"/>
          <w:sz w:val="20"/>
          <w:szCs w:val="20"/>
          <w:lang w:val="es-ES" w:eastAsia="en-US"/>
        </w:rPr>
        <w:t xml:space="preserve">por </w:t>
      </w:r>
      <w:r w:rsidRPr="00975C02">
        <w:rPr>
          <w:rFonts w:eastAsiaTheme="minorHAnsi" w:cstheme="minorBidi"/>
          <w:sz w:val="20"/>
          <w:szCs w:val="20"/>
          <w:lang w:val="es-ES" w:eastAsia="en-US"/>
        </w:rPr>
        <w:t xml:space="preserve">el médico </w:t>
      </w:r>
      <w:r w:rsidR="00EB3E59" w:rsidRPr="00975C02">
        <w:rPr>
          <w:rFonts w:eastAsiaTheme="minorHAnsi" w:cstheme="minorBidi"/>
          <w:sz w:val="20"/>
          <w:szCs w:val="20"/>
          <w:lang w:val="es-ES" w:eastAsia="en-US"/>
        </w:rPr>
        <w:t xml:space="preserve">forense </w:t>
      </w:r>
      <w:r w:rsidRPr="00975C02">
        <w:rPr>
          <w:rFonts w:eastAsiaTheme="minorHAnsi" w:cstheme="minorBidi"/>
          <w:sz w:val="20"/>
          <w:szCs w:val="20"/>
          <w:lang w:val="es-ES" w:eastAsia="en-US"/>
        </w:rPr>
        <w:t>que participó en el primer examen. La Comisión resaltó que dichas denuncias, a pesar de que posteriormente fueron archivadas, causaron una grave afectación a V.P.C. y su familia. Asimismo, tomó nota de que</w:t>
      </w:r>
      <w:r w:rsidR="00EB3E59"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debido a la situación de impunidad, la señora V.P.C. y sus</w:t>
      </w:r>
      <w:r w:rsidR="00EB3E59" w:rsidRPr="00975C02">
        <w:rPr>
          <w:rFonts w:eastAsiaTheme="minorHAnsi" w:cstheme="minorBidi"/>
          <w:sz w:val="20"/>
          <w:szCs w:val="20"/>
          <w:lang w:val="es-ES" w:eastAsia="en-US"/>
        </w:rPr>
        <w:t xml:space="preserve"> dos</w:t>
      </w:r>
      <w:r w:rsidRPr="00975C02">
        <w:rPr>
          <w:rFonts w:eastAsiaTheme="minorHAnsi" w:cstheme="minorBidi"/>
          <w:sz w:val="20"/>
          <w:szCs w:val="20"/>
          <w:lang w:val="es-ES" w:eastAsia="en-US"/>
        </w:rPr>
        <w:t xml:space="preserve"> hijas, decidieron abandonar Nicaragua y solicitaron asilo en otro país, donde se encontrarían actualmente. Con base en lo anterior, la Comisión consideró que existen suficientes elementos para concluir que la violación sexual sufrida por la niña V.R.P., las consecuencias de la misma y la impunidad en que se mantiene el caso atribuible al Estado, provocaron una afectación emocional a V.P.C. y sus hijos e hija </w:t>
      </w:r>
      <w:r w:rsidR="00AD49AB" w:rsidRPr="00975C02">
        <w:rPr>
          <w:rFonts w:eastAsiaTheme="minorHAnsi" w:cstheme="minorBidi"/>
          <w:sz w:val="20"/>
          <w:szCs w:val="20"/>
          <w:lang w:val="es-ES" w:eastAsia="en-US"/>
        </w:rPr>
        <w:t xml:space="preserve">N.R.P., </w:t>
      </w:r>
      <w:r w:rsidRPr="00975C02">
        <w:rPr>
          <w:rFonts w:eastAsiaTheme="minorHAnsi" w:cstheme="minorBidi"/>
          <w:sz w:val="20"/>
          <w:szCs w:val="20"/>
          <w:lang w:val="es-ES" w:eastAsia="en-US"/>
        </w:rPr>
        <w:t>H.J.R.P.</w:t>
      </w:r>
      <w:r w:rsidR="00AD49AB" w:rsidRPr="00975C02">
        <w:rPr>
          <w:rFonts w:eastAsiaTheme="minorHAnsi" w:cstheme="minorBidi"/>
          <w:sz w:val="20"/>
          <w:szCs w:val="20"/>
          <w:lang w:val="es-ES" w:eastAsia="en-US"/>
        </w:rPr>
        <w:t xml:space="preserve"> y</w:t>
      </w:r>
      <w:r w:rsidRPr="00975C02">
        <w:rPr>
          <w:rFonts w:eastAsiaTheme="minorHAnsi" w:cstheme="minorBidi"/>
          <w:sz w:val="20"/>
          <w:szCs w:val="20"/>
          <w:lang w:val="es-ES" w:eastAsia="en-US"/>
        </w:rPr>
        <w:t xml:space="preserve"> V.A.R.P., en contravención del derecho reconocido en el artículo 5.1 de la Convención Americana, en relación con el artículo 1.1 del mismo instrumento.</w:t>
      </w:r>
    </w:p>
    <w:p w14:paraId="3BA7F135" w14:textId="77777777" w:rsidR="00B5625C" w:rsidRPr="00975C02" w:rsidRDefault="00B5625C" w:rsidP="00B5625C">
      <w:pPr>
        <w:tabs>
          <w:tab w:val="left" w:pos="567"/>
        </w:tabs>
        <w:spacing w:line="240" w:lineRule="auto"/>
        <w:ind w:left="708"/>
        <w:rPr>
          <w:rFonts w:eastAsiaTheme="minorHAnsi" w:cstheme="minorBidi"/>
          <w:sz w:val="20"/>
          <w:szCs w:val="20"/>
          <w:lang w:val="es-ES" w:eastAsia="en-US"/>
        </w:rPr>
      </w:pPr>
    </w:p>
    <w:p w14:paraId="34DD5566" w14:textId="4E423BFF"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 xml:space="preserve">Las </w:t>
      </w:r>
      <w:r w:rsidRPr="00975C02">
        <w:rPr>
          <w:rFonts w:eastAsiaTheme="minorHAnsi" w:cstheme="minorBidi"/>
          <w:b/>
          <w:i/>
          <w:sz w:val="20"/>
          <w:szCs w:val="20"/>
          <w:lang w:val="es-ES" w:eastAsia="en-US"/>
        </w:rPr>
        <w:t>representantes</w:t>
      </w:r>
      <w:r w:rsidRPr="00975C02">
        <w:rPr>
          <w:rFonts w:eastAsiaTheme="minorHAnsi" w:cstheme="minorBidi"/>
          <w:sz w:val="20"/>
          <w:szCs w:val="20"/>
          <w:lang w:val="es-ES" w:eastAsia="en-US"/>
        </w:rPr>
        <w:t xml:space="preserve"> señalaron que, conforme a lo declarado por la señora V.P.C., el 6 de diciembre de 2002 tuvo que abandonar y huir de Nicaragua con sus dos hijas </w:t>
      </w:r>
      <w:r w:rsidR="00EB3E59"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debido a la persecución del Poder Judicial politizada en su contra, persecución religiosa por ser mormona”. </w:t>
      </w:r>
      <w:r w:rsidR="00EB3E59" w:rsidRPr="00975C02">
        <w:rPr>
          <w:rFonts w:eastAsiaTheme="minorHAnsi" w:cstheme="minorBidi"/>
          <w:sz w:val="20"/>
          <w:szCs w:val="20"/>
          <w:lang w:val="es-ES" w:eastAsia="en-US"/>
        </w:rPr>
        <w:t>O</w:t>
      </w:r>
      <w:r w:rsidRPr="00975C02">
        <w:rPr>
          <w:rFonts w:eastAsiaTheme="minorHAnsi" w:cstheme="minorBidi"/>
          <w:sz w:val="20"/>
          <w:szCs w:val="20"/>
          <w:lang w:val="es-ES" w:eastAsia="en-US"/>
        </w:rPr>
        <w:t>bservar</w:t>
      </w:r>
      <w:r w:rsidR="00EB3E59" w:rsidRPr="00975C02">
        <w:rPr>
          <w:rFonts w:eastAsiaTheme="minorHAnsi" w:cstheme="minorBidi"/>
          <w:sz w:val="20"/>
          <w:szCs w:val="20"/>
          <w:lang w:val="es-ES" w:eastAsia="en-US"/>
        </w:rPr>
        <w:t>on</w:t>
      </w:r>
      <w:r w:rsidRPr="00975C02">
        <w:rPr>
          <w:rFonts w:eastAsiaTheme="minorHAnsi" w:cstheme="minorBidi"/>
          <w:sz w:val="20"/>
          <w:szCs w:val="20"/>
          <w:lang w:val="es-ES" w:eastAsia="en-US"/>
        </w:rPr>
        <w:t xml:space="preserve"> que la madre y </w:t>
      </w:r>
      <w:r w:rsidR="00EB3E59" w:rsidRPr="00975C02">
        <w:rPr>
          <w:rFonts w:eastAsiaTheme="minorHAnsi" w:cstheme="minorBidi"/>
          <w:sz w:val="20"/>
          <w:szCs w:val="20"/>
          <w:lang w:val="es-ES" w:eastAsia="en-US"/>
        </w:rPr>
        <w:t xml:space="preserve">los </w:t>
      </w:r>
      <w:r w:rsidRPr="00975C02">
        <w:rPr>
          <w:rFonts w:eastAsiaTheme="minorHAnsi" w:cstheme="minorBidi"/>
          <w:sz w:val="20"/>
          <w:szCs w:val="20"/>
          <w:lang w:val="es-ES" w:eastAsia="en-US"/>
        </w:rPr>
        <w:t>hermanos de la niña V.R.P. sufrieron afectaciones psíquicas y morales debido al sufrimiento, dolor, impotencia, estigmatización y temor ocasionado ante la</w:t>
      </w:r>
      <w:r w:rsidR="00EB3E59" w:rsidRPr="00975C02">
        <w:rPr>
          <w:rFonts w:eastAsiaTheme="minorHAnsi" w:cstheme="minorBidi"/>
          <w:sz w:val="20"/>
          <w:szCs w:val="20"/>
          <w:lang w:val="es-ES" w:eastAsia="en-US"/>
        </w:rPr>
        <w:t xml:space="preserve"> mencionada</w:t>
      </w:r>
      <w:r w:rsidRPr="00975C02">
        <w:rPr>
          <w:rFonts w:eastAsiaTheme="minorHAnsi" w:cstheme="minorBidi"/>
          <w:sz w:val="20"/>
          <w:szCs w:val="20"/>
          <w:lang w:val="es-ES" w:eastAsia="en-US"/>
        </w:rPr>
        <w:t xml:space="preserve"> persecución de la señora V.P.C., por la desintegración familiar y la distancia que se ha </w:t>
      </w:r>
      <w:r w:rsidRPr="00975C02">
        <w:rPr>
          <w:rFonts w:eastAsiaTheme="minorHAnsi" w:cstheme="minorBidi"/>
          <w:sz w:val="20"/>
          <w:szCs w:val="20"/>
          <w:lang w:val="es-ES" w:eastAsia="en-US"/>
        </w:rPr>
        <w:lastRenderedPageBreak/>
        <w:t xml:space="preserve">ocasionado entre </w:t>
      </w:r>
      <w:r w:rsidR="00EB3E59" w:rsidRPr="00975C02">
        <w:rPr>
          <w:rFonts w:eastAsiaTheme="minorHAnsi" w:cstheme="minorBidi"/>
          <w:sz w:val="20"/>
          <w:szCs w:val="20"/>
          <w:lang w:val="es-ES" w:eastAsia="en-US"/>
        </w:rPr>
        <w:t xml:space="preserve">los miembros de </w:t>
      </w:r>
      <w:r w:rsidRPr="00975C02">
        <w:rPr>
          <w:rFonts w:eastAsiaTheme="minorHAnsi" w:cstheme="minorBidi"/>
          <w:sz w:val="20"/>
          <w:szCs w:val="20"/>
          <w:lang w:val="es-ES" w:eastAsia="en-US"/>
        </w:rPr>
        <w:t xml:space="preserve">la familia. Por lo expuesto, las representantes concluyeron que el Estado es responsable por la violación de </w:t>
      </w:r>
      <w:r w:rsidR="00EB3E59" w:rsidRPr="00975C02">
        <w:rPr>
          <w:rFonts w:eastAsiaTheme="minorHAnsi" w:cstheme="minorBidi"/>
          <w:sz w:val="20"/>
          <w:szCs w:val="20"/>
          <w:lang w:val="es-ES" w:eastAsia="en-US"/>
        </w:rPr>
        <w:t xml:space="preserve">los artículos 1.1, 5.1, 11 y 24 de la Convención Americana, en relación con la peticionaria, así como </w:t>
      </w:r>
      <w:r w:rsidRPr="00975C02">
        <w:rPr>
          <w:rFonts w:eastAsiaTheme="minorHAnsi" w:cstheme="minorBidi"/>
          <w:sz w:val="20"/>
          <w:szCs w:val="20"/>
          <w:lang w:val="es-ES" w:eastAsia="en-US"/>
        </w:rPr>
        <w:t>los artículos 1.1, 5.1 y 11</w:t>
      </w:r>
      <w:r w:rsidR="00EB3E59" w:rsidRPr="00975C02">
        <w:rPr>
          <w:rFonts w:eastAsiaTheme="minorHAnsi" w:cstheme="minorBidi"/>
          <w:sz w:val="20"/>
          <w:szCs w:val="20"/>
          <w:lang w:val="es-ES" w:eastAsia="en-US"/>
        </w:rPr>
        <w:t xml:space="preserve"> de dicho instrumento</w:t>
      </w:r>
      <w:r w:rsidRPr="00975C02">
        <w:rPr>
          <w:rFonts w:eastAsiaTheme="minorHAnsi" w:cstheme="minorBidi"/>
          <w:sz w:val="20"/>
          <w:szCs w:val="20"/>
          <w:lang w:val="es-ES" w:eastAsia="en-US"/>
        </w:rPr>
        <w:t>, en rela</w:t>
      </w:r>
      <w:r w:rsidR="00A32FB4" w:rsidRPr="00975C02">
        <w:rPr>
          <w:rFonts w:eastAsiaTheme="minorHAnsi" w:cstheme="minorBidi"/>
          <w:sz w:val="20"/>
          <w:szCs w:val="20"/>
          <w:lang w:val="es-ES" w:eastAsia="en-US"/>
        </w:rPr>
        <w:t>ción con los hermanos de V.R.P.</w:t>
      </w:r>
    </w:p>
    <w:p w14:paraId="2A21E70C" w14:textId="77777777" w:rsidR="00B5625C" w:rsidRPr="00975C02" w:rsidRDefault="00B5625C" w:rsidP="00B5625C">
      <w:pPr>
        <w:tabs>
          <w:tab w:val="left" w:pos="567"/>
        </w:tabs>
        <w:spacing w:line="240" w:lineRule="auto"/>
        <w:ind w:left="708"/>
        <w:rPr>
          <w:rFonts w:eastAsiaTheme="minorHAnsi" w:cstheme="minorBidi"/>
          <w:sz w:val="20"/>
          <w:szCs w:val="20"/>
          <w:lang w:val="es-ES" w:eastAsia="en-US"/>
        </w:rPr>
      </w:pPr>
    </w:p>
    <w:p w14:paraId="71A98BA7" w14:textId="5F55C973"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 xml:space="preserve">El </w:t>
      </w:r>
      <w:r w:rsidRPr="00975C02">
        <w:rPr>
          <w:rFonts w:eastAsiaTheme="minorHAnsi" w:cstheme="minorBidi"/>
          <w:b/>
          <w:i/>
          <w:sz w:val="20"/>
          <w:szCs w:val="20"/>
          <w:lang w:val="es-ES" w:eastAsia="en-US"/>
        </w:rPr>
        <w:t>Estado</w:t>
      </w:r>
      <w:r w:rsidR="00EB3E59"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conforme </w:t>
      </w:r>
      <w:r w:rsidR="00EB3E59" w:rsidRPr="00975C02">
        <w:rPr>
          <w:rFonts w:eastAsiaTheme="minorHAnsi" w:cstheme="minorBidi"/>
          <w:sz w:val="20"/>
          <w:szCs w:val="20"/>
          <w:lang w:val="es-ES" w:eastAsia="en-US"/>
        </w:rPr>
        <w:t xml:space="preserve">se </w:t>
      </w:r>
      <w:r w:rsidRPr="00975C02">
        <w:rPr>
          <w:rFonts w:eastAsiaTheme="minorHAnsi" w:cstheme="minorBidi"/>
          <w:sz w:val="20"/>
          <w:szCs w:val="20"/>
          <w:lang w:val="es-ES" w:eastAsia="en-US"/>
        </w:rPr>
        <w:t xml:space="preserve">señaló en las </w:t>
      </w:r>
      <w:r w:rsidR="00EB3E59" w:rsidRPr="00975C02">
        <w:rPr>
          <w:rFonts w:eastAsiaTheme="minorHAnsi" w:cstheme="minorBidi"/>
          <w:sz w:val="20"/>
          <w:szCs w:val="20"/>
          <w:lang w:val="es-ES" w:eastAsia="en-US"/>
        </w:rPr>
        <w:t xml:space="preserve">consideraciones </w:t>
      </w:r>
      <w:r w:rsidRPr="00975C02">
        <w:rPr>
          <w:rFonts w:eastAsiaTheme="minorHAnsi" w:cstheme="minorBidi"/>
          <w:sz w:val="20"/>
          <w:szCs w:val="20"/>
          <w:lang w:val="es-ES" w:eastAsia="en-US"/>
        </w:rPr>
        <w:t>previas</w:t>
      </w:r>
      <w:r w:rsidR="00EB3E59" w:rsidRPr="00975C02">
        <w:rPr>
          <w:rFonts w:eastAsiaTheme="minorHAnsi" w:cstheme="minorBidi"/>
          <w:sz w:val="20"/>
          <w:szCs w:val="20"/>
          <w:lang w:val="es-ES" w:eastAsia="en-US"/>
        </w:rPr>
        <w:t xml:space="preserve"> (</w:t>
      </w:r>
      <w:r w:rsidR="00EB3E59" w:rsidRPr="00975C02">
        <w:rPr>
          <w:rFonts w:eastAsiaTheme="minorHAnsi" w:cstheme="minorBidi"/>
          <w:i/>
          <w:sz w:val="20"/>
          <w:szCs w:val="20"/>
          <w:lang w:val="es-ES" w:eastAsia="en-US"/>
        </w:rPr>
        <w:t xml:space="preserve">supra </w:t>
      </w:r>
      <w:r w:rsidR="00EB3E59" w:rsidRPr="00975C02">
        <w:rPr>
          <w:rFonts w:eastAsiaTheme="minorHAnsi" w:cstheme="minorBidi"/>
          <w:sz w:val="20"/>
          <w:szCs w:val="20"/>
          <w:lang w:val="es-ES" w:eastAsia="en-US"/>
        </w:rPr>
        <w:t>Capítulo V)</w:t>
      </w:r>
      <w:r w:rsidRPr="00975C02">
        <w:rPr>
          <w:rFonts w:eastAsiaTheme="minorHAnsi" w:cstheme="minorBidi"/>
          <w:sz w:val="20"/>
          <w:szCs w:val="20"/>
          <w:lang w:val="es-ES" w:eastAsia="en-US"/>
        </w:rPr>
        <w:t xml:space="preserve">, no reconoció a los hermanos de V.R.P. </w:t>
      </w:r>
      <w:r w:rsidRPr="00975C02">
        <w:rPr>
          <w:sz w:val="20"/>
          <w:szCs w:val="20"/>
          <w:lang w:val="es-ES"/>
        </w:rPr>
        <w:t>como</w:t>
      </w:r>
      <w:r w:rsidRPr="00975C02">
        <w:rPr>
          <w:rFonts w:eastAsiaTheme="minorHAnsi" w:cstheme="minorBidi"/>
          <w:sz w:val="20"/>
          <w:szCs w:val="20"/>
          <w:lang w:val="es-ES" w:eastAsia="en-US"/>
        </w:rPr>
        <w:t xml:space="preserve"> presuntas víctimas, por no haber sido </w:t>
      </w:r>
      <w:r w:rsidR="00EB3E59" w:rsidRPr="00975C02">
        <w:rPr>
          <w:rFonts w:eastAsiaTheme="minorHAnsi" w:cstheme="minorBidi"/>
          <w:sz w:val="20"/>
          <w:szCs w:val="20"/>
          <w:lang w:val="es-ES" w:eastAsia="en-US"/>
        </w:rPr>
        <w:t xml:space="preserve">determinados </w:t>
      </w:r>
      <w:r w:rsidRPr="00975C02">
        <w:rPr>
          <w:rFonts w:eastAsiaTheme="minorHAnsi" w:cstheme="minorBidi"/>
          <w:sz w:val="20"/>
          <w:szCs w:val="20"/>
          <w:lang w:val="es-ES" w:eastAsia="en-US"/>
        </w:rPr>
        <w:t>por la Comisión en su Informe de Fondo.</w:t>
      </w:r>
    </w:p>
    <w:p w14:paraId="105F6CC6" w14:textId="77777777" w:rsidR="00B5625C" w:rsidRPr="00975C02" w:rsidRDefault="00B5625C" w:rsidP="00B5625C">
      <w:pPr>
        <w:tabs>
          <w:tab w:val="left" w:pos="567"/>
        </w:tabs>
        <w:spacing w:line="240" w:lineRule="auto"/>
        <w:rPr>
          <w:rFonts w:eastAsiaTheme="minorHAnsi" w:cstheme="minorBidi"/>
          <w:sz w:val="20"/>
          <w:szCs w:val="20"/>
          <w:lang w:val="es-ES" w:eastAsia="en-US"/>
        </w:rPr>
      </w:pPr>
    </w:p>
    <w:p w14:paraId="37DC9902" w14:textId="77777777" w:rsidR="00B5625C" w:rsidRPr="00975C02" w:rsidRDefault="00B5625C" w:rsidP="00B5625C">
      <w:pPr>
        <w:keepNext/>
        <w:keepLines/>
        <w:widowControl/>
        <w:tabs>
          <w:tab w:val="left" w:pos="1134"/>
        </w:tabs>
        <w:autoSpaceDE w:val="0"/>
        <w:autoSpaceDN w:val="0"/>
        <w:spacing w:line="240" w:lineRule="auto"/>
        <w:ind w:left="567" w:firstLine="1"/>
        <w:textAlignment w:val="auto"/>
        <w:outlineLvl w:val="1"/>
        <w:rPr>
          <w:rFonts w:eastAsia="MS Mincho" w:cs="Arial"/>
          <w:b/>
          <w:bCs/>
          <w:i/>
          <w:sz w:val="20"/>
          <w:szCs w:val="20"/>
          <w:lang w:val="es-ES" w:eastAsia="en-US"/>
        </w:rPr>
      </w:pPr>
      <w:bookmarkStart w:id="159" w:name="_Toc495658692"/>
      <w:bookmarkStart w:id="160" w:name="_Toc514172660"/>
      <w:r w:rsidRPr="00975C02">
        <w:rPr>
          <w:rFonts w:eastAsia="MS Mincho" w:cs="Arial"/>
          <w:b/>
          <w:bCs/>
          <w:i/>
          <w:sz w:val="20"/>
          <w:szCs w:val="20"/>
          <w:lang w:val="es-ES" w:eastAsia="en-US"/>
        </w:rPr>
        <w:t>B.</w:t>
      </w:r>
      <w:r w:rsidRPr="00975C02">
        <w:rPr>
          <w:rFonts w:eastAsia="MS Mincho" w:cs="Arial"/>
          <w:b/>
          <w:bCs/>
          <w:i/>
          <w:sz w:val="20"/>
          <w:szCs w:val="20"/>
          <w:lang w:val="es-ES" w:eastAsia="en-US"/>
        </w:rPr>
        <w:tab/>
        <w:t>Consideraciones de la Corte</w:t>
      </w:r>
      <w:bookmarkEnd w:id="159"/>
      <w:bookmarkEnd w:id="160"/>
    </w:p>
    <w:p w14:paraId="24E6BA98" w14:textId="77777777" w:rsidR="00B5625C" w:rsidRPr="00975C02" w:rsidRDefault="00B5625C" w:rsidP="00B5625C">
      <w:pPr>
        <w:spacing w:line="240" w:lineRule="auto"/>
        <w:rPr>
          <w:rFonts w:eastAsia="MS Mincho" w:cs="Arial"/>
          <w:b/>
          <w:bCs/>
          <w:sz w:val="20"/>
          <w:szCs w:val="20"/>
          <w:lang w:val="es-ES" w:eastAsia="en-US"/>
        </w:rPr>
      </w:pPr>
    </w:p>
    <w:p w14:paraId="42911D07" w14:textId="7F54F66F"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bookmarkStart w:id="161" w:name="_Ref462932771"/>
      <w:r w:rsidRPr="00975C02">
        <w:rPr>
          <w:rFonts w:eastAsiaTheme="minorHAnsi" w:cstheme="minorBidi"/>
          <w:sz w:val="20"/>
          <w:szCs w:val="20"/>
          <w:lang w:val="es-ES" w:eastAsia="en-US"/>
        </w:rPr>
        <w:t>La Corte ha afirmado, en reiteradas oportunidades, que los familiares de las víctimas de violaciones de los derechos humanos pueden ser, a su vez, víctimas</w:t>
      </w:r>
      <w:r w:rsidRPr="00975C02">
        <w:rPr>
          <w:rFonts w:eastAsiaTheme="minorHAnsi" w:cstheme="minorBidi"/>
          <w:sz w:val="20"/>
          <w:szCs w:val="20"/>
          <w:vertAlign w:val="superscript"/>
          <w:lang w:val="es-ES" w:eastAsia="en-US"/>
        </w:rPr>
        <w:footnoteReference w:id="406"/>
      </w:r>
      <w:r w:rsidRPr="00975C02">
        <w:rPr>
          <w:rFonts w:eastAsiaTheme="minorHAnsi" w:cstheme="minorBidi"/>
          <w:sz w:val="20"/>
          <w:szCs w:val="20"/>
          <w:lang w:val="es-ES" w:eastAsia="en-US"/>
        </w:rPr>
        <w:t xml:space="preserve">. Este Tribunal ha </w:t>
      </w:r>
      <w:r w:rsidRPr="00975C02">
        <w:rPr>
          <w:sz w:val="20"/>
          <w:szCs w:val="20"/>
          <w:lang w:val="es-ES"/>
        </w:rPr>
        <w:t>considerado</w:t>
      </w:r>
      <w:r w:rsidRPr="00975C02">
        <w:rPr>
          <w:rFonts w:eastAsiaTheme="minorHAnsi" w:cstheme="minorBidi"/>
          <w:sz w:val="20"/>
          <w:szCs w:val="20"/>
          <w:lang w:val="es-ES" w:eastAsia="en-US"/>
        </w:rPr>
        <w:t xml:space="preserve"> que se puede declarar violado el derecho a la integridad psíquica y moral de “familiares directos” </w:t>
      </w:r>
      <w:r w:rsidR="009B2777" w:rsidRPr="00975C02">
        <w:rPr>
          <w:rFonts w:eastAsiaTheme="minorHAnsi" w:cstheme="minorBidi"/>
          <w:sz w:val="20"/>
          <w:szCs w:val="20"/>
          <w:lang w:val="es-ES" w:eastAsia="en-US"/>
        </w:rPr>
        <w:t>u</w:t>
      </w:r>
      <w:r w:rsidRPr="00975C02">
        <w:rPr>
          <w:rFonts w:eastAsiaTheme="minorHAnsi" w:cstheme="minorBidi"/>
          <w:sz w:val="20"/>
          <w:szCs w:val="20"/>
          <w:lang w:val="es-ES" w:eastAsia="en-US"/>
        </w:rPr>
        <w:t xml:space="preserve"> otras personas con vínculos estrechos con </w:t>
      </w:r>
      <w:r w:rsidR="009B2777" w:rsidRPr="00975C02">
        <w:rPr>
          <w:rFonts w:eastAsiaTheme="minorHAnsi" w:cstheme="minorBidi"/>
          <w:sz w:val="20"/>
          <w:szCs w:val="20"/>
          <w:lang w:val="es-ES" w:eastAsia="en-US"/>
        </w:rPr>
        <w:t xml:space="preserve">las </w:t>
      </w:r>
      <w:r w:rsidRPr="00975C02">
        <w:rPr>
          <w:rFonts w:eastAsiaTheme="minorHAnsi" w:cstheme="minorBidi"/>
          <w:sz w:val="20"/>
          <w:szCs w:val="20"/>
          <w:lang w:val="es-ES" w:eastAsia="en-US"/>
        </w:rPr>
        <w:t xml:space="preserve">víctimas con motivo del sufrimiento adicional que </w:t>
      </w:r>
      <w:r w:rsidR="009B2777" w:rsidRPr="00975C02">
        <w:rPr>
          <w:rFonts w:eastAsiaTheme="minorHAnsi" w:cstheme="minorBidi"/>
          <w:sz w:val="20"/>
          <w:szCs w:val="20"/>
          <w:lang w:val="es-ES" w:eastAsia="en-US"/>
        </w:rPr>
        <w:t xml:space="preserve">aquéllos </w:t>
      </w:r>
      <w:r w:rsidRPr="00975C02">
        <w:rPr>
          <w:rFonts w:eastAsiaTheme="minorHAnsi" w:cstheme="minorBidi"/>
          <w:sz w:val="20"/>
          <w:szCs w:val="20"/>
          <w:lang w:val="es-ES" w:eastAsia="en-US"/>
        </w:rPr>
        <w:t>han padecido como producto de las circunstancias particulares de las violaciones perpetradas contra sus seres queridos, y a causa de las posteriores actuaciones u omisiones de las autoridades estatales frente a estos hechos</w:t>
      </w:r>
      <w:r w:rsidRPr="00975C02">
        <w:rPr>
          <w:rFonts w:eastAsiaTheme="minorHAnsi" w:cstheme="minorBidi"/>
          <w:sz w:val="20"/>
          <w:szCs w:val="20"/>
          <w:vertAlign w:val="superscript"/>
          <w:lang w:val="es-ES" w:eastAsia="en-US"/>
        </w:rPr>
        <w:footnoteReference w:id="407"/>
      </w:r>
      <w:r w:rsidRPr="00975C02">
        <w:rPr>
          <w:rFonts w:eastAsiaTheme="minorHAnsi" w:cstheme="minorBidi"/>
          <w:sz w:val="20"/>
          <w:szCs w:val="20"/>
          <w:lang w:val="es-ES" w:eastAsia="en-US"/>
        </w:rPr>
        <w:t>, tomando en cuenta, entre otros</w:t>
      </w:r>
      <w:r w:rsidR="009B2777" w:rsidRPr="00975C02">
        <w:rPr>
          <w:rFonts w:eastAsiaTheme="minorHAnsi" w:cstheme="minorBidi"/>
          <w:sz w:val="20"/>
          <w:szCs w:val="20"/>
          <w:lang w:val="es-ES" w:eastAsia="en-US"/>
        </w:rPr>
        <w:t xml:space="preserve"> elementos</w:t>
      </w:r>
      <w:r w:rsidRPr="00975C02">
        <w:rPr>
          <w:rFonts w:eastAsiaTheme="minorHAnsi" w:cstheme="minorBidi"/>
          <w:sz w:val="20"/>
          <w:szCs w:val="20"/>
          <w:lang w:val="es-ES" w:eastAsia="en-US"/>
        </w:rPr>
        <w:t>, las gestiones realizadas para obtener justicia y la existencia de un estrecho vínculo familiar</w:t>
      </w:r>
      <w:r w:rsidRPr="00975C02">
        <w:rPr>
          <w:rFonts w:eastAsiaTheme="minorHAnsi" w:cstheme="minorBidi"/>
          <w:sz w:val="20"/>
          <w:szCs w:val="20"/>
          <w:vertAlign w:val="superscript"/>
          <w:lang w:val="es-ES" w:eastAsia="en-US"/>
        </w:rPr>
        <w:footnoteReference w:id="408"/>
      </w:r>
      <w:r w:rsidRPr="00975C02">
        <w:rPr>
          <w:rFonts w:eastAsiaTheme="minorHAnsi" w:cstheme="minorBidi"/>
          <w:sz w:val="20"/>
          <w:szCs w:val="20"/>
          <w:lang w:val="es-ES" w:eastAsia="en-US"/>
        </w:rPr>
        <w:t>.</w:t>
      </w:r>
    </w:p>
    <w:p w14:paraId="54137E24" w14:textId="77777777" w:rsidR="00B5625C" w:rsidRPr="00975C02" w:rsidRDefault="00B5625C" w:rsidP="00B5625C">
      <w:pPr>
        <w:widowControl/>
        <w:tabs>
          <w:tab w:val="left" w:pos="567"/>
        </w:tabs>
        <w:adjustRightInd/>
        <w:spacing w:line="240" w:lineRule="auto"/>
        <w:textAlignment w:val="auto"/>
        <w:rPr>
          <w:rFonts w:eastAsia="Calibri" w:cs="Calibri"/>
          <w:sz w:val="20"/>
          <w:szCs w:val="22"/>
          <w:lang w:val="es-ES" w:eastAsia="en-US"/>
        </w:rPr>
      </w:pPr>
    </w:p>
    <w:bookmarkEnd w:id="161"/>
    <w:p w14:paraId="0ADB1ACD" w14:textId="4F4DC635" w:rsidR="00B5625C" w:rsidRPr="00975C02" w:rsidRDefault="00456B78"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Pr>
          <w:rFonts w:eastAsia="MS Mincho"/>
          <w:spacing w:val="-2"/>
          <w:sz w:val="20"/>
          <w:szCs w:val="20"/>
        </w:rPr>
        <w:t>L</w:t>
      </w:r>
      <w:r w:rsidRPr="00A34F42">
        <w:rPr>
          <w:rFonts w:eastAsia="MS Mincho"/>
          <w:spacing w:val="-2"/>
          <w:sz w:val="20"/>
          <w:szCs w:val="20"/>
        </w:rPr>
        <w:t xml:space="preserve">a Corte ha señalado que se puede declarar la violación del derecho a la integridad psíquica y moral de familiares de víctimas de ciertas violaciones de derechos humanos aplicando una presunción </w:t>
      </w:r>
      <w:r w:rsidRPr="00A34F42">
        <w:rPr>
          <w:rFonts w:eastAsia="MS Mincho"/>
          <w:i/>
          <w:spacing w:val="-2"/>
          <w:sz w:val="20"/>
          <w:szCs w:val="20"/>
        </w:rPr>
        <w:t>iuris tantum</w:t>
      </w:r>
      <w:r w:rsidRPr="00A34F42">
        <w:rPr>
          <w:rFonts w:eastAsia="MS Mincho"/>
          <w:spacing w:val="-2"/>
          <w:sz w:val="20"/>
          <w:szCs w:val="20"/>
        </w:rPr>
        <w:t>, siempre que ello responda a las circuns</w:t>
      </w:r>
      <w:r>
        <w:rPr>
          <w:rFonts w:eastAsia="MS Mincho"/>
          <w:spacing w:val="-2"/>
          <w:sz w:val="20"/>
          <w:szCs w:val="20"/>
        </w:rPr>
        <w:t>tancias particulares en el caso</w:t>
      </w:r>
      <w:r w:rsidR="009B2777" w:rsidRPr="00975C02">
        <w:rPr>
          <w:rStyle w:val="FootnoteReference"/>
          <w:rFonts w:eastAsiaTheme="minorHAnsi" w:cstheme="minorBidi"/>
          <w:sz w:val="20"/>
          <w:szCs w:val="20"/>
          <w:lang w:val="es-ES" w:eastAsia="en-US"/>
        </w:rPr>
        <w:footnoteReference w:id="409"/>
      </w:r>
      <w:r>
        <w:rPr>
          <w:rFonts w:eastAsia="MS Mincho"/>
          <w:spacing w:val="-2"/>
          <w:sz w:val="20"/>
          <w:szCs w:val="20"/>
        </w:rPr>
        <w:t>.</w:t>
      </w:r>
      <w:r w:rsidR="00B5625C" w:rsidRPr="00975C02">
        <w:rPr>
          <w:rFonts w:eastAsiaTheme="minorHAnsi" w:cstheme="minorBidi"/>
          <w:sz w:val="20"/>
          <w:szCs w:val="20"/>
          <w:lang w:val="es-ES" w:eastAsia="en-US"/>
        </w:rPr>
        <w:t xml:space="preserve"> </w:t>
      </w:r>
      <w:r w:rsidRPr="00A34F42">
        <w:rPr>
          <w:rFonts w:eastAsia="MS Mincho"/>
          <w:spacing w:val="-2"/>
          <w:sz w:val="20"/>
          <w:szCs w:val="20"/>
        </w:rPr>
        <w:t xml:space="preserve">En los demás supuestos, la Corte deberá </w:t>
      </w:r>
      <w:r w:rsidR="00B5625C" w:rsidRPr="00975C02">
        <w:rPr>
          <w:rFonts w:eastAsiaTheme="minorHAnsi" w:cstheme="minorBidi"/>
          <w:sz w:val="20"/>
          <w:szCs w:val="20"/>
          <w:lang w:val="es-ES" w:eastAsia="en-US"/>
        </w:rPr>
        <w:t>eval</w:t>
      </w:r>
      <w:r>
        <w:rPr>
          <w:rFonts w:eastAsiaTheme="minorHAnsi" w:cstheme="minorBidi"/>
          <w:sz w:val="20"/>
          <w:szCs w:val="20"/>
          <w:lang w:val="es-ES" w:eastAsia="en-US"/>
        </w:rPr>
        <w:t>uar</w:t>
      </w:r>
      <w:r w:rsidR="009B2777" w:rsidRPr="00975C02">
        <w:rPr>
          <w:rFonts w:eastAsiaTheme="minorHAnsi" w:cstheme="minorBidi"/>
          <w:sz w:val="20"/>
          <w:szCs w:val="20"/>
          <w:lang w:val="es-ES" w:eastAsia="en-US"/>
        </w:rPr>
        <w:t>,</w:t>
      </w:r>
      <w:r w:rsidR="00B5625C" w:rsidRPr="00975C02">
        <w:rPr>
          <w:rFonts w:eastAsiaTheme="minorHAnsi" w:cstheme="minorBidi"/>
          <w:sz w:val="20"/>
          <w:szCs w:val="20"/>
          <w:lang w:val="es-ES" w:eastAsia="en-US"/>
        </w:rPr>
        <w:t xml:space="preserve"> </w:t>
      </w:r>
      <w:r w:rsidR="009B2777" w:rsidRPr="00975C02">
        <w:rPr>
          <w:rFonts w:eastAsiaTheme="minorHAnsi" w:cstheme="minorBidi"/>
          <w:sz w:val="20"/>
          <w:szCs w:val="20"/>
          <w:lang w:val="es-ES" w:eastAsia="en-US"/>
        </w:rPr>
        <w:t xml:space="preserve">por un lado, </w:t>
      </w:r>
      <w:r w:rsidR="00B5625C" w:rsidRPr="00975C02">
        <w:rPr>
          <w:rFonts w:eastAsiaTheme="minorHAnsi" w:cstheme="minorBidi"/>
          <w:sz w:val="20"/>
          <w:szCs w:val="20"/>
          <w:lang w:val="es-ES" w:eastAsia="en-US"/>
        </w:rPr>
        <w:t xml:space="preserve">la existencia de un vínculo particularmente estrecho entre los familiares y la </w:t>
      </w:r>
      <w:r w:rsidR="00DD768D" w:rsidRPr="00975C02">
        <w:rPr>
          <w:rFonts w:eastAsiaTheme="minorHAnsi" w:cstheme="minorBidi"/>
          <w:sz w:val="20"/>
          <w:szCs w:val="20"/>
          <w:lang w:val="es-ES" w:eastAsia="en-US"/>
        </w:rPr>
        <w:t xml:space="preserve">presunta </w:t>
      </w:r>
      <w:r w:rsidR="00B5625C" w:rsidRPr="00975C02">
        <w:rPr>
          <w:rFonts w:eastAsiaTheme="minorHAnsi" w:cstheme="minorBidi"/>
          <w:sz w:val="20"/>
          <w:szCs w:val="20"/>
          <w:lang w:val="es-ES" w:eastAsia="en-US"/>
        </w:rPr>
        <w:t>víctima del caso que permita establecer una afectación a su integridad personal y, por otro lado, si de la prueba que consta en el expediente se acredita una violación del derecho a la integridad personal</w:t>
      </w:r>
      <w:r w:rsidR="00B5625C" w:rsidRPr="00975C02">
        <w:rPr>
          <w:rFonts w:eastAsiaTheme="minorHAnsi" w:cstheme="minorBidi"/>
          <w:sz w:val="20"/>
          <w:szCs w:val="20"/>
          <w:vertAlign w:val="superscript"/>
          <w:lang w:val="es-ES" w:eastAsia="en-US"/>
        </w:rPr>
        <w:footnoteReference w:id="410"/>
      </w:r>
      <w:r w:rsidR="00B5625C" w:rsidRPr="00975C02">
        <w:rPr>
          <w:rFonts w:eastAsiaTheme="minorHAnsi" w:cstheme="minorBidi"/>
          <w:sz w:val="20"/>
          <w:szCs w:val="20"/>
          <w:lang w:val="es-ES" w:eastAsia="en-US"/>
        </w:rPr>
        <w:t>.</w:t>
      </w:r>
    </w:p>
    <w:p w14:paraId="129FD748" w14:textId="77777777" w:rsidR="00B5625C" w:rsidRPr="00975C02" w:rsidRDefault="00B5625C" w:rsidP="00B5625C">
      <w:pPr>
        <w:tabs>
          <w:tab w:val="left" w:pos="567"/>
        </w:tabs>
        <w:spacing w:line="240" w:lineRule="auto"/>
        <w:rPr>
          <w:rFonts w:cs="Calibri"/>
          <w:sz w:val="20"/>
          <w:lang w:val="es-ES"/>
        </w:rPr>
      </w:pPr>
    </w:p>
    <w:p w14:paraId="1912B076" w14:textId="399685FF" w:rsidR="00B5625C" w:rsidRPr="00975C02" w:rsidRDefault="00B5625C" w:rsidP="009167FE">
      <w:pPr>
        <w:pStyle w:val="ListParagraph"/>
        <w:widowControl/>
        <w:numPr>
          <w:ilvl w:val="0"/>
          <w:numId w:val="2"/>
        </w:numPr>
        <w:adjustRightInd/>
        <w:spacing w:line="240" w:lineRule="auto"/>
        <w:ind w:left="0" w:firstLine="0"/>
        <w:textAlignment w:val="auto"/>
        <w:rPr>
          <w:rFonts w:cs="Calibri"/>
          <w:sz w:val="20"/>
          <w:lang w:val="es-ES"/>
        </w:rPr>
      </w:pPr>
      <w:r w:rsidRPr="00975C02">
        <w:rPr>
          <w:rFonts w:cs="Calibri"/>
          <w:sz w:val="20"/>
          <w:lang w:val="es-ES"/>
        </w:rPr>
        <w:t>Al respecto, durante la audiencia pública</w:t>
      </w:r>
      <w:r w:rsidR="00303C29" w:rsidRPr="00975C02">
        <w:rPr>
          <w:rFonts w:cs="Calibri"/>
          <w:sz w:val="20"/>
          <w:lang w:val="es-ES"/>
        </w:rPr>
        <w:t>,</w:t>
      </w:r>
      <w:r w:rsidRPr="00975C02">
        <w:rPr>
          <w:rFonts w:cs="Calibri"/>
          <w:sz w:val="20"/>
          <w:lang w:val="es-ES"/>
        </w:rPr>
        <w:t xml:space="preserve"> la señora V.P.C. se </w:t>
      </w:r>
      <w:r w:rsidR="00303C29" w:rsidRPr="00975C02">
        <w:rPr>
          <w:rFonts w:cs="Calibri"/>
          <w:sz w:val="20"/>
          <w:lang w:val="es-ES"/>
        </w:rPr>
        <w:t>refirió a</w:t>
      </w:r>
      <w:r w:rsidRPr="00975C02">
        <w:rPr>
          <w:rFonts w:cs="Calibri"/>
          <w:sz w:val="20"/>
          <w:lang w:val="es-ES"/>
        </w:rPr>
        <w:t xml:space="preserve"> las graves </w:t>
      </w:r>
      <w:r w:rsidRPr="00975C02">
        <w:rPr>
          <w:rFonts w:eastAsiaTheme="minorHAnsi" w:cstheme="minorBidi"/>
          <w:sz w:val="20"/>
          <w:szCs w:val="20"/>
          <w:lang w:val="es-ES" w:eastAsia="en-US"/>
        </w:rPr>
        <w:t>consecuencias</w:t>
      </w:r>
      <w:r w:rsidRPr="00975C02">
        <w:rPr>
          <w:rFonts w:cs="Calibri"/>
          <w:sz w:val="20"/>
          <w:lang w:val="es-ES"/>
        </w:rPr>
        <w:t xml:space="preserve"> que tuvo </w:t>
      </w:r>
      <w:r w:rsidR="00303C29" w:rsidRPr="00975C02">
        <w:rPr>
          <w:rFonts w:cs="Calibri"/>
          <w:sz w:val="20"/>
          <w:lang w:val="es-ES"/>
        </w:rPr>
        <w:t xml:space="preserve">para </w:t>
      </w:r>
      <w:r w:rsidRPr="00975C02">
        <w:rPr>
          <w:rFonts w:cs="Calibri"/>
          <w:sz w:val="20"/>
          <w:lang w:val="es-ES"/>
        </w:rPr>
        <w:t>su familia la violación sexual de su hija</w:t>
      </w:r>
      <w:r w:rsidR="00303C29" w:rsidRPr="00975C02">
        <w:rPr>
          <w:rFonts w:cs="Calibri"/>
          <w:sz w:val="20"/>
          <w:lang w:val="es-ES"/>
        </w:rPr>
        <w:t>, así como la violencia institucional y la revictimización a la que fueron sometidas durante</w:t>
      </w:r>
      <w:r w:rsidRPr="00975C02">
        <w:rPr>
          <w:rFonts w:cs="Calibri"/>
          <w:sz w:val="20"/>
          <w:lang w:val="es-ES"/>
        </w:rPr>
        <w:t xml:space="preserve"> el proceso judicial a nivel interno. Señaló que “los actos de dolor y coacción e intimidación que utilizaron las autoridades” en su perjuicio</w:t>
      </w:r>
      <w:r w:rsidR="00EE10B8" w:rsidRPr="00975C02">
        <w:rPr>
          <w:rFonts w:cs="Calibri"/>
          <w:sz w:val="20"/>
          <w:lang w:val="es-ES"/>
        </w:rPr>
        <w:t xml:space="preserve"> provocaron la desintegración de su familia</w:t>
      </w:r>
      <w:r w:rsidRPr="00975C02">
        <w:rPr>
          <w:rFonts w:cs="Calibri"/>
          <w:sz w:val="20"/>
          <w:lang w:val="es-ES"/>
        </w:rPr>
        <w:t xml:space="preserve">. En este sentido, </w:t>
      </w:r>
      <w:r w:rsidR="00EE10B8" w:rsidRPr="00975C02">
        <w:rPr>
          <w:rFonts w:cs="Calibri"/>
          <w:sz w:val="20"/>
          <w:lang w:val="es-ES"/>
        </w:rPr>
        <w:t>l</w:t>
      </w:r>
      <w:r w:rsidRPr="00975C02">
        <w:rPr>
          <w:rFonts w:cs="Calibri"/>
          <w:sz w:val="20"/>
          <w:lang w:val="es-ES"/>
        </w:rPr>
        <w:t>a señora V.P.C. declaró que:</w:t>
      </w:r>
    </w:p>
    <w:p w14:paraId="7D086765" w14:textId="77777777" w:rsidR="00B5625C" w:rsidRPr="00975C02" w:rsidRDefault="00B5625C" w:rsidP="00B5625C">
      <w:pPr>
        <w:tabs>
          <w:tab w:val="left" w:pos="567"/>
        </w:tabs>
        <w:spacing w:line="240" w:lineRule="auto"/>
        <w:rPr>
          <w:rFonts w:cs="Calibri"/>
          <w:sz w:val="20"/>
          <w:lang w:val="es-ES"/>
        </w:rPr>
      </w:pPr>
    </w:p>
    <w:p w14:paraId="4673874D" w14:textId="723F1D38" w:rsidR="00B5625C" w:rsidRPr="00975C02" w:rsidRDefault="00B5625C" w:rsidP="00CE543E">
      <w:pPr>
        <w:tabs>
          <w:tab w:val="left" w:pos="567"/>
        </w:tabs>
        <w:spacing w:line="240" w:lineRule="auto"/>
        <w:ind w:left="567" w:right="582"/>
        <w:rPr>
          <w:rFonts w:cs="Calibri"/>
          <w:sz w:val="16"/>
          <w:szCs w:val="16"/>
          <w:lang w:val="es-ES"/>
        </w:rPr>
      </w:pPr>
      <w:r w:rsidRPr="00975C02">
        <w:rPr>
          <w:rFonts w:cs="Calibri"/>
          <w:sz w:val="16"/>
          <w:szCs w:val="16"/>
          <w:lang w:val="es-ES"/>
        </w:rPr>
        <w:t>[M]is hijos se tuvieron que quedar en Nicaragua y yo tuve que abandonar el país para poder ayudar a mi hija de que no siguiera en ese lugar donde prácticamente en vez de darnos justicia, lo que hicieron fue causarnos, infringirnos más dolor del que nosotros teníamos ya. [</w:t>
      </w:r>
      <w:r w:rsidR="00EE10B8" w:rsidRPr="00975C02">
        <w:rPr>
          <w:rFonts w:cs="Calibri"/>
          <w:sz w:val="16"/>
          <w:szCs w:val="16"/>
          <w:lang w:val="es-ES"/>
        </w:rPr>
        <w:t>Salimos</w:t>
      </w:r>
      <w:r w:rsidRPr="00975C02">
        <w:rPr>
          <w:rFonts w:cs="Calibri"/>
          <w:sz w:val="16"/>
          <w:szCs w:val="16"/>
          <w:lang w:val="es-ES"/>
        </w:rPr>
        <w:t xml:space="preserve">] con miedo, producto de todas las acusaciones criminales, que tanto el médico forense como la juez local y la otra persona del jurado habían interpuesto en contra mía, en contra de mi madre que era una señora de 70 años, y en contra de mi hermana por el solo </w:t>
      </w:r>
      <w:r w:rsidRPr="00975C02">
        <w:rPr>
          <w:rFonts w:cs="Calibri"/>
          <w:sz w:val="16"/>
          <w:szCs w:val="16"/>
          <w:lang w:val="es-ES"/>
        </w:rPr>
        <w:lastRenderedPageBreak/>
        <w:t>hecho de acompañarme en los procesos. [</w:t>
      </w:r>
      <w:r w:rsidR="00EE10B8" w:rsidRPr="00975C02">
        <w:rPr>
          <w:rFonts w:cs="Calibri"/>
          <w:sz w:val="16"/>
          <w:szCs w:val="16"/>
          <w:lang w:val="es-ES"/>
        </w:rPr>
        <w:t>E</w:t>
      </w:r>
      <w:r w:rsidRPr="00975C02">
        <w:rPr>
          <w:rFonts w:cs="Calibri"/>
          <w:sz w:val="16"/>
          <w:szCs w:val="16"/>
          <w:lang w:val="es-ES"/>
        </w:rPr>
        <w:t xml:space="preserve">]n el momento que se dieron todos esos hechos, yo podía sostener a mis hijos en el sentido de que les estaba pagando una universidad privada a mi hija, la mayor. Mis otros hijos también estaban estudiando en un colegio privado, o sea, tenían ropa, tenían alimentos, medicinas </w:t>
      </w:r>
      <w:r w:rsidR="00F06BCE" w:rsidRPr="00975C02">
        <w:rPr>
          <w:rFonts w:cs="Calibri"/>
          <w:sz w:val="16"/>
          <w:szCs w:val="16"/>
          <w:lang w:val="es-ES"/>
        </w:rPr>
        <w:t>[…]</w:t>
      </w:r>
      <w:r w:rsidRPr="00975C02">
        <w:rPr>
          <w:rFonts w:cs="Calibri"/>
          <w:sz w:val="16"/>
          <w:szCs w:val="16"/>
          <w:lang w:val="es-ES"/>
        </w:rPr>
        <w:t>, incluso también les pagaba una empleada para que atendiera las cosas de la casa</w:t>
      </w:r>
      <w:r w:rsidR="00F06BCE" w:rsidRPr="00975C02">
        <w:rPr>
          <w:rFonts w:cs="Calibri"/>
          <w:sz w:val="16"/>
          <w:szCs w:val="16"/>
          <w:lang w:val="es-ES"/>
        </w:rPr>
        <w:t>[, …]</w:t>
      </w:r>
      <w:r w:rsidRPr="00975C02">
        <w:rPr>
          <w:rFonts w:cs="Calibri"/>
          <w:sz w:val="16"/>
          <w:szCs w:val="16"/>
          <w:lang w:val="es-ES"/>
        </w:rPr>
        <w:t xml:space="preserve"> estaban bien, no como están ahora</w:t>
      </w:r>
      <w:r w:rsidRPr="00975C02">
        <w:rPr>
          <w:rFonts w:cs="Calibri"/>
          <w:sz w:val="16"/>
          <w:szCs w:val="16"/>
          <w:vertAlign w:val="superscript"/>
          <w:lang w:val="es-ES"/>
        </w:rPr>
        <w:footnoteReference w:id="411"/>
      </w:r>
      <w:r w:rsidR="00086C46" w:rsidRPr="00975C02">
        <w:rPr>
          <w:rFonts w:cs="Calibri"/>
          <w:sz w:val="16"/>
          <w:szCs w:val="16"/>
          <w:lang w:val="es-ES"/>
        </w:rPr>
        <w:t>.</w:t>
      </w:r>
    </w:p>
    <w:p w14:paraId="591A6751" w14:textId="77777777" w:rsidR="00B5625C" w:rsidRPr="00975C02" w:rsidRDefault="00B5625C" w:rsidP="00B5625C">
      <w:pPr>
        <w:tabs>
          <w:tab w:val="left" w:pos="567"/>
        </w:tabs>
        <w:spacing w:line="240" w:lineRule="auto"/>
        <w:rPr>
          <w:rFonts w:cs="Calibri"/>
          <w:sz w:val="16"/>
          <w:szCs w:val="16"/>
          <w:lang w:val="es-ES"/>
        </w:rPr>
      </w:pPr>
    </w:p>
    <w:p w14:paraId="64FA802A" w14:textId="635A184D" w:rsidR="00B53418" w:rsidRPr="00975C02" w:rsidRDefault="00B53418" w:rsidP="00B53418">
      <w:pPr>
        <w:pStyle w:val="ListParagraph"/>
        <w:widowControl/>
        <w:numPr>
          <w:ilvl w:val="0"/>
          <w:numId w:val="2"/>
        </w:numPr>
        <w:adjustRightInd/>
        <w:spacing w:line="240" w:lineRule="auto"/>
        <w:ind w:left="0" w:firstLine="0"/>
        <w:textAlignment w:val="auto"/>
        <w:rPr>
          <w:sz w:val="20"/>
          <w:szCs w:val="20"/>
          <w:lang w:val="es-ES"/>
        </w:rPr>
      </w:pPr>
      <w:r w:rsidRPr="00975C02">
        <w:rPr>
          <w:sz w:val="20"/>
          <w:szCs w:val="20"/>
          <w:lang w:val="es-ES"/>
        </w:rPr>
        <w:t xml:space="preserve">Respecto </w:t>
      </w:r>
      <w:r w:rsidR="00F06BCE" w:rsidRPr="00975C02">
        <w:rPr>
          <w:sz w:val="20"/>
          <w:szCs w:val="20"/>
          <w:lang w:val="es-ES"/>
        </w:rPr>
        <w:t xml:space="preserve">a </w:t>
      </w:r>
      <w:r w:rsidRPr="00975C02">
        <w:rPr>
          <w:sz w:val="20"/>
          <w:szCs w:val="20"/>
          <w:lang w:val="es-ES"/>
        </w:rPr>
        <w:t xml:space="preserve">las afectaciones </w:t>
      </w:r>
      <w:r w:rsidR="00F06BCE" w:rsidRPr="00975C02">
        <w:rPr>
          <w:sz w:val="20"/>
          <w:szCs w:val="20"/>
          <w:lang w:val="es-ES"/>
        </w:rPr>
        <w:t xml:space="preserve">y la revictimización </w:t>
      </w:r>
      <w:r w:rsidRPr="00975C02">
        <w:rPr>
          <w:sz w:val="20"/>
          <w:szCs w:val="20"/>
          <w:lang w:val="es-ES"/>
        </w:rPr>
        <w:t>sufridas por la señora V.P.C.</w:t>
      </w:r>
      <w:r w:rsidR="00A03CDB" w:rsidRPr="00975C02">
        <w:rPr>
          <w:sz w:val="20"/>
          <w:szCs w:val="20"/>
          <w:lang w:val="es-ES"/>
        </w:rPr>
        <w:t xml:space="preserve"> </w:t>
      </w:r>
      <w:r w:rsidR="00F06BCE" w:rsidRPr="00975C02">
        <w:rPr>
          <w:sz w:val="20"/>
          <w:szCs w:val="20"/>
          <w:lang w:val="es-ES"/>
        </w:rPr>
        <w:t>al acudir</w:t>
      </w:r>
      <w:r w:rsidRPr="00975C02">
        <w:rPr>
          <w:sz w:val="20"/>
          <w:szCs w:val="20"/>
          <w:lang w:val="es-ES"/>
        </w:rPr>
        <w:t xml:space="preserve"> a las instancias judiciales, el perito Enrique Oscar Stola señaló que “la madre, que es una madre protectora, también es una víctima y cuando analizamos la conducta del Poder Judicial en principio se había colocado que era una víctima secundaria, pero también pienso que la madre protectora recibe tal nivel de agresión dentro del Poder Judicial que puede ser una víctima primaria, tanto como la niña. Por último, las actitudes de hacerle reiterar y reiterar con diferentes profesionales lo vivido, lo único que puede hacer es aumentar el trauma y la prolongación del juicio, del proceso legal, </w:t>
      </w:r>
      <w:r w:rsidR="00F06BCE" w:rsidRPr="00975C02">
        <w:rPr>
          <w:sz w:val="20"/>
          <w:szCs w:val="20"/>
          <w:lang w:val="es-ES"/>
        </w:rPr>
        <w:t>[…]</w:t>
      </w:r>
      <w:r w:rsidRPr="00975C02">
        <w:rPr>
          <w:sz w:val="20"/>
          <w:szCs w:val="20"/>
          <w:lang w:val="es-ES"/>
        </w:rPr>
        <w:t xml:space="preserve"> lo que hace es mantener activo el estrés post-traumático y profundizar alguna sintomatología”</w:t>
      </w:r>
      <w:r w:rsidRPr="00975C02">
        <w:rPr>
          <w:rStyle w:val="FootnoteReference"/>
          <w:sz w:val="20"/>
          <w:szCs w:val="20"/>
          <w:lang w:val="es-ES"/>
        </w:rPr>
        <w:footnoteReference w:id="412"/>
      </w:r>
      <w:r w:rsidRPr="00975C02">
        <w:rPr>
          <w:sz w:val="20"/>
          <w:szCs w:val="20"/>
          <w:lang w:val="es-ES"/>
        </w:rPr>
        <w:t>.</w:t>
      </w:r>
    </w:p>
    <w:p w14:paraId="7913C11E" w14:textId="77777777" w:rsidR="00B53418" w:rsidRPr="00975C02" w:rsidRDefault="00B53418" w:rsidP="00B5625C">
      <w:pPr>
        <w:tabs>
          <w:tab w:val="left" w:pos="567"/>
        </w:tabs>
        <w:spacing w:line="240" w:lineRule="auto"/>
        <w:rPr>
          <w:rFonts w:cs="Calibri"/>
          <w:sz w:val="20"/>
          <w:szCs w:val="20"/>
          <w:lang w:val="es-ES"/>
        </w:rPr>
      </w:pPr>
    </w:p>
    <w:p w14:paraId="05E49164" w14:textId="734E5BDF" w:rsidR="00B5625C" w:rsidRPr="00975C02" w:rsidRDefault="00B5625C" w:rsidP="009167FE">
      <w:pPr>
        <w:pStyle w:val="ListParagraph"/>
        <w:widowControl/>
        <w:numPr>
          <w:ilvl w:val="0"/>
          <w:numId w:val="2"/>
        </w:numPr>
        <w:adjustRightInd/>
        <w:spacing w:line="240" w:lineRule="auto"/>
        <w:ind w:left="0" w:firstLine="0"/>
        <w:textAlignment w:val="auto"/>
        <w:rPr>
          <w:rFonts w:cs="Calibri"/>
          <w:sz w:val="20"/>
          <w:lang w:val="es-ES"/>
        </w:rPr>
      </w:pPr>
      <w:r w:rsidRPr="00975C02">
        <w:rPr>
          <w:rFonts w:cs="Calibri"/>
          <w:sz w:val="20"/>
          <w:lang w:val="es-ES"/>
        </w:rPr>
        <w:t xml:space="preserve">En cuanto a las afectaciones a la integridad personal de </w:t>
      </w:r>
      <w:r w:rsidR="00B13C64" w:rsidRPr="00975C02">
        <w:rPr>
          <w:rFonts w:cs="Calibri"/>
          <w:sz w:val="20"/>
          <w:lang w:val="es-ES"/>
        </w:rPr>
        <w:t xml:space="preserve">la hermana y </w:t>
      </w:r>
      <w:r w:rsidRPr="00975C02">
        <w:rPr>
          <w:rFonts w:cs="Calibri"/>
          <w:sz w:val="20"/>
          <w:lang w:val="es-ES"/>
        </w:rPr>
        <w:t>los hermanos</w:t>
      </w:r>
      <w:r w:rsidR="00F6290A" w:rsidRPr="00975C02">
        <w:rPr>
          <w:rFonts w:cs="Calibri"/>
          <w:sz w:val="20"/>
          <w:lang w:val="es-ES"/>
        </w:rPr>
        <w:t xml:space="preserve"> </w:t>
      </w:r>
      <w:r w:rsidRPr="00975C02">
        <w:rPr>
          <w:rFonts w:cs="Calibri"/>
          <w:sz w:val="20"/>
          <w:lang w:val="es-ES"/>
        </w:rPr>
        <w:t>de V.R.P., la señora V.P.C. declaró en audiencia que “</w:t>
      </w:r>
      <w:r w:rsidR="00F6290A" w:rsidRPr="00975C02">
        <w:rPr>
          <w:rFonts w:cs="Calibri"/>
          <w:sz w:val="20"/>
          <w:lang w:val="es-ES"/>
        </w:rPr>
        <w:t xml:space="preserve">[su] </w:t>
      </w:r>
      <w:r w:rsidRPr="00975C02">
        <w:rPr>
          <w:rFonts w:cs="Calibri"/>
          <w:sz w:val="20"/>
          <w:lang w:val="es-ES"/>
        </w:rPr>
        <w:t>hija mayor que fue la que vino con nosotr</w:t>
      </w:r>
      <w:r w:rsidR="00F6290A" w:rsidRPr="00975C02">
        <w:rPr>
          <w:rFonts w:cs="Calibri"/>
          <w:sz w:val="20"/>
          <w:lang w:val="es-ES"/>
        </w:rPr>
        <w:t>[a]</w:t>
      </w:r>
      <w:r w:rsidRPr="00975C02">
        <w:rPr>
          <w:rFonts w:cs="Calibri"/>
          <w:sz w:val="20"/>
          <w:lang w:val="es-ES"/>
        </w:rPr>
        <w:t xml:space="preserve">s [a Estados Unidos], ella prácticamente asumió como un rol junto conmigo, porque </w:t>
      </w:r>
      <w:r w:rsidRPr="00975C02">
        <w:rPr>
          <w:rFonts w:eastAsiaTheme="minorHAnsi" w:cstheme="minorBidi"/>
          <w:sz w:val="20"/>
          <w:szCs w:val="20"/>
          <w:lang w:val="es-ES" w:eastAsia="en-US"/>
        </w:rPr>
        <w:t>entre</w:t>
      </w:r>
      <w:r w:rsidRPr="00975C02">
        <w:rPr>
          <w:rFonts w:cs="Calibri"/>
          <w:sz w:val="20"/>
          <w:lang w:val="es-ES"/>
        </w:rPr>
        <w:t xml:space="preserve"> las dos tratamos como de sacar adelante a mi hija </w:t>
      </w:r>
      <w:r w:rsidR="00F6290A" w:rsidRPr="00975C02">
        <w:rPr>
          <w:rFonts w:cs="Calibri"/>
          <w:sz w:val="20"/>
          <w:lang w:val="es-ES"/>
        </w:rPr>
        <w:t xml:space="preserve">[V.R.P.] </w:t>
      </w:r>
      <w:r w:rsidRPr="00975C02">
        <w:rPr>
          <w:rFonts w:cs="Calibri"/>
          <w:sz w:val="20"/>
          <w:lang w:val="es-ES"/>
        </w:rPr>
        <w:t xml:space="preserve">porque yo muchas veces me quedaba con mi hija y ella se iba a trabajar. Ella actualmente tuvo un episodio demasiado fuerte porque estuvo internada en un psiquiátrico aproximadamente 10 días. Hasta el momento, eso ocurrió hace poco. A mi hijo H, cuando salí de Nicaragua, </w:t>
      </w:r>
      <w:r w:rsidR="00F6290A" w:rsidRPr="00975C02">
        <w:rPr>
          <w:rFonts w:cs="Calibri"/>
          <w:sz w:val="20"/>
          <w:lang w:val="es-ES"/>
        </w:rPr>
        <w:t xml:space="preserve">[…] </w:t>
      </w:r>
      <w:r w:rsidRPr="00975C02">
        <w:rPr>
          <w:rFonts w:cs="Calibri"/>
          <w:sz w:val="20"/>
          <w:lang w:val="es-ES"/>
        </w:rPr>
        <w:t>tenían que estarle haciendo controles constantes porque él fue operado de un cáncer en el cerebro y yo tenía que darle el seguimiento necesario a él porque todavía tiene una válvula en la cabeza y prácticamente quedó en abandono porque yo no he podido ayudarle a él en cuanto a la salud</w:t>
      </w:r>
      <w:r w:rsidR="00F6290A" w:rsidRPr="00975C02">
        <w:rPr>
          <w:rFonts w:cs="Calibri"/>
          <w:sz w:val="20"/>
          <w:lang w:val="es-ES"/>
        </w:rPr>
        <w:t>”</w:t>
      </w:r>
      <w:r w:rsidR="00F6290A" w:rsidRPr="00975C02">
        <w:rPr>
          <w:rFonts w:cs="Calibri"/>
          <w:sz w:val="20"/>
          <w:vertAlign w:val="superscript"/>
          <w:lang w:val="es-ES"/>
        </w:rPr>
        <w:footnoteReference w:id="413"/>
      </w:r>
      <w:r w:rsidR="00F6290A" w:rsidRPr="00975C02">
        <w:rPr>
          <w:rFonts w:cs="Calibri"/>
          <w:sz w:val="20"/>
          <w:lang w:val="es-ES"/>
        </w:rPr>
        <w:t>. Señaló, además, que H.J.R.P.</w:t>
      </w:r>
      <w:r w:rsidRPr="00975C02">
        <w:rPr>
          <w:rFonts w:cs="Calibri"/>
          <w:sz w:val="20"/>
          <w:lang w:val="es-ES"/>
        </w:rPr>
        <w:t xml:space="preserve"> fue despedido de su trabajo a raíz de la denuncia internacional del presente caso.</w:t>
      </w:r>
      <w:r w:rsidR="00F6290A" w:rsidRPr="00975C02">
        <w:rPr>
          <w:rFonts w:cs="Calibri"/>
          <w:sz w:val="20"/>
          <w:lang w:val="es-ES"/>
        </w:rPr>
        <w:t xml:space="preserve"> Respecto de V.A.R.P., sostuvo que no han podido sufragar las medicinas requeridas para sus problemas de salud</w:t>
      </w:r>
      <w:r w:rsidRPr="00975C02">
        <w:rPr>
          <w:rFonts w:cs="Calibri"/>
          <w:sz w:val="20"/>
          <w:vertAlign w:val="superscript"/>
          <w:lang w:val="es-ES"/>
        </w:rPr>
        <w:footnoteReference w:id="414"/>
      </w:r>
      <w:r w:rsidR="00F6290A" w:rsidRPr="00975C02">
        <w:rPr>
          <w:rFonts w:cs="Calibri"/>
          <w:sz w:val="20"/>
          <w:lang w:val="es-ES"/>
        </w:rPr>
        <w:t>.</w:t>
      </w:r>
    </w:p>
    <w:p w14:paraId="2CAA559D" w14:textId="77777777" w:rsidR="00B5625C" w:rsidRPr="00975C02" w:rsidRDefault="00B5625C" w:rsidP="00B5625C">
      <w:pPr>
        <w:tabs>
          <w:tab w:val="left" w:pos="567"/>
        </w:tabs>
        <w:spacing w:line="240" w:lineRule="auto"/>
        <w:rPr>
          <w:rFonts w:cs="Calibri"/>
          <w:sz w:val="20"/>
          <w:lang w:val="es-ES"/>
        </w:rPr>
      </w:pPr>
    </w:p>
    <w:p w14:paraId="1DA328ED" w14:textId="6B975863" w:rsidR="00B5625C" w:rsidRPr="00975C02" w:rsidRDefault="00B536DB" w:rsidP="009167FE">
      <w:pPr>
        <w:pStyle w:val="ListParagraph"/>
        <w:widowControl/>
        <w:numPr>
          <w:ilvl w:val="0"/>
          <w:numId w:val="2"/>
        </w:numPr>
        <w:adjustRightInd/>
        <w:spacing w:line="240" w:lineRule="auto"/>
        <w:ind w:left="0" w:firstLine="0"/>
        <w:textAlignment w:val="auto"/>
        <w:rPr>
          <w:rFonts w:cs="Calibri"/>
          <w:sz w:val="20"/>
          <w:lang w:val="es-ES"/>
        </w:rPr>
      </w:pPr>
      <w:r w:rsidRPr="00975C02">
        <w:rPr>
          <w:sz w:val="20"/>
          <w:szCs w:val="20"/>
          <w:lang w:val="es-ES"/>
        </w:rPr>
        <w:t>En el caso de H.J.R.P., de acuerdo con su declaración ante fedatario público, la salida de su madre y hermanas de Nicaragua “[destrozó su] vida”, ya que su madre era “[su] respaldo emocional, moral y económico” y, desde que ella salió de Nicaragua, no ha podido realizarse periódicamente la resonancia magnética por la válvula que tiene implantada en el cerebelo debido a una operación quirúrgica por un tumor cerebral. Por otra parte, manifestó que, con motivo de la petición de la señora V.P.C. ante la Comisión Interamericana, “la mayoría de los jueces y secretarios de los juzgados [crearon] un rechazo y temor [en su contra]. Ello “[lo] perjudicó profesionalmente ya que no [pudo] encontrar un trabajo estable”. Además</w:t>
      </w:r>
      <w:r w:rsidR="00E40CD7" w:rsidRPr="00975C02">
        <w:rPr>
          <w:sz w:val="20"/>
          <w:szCs w:val="20"/>
          <w:lang w:val="es-ES"/>
        </w:rPr>
        <w:t>,</w:t>
      </w:r>
      <w:r w:rsidRPr="00975C02">
        <w:rPr>
          <w:sz w:val="20"/>
          <w:szCs w:val="20"/>
          <w:lang w:val="es-ES"/>
        </w:rPr>
        <w:t xml:space="preserve"> sostuvo que “[t]odo esto ha venido repercutiendo en [su] vida diaria [afectando] aún más [su] débil salud con gastritis, migraña y episodios depresivos acrecentados por la situación económica”</w:t>
      </w:r>
      <w:r w:rsidRPr="00975C02">
        <w:rPr>
          <w:rStyle w:val="FootnoteReference"/>
          <w:sz w:val="20"/>
          <w:szCs w:val="20"/>
          <w:lang w:val="es-ES"/>
        </w:rPr>
        <w:footnoteReference w:id="415"/>
      </w:r>
      <w:r w:rsidRPr="00975C02">
        <w:rPr>
          <w:sz w:val="20"/>
          <w:szCs w:val="20"/>
          <w:lang w:val="es-ES"/>
        </w:rPr>
        <w:t>.</w:t>
      </w:r>
      <w:r w:rsidR="00B5625C" w:rsidRPr="00975C02">
        <w:rPr>
          <w:rFonts w:cs="Calibri"/>
          <w:sz w:val="20"/>
          <w:lang w:val="es-ES"/>
        </w:rPr>
        <w:t xml:space="preserve"> </w:t>
      </w:r>
      <w:r w:rsidR="00E40CD7" w:rsidRPr="00975C02">
        <w:rPr>
          <w:rFonts w:cs="Calibri"/>
          <w:sz w:val="20"/>
          <w:lang w:val="es-ES"/>
        </w:rPr>
        <w:t>Asimismo,</w:t>
      </w:r>
      <w:r w:rsidR="00B5625C" w:rsidRPr="00975C02">
        <w:rPr>
          <w:rFonts w:cs="Calibri"/>
          <w:sz w:val="20"/>
          <w:lang w:val="es-ES"/>
        </w:rPr>
        <w:t xml:space="preserve"> V.A.R.P.</w:t>
      </w:r>
      <w:r w:rsidR="00E40CD7" w:rsidRPr="00975C02">
        <w:rPr>
          <w:rFonts w:cs="Calibri"/>
          <w:sz w:val="20"/>
          <w:lang w:val="es-ES"/>
        </w:rPr>
        <w:t xml:space="preserve"> indicó</w:t>
      </w:r>
      <w:r w:rsidR="00B5625C" w:rsidRPr="00975C02">
        <w:rPr>
          <w:rFonts w:cs="Calibri"/>
          <w:sz w:val="20"/>
          <w:lang w:val="es-ES"/>
        </w:rPr>
        <w:t xml:space="preserve"> e</w:t>
      </w:r>
      <w:r w:rsidR="00E40CD7" w:rsidRPr="00975C02">
        <w:rPr>
          <w:rFonts w:cs="Calibri"/>
          <w:sz w:val="20"/>
          <w:lang w:val="es-ES"/>
        </w:rPr>
        <w:t>n</w:t>
      </w:r>
      <w:r w:rsidR="00B5625C" w:rsidRPr="00975C02">
        <w:rPr>
          <w:rFonts w:cs="Calibri"/>
          <w:sz w:val="20"/>
          <w:lang w:val="es-ES"/>
        </w:rPr>
        <w:t xml:space="preserve"> su declaración ante fedatario público que</w:t>
      </w:r>
      <w:r w:rsidR="00E40CD7" w:rsidRPr="00975C02">
        <w:rPr>
          <w:rFonts w:cs="Calibri"/>
          <w:sz w:val="20"/>
          <w:lang w:val="es-ES"/>
        </w:rPr>
        <w:t>,</w:t>
      </w:r>
      <w:r w:rsidR="00B5625C" w:rsidRPr="00975C02">
        <w:rPr>
          <w:rFonts w:cs="Calibri"/>
          <w:sz w:val="20"/>
          <w:lang w:val="es-ES"/>
        </w:rPr>
        <w:t xml:space="preserve"> aparte de las graves afectaciones emocionales producto de la estigmatización y revictimización vivida por el proceso a nivel interno y la separación de su familia, no pudo estudiar y sus sueños se vieron truncados al no poder culminar con su educación universitaria</w:t>
      </w:r>
      <w:r w:rsidR="00B5625C" w:rsidRPr="00975C02">
        <w:rPr>
          <w:rFonts w:cs="Calibri"/>
          <w:sz w:val="20"/>
          <w:vertAlign w:val="superscript"/>
          <w:lang w:val="es-ES"/>
        </w:rPr>
        <w:footnoteReference w:id="416"/>
      </w:r>
      <w:r w:rsidR="001B2DEA" w:rsidRPr="00975C02">
        <w:rPr>
          <w:rFonts w:cs="Calibri"/>
          <w:sz w:val="20"/>
          <w:lang w:val="es-ES"/>
        </w:rPr>
        <w:t>.</w:t>
      </w:r>
      <w:r w:rsidR="00B5625C" w:rsidRPr="00975C02">
        <w:rPr>
          <w:rFonts w:cs="Calibri"/>
          <w:sz w:val="20"/>
          <w:lang w:val="es-ES"/>
        </w:rPr>
        <w:t xml:space="preserve"> </w:t>
      </w:r>
      <w:r w:rsidR="001B2DEA" w:rsidRPr="00975C02">
        <w:rPr>
          <w:rFonts w:eastAsiaTheme="minorHAnsi" w:cstheme="minorBidi"/>
          <w:sz w:val="20"/>
          <w:szCs w:val="20"/>
          <w:lang w:val="es-ES" w:eastAsia="en-US"/>
        </w:rPr>
        <w:t xml:space="preserve">Por </w:t>
      </w:r>
      <w:r w:rsidR="00E40CD7" w:rsidRPr="00975C02">
        <w:rPr>
          <w:rFonts w:eastAsiaTheme="minorHAnsi" w:cstheme="minorBidi"/>
          <w:sz w:val="20"/>
          <w:szCs w:val="20"/>
          <w:lang w:val="es-ES" w:eastAsia="en-US"/>
        </w:rPr>
        <w:t>su parte</w:t>
      </w:r>
      <w:r w:rsidR="001B2DEA" w:rsidRPr="00975C02">
        <w:rPr>
          <w:rFonts w:eastAsiaTheme="minorHAnsi" w:cstheme="minorBidi"/>
          <w:sz w:val="20"/>
          <w:szCs w:val="20"/>
          <w:lang w:val="es-ES" w:eastAsia="en-US"/>
        </w:rPr>
        <w:t xml:space="preserve">, N.R.P. </w:t>
      </w:r>
      <w:r w:rsidR="003A7F24" w:rsidRPr="00975C02">
        <w:rPr>
          <w:rFonts w:eastAsiaTheme="minorHAnsi" w:cstheme="minorBidi"/>
          <w:sz w:val="20"/>
          <w:szCs w:val="20"/>
          <w:lang w:val="es-ES" w:eastAsia="en-US"/>
        </w:rPr>
        <w:t xml:space="preserve">relató que la situación que vivieron a raíz de </w:t>
      </w:r>
      <w:r w:rsidR="003A7F24" w:rsidRPr="00975C02">
        <w:rPr>
          <w:rFonts w:eastAsiaTheme="minorHAnsi" w:cstheme="minorBidi"/>
          <w:sz w:val="20"/>
          <w:szCs w:val="20"/>
          <w:lang w:val="es-ES" w:eastAsia="en-US"/>
        </w:rPr>
        <w:lastRenderedPageBreak/>
        <w:t>los procesos legales iniciados “fue desgastante, aterradora, y denigrante para los miembros de toda la familia”.</w:t>
      </w:r>
      <w:r w:rsidR="003169F0" w:rsidRPr="00975C02">
        <w:rPr>
          <w:rFonts w:eastAsiaTheme="minorHAnsi" w:cstheme="minorBidi"/>
          <w:sz w:val="20"/>
          <w:szCs w:val="20"/>
          <w:lang w:val="es-ES" w:eastAsia="en-US"/>
        </w:rPr>
        <w:t xml:space="preserve"> T</w:t>
      </w:r>
      <w:r w:rsidR="001B2DEA" w:rsidRPr="00975C02">
        <w:rPr>
          <w:rFonts w:eastAsiaTheme="minorHAnsi" w:cstheme="minorBidi"/>
          <w:sz w:val="20"/>
          <w:szCs w:val="20"/>
          <w:lang w:val="es-ES" w:eastAsia="en-US"/>
        </w:rPr>
        <w:t>ambién señaló que “el deterioro en su salud emocional, física y psicológica [producto de los hechos del presente caso] ha impedido que pueda desarrollar</w:t>
      </w:r>
      <w:r w:rsidRPr="00975C02">
        <w:rPr>
          <w:rFonts w:eastAsiaTheme="minorHAnsi" w:cstheme="minorBidi"/>
          <w:sz w:val="20"/>
          <w:szCs w:val="20"/>
          <w:lang w:val="es-ES" w:eastAsia="en-US"/>
        </w:rPr>
        <w:t>[se]</w:t>
      </w:r>
      <w:r w:rsidR="001B2DEA" w:rsidRPr="00975C02">
        <w:rPr>
          <w:rFonts w:eastAsiaTheme="minorHAnsi" w:cstheme="minorBidi"/>
          <w:sz w:val="20"/>
          <w:szCs w:val="20"/>
          <w:lang w:val="es-ES" w:eastAsia="en-US"/>
        </w:rPr>
        <w:t xml:space="preserve"> profesionalmente por el impacto que ha tenido en </w:t>
      </w:r>
      <w:r w:rsidRPr="00975C02">
        <w:rPr>
          <w:rFonts w:eastAsiaTheme="minorHAnsi" w:cstheme="minorBidi"/>
          <w:sz w:val="20"/>
          <w:szCs w:val="20"/>
          <w:lang w:val="es-ES" w:eastAsia="en-US"/>
        </w:rPr>
        <w:t>[su]</w:t>
      </w:r>
      <w:r w:rsidR="001B2DEA" w:rsidRPr="00975C02">
        <w:rPr>
          <w:rFonts w:eastAsiaTheme="minorHAnsi" w:cstheme="minorBidi"/>
          <w:sz w:val="20"/>
          <w:szCs w:val="20"/>
          <w:lang w:val="es-ES" w:eastAsia="en-US"/>
        </w:rPr>
        <w:t xml:space="preserve"> vida la desintegración familiar </w:t>
      </w:r>
      <w:r w:rsidRPr="00975C02">
        <w:rPr>
          <w:rFonts w:eastAsiaTheme="minorHAnsi" w:cstheme="minorBidi"/>
          <w:sz w:val="20"/>
          <w:szCs w:val="20"/>
          <w:lang w:val="es-ES" w:eastAsia="en-US"/>
        </w:rPr>
        <w:t>[…]</w:t>
      </w:r>
      <w:r w:rsidR="001B2DEA" w:rsidRPr="00975C02">
        <w:rPr>
          <w:rFonts w:eastAsiaTheme="minorHAnsi" w:cstheme="minorBidi"/>
          <w:sz w:val="20"/>
          <w:szCs w:val="20"/>
          <w:lang w:val="es-ES" w:eastAsia="en-US"/>
        </w:rPr>
        <w:t xml:space="preserve"> vivid</w:t>
      </w:r>
      <w:r w:rsidRPr="00975C02">
        <w:rPr>
          <w:rFonts w:eastAsiaTheme="minorHAnsi" w:cstheme="minorBidi"/>
          <w:sz w:val="20"/>
          <w:szCs w:val="20"/>
          <w:lang w:val="es-ES" w:eastAsia="en-US"/>
        </w:rPr>
        <w:t>[a]</w:t>
      </w:r>
      <w:r w:rsidR="001B2DEA" w:rsidRPr="00975C02">
        <w:rPr>
          <w:rFonts w:eastAsiaTheme="minorHAnsi" w:cstheme="minorBidi"/>
          <w:sz w:val="20"/>
          <w:szCs w:val="20"/>
          <w:lang w:val="es-ES" w:eastAsia="en-US"/>
        </w:rPr>
        <w:t>”</w:t>
      </w:r>
      <w:r w:rsidR="001B2DEA" w:rsidRPr="00975C02">
        <w:rPr>
          <w:rFonts w:eastAsiaTheme="minorHAnsi" w:cstheme="minorBidi"/>
          <w:sz w:val="20"/>
          <w:szCs w:val="20"/>
          <w:vertAlign w:val="superscript"/>
          <w:lang w:val="es-ES" w:eastAsia="en-US"/>
        </w:rPr>
        <w:footnoteReference w:id="417"/>
      </w:r>
      <w:r w:rsidR="001B2DEA" w:rsidRPr="00975C02">
        <w:rPr>
          <w:rFonts w:eastAsiaTheme="minorHAnsi" w:cstheme="minorBidi"/>
          <w:sz w:val="20"/>
          <w:szCs w:val="20"/>
          <w:lang w:val="es-ES" w:eastAsia="en-US"/>
        </w:rPr>
        <w:t>.</w:t>
      </w:r>
    </w:p>
    <w:p w14:paraId="1765CB1D" w14:textId="77777777" w:rsidR="00B5625C" w:rsidRPr="00975C02" w:rsidRDefault="00B5625C" w:rsidP="00B5625C">
      <w:pPr>
        <w:tabs>
          <w:tab w:val="left" w:pos="567"/>
        </w:tabs>
        <w:spacing w:line="240" w:lineRule="auto"/>
        <w:rPr>
          <w:rFonts w:cs="Calibri"/>
          <w:sz w:val="20"/>
          <w:lang w:val="es-ES"/>
        </w:rPr>
      </w:pPr>
    </w:p>
    <w:p w14:paraId="372DE829" w14:textId="78E33930" w:rsidR="00B5625C" w:rsidRPr="00975C02" w:rsidRDefault="00B5625C" w:rsidP="009167FE">
      <w:pPr>
        <w:pStyle w:val="ListParagraph"/>
        <w:widowControl/>
        <w:numPr>
          <w:ilvl w:val="0"/>
          <w:numId w:val="2"/>
        </w:numPr>
        <w:adjustRightInd/>
        <w:spacing w:line="240" w:lineRule="auto"/>
        <w:ind w:left="0" w:firstLine="0"/>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La Corte ad</w:t>
      </w:r>
      <w:r w:rsidRPr="003F706B">
        <w:rPr>
          <w:rFonts w:eastAsiaTheme="minorHAnsi" w:cstheme="minorBidi"/>
          <w:sz w:val="20"/>
          <w:szCs w:val="20"/>
          <w:lang w:val="es-ES" w:eastAsia="en-US"/>
        </w:rPr>
        <w:t>vierte que</w:t>
      </w:r>
      <w:r w:rsidR="00C361F3" w:rsidRPr="003F706B">
        <w:rPr>
          <w:rFonts w:eastAsiaTheme="minorHAnsi" w:cstheme="minorBidi"/>
          <w:sz w:val="20"/>
          <w:szCs w:val="20"/>
          <w:lang w:val="es-ES" w:eastAsia="en-US"/>
        </w:rPr>
        <w:t>,</w:t>
      </w:r>
      <w:r w:rsidRPr="003F706B">
        <w:rPr>
          <w:rFonts w:eastAsiaTheme="minorHAnsi" w:cstheme="minorBidi"/>
          <w:sz w:val="20"/>
          <w:szCs w:val="20"/>
          <w:lang w:val="es-ES" w:eastAsia="en-US"/>
        </w:rPr>
        <w:t xml:space="preserve"> en el presente caso</w:t>
      </w:r>
      <w:r w:rsidR="00C361F3" w:rsidRPr="003F706B">
        <w:rPr>
          <w:rFonts w:eastAsiaTheme="minorHAnsi" w:cstheme="minorBidi"/>
          <w:sz w:val="20"/>
          <w:szCs w:val="20"/>
          <w:lang w:val="es-ES" w:eastAsia="en-US"/>
        </w:rPr>
        <w:t>,</w:t>
      </w:r>
      <w:r w:rsidRPr="003F706B">
        <w:rPr>
          <w:rFonts w:eastAsiaTheme="minorHAnsi" w:cstheme="minorBidi"/>
          <w:sz w:val="20"/>
          <w:szCs w:val="20"/>
          <w:lang w:val="es-ES" w:eastAsia="en-US"/>
        </w:rPr>
        <w:t xml:space="preserve"> </w:t>
      </w:r>
      <w:r w:rsidR="001B2DEA" w:rsidRPr="003F706B">
        <w:rPr>
          <w:rFonts w:eastAsiaTheme="minorHAnsi" w:cstheme="minorBidi"/>
          <w:sz w:val="20"/>
          <w:szCs w:val="20"/>
          <w:lang w:val="es-ES" w:eastAsia="en-US"/>
        </w:rPr>
        <w:t>la</w:t>
      </w:r>
      <w:r w:rsidR="004F23E7" w:rsidRPr="003F706B">
        <w:rPr>
          <w:rFonts w:eastAsiaTheme="minorHAnsi" w:cstheme="minorBidi"/>
          <w:sz w:val="20"/>
          <w:szCs w:val="20"/>
          <w:lang w:val="es-ES" w:eastAsia="en-US"/>
        </w:rPr>
        <w:t xml:space="preserve"> conducta estatal a raíz</w:t>
      </w:r>
      <w:r w:rsidR="001B2DEA" w:rsidRPr="003F706B">
        <w:rPr>
          <w:rFonts w:eastAsiaTheme="minorHAnsi" w:cstheme="minorBidi"/>
          <w:sz w:val="20"/>
          <w:szCs w:val="20"/>
          <w:lang w:val="es-ES" w:eastAsia="en-US"/>
        </w:rPr>
        <w:t xml:space="preserve"> de </w:t>
      </w:r>
      <w:r w:rsidRPr="003F706B">
        <w:rPr>
          <w:rFonts w:eastAsiaTheme="minorHAnsi" w:cstheme="minorBidi"/>
          <w:sz w:val="20"/>
          <w:szCs w:val="20"/>
          <w:lang w:val="es-ES" w:eastAsia="en-US"/>
        </w:rPr>
        <w:t>la violación sexual sufrida por la niña V.R.P.</w:t>
      </w:r>
      <w:r w:rsidR="00BE6128" w:rsidRPr="003F706B">
        <w:rPr>
          <w:rFonts w:eastAsiaTheme="minorHAnsi" w:cstheme="minorBidi"/>
          <w:sz w:val="20"/>
          <w:szCs w:val="20"/>
          <w:lang w:val="es-ES" w:eastAsia="en-US"/>
        </w:rPr>
        <w:t>,</w:t>
      </w:r>
      <w:r w:rsidR="00BE6128" w:rsidRPr="003F706B">
        <w:rPr>
          <w:sz w:val="20"/>
          <w:szCs w:val="20"/>
          <w:lang w:val="es-ES"/>
        </w:rPr>
        <w:t xml:space="preserve"> la revictimización, la violencia institucional provocada por las autoridades intervinientes, las denuncias interpuestas por funcionarios y servidores públicos, según se determinó en la presente Sentencia,</w:t>
      </w:r>
      <w:r w:rsidRPr="003F706B">
        <w:rPr>
          <w:rFonts w:eastAsiaTheme="minorHAnsi" w:cstheme="minorBidi"/>
          <w:sz w:val="20"/>
          <w:szCs w:val="20"/>
          <w:lang w:val="es-ES" w:eastAsia="en-US"/>
        </w:rPr>
        <w:t xml:space="preserve"> provocaron una afectación </w:t>
      </w:r>
      <w:r w:rsidR="00BE6128" w:rsidRPr="003F706B">
        <w:rPr>
          <w:rFonts w:eastAsiaTheme="minorHAnsi" w:cstheme="minorBidi"/>
          <w:sz w:val="20"/>
          <w:szCs w:val="20"/>
          <w:lang w:val="es-ES" w:eastAsia="en-US"/>
        </w:rPr>
        <w:t xml:space="preserve">psíquica y </w:t>
      </w:r>
      <w:r w:rsidRPr="003F706B">
        <w:rPr>
          <w:rFonts w:eastAsiaTheme="minorHAnsi" w:cstheme="minorBidi"/>
          <w:sz w:val="20"/>
          <w:szCs w:val="20"/>
          <w:lang w:val="es-ES" w:eastAsia="en-US"/>
        </w:rPr>
        <w:t xml:space="preserve">emocional </w:t>
      </w:r>
      <w:r w:rsidR="007F35DB" w:rsidRPr="003F706B">
        <w:rPr>
          <w:rFonts w:eastAsiaTheme="minorHAnsi" w:cstheme="minorBidi"/>
          <w:sz w:val="20"/>
          <w:szCs w:val="20"/>
          <w:lang w:val="es-ES" w:eastAsia="en-US"/>
        </w:rPr>
        <w:t xml:space="preserve">de envergadura </w:t>
      </w:r>
      <w:r w:rsidR="001F595B" w:rsidRPr="003F706B">
        <w:rPr>
          <w:rFonts w:eastAsiaTheme="minorHAnsi" w:cstheme="minorBidi"/>
          <w:sz w:val="20"/>
          <w:szCs w:val="20"/>
          <w:lang w:val="es-ES" w:eastAsia="en-US"/>
        </w:rPr>
        <w:t>en</w:t>
      </w:r>
      <w:r w:rsidRPr="003F706B">
        <w:rPr>
          <w:rFonts w:eastAsiaTheme="minorHAnsi" w:cstheme="minorBidi"/>
          <w:sz w:val="20"/>
          <w:szCs w:val="20"/>
          <w:lang w:val="es-ES" w:eastAsia="en-US"/>
        </w:rPr>
        <w:t xml:space="preserve"> </w:t>
      </w:r>
      <w:r w:rsidR="001B2DEA" w:rsidRPr="003F706B">
        <w:rPr>
          <w:rFonts w:eastAsiaTheme="minorHAnsi" w:cstheme="minorBidi"/>
          <w:sz w:val="20"/>
          <w:szCs w:val="20"/>
          <w:lang w:val="es-ES" w:eastAsia="en-US"/>
        </w:rPr>
        <w:t>la señora</w:t>
      </w:r>
      <w:r w:rsidRPr="003F706B">
        <w:rPr>
          <w:rFonts w:eastAsiaTheme="minorHAnsi" w:cstheme="minorBidi"/>
          <w:sz w:val="20"/>
          <w:szCs w:val="20"/>
          <w:lang w:val="es-ES" w:eastAsia="en-US"/>
        </w:rPr>
        <w:t xml:space="preserve"> V.P.C. y</w:t>
      </w:r>
      <w:r w:rsidR="001B2DEA" w:rsidRPr="003F706B">
        <w:rPr>
          <w:rFonts w:eastAsiaTheme="minorHAnsi" w:cstheme="minorBidi"/>
          <w:sz w:val="20"/>
          <w:szCs w:val="20"/>
          <w:lang w:val="es-ES" w:eastAsia="en-US"/>
        </w:rPr>
        <w:t xml:space="preserve"> </w:t>
      </w:r>
      <w:r w:rsidRPr="003F706B">
        <w:rPr>
          <w:rFonts w:eastAsiaTheme="minorHAnsi" w:cstheme="minorBidi"/>
          <w:sz w:val="20"/>
          <w:szCs w:val="20"/>
          <w:lang w:val="es-ES" w:eastAsia="en-US"/>
        </w:rPr>
        <w:t xml:space="preserve">sus hijos </w:t>
      </w:r>
      <w:r w:rsidR="00AD49AB" w:rsidRPr="003F706B">
        <w:rPr>
          <w:rFonts w:eastAsiaTheme="minorHAnsi" w:cstheme="minorBidi"/>
          <w:sz w:val="20"/>
          <w:szCs w:val="20"/>
          <w:lang w:val="es-ES" w:eastAsia="en-US"/>
        </w:rPr>
        <w:t xml:space="preserve">N.R.P., </w:t>
      </w:r>
      <w:r w:rsidRPr="003F706B">
        <w:rPr>
          <w:rFonts w:eastAsiaTheme="minorHAnsi" w:cstheme="minorBidi"/>
          <w:sz w:val="20"/>
          <w:szCs w:val="20"/>
          <w:lang w:val="es-ES" w:eastAsia="en-US"/>
        </w:rPr>
        <w:t>H.J.R.P.</w:t>
      </w:r>
      <w:r w:rsidR="00AD49AB" w:rsidRPr="003F706B">
        <w:rPr>
          <w:rFonts w:eastAsiaTheme="minorHAnsi" w:cstheme="minorBidi"/>
          <w:sz w:val="20"/>
          <w:szCs w:val="20"/>
          <w:lang w:val="es-ES" w:eastAsia="en-US"/>
        </w:rPr>
        <w:t xml:space="preserve"> y</w:t>
      </w:r>
      <w:r w:rsidRPr="003F706B">
        <w:rPr>
          <w:rFonts w:eastAsiaTheme="minorHAnsi" w:cstheme="minorBidi"/>
          <w:sz w:val="20"/>
          <w:szCs w:val="20"/>
          <w:lang w:val="es-ES" w:eastAsia="en-US"/>
        </w:rPr>
        <w:t xml:space="preserve"> V.A.R.P. Además, la Corte considera que</w:t>
      </w:r>
      <w:r w:rsidR="001B2DEA" w:rsidRPr="003F706B">
        <w:rPr>
          <w:rFonts w:eastAsiaTheme="minorHAnsi" w:cstheme="minorBidi"/>
          <w:sz w:val="20"/>
          <w:szCs w:val="20"/>
          <w:lang w:val="es-ES" w:eastAsia="en-US"/>
        </w:rPr>
        <w:t>, según quedó establecido (</w:t>
      </w:r>
      <w:r w:rsidR="001B2DEA" w:rsidRPr="003F706B">
        <w:rPr>
          <w:rFonts w:eastAsiaTheme="minorHAnsi" w:cstheme="minorBidi"/>
          <w:i/>
          <w:sz w:val="20"/>
          <w:szCs w:val="20"/>
          <w:lang w:val="es-ES" w:eastAsia="en-US"/>
        </w:rPr>
        <w:t xml:space="preserve">supra </w:t>
      </w:r>
      <w:r w:rsidR="001B2DEA" w:rsidRPr="003F706B">
        <w:rPr>
          <w:rFonts w:eastAsiaTheme="minorHAnsi" w:cstheme="minorBidi"/>
          <w:sz w:val="20"/>
          <w:szCs w:val="20"/>
          <w:lang w:val="es-ES" w:eastAsia="en-US"/>
        </w:rPr>
        <w:t>Capítulo VIII-2),</w:t>
      </w:r>
      <w:r w:rsidRPr="003F706B">
        <w:rPr>
          <w:rFonts w:eastAsiaTheme="minorHAnsi" w:cstheme="minorBidi"/>
          <w:sz w:val="20"/>
          <w:szCs w:val="20"/>
          <w:lang w:val="es-ES" w:eastAsia="en-US"/>
        </w:rPr>
        <w:t xml:space="preserve"> la señora V.P.C. y sus </w:t>
      </w:r>
      <w:r w:rsidR="001B2DEA" w:rsidRPr="003F706B">
        <w:rPr>
          <w:rFonts w:eastAsiaTheme="minorHAnsi" w:cstheme="minorBidi"/>
          <w:sz w:val="20"/>
          <w:szCs w:val="20"/>
          <w:lang w:val="es-ES" w:eastAsia="en-US"/>
        </w:rPr>
        <w:t xml:space="preserve">dos </w:t>
      </w:r>
      <w:r w:rsidRPr="003F706B">
        <w:rPr>
          <w:rFonts w:eastAsiaTheme="minorHAnsi" w:cstheme="minorBidi"/>
          <w:sz w:val="20"/>
          <w:szCs w:val="20"/>
          <w:lang w:val="es-ES" w:eastAsia="en-US"/>
        </w:rPr>
        <w:t>hijas V.R.P.</w:t>
      </w:r>
      <w:r w:rsidR="001B2DEA" w:rsidRPr="003F706B">
        <w:rPr>
          <w:rFonts w:eastAsiaTheme="minorHAnsi" w:cstheme="minorBidi"/>
          <w:sz w:val="20"/>
          <w:szCs w:val="20"/>
          <w:lang w:val="es-ES" w:eastAsia="en-US"/>
        </w:rPr>
        <w:t xml:space="preserve"> y N.R.P.</w:t>
      </w:r>
      <w:r w:rsidRPr="003F706B">
        <w:rPr>
          <w:rFonts w:eastAsiaTheme="minorHAnsi" w:cstheme="minorBidi"/>
          <w:sz w:val="20"/>
          <w:szCs w:val="20"/>
          <w:lang w:val="es-ES" w:eastAsia="en-US"/>
        </w:rPr>
        <w:t xml:space="preserve">, </w:t>
      </w:r>
      <w:r w:rsidR="00FC3BF6" w:rsidRPr="003F706B">
        <w:rPr>
          <w:rFonts w:eastAsiaTheme="minorHAnsi" w:cstheme="minorBidi"/>
          <w:sz w:val="20"/>
          <w:szCs w:val="20"/>
          <w:lang w:val="es-ES" w:eastAsia="en-US"/>
        </w:rPr>
        <w:t>se vieron for</w:t>
      </w:r>
      <w:r w:rsidR="00FC3BF6" w:rsidRPr="00975C02">
        <w:rPr>
          <w:rFonts w:eastAsiaTheme="minorHAnsi" w:cstheme="minorBidi"/>
          <w:sz w:val="20"/>
          <w:szCs w:val="20"/>
          <w:lang w:val="es-ES" w:eastAsia="en-US"/>
        </w:rPr>
        <w:t xml:space="preserve">zadas a </w:t>
      </w:r>
      <w:r w:rsidR="00515318" w:rsidRPr="00975C02">
        <w:rPr>
          <w:rFonts w:eastAsiaTheme="minorHAnsi" w:cstheme="minorBidi"/>
          <w:sz w:val="20"/>
          <w:szCs w:val="20"/>
          <w:lang w:val="es-ES" w:eastAsia="en-US"/>
        </w:rPr>
        <w:t xml:space="preserve">salir de </w:t>
      </w:r>
      <w:r w:rsidRPr="00975C02">
        <w:rPr>
          <w:rFonts w:eastAsiaTheme="minorHAnsi" w:cstheme="minorBidi"/>
          <w:sz w:val="20"/>
          <w:szCs w:val="20"/>
          <w:lang w:val="es-ES" w:eastAsia="en-US"/>
        </w:rPr>
        <w:t>Nicaragua y solicitaron asilo en otro país. Esta situación provocó dificultades socio</w:t>
      </w:r>
      <w:r w:rsidR="001B2DEA" w:rsidRPr="00975C02">
        <w:rPr>
          <w:rFonts w:eastAsiaTheme="minorHAnsi" w:cstheme="minorBidi"/>
          <w:sz w:val="20"/>
          <w:szCs w:val="20"/>
          <w:lang w:val="es-ES" w:eastAsia="en-US"/>
        </w:rPr>
        <w:t>-</w:t>
      </w:r>
      <w:r w:rsidRPr="00975C02">
        <w:rPr>
          <w:rFonts w:eastAsiaTheme="minorHAnsi" w:cstheme="minorBidi"/>
          <w:sz w:val="20"/>
          <w:szCs w:val="20"/>
          <w:lang w:val="es-ES" w:eastAsia="en-US"/>
        </w:rPr>
        <w:t>económicas en la familia</w:t>
      </w:r>
      <w:r w:rsidR="001B2DEA" w:rsidRPr="00975C02">
        <w:rPr>
          <w:rFonts w:eastAsiaTheme="minorHAnsi" w:cstheme="minorBidi"/>
          <w:sz w:val="20"/>
          <w:szCs w:val="20"/>
          <w:lang w:val="es-ES" w:eastAsia="en-US"/>
        </w:rPr>
        <w:t xml:space="preserve"> así como la pérdida</w:t>
      </w:r>
      <w:r w:rsidRPr="00975C02">
        <w:rPr>
          <w:rFonts w:eastAsiaTheme="minorHAnsi" w:cstheme="minorBidi"/>
          <w:sz w:val="20"/>
          <w:szCs w:val="20"/>
          <w:lang w:val="es-ES" w:eastAsia="en-US"/>
        </w:rPr>
        <w:t xml:space="preserve"> </w:t>
      </w:r>
      <w:r w:rsidR="001B2DEA" w:rsidRPr="00975C02">
        <w:rPr>
          <w:rFonts w:eastAsiaTheme="minorHAnsi" w:cstheme="minorBidi"/>
          <w:sz w:val="20"/>
          <w:szCs w:val="20"/>
          <w:lang w:val="es-ES" w:eastAsia="en-US"/>
        </w:rPr>
        <w:t>de</w:t>
      </w:r>
      <w:r w:rsidRPr="00975C02">
        <w:rPr>
          <w:rFonts w:eastAsiaTheme="minorHAnsi" w:cstheme="minorBidi"/>
          <w:sz w:val="20"/>
          <w:szCs w:val="20"/>
          <w:lang w:val="es-ES" w:eastAsia="en-US"/>
        </w:rPr>
        <w:t xml:space="preserve"> sus empleo</w:t>
      </w:r>
      <w:r w:rsidR="001B2DEA" w:rsidRPr="00975C02">
        <w:rPr>
          <w:rFonts w:eastAsiaTheme="minorHAnsi" w:cstheme="minorBidi"/>
          <w:sz w:val="20"/>
          <w:szCs w:val="20"/>
          <w:lang w:val="es-ES" w:eastAsia="en-US"/>
        </w:rPr>
        <w:t>s en el caso de V.P.C. y H.J.R.P.</w:t>
      </w:r>
      <w:r w:rsidRPr="00975C02">
        <w:rPr>
          <w:rFonts w:eastAsiaTheme="minorHAnsi" w:cstheme="minorBidi"/>
          <w:sz w:val="20"/>
          <w:szCs w:val="20"/>
          <w:lang w:val="es-ES" w:eastAsia="en-US"/>
        </w:rPr>
        <w:t xml:space="preserve"> y</w:t>
      </w:r>
      <w:r w:rsidR="001B2DEA" w:rsidRPr="00975C02">
        <w:rPr>
          <w:rFonts w:eastAsiaTheme="minorHAnsi" w:cstheme="minorBidi"/>
          <w:sz w:val="20"/>
          <w:szCs w:val="20"/>
          <w:lang w:val="es-ES" w:eastAsia="en-US"/>
        </w:rPr>
        <w:t>,</w:t>
      </w:r>
      <w:r w:rsidRPr="00975C02">
        <w:rPr>
          <w:rFonts w:eastAsiaTheme="minorHAnsi" w:cstheme="minorBidi"/>
          <w:sz w:val="20"/>
          <w:szCs w:val="20"/>
          <w:lang w:val="es-ES" w:eastAsia="en-US"/>
        </w:rPr>
        <w:t xml:space="preserve"> en el caso de V.A.R.P.</w:t>
      </w:r>
      <w:r w:rsidR="001B2DEA" w:rsidRPr="00975C02">
        <w:rPr>
          <w:rFonts w:eastAsiaTheme="minorHAnsi" w:cstheme="minorBidi"/>
          <w:sz w:val="20"/>
          <w:szCs w:val="20"/>
          <w:lang w:val="es-ES" w:eastAsia="en-US"/>
        </w:rPr>
        <w:t>, la pérdida de</w:t>
      </w:r>
      <w:r w:rsidRPr="00975C02">
        <w:rPr>
          <w:rFonts w:eastAsiaTheme="minorHAnsi" w:cstheme="minorBidi"/>
          <w:sz w:val="20"/>
          <w:szCs w:val="20"/>
          <w:lang w:val="es-ES" w:eastAsia="en-US"/>
        </w:rPr>
        <w:t xml:space="preserve"> la posibilidad de culminar sus estudios universitarios.</w:t>
      </w:r>
    </w:p>
    <w:p w14:paraId="77303173" w14:textId="77777777" w:rsidR="00B5625C" w:rsidRPr="00975C02" w:rsidRDefault="00B5625C" w:rsidP="00B5625C">
      <w:pPr>
        <w:tabs>
          <w:tab w:val="left" w:pos="567"/>
        </w:tabs>
        <w:spacing w:line="240" w:lineRule="auto"/>
        <w:rPr>
          <w:rFonts w:cs="Calibri"/>
          <w:sz w:val="20"/>
          <w:lang w:val="es-ES"/>
        </w:rPr>
      </w:pPr>
    </w:p>
    <w:p w14:paraId="0EE610B3" w14:textId="76E67180" w:rsidR="00B5625C" w:rsidRPr="00975C02" w:rsidRDefault="00B5625C" w:rsidP="009167FE">
      <w:pPr>
        <w:pStyle w:val="ListParagraph"/>
        <w:widowControl/>
        <w:numPr>
          <w:ilvl w:val="0"/>
          <w:numId w:val="2"/>
        </w:numPr>
        <w:adjustRightInd/>
        <w:spacing w:line="240" w:lineRule="auto"/>
        <w:ind w:left="0" w:firstLine="0"/>
        <w:textAlignment w:val="auto"/>
        <w:rPr>
          <w:rFonts w:cs="Calibri"/>
          <w:sz w:val="20"/>
          <w:lang w:val="es-ES"/>
        </w:rPr>
      </w:pPr>
      <w:r w:rsidRPr="00975C02">
        <w:rPr>
          <w:rFonts w:cs="Calibri"/>
          <w:sz w:val="20"/>
          <w:lang w:val="es-ES"/>
        </w:rPr>
        <w:t xml:space="preserve">En consecuencia, este Tribunal considera que el Estado es responsable por la violación </w:t>
      </w:r>
      <w:r w:rsidR="005A2976">
        <w:rPr>
          <w:rFonts w:cs="Calibri"/>
          <w:sz w:val="20"/>
          <w:lang w:val="es-ES"/>
        </w:rPr>
        <w:t>de</w:t>
      </w:r>
      <w:r w:rsidRPr="00975C02">
        <w:rPr>
          <w:rFonts w:cs="Calibri"/>
          <w:sz w:val="20"/>
          <w:lang w:val="es-ES"/>
        </w:rPr>
        <w:t xml:space="preserve">l derecho a la integridad personal, </w:t>
      </w:r>
      <w:r w:rsidR="00B836E9" w:rsidRPr="00975C02">
        <w:rPr>
          <w:rFonts w:cs="Calibri"/>
          <w:sz w:val="20"/>
          <w:lang w:val="es-ES"/>
        </w:rPr>
        <w:t>reconocido</w:t>
      </w:r>
      <w:r w:rsidRPr="00975C02">
        <w:rPr>
          <w:rFonts w:cs="Calibri"/>
          <w:sz w:val="20"/>
          <w:lang w:val="es-ES"/>
        </w:rPr>
        <w:t xml:space="preserve"> en el artículo 5.1 de la Convención, en relación con el artículo 1.1 de la misma, en perjuicio de los familiares de V.R.P., identificados como V.P.C., </w:t>
      </w:r>
      <w:r w:rsidR="00AD49AB" w:rsidRPr="00975C02">
        <w:rPr>
          <w:rFonts w:eastAsiaTheme="minorHAnsi" w:cstheme="minorBidi"/>
          <w:sz w:val="20"/>
          <w:szCs w:val="20"/>
          <w:lang w:val="es-ES" w:eastAsia="en-US"/>
        </w:rPr>
        <w:t xml:space="preserve">N.R.P., </w:t>
      </w:r>
      <w:r w:rsidRPr="00975C02">
        <w:rPr>
          <w:rFonts w:eastAsiaTheme="minorHAnsi" w:cstheme="minorBidi"/>
          <w:sz w:val="20"/>
          <w:szCs w:val="20"/>
          <w:lang w:val="es-ES" w:eastAsia="en-US"/>
        </w:rPr>
        <w:t>H.J.R.P.</w:t>
      </w:r>
      <w:r w:rsidR="00AD49AB" w:rsidRPr="00975C02">
        <w:rPr>
          <w:rFonts w:eastAsiaTheme="minorHAnsi" w:cstheme="minorBidi"/>
          <w:sz w:val="20"/>
          <w:szCs w:val="20"/>
          <w:lang w:val="es-ES" w:eastAsia="en-US"/>
        </w:rPr>
        <w:t xml:space="preserve"> y</w:t>
      </w:r>
      <w:r w:rsidRPr="00975C02">
        <w:rPr>
          <w:rFonts w:eastAsiaTheme="minorHAnsi" w:cstheme="minorBidi"/>
          <w:sz w:val="20"/>
          <w:szCs w:val="20"/>
          <w:lang w:val="es-ES" w:eastAsia="en-US"/>
        </w:rPr>
        <w:t xml:space="preserve"> V.A.R.P.</w:t>
      </w:r>
    </w:p>
    <w:p w14:paraId="2B1B69B0" w14:textId="77777777" w:rsidR="00B5625C" w:rsidRPr="00975C02" w:rsidRDefault="00B5625C" w:rsidP="00B5625C">
      <w:pPr>
        <w:tabs>
          <w:tab w:val="left" w:pos="720"/>
          <w:tab w:val="num" w:pos="5057"/>
        </w:tabs>
        <w:autoSpaceDE w:val="0"/>
        <w:autoSpaceDN w:val="0"/>
        <w:spacing w:line="240" w:lineRule="auto"/>
        <w:ind w:right="157"/>
        <w:rPr>
          <w:rFonts w:eastAsia="MS Mincho"/>
          <w:spacing w:val="-2"/>
          <w:sz w:val="20"/>
          <w:szCs w:val="20"/>
          <w:lang w:val="es-ES"/>
        </w:rPr>
      </w:pPr>
    </w:p>
    <w:p w14:paraId="55B2436D" w14:textId="77777777" w:rsidR="009D661E" w:rsidRPr="00975C02" w:rsidRDefault="009D661E" w:rsidP="009D661E">
      <w:pPr>
        <w:keepNext/>
        <w:keepLines/>
        <w:tabs>
          <w:tab w:val="left" w:pos="851"/>
        </w:tabs>
        <w:spacing w:line="240" w:lineRule="auto"/>
        <w:jc w:val="center"/>
        <w:outlineLvl w:val="0"/>
        <w:rPr>
          <w:rFonts w:cs="Verdana"/>
          <w:b/>
          <w:bCs/>
          <w:caps/>
          <w:snapToGrid w:val="0"/>
          <w:sz w:val="20"/>
          <w:szCs w:val="20"/>
          <w:lang w:val="es-ES"/>
        </w:rPr>
      </w:pPr>
      <w:bookmarkStart w:id="162" w:name="_Toc495658693"/>
      <w:bookmarkStart w:id="163" w:name="_Toc459158147"/>
      <w:bookmarkStart w:id="164" w:name="_Toc449460763"/>
      <w:bookmarkStart w:id="165" w:name="_Toc375517149"/>
      <w:bookmarkStart w:id="166" w:name="_Toc514172661"/>
      <w:r w:rsidRPr="00975C02">
        <w:rPr>
          <w:rFonts w:cs="Verdana"/>
          <w:b/>
          <w:bCs/>
          <w:caps/>
          <w:snapToGrid w:val="0"/>
          <w:sz w:val="20"/>
          <w:szCs w:val="20"/>
          <w:lang w:val="es-ES"/>
        </w:rPr>
        <w:t>IX</w:t>
      </w:r>
      <w:r w:rsidRPr="00975C02">
        <w:rPr>
          <w:rFonts w:cs="Verdana"/>
          <w:b/>
          <w:bCs/>
          <w:caps/>
          <w:snapToGrid w:val="0"/>
          <w:sz w:val="20"/>
          <w:szCs w:val="20"/>
          <w:lang w:val="es-ES"/>
        </w:rPr>
        <w:br/>
        <w:t>REPARACIONES</w:t>
      </w:r>
      <w:r w:rsidRPr="00975C02">
        <w:rPr>
          <w:rFonts w:cs="Verdana"/>
          <w:b/>
          <w:bCs/>
          <w:caps/>
          <w:snapToGrid w:val="0"/>
          <w:sz w:val="20"/>
          <w:szCs w:val="20"/>
          <w:lang w:val="es-ES"/>
        </w:rPr>
        <w:br/>
        <w:t>(</w:t>
      </w:r>
      <w:r w:rsidRPr="00975C02">
        <w:rPr>
          <w:rFonts w:cs="Verdana"/>
          <w:b/>
          <w:bCs/>
          <w:snapToGrid w:val="0"/>
          <w:sz w:val="20"/>
          <w:szCs w:val="20"/>
          <w:lang w:val="es-ES"/>
        </w:rPr>
        <w:t>Aplicación del artículo 63.1 de la Convención Americana</w:t>
      </w:r>
      <w:r w:rsidRPr="00975C02">
        <w:rPr>
          <w:rFonts w:cs="Verdana"/>
          <w:b/>
          <w:bCs/>
          <w:caps/>
          <w:snapToGrid w:val="0"/>
          <w:sz w:val="20"/>
          <w:szCs w:val="20"/>
          <w:lang w:val="es-ES"/>
        </w:rPr>
        <w:t>)</w:t>
      </w:r>
      <w:bookmarkEnd w:id="162"/>
      <w:bookmarkEnd w:id="163"/>
      <w:bookmarkEnd w:id="164"/>
      <w:bookmarkEnd w:id="165"/>
      <w:bookmarkEnd w:id="166"/>
    </w:p>
    <w:p w14:paraId="32D1992B" w14:textId="77777777" w:rsidR="009D661E" w:rsidRPr="00975C02" w:rsidRDefault="009D661E" w:rsidP="009D661E">
      <w:pPr>
        <w:tabs>
          <w:tab w:val="left" w:pos="720"/>
          <w:tab w:val="num" w:pos="1427"/>
        </w:tabs>
        <w:spacing w:line="240" w:lineRule="auto"/>
        <w:ind w:right="-90"/>
        <w:rPr>
          <w:rFonts w:cs="Verdana"/>
          <w:sz w:val="20"/>
          <w:szCs w:val="20"/>
          <w:lang w:val="es-ES"/>
        </w:rPr>
      </w:pPr>
    </w:p>
    <w:p w14:paraId="2DEDE808" w14:textId="77777777"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bidi="en-US"/>
        </w:rPr>
      </w:pPr>
      <w:r w:rsidRPr="00975C02">
        <w:rPr>
          <w:sz w:val="20"/>
          <w:szCs w:val="20"/>
          <w:lang w:val="es-ES" w:eastAsia="es-ES" w:bidi="en-US"/>
        </w:rPr>
        <w:t>Sobre</w:t>
      </w:r>
      <w:r w:rsidRPr="00975C02">
        <w:rPr>
          <w:sz w:val="20"/>
          <w:szCs w:val="20"/>
          <w:lang w:val="es-ES" w:bidi="en-US"/>
        </w:rPr>
        <w:t xml:space="preserve"> </w:t>
      </w:r>
      <w:r w:rsidRPr="00975C02">
        <w:rPr>
          <w:bCs/>
          <w:sz w:val="20"/>
          <w:szCs w:val="20"/>
          <w:lang w:val="es-ES" w:bidi="en-US"/>
        </w:rPr>
        <w:t>la</w:t>
      </w:r>
      <w:r w:rsidRPr="00975C02">
        <w:rPr>
          <w:sz w:val="20"/>
          <w:szCs w:val="20"/>
          <w:lang w:val="es-ES" w:bidi="en-US"/>
        </w:rPr>
        <w:t xml:space="preserve"> base de lo dispuesto en el artículo 63.1 de la Convención Americana</w:t>
      </w:r>
      <w:r w:rsidRPr="00975C02">
        <w:rPr>
          <w:sz w:val="20"/>
          <w:szCs w:val="20"/>
          <w:vertAlign w:val="superscript"/>
          <w:lang w:val="es-ES" w:bidi="en-US"/>
        </w:rPr>
        <w:footnoteReference w:id="418"/>
      </w:r>
      <w:r w:rsidRPr="00975C02">
        <w:rPr>
          <w:sz w:val="20"/>
          <w:szCs w:val="20"/>
          <w:lang w:val="es-ES" w:bidi="en-U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75C02">
        <w:rPr>
          <w:sz w:val="20"/>
          <w:szCs w:val="20"/>
          <w:vertAlign w:val="superscript"/>
          <w:lang w:val="es-ES" w:bidi="en-US"/>
        </w:rPr>
        <w:footnoteReference w:id="419"/>
      </w:r>
      <w:r w:rsidRPr="00975C02">
        <w:rPr>
          <w:sz w:val="20"/>
          <w:szCs w:val="20"/>
          <w:lang w:val="es-ES" w:bidi="en-US"/>
        </w:rPr>
        <w:t>.</w:t>
      </w:r>
    </w:p>
    <w:p w14:paraId="1AEB337B" w14:textId="77777777" w:rsidR="009D661E" w:rsidRPr="00975C02" w:rsidRDefault="009D661E" w:rsidP="009D661E">
      <w:pPr>
        <w:autoSpaceDE w:val="0"/>
        <w:autoSpaceDN w:val="0"/>
        <w:spacing w:line="240" w:lineRule="auto"/>
        <w:rPr>
          <w:rFonts w:cs="Verdana"/>
          <w:sz w:val="20"/>
          <w:szCs w:val="20"/>
          <w:lang w:val="es-ES"/>
        </w:rPr>
      </w:pPr>
    </w:p>
    <w:p w14:paraId="4C22AE7B" w14:textId="118DD58C"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bidi="en-US"/>
        </w:rPr>
      </w:pPr>
      <w:r w:rsidRPr="00975C02">
        <w:rPr>
          <w:bCs/>
          <w:sz w:val="20"/>
          <w:szCs w:val="20"/>
          <w:lang w:val="es-ES" w:bidi="en-US"/>
        </w:rPr>
        <w:t xml:space="preserve">La </w:t>
      </w:r>
      <w:r w:rsidRPr="00975C02">
        <w:rPr>
          <w:sz w:val="20"/>
          <w:szCs w:val="20"/>
          <w:lang w:val="es-ES" w:eastAsia="es-ES" w:bidi="en-US"/>
        </w:rPr>
        <w:t>reparación</w:t>
      </w:r>
      <w:r w:rsidRPr="00975C02">
        <w:rPr>
          <w:bCs/>
          <w:sz w:val="20"/>
          <w:szCs w:val="20"/>
          <w:lang w:val="es-ES" w:bidi="en-US"/>
        </w:rPr>
        <w:t xml:space="preserve"> del daño ocasionado por la infracción de una obligación internacional requiere, siempre que sea posible, la plena restitución (</w:t>
      </w:r>
      <w:r w:rsidRPr="00975C02">
        <w:rPr>
          <w:bCs/>
          <w:i/>
          <w:sz w:val="20"/>
          <w:szCs w:val="20"/>
          <w:lang w:val="es-ES" w:bidi="en-US"/>
        </w:rPr>
        <w:t>restitutio in integrum</w:t>
      </w:r>
      <w:r w:rsidRPr="00975C02">
        <w:rPr>
          <w:bCs/>
          <w:sz w:val="20"/>
          <w:szCs w:val="20"/>
          <w:lang w:val="es-ES" w:bidi="en-US"/>
        </w:rPr>
        <w:t xml:space="preserve">), que consiste en el restablecimiento de la situación anterior. De no ser esto factible, como ocurre en la mayoría de los </w:t>
      </w:r>
      <w:r w:rsidRPr="00975C02">
        <w:rPr>
          <w:bCs/>
          <w:sz w:val="20"/>
          <w:szCs w:val="20"/>
          <w:lang w:val="es-ES" w:bidi="en-US"/>
        </w:rPr>
        <w:lastRenderedPageBreak/>
        <w:t>casos de violaciones a derechos humanos, el Tribunal determinará medidas para garantizar los derechos conculcados y reparar las consecuencias que las infracciones produjeron</w:t>
      </w:r>
      <w:r w:rsidRPr="00975C02">
        <w:rPr>
          <w:sz w:val="20"/>
          <w:szCs w:val="20"/>
          <w:vertAlign w:val="superscript"/>
          <w:lang w:val="es-ES" w:bidi="en-US"/>
        </w:rPr>
        <w:footnoteReference w:id="420"/>
      </w:r>
      <w:r w:rsidRPr="00975C02">
        <w:rPr>
          <w:bCs/>
          <w:sz w:val="20"/>
          <w:szCs w:val="20"/>
          <w:lang w:val="es-ES" w:bidi="en-US"/>
        </w:rPr>
        <w:t xml:space="preserve">. Por tanto, </w:t>
      </w:r>
      <w:r w:rsidRPr="00975C02">
        <w:rPr>
          <w:sz w:val="20"/>
          <w:szCs w:val="20"/>
          <w:lang w:val="es-ES" w:bidi="en-US"/>
        </w:rPr>
        <w:t>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975C02">
        <w:rPr>
          <w:sz w:val="20"/>
          <w:szCs w:val="20"/>
          <w:vertAlign w:val="superscript"/>
          <w:lang w:val="es-ES" w:bidi="en-US"/>
        </w:rPr>
        <w:footnoteReference w:id="421"/>
      </w:r>
      <w:r w:rsidRPr="00975C02">
        <w:rPr>
          <w:sz w:val="20"/>
          <w:szCs w:val="20"/>
          <w:lang w:val="es-ES" w:bidi="en-US"/>
        </w:rPr>
        <w:t>.</w:t>
      </w:r>
    </w:p>
    <w:p w14:paraId="698C7262" w14:textId="77777777" w:rsidR="009D661E" w:rsidRPr="00975C02" w:rsidRDefault="009D661E" w:rsidP="009D661E">
      <w:pPr>
        <w:autoSpaceDE w:val="0"/>
        <w:autoSpaceDN w:val="0"/>
        <w:spacing w:line="240" w:lineRule="auto"/>
        <w:rPr>
          <w:rFonts w:cs="Verdana"/>
          <w:sz w:val="20"/>
          <w:szCs w:val="20"/>
          <w:lang w:val="es-ES"/>
        </w:rPr>
      </w:pPr>
    </w:p>
    <w:p w14:paraId="4C0D014D" w14:textId="6239CBB8" w:rsidR="00482D8B" w:rsidRPr="00975C02" w:rsidRDefault="009D661E" w:rsidP="00482D8B">
      <w:pPr>
        <w:numPr>
          <w:ilvl w:val="0"/>
          <w:numId w:val="2"/>
        </w:numPr>
        <w:tabs>
          <w:tab w:val="left" w:pos="567"/>
          <w:tab w:val="num" w:pos="12305"/>
        </w:tabs>
        <w:spacing w:line="240" w:lineRule="auto"/>
        <w:ind w:left="0" w:firstLine="0"/>
        <w:rPr>
          <w:sz w:val="20"/>
          <w:szCs w:val="20"/>
          <w:lang w:val="es-ES"/>
        </w:rPr>
      </w:pPr>
      <w:r w:rsidRPr="00975C02">
        <w:rPr>
          <w:sz w:val="20"/>
          <w:szCs w:val="20"/>
          <w:lang w:val="es-ES" w:bidi="en-US"/>
        </w:rPr>
        <w:t xml:space="preserve">La </w:t>
      </w:r>
      <w:r w:rsidRPr="00975C02">
        <w:rPr>
          <w:bCs/>
          <w:sz w:val="20"/>
          <w:szCs w:val="20"/>
          <w:lang w:val="es-ES" w:bidi="en-US"/>
        </w:rPr>
        <w:t>Corte</w:t>
      </w:r>
      <w:r w:rsidRPr="00975C02">
        <w:rPr>
          <w:sz w:val="20"/>
          <w:szCs w:val="20"/>
          <w:lang w:val="es-ES" w:bidi="en-US"/>
        </w:rPr>
        <w:t xml:space="preserv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975C02">
        <w:rPr>
          <w:sz w:val="20"/>
          <w:szCs w:val="20"/>
          <w:vertAlign w:val="superscript"/>
          <w:lang w:val="es-ES" w:bidi="en-US"/>
        </w:rPr>
        <w:footnoteReference w:id="422"/>
      </w:r>
      <w:r w:rsidRPr="00975C02">
        <w:rPr>
          <w:sz w:val="20"/>
          <w:szCs w:val="20"/>
          <w:lang w:val="es-ES" w:bidi="en-US"/>
        </w:rPr>
        <w:t>.</w:t>
      </w:r>
      <w:r w:rsidR="00482D8B" w:rsidRPr="00975C02">
        <w:rPr>
          <w:sz w:val="20"/>
          <w:szCs w:val="20"/>
          <w:lang w:val="es-ES" w:bidi="en-US"/>
        </w:rPr>
        <w:t xml:space="preserve"> </w:t>
      </w:r>
      <w:r w:rsidR="00482D8B" w:rsidRPr="00975C02">
        <w:rPr>
          <w:sz w:val="20"/>
          <w:szCs w:val="20"/>
          <w:lang w:val="es-ES"/>
        </w:rPr>
        <w:t>Asimismo, la Corte estima que las reparaciones deberán incluir un análisis que contemple no sólo el derecho de la víctima a obtener una reparación, sino que</w:t>
      </w:r>
      <w:r w:rsidR="005308C7" w:rsidRPr="00975C02">
        <w:rPr>
          <w:sz w:val="20"/>
          <w:szCs w:val="20"/>
          <w:lang w:val="es-ES"/>
        </w:rPr>
        <w:t>,</w:t>
      </w:r>
      <w:r w:rsidR="00482D8B" w:rsidRPr="00975C02">
        <w:rPr>
          <w:sz w:val="20"/>
          <w:szCs w:val="20"/>
          <w:lang w:val="es-ES"/>
        </w:rPr>
        <w:t xml:space="preserve"> además</w:t>
      </w:r>
      <w:r w:rsidR="005308C7" w:rsidRPr="00975C02">
        <w:rPr>
          <w:sz w:val="20"/>
          <w:szCs w:val="20"/>
          <w:lang w:val="es-ES"/>
        </w:rPr>
        <w:t>,</w:t>
      </w:r>
      <w:r w:rsidR="00482D8B" w:rsidRPr="00975C02">
        <w:rPr>
          <w:sz w:val="20"/>
          <w:szCs w:val="20"/>
          <w:lang w:val="es-ES"/>
        </w:rPr>
        <w:t xml:space="preserve"> incorpore una perspectiva de género </w:t>
      </w:r>
      <w:r w:rsidR="005308C7" w:rsidRPr="00975C02">
        <w:rPr>
          <w:sz w:val="20"/>
          <w:szCs w:val="20"/>
          <w:lang w:val="es-ES"/>
        </w:rPr>
        <w:t>y</w:t>
      </w:r>
      <w:r w:rsidR="00482D8B" w:rsidRPr="00975C02">
        <w:rPr>
          <w:sz w:val="20"/>
          <w:szCs w:val="20"/>
          <w:lang w:val="es-ES"/>
        </w:rPr>
        <w:t xml:space="preserve"> </w:t>
      </w:r>
      <w:r w:rsidR="005308C7" w:rsidRPr="00975C02">
        <w:rPr>
          <w:sz w:val="20"/>
          <w:szCs w:val="20"/>
          <w:lang w:val="es-ES"/>
        </w:rPr>
        <w:t>niñez</w:t>
      </w:r>
      <w:r w:rsidR="00482D8B" w:rsidRPr="00975C02">
        <w:rPr>
          <w:sz w:val="20"/>
          <w:szCs w:val="20"/>
          <w:lang w:val="es-ES"/>
        </w:rPr>
        <w:t>, tanto en su formulación como en su implementación.</w:t>
      </w:r>
    </w:p>
    <w:p w14:paraId="29F7CFCD" w14:textId="77777777" w:rsidR="009D661E" w:rsidRPr="00975C02" w:rsidRDefault="009D661E" w:rsidP="009D661E">
      <w:pPr>
        <w:tabs>
          <w:tab w:val="left" w:pos="567"/>
        </w:tabs>
        <w:spacing w:line="240" w:lineRule="auto"/>
        <w:rPr>
          <w:sz w:val="20"/>
          <w:szCs w:val="20"/>
          <w:lang w:val="es-ES" w:bidi="en-US"/>
        </w:rPr>
      </w:pPr>
    </w:p>
    <w:p w14:paraId="22EBA35F" w14:textId="77777777"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bidi="en-US"/>
        </w:rPr>
      </w:pPr>
      <w:r w:rsidRPr="00975C02">
        <w:rPr>
          <w:sz w:val="20"/>
          <w:szCs w:val="20"/>
          <w:lang w:val="es-ES"/>
        </w:rPr>
        <w:t>Tomando en cuenta las violaciones a la Convención Americana declaradas en los capítulos anteriores, a la luz de los criterios fijados en la jurisprudencia del Tribunal en relación con la naturaleza y alcances de la obligación de reparar</w:t>
      </w:r>
      <w:r w:rsidRPr="00975C02">
        <w:rPr>
          <w:rStyle w:val="FootnoteReference"/>
          <w:sz w:val="20"/>
          <w:szCs w:val="20"/>
          <w:lang w:val="es-ES"/>
        </w:rPr>
        <w:footnoteReference w:id="423"/>
      </w:r>
      <w:r w:rsidRPr="00975C02">
        <w:rPr>
          <w:sz w:val="20"/>
          <w:szCs w:val="20"/>
          <w:lang w:val="es-ES"/>
        </w:rPr>
        <w:t>, la Corte analizará las pretensiones presentadas por la Comisión y las representantes, así como los argumentos del Estado al respecto, con el objeto de disponer a continuación las medidas tendientes a reparar dichas violaciones.</w:t>
      </w:r>
    </w:p>
    <w:p w14:paraId="44E73A52" w14:textId="77777777" w:rsidR="009D661E" w:rsidRPr="00975C02" w:rsidRDefault="009D661E" w:rsidP="009D661E">
      <w:pPr>
        <w:tabs>
          <w:tab w:val="left" w:pos="567"/>
        </w:tabs>
        <w:spacing w:line="240" w:lineRule="auto"/>
        <w:rPr>
          <w:sz w:val="20"/>
          <w:szCs w:val="20"/>
          <w:lang w:val="es-ES" w:bidi="en-US"/>
        </w:rPr>
      </w:pPr>
    </w:p>
    <w:p w14:paraId="75B52837"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67" w:name="_Toc495658694"/>
      <w:bookmarkStart w:id="168" w:name="_Toc476390738"/>
      <w:bookmarkStart w:id="169" w:name="_Toc514172662"/>
      <w:r w:rsidRPr="00975C02">
        <w:rPr>
          <w:rFonts w:eastAsia="MS Mincho"/>
          <w:b/>
          <w:bCs/>
          <w:i/>
          <w:sz w:val="20"/>
          <w:szCs w:val="20"/>
          <w:lang w:val="es-ES"/>
        </w:rPr>
        <w:t>Parte Lesionada</w:t>
      </w:r>
      <w:bookmarkEnd w:id="167"/>
      <w:bookmarkEnd w:id="168"/>
      <w:bookmarkEnd w:id="169"/>
    </w:p>
    <w:p w14:paraId="41D4AA4F" w14:textId="77777777" w:rsidR="009D661E" w:rsidRPr="00975C02" w:rsidRDefault="009D661E" w:rsidP="009D661E">
      <w:pPr>
        <w:tabs>
          <w:tab w:val="num" w:pos="720"/>
          <w:tab w:val="left" w:pos="851"/>
          <w:tab w:val="num" w:pos="1427"/>
        </w:tabs>
        <w:spacing w:line="240" w:lineRule="auto"/>
        <w:rPr>
          <w:sz w:val="20"/>
          <w:szCs w:val="20"/>
          <w:lang w:val="es-ES"/>
        </w:rPr>
      </w:pPr>
    </w:p>
    <w:p w14:paraId="16967AEF" w14:textId="5E49418F" w:rsidR="009D661E" w:rsidRPr="00975C02" w:rsidRDefault="009D661E" w:rsidP="009D661E">
      <w:pPr>
        <w:numPr>
          <w:ilvl w:val="0"/>
          <w:numId w:val="2"/>
        </w:numPr>
        <w:tabs>
          <w:tab w:val="left" w:pos="567"/>
          <w:tab w:val="num" w:pos="5057"/>
        </w:tabs>
        <w:spacing w:line="240" w:lineRule="auto"/>
        <w:ind w:left="0" w:firstLine="0"/>
        <w:textAlignment w:val="auto"/>
        <w:rPr>
          <w:rFonts w:eastAsia="Verdana" w:cs="Verdana"/>
          <w:sz w:val="20"/>
          <w:szCs w:val="20"/>
          <w:lang w:val="es-ES"/>
        </w:rPr>
      </w:pPr>
      <w:r w:rsidRPr="00975C02">
        <w:rPr>
          <w:rFonts w:eastAsia="MS Mincho"/>
          <w:sz w:val="20"/>
          <w:szCs w:val="20"/>
          <w:lang w:val="es-ES" w:bidi="en-US"/>
        </w:rPr>
        <w:t xml:space="preserve">Se </w:t>
      </w:r>
      <w:r w:rsidRPr="00975C02">
        <w:rPr>
          <w:sz w:val="20"/>
          <w:szCs w:val="20"/>
          <w:lang w:val="es-ES" w:bidi="en-US"/>
        </w:rPr>
        <w:t>considera</w:t>
      </w:r>
      <w:r w:rsidRPr="00975C02">
        <w:rPr>
          <w:rFonts w:eastAsia="MS Mincho"/>
          <w:sz w:val="20"/>
          <w:szCs w:val="20"/>
          <w:lang w:val="es-ES" w:bidi="en-US"/>
        </w:rPr>
        <w:t xml:space="preserve"> parte lesionada, en los términos del artículo 63.1 de la Convención, a quienes han sido </w:t>
      </w:r>
      <w:r w:rsidRPr="00975C02">
        <w:rPr>
          <w:bCs/>
          <w:sz w:val="20"/>
          <w:szCs w:val="20"/>
          <w:lang w:val="es-ES" w:bidi="en-US"/>
        </w:rPr>
        <w:t>declaradas</w:t>
      </w:r>
      <w:r w:rsidRPr="00975C02">
        <w:rPr>
          <w:rFonts w:eastAsia="MS Mincho"/>
          <w:sz w:val="20"/>
          <w:szCs w:val="20"/>
          <w:lang w:val="es-ES" w:bidi="en-US"/>
        </w:rPr>
        <w:t xml:space="preserve"> víctimas de la violación de algún derecho consagrado en </w:t>
      </w:r>
      <w:r w:rsidR="002460B5" w:rsidRPr="00975C02">
        <w:rPr>
          <w:rFonts w:eastAsia="MS Mincho"/>
          <w:sz w:val="20"/>
          <w:szCs w:val="20"/>
          <w:lang w:val="es-ES" w:bidi="en-US"/>
        </w:rPr>
        <w:t>e</w:t>
      </w:r>
      <w:r w:rsidR="005308C7" w:rsidRPr="00975C02">
        <w:rPr>
          <w:rFonts w:eastAsia="MS Mincho"/>
          <w:sz w:val="20"/>
          <w:szCs w:val="20"/>
          <w:lang w:val="es-ES" w:bidi="en-US"/>
        </w:rPr>
        <w:t>sta</w:t>
      </w:r>
      <w:r w:rsidRPr="00975C02">
        <w:rPr>
          <w:rFonts w:eastAsia="MS Mincho"/>
          <w:sz w:val="20"/>
          <w:szCs w:val="20"/>
          <w:lang w:val="es-ES" w:bidi="en-US"/>
        </w:rPr>
        <w:t xml:space="preserve">. Por lo tanto, esta Corte considera como “parte lesionada” a </w:t>
      </w:r>
      <w:r w:rsidRPr="00975C02">
        <w:rPr>
          <w:rFonts w:eastAsia="Verdana" w:cs="Verdana"/>
          <w:sz w:val="20"/>
          <w:szCs w:val="20"/>
          <w:lang w:val="es-ES"/>
        </w:rPr>
        <w:t xml:space="preserve">V.R.P., </w:t>
      </w:r>
      <w:r w:rsidRPr="00975C02">
        <w:rPr>
          <w:rFonts w:eastAsia="MS Mincho"/>
          <w:sz w:val="20"/>
          <w:szCs w:val="20"/>
          <w:lang w:val="es-ES" w:bidi="en-US"/>
        </w:rPr>
        <w:t>V.P.C.</w:t>
      </w:r>
      <w:r w:rsidRPr="00975C02">
        <w:rPr>
          <w:rFonts w:eastAsia="Verdana" w:cs="Verdana"/>
          <w:sz w:val="20"/>
          <w:szCs w:val="20"/>
          <w:lang w:val="es-ES"/>
        </w:rPr>
        <w:t xml:space="preserve">, </w:t>
      </w:r>
      <w:r w:rsidR="00612410" w:rsidRPr="00975C02">
        <w:rPr>
          <w:rFonts w:eastAsia="Verdana" w:cs="Verdana"/>
          <w:sz w:val="20"/>
          <w:szCs w:val="20"/>
          <w:lang w:val="es-ES"/>
        </w:rPr>
        <w:t xml:space="preserve">N.R.P., </w:t>
      </w:r>
      <w:r w:rsidRPr="00975C02">
        <w:rPr>
          <w:rFonts w:eastAsia="Verdana" w:cs="Verdana"/>
          <w:sz w:val="20"/>
          <w:szCs w:val="20"/>
          <w:lang w:val="es-ES"/>
        </w:rPr>
        <w:t xml:space="preserve">H.J.R.P., </w:t>
      </w:r>
      <w:r w:rsidR="00612410" w:rsidRPr="00975C02">
        <w:rPr>
          <w:rFonts w:eastAsia="Verdana" w:cs="Verdana"/>
          <w:sz w:val="20"/>
          <w:szCs w:val="20"/>
          <w:lang w:val="es-ES"/>
        </w:rPr>
        <w:t xml:space="preserve">y </w:t>
      </w:r>
      <w:r w:rsidRPr="00975C02">
        <w:rPr>
          <w:rFonts w:eastAsia="Verdana" w:cs="Verdana"/>
          <w:sz w:val="20"/>
          <w:szCs w:val="20"/>
          <w:lang w:val="es-ES"/>
        </w:rPr>
        <w:t xml:space="preserve">V.A.R.P., </w:t>
      </w:r>
      <w:r w:rsidRPr="00975C02">
        <w:rPr>
          <w:rFonts w:eastAsia="MS Mincho"/>
          <w:sz w:val="20"/>
          <w:szCs w:val="20"/>
          <w:lang w:val="es-ES" w:bidi="en-US"/>
        </w:rPr>
        <w:t>quienes en su condición de víctimas de las violaciones declaradas en esta Sentencia serán consideradas beneficiarias y beneficiarios de las reparaciones que la Corte ordene.</w:t>
      </w:r>
    </w:p>
    <w:p w14:paraId="25F6DB52" w14:textId="77777777" w:rsidR="009D661E" w:rsidRPr="00975C02" w:rsidRDefault="009D661E" w:rsidP="009D661E">
      <w:pPr>
        <w:tabs>
          <w:tab w:val="num" w:pos="720"/>
          <w:tab w:val="left" w:pos="851"/>
          <w:tab w:val="num" w:pos="1427"/>
        </w:tabs>
        <w:spacing w:line="240" w:lineRule="auto"/>
        <w:rPr>
          <w:sz w:val="20"/>
          <w:szCs w:val="20"/>
          <w:lang w:val="es-ES"/>
        </w:rPr>
      </w:pPr>
    </w:p>
    <w:p w14:paraId="0A48B0FC"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70" w:name="_Toc495658695"/>
      <w:bookmarkStart w:id="171" w:name="_Toc476390739"/>
      <w:bookmarkStart w:id="172" w:name="_Toc514172663"/>
      <w:r w:rsidRPr="00975C02">
        <w:rPr>
          <w:rFonts w:eastAsia="MS Mincho"/>
          <w:b/>
          <w:bCs/>
          <w:i/>
          <w:sz w:val="20"/>
          <w:szCs w:val="20"/>
          <w:lang w:val="es-ES"/>
        </w:rPr>
        <w:t>Obligación de investigar los hechos e identificar, juzgar y, en su caso, sancionar a los responsables</w:t>
      </w:r>
      <w:bookmarkEnd w:id="170"/>
      <w:bookmarkEnd w:id="171"/>
      <w:bookmarkEnd w:id="172"/>
    </w:p>
    <w:p w14:paraId="21BA5F02" w14:textId="77777777" w:rsidR="009D661E" w:rsidRPr="00975C02" w:rsidRDefault="009D661E" w:rsidP="009D661E">
      <w:pPr>
        <w:autoSpaceDE w:val="0"/>
        <w:autoSpaceDN w:val="0"/>
        <w:spacing w:line="240" w:lineRule="auto"/>
        <w:rPr>
          <w:rFonts w:cs="Verdana"/>
          <w:b/>
          <w:bCs/>
          <w:i/>
          <w:iCs/>
          <w:sz w:val="20"/>
          <w:szCs w:val="20"/>
          <w:lang w:val="es-ES"/>
        </w:rPr>
      </w:pPr>
    </w:p>
    <w:p w14:paraId="05DB90B1" w14:textId="50ED0F28"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b/>
          <w:i/>
          <w:sz w:val="20"/>
          <w:szCs w:val="20"/>
          <w:lang w:val="es-ES" w:bidi="en-US"/>
        </w:rPr>
        <w:t>Comisión</w:t>
      </w:r>
      <w:r w:rsidR="00612410" w:rsidRPr="00975C02">
        <w:rPr>
          <w:rFonts w:eastAsia="MS Mincho"/>
          <w:sz w:val="20"/>
          <w:szCs w:val="20"/>
          <w:lang w:val="es-ES" w:bidi="en-US"/>
        </w:rPr>
        <w:t xml:space="preserve"> </w:t>
      </w:r>
      <w:r w:rsidRPr="00975C02">
        <w:rPr>
          <w:rFonts w:cs="Cambria"/>
          <w:sz w:val="20"/>
          <w:szCs w:val="20"/>
          <w:lang w:val="es-ES"/>
        </w:rPr>
        <w:t>señaló que</w:t>
      </w:r>
      <w:r w:rsidR="00612410" w:rsidRPr="00975C02">
        <w:rPr>
          <w:rFonts w:cs="Cambria"/>
          <w:sz w:val="20"/>
          <w:szCs w:val="20"/>
          <w:lang w:val="es-ES"/>
        </w:rPr>
        <w:t>,</w:t>
      </w:r>
      <w:r w:rsidRPr="00975C02">
        <w:rPr>
          <w:rFonts w:cs="Cambria"/>
          <w:sz w:val="20"/>
          <w:szCs w:val="20"/>
          <w:lang w:val="es-ES"/>
        </w:rPr>
        <w:t xml:space="preserve"> si bien en la recomendación primera de su Informe de Fondo solicitó que el Estado adelantara un proceso contra la persona responsable de la violación sexual en perjuicio de V</w:t>
      </w:r>
      <w:r w:rsidR="00612410" w:rsidRPr="00975C02">
        <w:rPr>
          <w:rFonts w:cs="Cambria"/>
          <w:sz w:val="20"/>
          <w:szCs w:val="20"/>
          <w:lang w:val="es-ES"/>
        </w:rPr>
        <w:t>.</w:t>
      </w:r>
      <w:r w:rsidRPr="00975C02">
        <w:rPr>
          <w:rFonts w:cs="Cambria"/>
          <w:sz w:val="20"/>
          <w:szCs w:val="20"/>
          <w:lang w:val="es-ES"/>
        </w:rPr>
        <w:t>R</w:t>
      </w:r>
      <w:r w:rsidR="00612410" w:rsidRPr="00975C02">
        <w:rPr>
          <w:rFonts w:cs="Cambria"/>
          <w:sz w:val="20"/>
          <w:szCs w:val="20"/>
          <w:lang w:val="es-ES"/>
        </w:rPr>
        <w:t>.</w:t>
      </w:r>
      <w:r w:rsidRPr="00975C02">
        <w:rPr>
          <w:rFonts w:cs="Cambria"/>
          <w:sz w:val="20"/>
          <w:szCs w:val="20"/>
          <w:lang w:val="es-ES"/>
        </w:rPr>
        <w:t>P</w:t>
      </w:r>
      <w:r w:rsidR="00612410" w:rsidRPr="00975C02">
        <w:rPr>
          <w:rFonts w:cs="Cambria"/>
          <w:sz w:val="20"/>
          <w:szCs w:val="20"/>
          <w:lang w:val="es-ES"/>
        </w:rPr>
        <w:t>.</w:t>
      </w:r>
      <w:r w:rsidRPr="00975C02">
        <w:rPr>
          <w:rFonts w:cs="Cambria"/>
          <w:sz w:val="20"/>
          <w:szCs w:val="20"/>
          <w:lang w:val="es-ES"/>
        </w:rPr>
        <w:t>,</w:t>
      </w:r>
      <w:r w:rsidR="00612410" w:rsidRPr="00975C02">
        <w:rPr>
          <w:rFonts w:cs="Cambria"/>
          <w:sz w:val="20"/>
          <w:szCs w:val="20"/>
          <w:lang w:val="es-ES"/>
        </w:rPr>
        <w:t xml:space="preserve"> quien fue identificad</w:t>
      </w:r>
      <w:r w:rsidR="007E1082" w:rsidRPr="00975C02">
        <w:rPr>
          <w:rFonts w:cs="Cambria"/>
          <w:sz w:val="20"/>
          <w:szCs w:val="20"/>
          <w:lang w:val="es-ES"/>
        </w:rPr>
        <w:t>a</w:t>
      </w:r>
      <w:r w:rsidR="00612410" w:rsidRPr="00975C02">
        <w:rPr>
          <w:rFonts w:cs="Cambria"/>
          <w:sz w:val="20"/>
          <w:szCs w:val="20"/>
          <w:lang w:val="es-ES"/>
        </w:rPr>
        <w:t xml:space="preserve"> de</w:t>
      </w:r>
      <w:r w:rsidRPr="00975C02">
        <w:rPr>
          <w:rFonts w:cs="Cambria"/>
          <w:sz w:val="20"/>
          <w:szCs w:val="20"/>
          <w:lang w:val="es-ES"/>
        </w:rPr>
        <w:t xml:space="preserve"> </w:t>
      </w:r>
      <w:r w:rsidR="00612410" w:rsidRPr="00975C02">
        <w:rPr>
          <w:rFonts w:cs="Cambria"/>
          <w:sz w:val="20"/>
          <w:szCs w:val="20"/>
          <w:lang w:val="es-ES"/>
        </w:rPr>
        <w:t xml:space="preserve">forma reiterada por la niña como su padre, de </w:t>
      </w:r>
      <w:r w:rsidRPr="00975C02">
        <w:rPr>
          <w:rFonts w:cs="Cambria"/>
          <w:sz w:val="20"/>
          <w:szCs w:val="20"/>
          <w:lang w:val="es-ES"/>
        </w:rPr>
        <w:t>la información surgida luego de adoptada dicha decisión</w:t>
      </w:r>
      <w:r w:rsidR="00612410" w:rsidRPr="00975C02">
        <w:rPr>
          <w:rFonts w:cs="Cambria"/>
          <w:sz w:val="20"/>
          <w:szCs w:val="20"/>
          <w:lang w:val="es-ES"/>
        </w:rPr>
        <w:t>,</w:t>
      </w:r>
      <w:r w:rsidR="007E1082" w:rsidRPr="00975C02">
        <w:rPr>
          <w:rFonts w:cs="Cambria"/>
          <w:sz w:val="20"/>
          <w:szCs w:val="20"/>
          <w:lang w:val="es-ES"/>
        </w:rPr>
        <w:t xml:space="preserve"> se desprende que</w:t>
      </w:r>
      <w:r w:rsidR="00612410" w:rsidRPr="00975C02">
        <w:rPr>
          <w:rFonts w:cs="Cambria"/>
          <w:sz w:val="20"/>
          <w:szCs w:val="20"/>
          <w:lang w:val="es-ES"/>
        </w:rPr>
        <w:t xml:space="preserve"> el presunto agresor falleció</w:t>
      </w:r>
      <w:r w:rsidR="00163FD0" w:rsidRPr="00975C02">
        <w:rPr>
          <w:rFonts w:cs="Cambria"/>
          <w:sz w:val="20"/>
          <w:szCs w:val="20"/>
          <w:lang w:val="es-ES"/>
        </w:rPr>
        <w:t xml:space="preserve">. Sin perjuicio de ello, la Comisión destacó que </w:t>
      </w:r>
      <w:r w:rsidR="007E1082" w:rsidRPr="00975C02">
        <w:rPr>
          <w:rFonts w:cs="Cambria"/>
          <w:sz w:val="20"/>
          <w:szCs w:val="20"/>
          <w:lang w:val="es-ES"/>
        </w:rPr>
        <w:t xml:space="preserve">ese hecho </w:t>
      </w:r>
      <w:r w:rsidRPr="00975C02">
        <w:rPr>
          <w:rFonts w:cs="Cambria"/>
          <w:sz w:val="20"/>
          <w:szCs w:val="20"/>
          <w:lang w:val="es-ES"/>
        </w:rPr>
        <w:t>no eximía al Estado de su obligación de adoptar todas las medidas necesarias para procurar una justicia integral</w:t>
      </w:r>
      <w:r w:rsidR="007E1082" w:rsidRPr="00975C02">
        <w:rPr>
          <w:rFonts w:cs="Cambria"/>
          <w:sz w:val="20"/>
          <w:szCs w:val="20"/>
          <w:lang w:val="es-ES"/>
        </w:rPr>
        <w:t>,</w:t>
      </w:r>
      <w:r w:rsidRPr="00975C02">
        <w:rPr>
          <w:rFonts w:cs="Cambria"/>
          <w:sz w:val="20"/>
          <w:szCs w:val="20"/>
          <w:lang w:val="es-ES"/>
        </w:rPr>
        <w:t xml:space="preserve"> la cual, en el presente caso, no podía entenderse limitada a la imposición de una pena y</w:t>
      </w:r>
      <w:r w:rsidR="007E1082" w:rsidRPr="00975C02">
        <w:rPr>
          <w:rFonts w:cs="Cambria"/>
          <w:sz w:val="20"/>
          <w:szCs w:val="20"/>
          <w:lang w:val="es-ES"/>
        </w:rPr>
        <w:t>,</w:t>
      </w:r>
      <w:r w:rsidRPr="00975C02">
        <w:rPr>
          <w:rFonts w:cs="Cambria"/>
          <w:sz w:val="20"/>
          <w:szCs w:val="20"/>
          <w:lang w:val="es-ES"/>
        </w:rPr>
        <w:t xml:space="preserve"> en las circunstancias actuales, la imposibilidad de ejercer la acción penal contra el agresor. Para la Comisión</w:t>
      </w:r>
      <w:r w:rsidR="007E1082" w:rsidRPr="00975C02">
        <w:rPr>
          <w:rFonts w:cs="Cambria"/>
          <w:sz w:val="20"/>
          <w:szCs w:val="20"/>
          <w:lang w:val="es-ES"/>
        </w:rPr>
        <w:t>,</w:t>
      </w:r>
      <w:r w:rsidRPr="00975C02">
        <w:rPr>
          <w:rFonts w:cs="Cambria"/>
          <w:sz w:val="20"/>
          <w:szCs w:val="20"/>
          <w:lang w:val="es-ES"/>
        </w:rPr>
        <w:t xml:space="preserve"> el componente de justicia, exige que el Estado de Nicaragua adopte todas las medidas necesarias para determinar “la verdad histórica de los hechos denunciados por V</w:t>
      </w:r>
      <w:r w:rsidR="00163FD0" w:rsidRPr="00975C02">
        <w:rPr>
          <w:rFonts w:cs="Cambria"/>
          <w:sz w:val="20"/>
          <w:szCs w:val="20"/>
          <w:lang w:val="es-ES"/>
        </w:rPr>
        <w:t>.</w:t>
      </w:r>
      <w:r w:rsidRPr="00975C02">
        <w:rPr>
          <w:rFonts w:cs="Cambria"/>
          <w:sz w:val="20"/>
          <w:szCs w:val="20"/>
          <w:lang w:val="es-ES"/>
        </w:rPr>
        <w:t>R</w:t>
      </w:r>
      <w:r w:rsidR="00163FD0" w:rsidRPr="00975C02">
        <w:rPr>
          <w:rFonts w:cs="Cambria"/>
          <w:sz w:val="20"/>
          <w:szCs w:val="20"/>
          <w:lang w:val="es-ES"/>
        </w:rPr>
        <w:t>.</w:t>
      </w:r>
      <w:r w:rsidRPr="00975C02">
        <w:rPr>
          <w:rFonts w:cs="Cambria"/>
          <w:sz w:val="20"/>
          <w:szCs w:val="20"/>
          <w:lang w:val="es-ES"/>
        </w:rPr>
        <w:t>P</w:t>
      </w:r>
      <w:r w:rsidR="00163FD0" w:rsidRPr="00975C02">
        <w:rPr>
          <w:rFonts w:cs="Cambria"/>
          <w:sz w:val="20"/>
          <w:szCs w:val="20"/>
          <w:lang w:val="es-ES"/>
        </w:rPr>
        <w:t>.</w:t>
      </w:r>
      <w:r w:rsidRPr="00975C02">
        <w:rPr>
          <w:rFonts w:cs="Cambria"/>
          <w:sz w:val="20"/>
          <w:szCs w:val="20"/>
          <w:lang w:val="es-ES"/>
        </w:rPr>
        <w:t xml:space="preserve"> y su madre V</w:t>
      </w:r>
      <w:r w:rsidR="00163FD0" w:rsidRPr="00975C02">
        <w:rPr>
          <w:rFonts w:cs="Cambria"/>
          <w:sz w:val="20"/>
          <w:szCs w:val="20"/>
          <w:lang w:val="es-ES"/>
        </w:rPr>
        <w:t>.</w:t>
      </w:r>
      <w:r w:rsidRPr="00975C02">
        <w:rPr>
          <w:rFonts w:cs="Cambria"/>
          <w:sz w:val="20"/>
          <w:szCs w:val="20"/>
          <w:lang w:val="es-ES"/>
        </w:rPr>
        <w:t>P</w:t>
      </w:r>
      <w:r w:rsidR="00163FD0" w:rsidRPr="00975C02">
        <w:rPr>
          <w:rFonts w:cs="Cambria"/>
          <w:sz w:val="20"/>
          <w:szCs w:val="20"/>
          <w:lang w:val="es-ES"/>
        </w:rPr>
        <w:t>.</w:t>
      </w:r>
      <w:r w:rsidRPr="00975C02">
        <w:rPr>
          <w:rFonts w:cs="Cambria"/>
          <w:sz w:val="20"/>
          <w:szCs w:val="20"/>
          <w:lang w:val="es-ES"/>
        </w:rPr>
        <w:t>C</w:t>
      </w:r>
      <w:r w:rsidR="00163FD0" w:rsidRPr="00975C02">
        <w:rPr>
          <w:rFonts w:cs="Cambria"/>
          <w:sz w:val="20"/>
          <w:szCs w:val="20"/>
          <w:lang w:val="es-ES"/>
        </w:rPr>
        <w:t>.</w:t>
      </w:r>
      <w:r w:rsidRPr="00975C02">
        <w:rPr>
          <w:rFonts w:cs="Cambria"/>
          <w:sz w:val="20"/>
          <w:szCs w:val="20"/>
          <w:lang w:val="es-ES"/>
        </w:rPr>
        <w:t xml:space="preserve">, incluyendo todas las graves irregularidades que perpetuaron la impunidad de esta grave violación de derechos humanos, y el establecimiento de las responsabilidades de distinta índole </w:t>
      </w:r>
      <w:r w:rsidRPr="00975C02">
        <w:rPr>
          <w:rFonts w:cs="Cambria"/>
          <w:sz w:val="20"/>
          <w:szCs w:val="20"/>
          <w:lang w:val="es-ES"/>
        </w:rPr>
        <w:lastRenderedPageBreak/>
        <w:t>[</w:t>
      </w:r>
      <w:r w:rsidRPr="00975C02">
        <w:rPr>
          <w:rFonts w:eastAsia="MS Mincho"/>
          <w:sz w:val="20"/>
          <w:szCs w:val="20"/>
          <w:lang w:val="es-ES" w:bidi="en-US"/>
        </w:rPr>
        <w:t xml:space="preserve">administrativas, disciplinarias o penales] </w:t>
      </w:r>
      <w:r w:rsidRPr="00975C02">
        <w:rPr>
          <w:rFonts w:cs="Cambria"/>
          <w:sz w:val="20"/>
          <w:szCs w:val="20"/>
          <w:lang w:val="es-ES"/>
        </w:rPr>
        <w:t>que corresponda</w:t>
      </w:r>
      <w:r w:rsidR="007E1082" w:rsidRPr="00975C02">
        <w:rPr>
          <w:rFonts w:cs="Cambria"/>
          <w:sz w:val="20"/>
          <w:szCs w:val="20"/>
          <w:lang w:val="es-ES"/>
        </w:rPr>
        <w:t>n</w:t>
      </w:r>
      <w:r w:rsidRPr="00975C02">
        <w:rPr>
          <w:rFonts w:cs="Cambria"/>
          <w:sz w:val="20"/>
          <w:szCs w:val="20"/>
          <w:lang w:val="es-ES"/>
        </w:rPr>
        <w:t xml:space="preserve"> a los funcionarios y funcionarias del Estado que contribuyeron a esta denegación de justicia [e impunidad]”.</w:t>
      </w:r>
    </w:p>
    <w:p w14:paraId="534A9C48" w14:textId="77777777" w:rsidR="009D661E" w:rsidRPr="00975C02" w:rsidRDefault="009D661E" w:rsidP="009D661E">
      <w:pPr>
        <w:tabs>
          <w:tab w:val="left" w:pos="709"/>
          <w:tab w:val="num" w:pos="1427"/>
        </w:tabs>
        <w:spacing w:line="240" w:lineRule="auto"/>
        <w:ind w:right="-90"/>
        <w:rPr>
          <w:sz w:val="20"/>
          <w:szCs w:val="20"/>
          <w:lang w:val="es-ES"/>
        </w:rPr>
      </w:pPr>
    </w:p>
    <w:p w14:paraId="705A6905" w14:textId="5FAED34D" w:rsidR="009D661E" w:rsidRPr="00975C02" w:rsidRDefault="009D661E" w:rsidP="009D661E">
      <w:pPr>
        <w:numPr>
          <w:ilvl w:val="0"/>
          <w:numId w:val="2"/>
        </w:numPr>
        <w:tabs>
          <w:tab w:val="left" w:pos="567"/>
          <w:tab w:val="num" w:pos="5057"/>
        </w:tabs>
        <w:spacing w:line="240" w:lineRule="auto"/>
        <w:ind w:left="0" w:firstLine="0"/>
        <w:textAlignment w:val="auto"/>
        <w:rPr>
          <w:rFonts w:eastAsia="Verdana" w:cs="Verdana"/>
          <w:b/>
          <w:bCs/>
          <w:sz w:val="20"/>
          <w:szCs w:val="20"/>
          <w:lang w:val="es-ES"/>
        </w:rPr>
      </w:pPr>
      <w:r w:rsidRPr="00975C02">
        <w:rPr>
          <w:bCs/>
          <w:sz w:val="20"/>
          <w:szCs w:val="20"/>
          <w:lang w:val="es-ES" w:bidi="en-US"/>
        </w:rPr>
        <w:t>Las</w:t>
      </w:r>
      <w:r w:rsidRPr="00975C02">
        <w:rPr>
          <w:rFonts w:eastAsia="MS Mincho"/>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por su parte, solicitaron que se orden</w:t>
      </w:r>
      <w:r w:rsidR="000F278F" w:rsidRPr="00975C02">
        <w:rPr>
          <w:rFonts w:eastAsia="MS Mincho"/>
          <w:sz w:val="20"/>
          <w:szCs w:val="20"/>
          <w:lang w:val="es-ES" w:bidi="en-US"/>
        </w:rPr>
        <w:t>ara</w:t>
      </w:r>
      <w:r w:rsidRPr="00975C02">
        <w:rPr>
          <w:rFonts w:eastAsia="MS Mincho"/>
          <w:sz w:val="20"/>
          <w:szCs w:val="20"/>
          <w:lang w:val="es-ES" w:bidi="en-US"/>
        </w:rPr>
        <w:t xml:space="preserve"> al Estado adoptar las medidas necesarias para que las violaciones a los derechos humanos cometid</w:t>
      </w:r>
      <w:r w:rsidR="000F278F" w:rsidRPr="00975C02">
        <w:rPr>
          <w:rFonts w:eastAsia="MS Mincho"/>
          <w:sz w:val="20"/>
          <w:szCs w:val="20"/>
          <w:lang w:val="es-ES" w:bidi="en-US"/>
        </w:rPr>
        <w:t>a</w:t>
      </w:r>
      <w:r w:rsidRPr="00975C02">
        <w:rPr>
          <w:rFonts w:eastAsia="MS Mincho"/>
          <w:sz w:val="20"/>
          <w:szCs w:val="20"/>
          <w:lang w:val="es-ES" w:bidi="en-US"/>
        </w:rPr>
        <w:t>s en contra de V.R.P. y sus familiares, sean efectivamente investigadas y sancionadas a través de procesos en los que se les otorgue</w:t>
      </w:r>
      <w:r w:rsidR="000F278F" w:rsidRPr="00975C02">
        <w:rPr>
          <w:rFonts w:eastAsia="MS Mincho"/>
          <w:sz w:val="20"/>
          <w:szCs w:val="20"/>
          <w:lang w:val="es-ES" w:bidi="en-US"/>
        </w:rPr>
        <w:t>n</w:t>
      </w:r>
      <w:r w:rsidRPr="00975C02">
        <w:rPr>
          <w:rFonts w:eastAsia="MS Mincho"/>
          <w:sz w:val="20"/>
          <w:szCs w:val="20"/>
          <w:lang w:val="es-ES" w:bidi="en-US"/>
        </w:rPr>
        <w:t xml:space="preserve"> todas las garantías judiciales. Agregaron que tales investigaciones deben comprender las actuaciones de las autoridades judiciales y administrativas que permitieron la impunidad de la agresión sexual materializada contra la </w:t>
      </w:r>
      <w:r w:rsidR="000F278F" w:rsidRPr="00975C02">
        <w:rPr>
          <w:rFonts w:eastAsia="MS Mincho"/>
          <w:sz w:val="20"/>
          <w:szCs w:val="20"/>
          <w:lang w:val="es-ES" w:bidi="en-US"/>
        </w:rPr>
        <w:t xml:space="preserve">niña </w:t>
      </w:r>
      <w:r w:rsidRPr="00975C02">
        <w:rPr>
          <w:rFonts w:eastAsia="MS Mincho"/>
          <w:sz w:val="20"/>
          <w:szCs w:val="20"/>
          <w:lang w:val="es-ES" w:bidi="en-US"/>
        </w:rPr>
        <w:t xml:space="preserve">V.R.P., así como la revictimización </w:t>
      </w:r>
      <w:r w:rsidR="000F278F" w:rsidRPr="00975C02">
        <w:rPr>
          <w:rFonts w:eastAsia="MS Mincho"/>
          <w:sz w:val="20"/>
          <w:szCs w:val="20"/>
          <w:lang w:val="es-ES" w:bidi="en-US"/>
        </w:rPr>
        <w:t>que sufrió.</w:t>
      </w:r>
    </w:p>
    <w:p w14:paraId="577BD01D" w14:textId="77777777" w:rsidR="009D661E" w:rsidRPr="00975C02" w:rsidRDefault="009D661E" w:rsidP="009D661E">
      <w:pPr>
        <w:tabs>
          <w:tab w:val="left" w:pos="0"/>
          <w:tab w:val="num" w:pos="11028"/>
        </w:tabs>
        <w:spacing w:line="240" w:lineRule="auto"/>
        <w:ind w:right="-90"/>
        <w:rPr>
          <w:rFonts w:eastAsia="Verdana" w:cs="Verdana"/>
          <w:b/>
          <w:bCs/>
          <w:sz w:val="20"/>
          <w:szCs w:val="20"/>
          <w:lang w:val="es-ES"/>
        </w:rPr>
      </w:pPr>
    </w:p>
    <w:p w14:paraId="43EBC692" w14:textId="5F1DA7D0" w:rsidR="009D661E" w:rsidRPr="00975C02" w:rsidRDefault="009D661E" w:rsidP="009D661E">
      <w:pPr>
        <w:numPr>
          <w:ilvl w:val="0"/>
          <w:numId w:val="2"/>
        </w:numPr>
        <w:tabs>
          <w:tab w:val="left" w:pos="567"/>
          <w:tab w:val="num" w:pos="5057"/>
        </w:tabs>
        <w:spacing w:line="240" w:lineRule="auto"/>
        <w:ind w:left="0" w:firstLine="0"/>
        <w:textAlignment w:val="auto"/>
        <w:rPr>
          <w:b/>
          <w:sz w:val="20"/>
          <w:szCs w:val="20"/>
          <w:lang w:val="es-ES"/>
        </w:rPr>
      </w:pPr>
      <w:r w:rsidRPr="00975C02">
        <w:rPr>
          <w:rFonts w:eastAsia="MS Mincho"/>
          <w:sz w:val="20"/>
          <w:szCs w:val="20"/>
          <w:lang w:val="es-ES" w:bidi="en-US"/>
        </w:rPr>
        <w:t>El</w:t>
      </w:r>
      <w:r w:rsidRPr="00975C02">
        <w:rPr>
          <w:sz w:val="20"/>
          <w:szCs w:val="20"/>
          <w:lang w:val="es-ES" w:bidi="en-US"/>
        </w:rPr>
        <w:t xml:space="preserve"> </w:t>
      </w:r>
      <w:r w:rsidRPr="00975C02">
        <w:rPr>
          <w:b/>
          <w:i/>
          <w:sz w:val="20"/>
          <w:szCs w:val="20"/>
          <w:lang w:val="es-ES" w:bidi="en-US"/>
        </w:rPr>
        <w:t>Estado</w:t>
      </w:r>
      <w:r w:rsidRPr="00975C02">
        <w:rPr>
          <w:sz w:val="20"/>
          <w:szCs w:val="20"/>
          <w:lang w:val="es-ES" w:bidi="en-US"/>
        </w:rPr>
        <w:t xml:space="preserve"> manifestó que H.R.A., a quien V.R.P. sindicó como el autor de la violación </w:t>
      </w:r>
      <w:r w:rsidR="006E0D35" w:rsidRPr="00975C02">
        <w:rPr>
          <w:sz w:val="20"/>
          <w:szCs w:val="20"/>
          <w:lang w:val="es-ES" w:bidi="en-US"/>
        </w:rPr>
        <w:t xml:space="preserve">sexual </w:t>
      </w:r>
      <w:r w:rsidRPr="00975C02">
        <w:rPr>
          <w:sz w:val="20"/>
          <w:szCs w:val="20"/>
          <w:lang w:val="es-ES" w:bidi="en-US"/>
        </w:rPr>
        <w:t xml:space="preserve">que sufrió, falleció el 29 de agosto de 2008 y que ese evento impide objetivamente el cumplimiento de la recomendación efectuada por la </w:t>
      </w:r>
      <w:r w:rsidR="00163FD0" w:rsidRPr="00975C02">
        <w:rPr>
          <w:sz w:val="20"/>
          <w:szCs w:val="20"/>
          <w:lang w:val="es-ES" w:bidi="en-US"/>
        </w:rPr>
        <w:t>C</w:t>
      </w:r>
      <w:r w:rsidRPr="00975C02">
        <w:rPr>
          <w:sz w:val="20"/>
          <w:szCs w:val="20"/>
          <w:lang w:val="es-ES" w:bidi="en-US"/>
        </w:rPr>
        <w:t>omisión, pues tanto el Código de Instrucción Criminal como el Código Procesal Penal establecen que la muerte del imputado extingue la acción penal</w:t>
      </w:r>
      <w:r w:rsidR="000F278F" w:rsidRPr="00975C02">
        <w:rPr>
          <w:sz w:val="20"/>
          <w:szCs w:val="20"/>
          <w:lang w:val="es-ES" w:bidi="en-US"/>
        </w:rPr>
        <w:t>.</w:t>
      </w:r>
    </w:p>
    <w:p w14:paraId="472DA74E" w14:textId="77777777" w:rsidR="009D661E" w:rsidRPr="00975C02" w:rsidRDefault="009D661E" w:rsidP="009D661E">
      <w:pPr>
        <w:pStyle w:val="ListParagraph"/>
        <w:spacing w:line="240" w:lineRule="auto"/>
        <w:ind w:left="0"/>
        <w:rPr>
          <w:sz w:val="20"/>
          <w:szCs w:val="20"/>
          <w:lang w:val="es-ES"/>
        </w:rPr>
      </w:pPr>
    </w:p>
    <w:p w14:paraId="3D783420" w14:textId="55B83F20"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Por otro lado, en relación </w:t>
      </w:r>
      <w:r w:rsidR="006E0D35" w:rsidRPr="00975C02">
        <w:rPr>
          <w:sz w:val="20"/>
          <w:szCs w:val="20"/>
          <w:lang w:val="es-ES"/>
        </w:rPr>
        <w:t>con</w:t>
      </w:r>
      <w:r w:rsidRPr="00975C02">
        <w:rPr>
          <w:sz w:val="20"/>
          <w:szCs w:val="20"/>
          <w:lang w:val="es-ES"/>
        </w:rPr>
        <w:t xml:space="preserve"> la investigación a los funcionarios estatales que contribuyeron a la denegación de justicia y la impunidad en que se encuentra el caso, el Estado señaló que la Corte Suprema de Justicia conoció de varios “informativos” promovidos por V.P.C. y que todos ellos fueron resueltos administrativamente</w:t>
      </w:r>
      <w:r w:rsidR="000F278F" w:rsidRPr="00975C02">
        <w:rPr>
          <w:sz w:val="20"/>
          <w:szCs w:val="20"/>
          <w:lang w:val="es-ES"/>
        </w:rPr>
        <w:t>.</w:t>
      </w:r>
      <w:r w:rsidRPr="00975C02">
        <w:rPr>
          <w:sz w:val="20"/>
          <w:szCs w:val="20"/>
          <w:lang w:val="es-ES"/>
        </w:rPr>
        <w:t xml:space="preserve"> Afirmó que los casos promovidos por V</w:t>
      </w:r>
      <w:r w:rsidR="00163FD0" w:rsidRPr="00975C02">
        <w:rPr>
          <w:sz w:val="20"/>
          <w:szCs w:val="20"/>
          <w:lang w:val="es-ES"/>
        </w:rPr>
        <w:t>.</w:t>
      </w:r>
      <w:r w:rsidRPr="00975C02">
        <w:rPr>
          <w:sz w:val="20"/>
          <w:szCs w:val="20"/>
          <w:lang w:val="es-ES"/>
        </w:rPr>
        <w:t>P</w:t>
      </w:r>
      <w:r w:rsidR="00163FD0" w:rsidRPr="00975C02">
        <w:rPr>
          <w:sz w:val="20"/>
          <w:szCs w:val="20"/>
          <w:lang w:val="es-ES"/>
        </w:rPr>
        <w:t>.</w:t>
      </w:r>
      <w:r w:rsidRPr="00975C02">
        <w:rPr>
          <w:sz w:val="20"/>
          <w:szCs w:val="20"/>
          <w:lang w:val="es-ES"/>
        </w:rPr>
        <w:t>C</w:t>
      </w:r>
      <w:r w:rsidR="00163FD0" w:rsidRPr="00975C02">
        <w:rPr>
          <w:sz w:val="20"/>
          <w:szCs w:val="20"/>
          <w:lang w:val="es-ES"/>
        </w:rPr>
        <w:t>.</w:t>
      </w:r>
      <w:r w:rsidRPr="00975C02">
        <w:rPr>
          <w:sz w:val="20"/>
          <w:szCs w:val="20"/>
          <w:lang w:val="es-ES"/>
        </w:rPr>
        <w:t xml:space="preserve"> contra funcionarios públicos intervinientes en el proceso penal por violación</w:t>
      </w:r>
      <w:r w:rsidR="006E0D35" w:rsidRPr="00975C02">
        <w:rPr>
          <w:sz w:val="20"/>
          <w:szCs w:val="20"/>
          <w:lang w:val="es-ES"/>
        </w:rPr>
        <w:t xml:space="preserve"> sexual</w:t>
      </w:r>
      <w:r w:rsidRPr="00975C02">
        <w:rPr>
          <w:sz w:val="20"/>
          <w:szCs w:val="20"/>
          <w:lang w:val="es-ES"/>
        </w:rPr>
        <w:t xml:space="preserve"> se encuentran archivados</w:t>
      </w:r>
      <w:r w:rsidR="000F278F" w:rsidRPr="00975C02">
        <w:rPr>
          <w:sz w:val="20"/>
          <w:szCs w:val="20"/>
          <w:lang w:val="es-ES"/>
        </w:rPr>
        <w:t>.</w:t>
      </w:r>
    </w:p>
    <w:p w14:paraId="477492D4" w14:textId="77777777" w:rsidR="009D661E" w:rsidRPr="00975C02" w:rsidRDefault="009D661E" w:rsidP="009D661E">
      <w:pPr>
        <w:tabs>
          <w:tab w:val="left" w:pos="0"/>
          <w:tab w:val="num" w:pos="11028"/>
        </w:tabs>
        <w:spacing w:line="240" w:lineRule="auto"/>
        <w:ind w:right="-90"/>
        <w:rPr>
          <w:b/>
          <w:sz w:val="20"/>
          <w:szCs w:val="20"/>
          <w:lang w:val="es-ES"/>
        </w:rPr>
      </w:pPr>
    </w:p>
    <w:p w14:paraId="5E31BBBC" w14:textId="77777777" w:rsidR="009D661E" w:rsidRPr="00975C02" w:rsidRDefault="009D661E" w:rsidP="00A11CC7">
      <w:pPr>
        <w:numPr>
          <w:ilvl w:val="0"/>
          <w:numId w:val="2"/>
        </w:numPr>
        <w:tabs>
          <w:tab w:val="left" w:pos="567"/>
          <w:tab w:val="num" w:pos="5057"/>
        </w:tabs>
        <w:spacing w:line="240" w:lineRule="auto"/>
        <w:ind w:left="0" w:firstLine="0"/>
        <w:textAlignment w:val="auto"/>
        <w:rPr>
          <w:rFonts w:eastAsia="MS Mincho" w:cs="Verdana"/>
          <w:sz w:val="20"/>
          <w:szCs w:val="20"/>
          <w:lang w:val="es-ES" w:bidi="en-US"/>
        </w:rPr>
      </w:pPr>
      <w:r w:rsidRPr="00975C02">
        <w:rPr>
          <w:rFonts w:eastAsia="MS Mincho"/>
          <w:sz w:val="20"/>
          <w:szCs w:val="20"/>
          <w:lang w:val="es-ES" w:bidi="en-US"/>
        </w:rPr>
        <w:t xml:space="preserve">La Corte toma en consideración que, desde el inicio del proceso penal por violación sexual, V.R.P. señaló </w:t>
      </w:r>
      <w:r w:rsidR="00163FD0" w:rsidRPr="00975C02">
        <w:rPr>
          <w:rFonts w:eastAsia="MS Mincho"/>
          <w:sz w:val="20"/>
          <w:szCs w:val="20"/>
          <w:lang w:val="es-ES" w:bidi="en-US"/>
        </w:rPr>
        <w:t xml:space="preserve">en distintas declaraciones </w:t>
      </w:r>
      <w:r w:rsidRPr="00975C02">
        <w:rPr>
          <w:rFonts w:eastAsia="MS Mincho"/>
          <w:sz w:val="20"/>
          <w:szCs w:val="20"/>
          <w:lang w:val="es-ES" w:bidi="en-US"/>
        </w:rPr>
        <w:t xml:space="preserve">a su padre, el señor H.R.A., como el </w:t>
      </w:r>
      <w:r w:rsidR="00163FD0" w:rsidRPr="00975C02">
        <w:rPr>
          <w:rFonts w:eastAsia="MS Mincho"/>
          <w:sz w:val="20"/>
          <w:szCs w:val="20"/>
          <w:lang w:val="es-ES" w:bidi="en-US"/>
        </w:rPr>
        <w:t xml:space="preserve">presunto </w:t>
      </w:r>
      <w:r w:rsidRPr="00975C02">
        <w:rPr>
          <w:rFonts w:eastAsia="MS Mincho"/>
          <w:sz w:val="20"/>
          <w:szCs w:val="20"/>
          <w:lang w:val="es-ES" w:bidi="en-US"/>
        </w:rPr>
        <w:t>autor de los hechos. Durante la tramitación del procedimiento ante la Comisión, en fecha 29 de agosto de 2008, el señor H.R.A. falleció</w:t>
      </w:r>
      <w:r w:rsidRPr="00975C02">
        <w:rPr>
          <w:rStyle w:val="FootnoteReference"/>
          <w:rFonts w:eastAsia="MS Mincho"/>
          <w:sz w:val="20"/>
          <w:szCs w:val="20"/>
          <w:lang w:val="es-ES" w:bidi="en-US"/>
        </w:rPr>
        <w:footnoteReference w:id="424"/>
      </w:r>
      <w:r w:rsidRPr="00975C02">
        <w:rPr>
          <w:rFonts w:eastAsia="MS Mincho"/>
          <w:sz w:val="20"/>
          <w:szCs w:val="20"/>
          <w:lang w:val="es-ES" w:bidi="en-US"/>
        </w:rPr>
        <w:t>.</w:t>
      </w:r>
      <w:r w:rsidR="00163FD0" w:rsidRPr="00975C02">
        <w:rPr>
          <w:rFonts w:eastAsia="MS Mincho"/>
          <w:sz w:val="20"/>
          <w:szCs w:val="20"/>
          <w:lang w:val="es-ES" w:bidi="en-US"/>
        </w:rPr>
        <w:t xml:space="preserve"> </w:t>
      </w:r>
      <w:r w:rsidR="00A11CC7" w:rsidRPr="00975C02">
        <w:rPr>
          <w:rFonts w:eastAsia="MS Mincho"/>
          <w:sz w:val="20"/>
          <w:szCs w:val="20"/>
          <w:lang w:val="es-ES" w:bidi="en-US"/>
        </w:rPr>
        <w:t>En las circunstancias de este caso</w:t>
      </w:r>
      <w:r w:rsidRPr="00975C02">
        <w:rPr>
          <w:rFonts w:eastAsia="MS Mincho"/>
          <w:sz w:val="20"/>
          <w:szCs w:val="20"/>
          <w:lang w:val="es-ES" w:bidi="en-US"/>
        </w:rPr>
        <w:t>,</w:t>
      </w:r>
      <w:r w:rsidR="00A11CC7" w:rsidRPr="00975C02">
        <w:rPr>
          <w:rFonts w:eastAsia="MS Mincho"/>
          <w:sz w:val="20"/>
          <w:szCs w:val="20"/>
          <w:lang w:val="es-ES" w:bidi="en-US"/>
        </w:rPr>
        <w:t xml:space="preserve"> la Corte considera que</w:t>
      </w:r>
      <w:r w:rsidRPr="00975C02">
        <w:rPr>
          <w:rFonts w:eastAsia="MS Mincho"/>
          <w:sz w:val="20"/>
          <w:szCs w:val="20"/>
          <w:lang w:val="es-ES" w:bidi="en-US"/>
        </w:rPr>
        <w:t xml:space="preserve"> no corresponde ordenar la realización de un nuevo procedimiento penal que procure la investigación, identificación, juzgamiento y eventual sanción de</w:t>
      </w:r>
      <w:r w:rsidR="00163FD0" w:rsidRPr="00975C02">
        <w:rPr>
          <w:rFonts w:eastAsia="MS Mincho"/>
          <w:sz w:val="20"/>
          <w:szCs w:val="20"/>
          <w:lang w:val="es-ES" w:bidi="en-US"/>
        </w:rPr>
        <w:t xml:space="preserve"> </w:t>
      </w:r>
      <w:r w:rsidR="00A11CC7" w:rsidRPr="00975C02">
        <w:rPr>
          <w:rFonts w:eastAsia="MS Mincho"/>
          <w:sz w:val="20"/>
          <w:szCs w:val="20"/>
          <w:lang w:val="es-ES" w:bidi="en-US"/>
        </w:rPr>
        <w:t>los hechos de violación sexual</w:t>
      </w:r>
      <w:r w:rsidRPr="00975C02">
        <w:rPr>
          <w:rFonts w:eastAsia="MS Mincho"/>
          <w:sz w:val="20"/>
          <w:szCs w:val="20"/>
          <w:lang w:val="es-ES" w:bidi="en-US"/>
        </w:rPr>
        <w:t>.</w:t>
      </w:r>
    </w:p>
    <w:p w14:paraId="34FC0AA4" w14:textId="77777777" w:rsidR="009D661E" w:rsidRPr="00975C02" w:rsidRDefault="009D661E" w:rsidP="009D661E">
      <w:pPr>
        <w:tabs>
          <w:tab w:val="left" w:pos="567"/>
        </w:tabs>
        <w:spacing w:line="240" w:lineRule="auto"/>
        <w:ind w:right="-90"/>
        <w:contextualSpacing/>
        <w:textAlignment w:val="auto"/>
        <w:rPr>
          <w:rFonts w:eastAsia="MS Mincho" w:cs="Verdana"/>
          <w:sz w:val="20"/>
          <w:szCs w:val="20"/>
          <w:lang w:val="es-ES" w:bidi="en-US"/>
        </w:rPr>
      </w:pPr>
    </w:p>
    <w:p w14:paraId="44310C45" w14:textId="3E70EA6E" w:rsidR="009D661E" w:rsidRPr="00975C02" w:rsidRDefault="003574D4" w:rsidP="009D661E">
      <w:pPr>
        <w:numPr>
          <w:ilvl w:val="0"/>
          <w:numId w:val="2"/>
        </w:numPr>
        <w:tabs>
          <w:tab w:val="left" w:pos="567"/>
          <w:tab w:val="num" w:pos="5057"/>
        </w:tabs>
        <w:spacing w:line="240" w:lineRule="auto"/>
        <w:ind w:left="0" w:firstLine="0"/>
        <w:rPr>
          <w:rFonts w:eastAsia="MS Mincho" w:cs="Verdana"/>
          <w:sz w:val="20"/>
          <w:szCs w:val="20"/>
          <w:lang w:val="es-ES" w:bidi="en-US"/>
        </w:rPr>
      </w:pPr>
      <w:r w:rsidRPr="00975C02">
        <w:rPr>
          <w:rFonts w:eastAsia="MS Mincho"/>
          <w:sz w:val="20"/>
          <w:szCs w:val="20"/>
          <w:lang w:val="es-ES" w:bidi="en-US"/>
        </w:rPr>
        <w:t>Por otra parte, e</w:t>
      </w:r>
      <w:r w:rsidR="009D661E" w:rsidRPr="00975C02">
        <w:rPr>
          <w:rFonts w:eastAsia="MS Mincho"/>
          <w:sz w:val="20"/>
          <w:szCs w:val="20"/>
          <w:lang w:val="es-ES" w:bidi="en-US"/>
        </w:rPr>
        <w:t>sta Corte estableci</w:t>
      </w:r>
      <w:r w:rsidR="00F906F8" w:rsidRPr="00975C02">
        <w:rPr>
          <w:rFonts w:eastAsia="MS Mincho"/>
          <w:sz w:val="20"/>
          <w:szCs w:val="20"/>
          <w:lang w:val="es-ES" w:bidi="en-US"/>
        </w:rPr>
        <w:t>ó</w:t>
      </w:r>
      <w:r w:rsidR="009D661E" w:rsidRPr="00975C02">
        <w:rPr>
          <w:rFonts w:eastAsia="MS Mincho"/>
          <w:sz w:val="20"/>
          <w:szCs w:val="20"/>
          <w:lang w:val="es-ES" w:bidi="en-US"/>
        </w:rPr>
        <w:t xml:space="preserve"> que distintas autoridades estatales no adoptaron medidas de protección especiales en beneficio de V.R.P. sino que, por el contrario, actuaron en vulneración de la debida diligencia </w:t>
      </w:r>
      <w:r w:rsidRPr="00975C02">
        <w:rPr>
          <w:rFonts w:eastAsia="MS Mincho"/>
          <w:sz w:val="20"/>
          <w:szCs w:val="20"/>
          <w:lang w:val="es-ES" w:bidi="en-US"/>
        </w:rPr>
        <w:t xml:space="preserve">reforzada </w:t>
      </w:r>
      <w:r w:rsidR="009D661E" w:rsidRPr="00975C02">
        <w:rPr>
          <w:rFonts w:eastAsia="MS Mincho"/>
          <w:sz w:val="20"/>
          <w:szCs w:val="20"/>
          <w:lang w:val="es-ES" w:bidi="en-US"/>
        </w:rPr>
        <w:t>durante el desarrollo de las investigaciones y proceso penal por la violación sexual de la niña V.R.P., lo que conllevó a su revictimización. Asimismo, la Corte concluyó que existi</w:t>
      </w:r>
      <w:r w:rsidR="00F44837" w:rsidRPr="00975C02">
        <w:rPr>
          <w:rFonts w:eastAsia="MS Mincho"/>
          <w:sz w:val="20"/>
          <w:szCs w:val="20"/>
          <w:lang w:val="es-ES" w:bidi="en-US"/>
        </w:rPr>
        <w:t xml:space="preserve">ó un temor fundado de parcialidad </w:t>
      </w:r>
      <w:r w:rsidR="009D661E" w:rsidRPr="00975C02">
        <w:rPr>
          <w:rFonts w:eastAsia="MS Mincho"/>
          <w:sz w:val="20"/>
          <w:szCs w:val="20"/>
          <w:lang w:val="es-ES" w:bidi="en-US"/>
        </w:rPr>
        <w:t xml:space="preserve">en el proceso interno en relación con el </w:t>
      </w:r>
      <w:r w:rsidR="00F44837" w:rsidRPr="00975C02">
        <w:rPr>
          <w:rFonts w:eastAsia="MS Mincho"/>
          <w:sz w:val="20"/>
          <w:szCs w:val="20"/>
          <w:lang w:val="es-ES" w:bidi="en-US"/>
        </w:rPr>
        <w:t xml:space="preserve">actuar </w:t>
      </w:r>
      <w:r w:rsidR="009D661E" w:rsidRPr="00975C02">
        <w:rPr>
          <w:rFonts w:eastAsia="MS Mincho"/>
          <w:sz w:val="20"/>
          <w:szCs w:val="20"/>
          <w:lang w:val="es-ES" w:bidi="en-US"/>
        </w:rPr>
        <w:t>de</w:t>
      </w:r>
      <w:r w:rsidRPr="00975C02">
        <w:rPr>
          <w:rFonts w:eastAsia="MS Mincho"/>
          <w:sz w:val="20"/>
          <w:szCs w:val="20"/>
          <w:lang w:val="es-ES" w:bidi="en-US"/>
        </w:rPr>
        <w:t>l Tribunal</w:t>
      </w:r>
      <w:r w:rsidR="009D661E" w:rsidRPr="00975C02">
        <w:rPr>
          <w:rFonts w:eastAsia="MS Mincho"/>
          <w:sz w:val="20"/>
          <w:szCs w:val="20"/>
          <w:lang w:val="es-ES" w:bidi="en-US"/>
        </w:rPr>
        <w:t xml:space="preserve"> de </w:t>
      </w:r>
      <w:r w:rsidRPr="00975C02">
        <w:rPr>
          <w:rFonts w:eastAsia="MS Mincho"/>
          <w:sz w:val="20"/>
          <w:szCs w:val="20"/>
          <w:lang w:val="es-ES" w:bidi="en-US"/>
        </w:rPr>
        <w:t>J</w:t>
      </w:r>
      <w:r w:rsidR="009D661E" w:rsidRPr="00975C02">
        <w:rPr>
          <w:rFonts w:eastAsia="MS Mincho"/>
          <w:sz w:val="20"/>
          <w:szCs w:val="20"/>
          <w:lang w:val="es-ES" w:bidi="en-US"/>
        </w:rPr>
        <w:t>urado</w:t>
      </w:r>
      <w:r w:rsidRPr="00975C02">
        <w:rPr>
          <w:rFonts w:eastAsia="MS Mincho"/>
          <w:sz w:val="20"/>
          <w:szCs w:val="20"/>
          <w:lang w:val="es-ES" w:bidi="en-US"/>
        </w:rPr>
        <w:t>s</w:t>
      </w:r>
      <w:r w:rsidR="009D661E" w:rsidRPr="00975C02">
        <w:rPr>
          <w:rFonts w:eastAsia="MS Mincho"/>
          <w:sz w:val="20"/>
          <w:szCs w:val="20"/>
          <w:lang w:val="es-ES" w:bidi="en-US"/>
        </w:rPr>
        <w:t xml:space="preserve">. Por ello, </w:t>
      </w:r>
      <w:r w:rsidR="009D661E" w:rsidRPr="00975C02">
        <w:rPr>
          <w:rFonts w:eastAsia="MS Mincho" w:cs="Verdana"/>
          <w:sz w:val="20"/>
          <w:szCs w:val="20"/>
          <w:lang w:val="es-ES" w:bidi="en-US"/>
        </w:rPr>
        <w:t>esta Corte considera que el Estado debe, dentro de un plazo razonable, determinar, por intermedio de las instituciones públicas competentes, las eventuales responsabilidades de los funcionarios que contribuyeron con su actuación a la comisión de actos de revictimización y violencia institucional en perjuicio de V.R.P. y</w:t>
      </w:r>
      <w:r w:rsidR="00F906F8" w:rsidRPr="00975C02">
        <w:rPr>
          <w:rFonts w:eastAsia="MS Mincho" w:cs="Verdana"/>
          <w:sz w:val="20"/>
          <w:szCs w:val="20"/>
          <w:lang w:val="es-ES" w:bidi="en-US"/>
        </w:rPr>
        <w:t>,</w:t>
      </w:r>
      <w:r w:rsidR="009D661E" w:rsidRPr="00975C02">
        <w:rPr>
          <w:rFonts w:eastAsia="MS Mincho" w:cs="Verdana"/>
          <w:sz w:val="20"/>
          <w:szCs w:val="20"/>
          <w:lang w:val="es-ES" w:bidi="en-US"/>
        </w:rPr>
        <w:t xml:space="preserve"> en la medida que corresponda, aplicar las consecuencias que la ley</w:t>
      </w:r>
      <w:r w:rsidR="00192F16" w:rsidRPr="00975C02">
        <w:rPr>
          <w:rFonts w:eastAsia="MS Mincho" w:cs="Verdana"/>
          <w:sz w:val="20"/>
          <w:szCs w:val="20"/>
          <w:lang w:val="es-ES" w:bidi="en-US"/>
        </w:rPr>
        <w:t xml:space="preserve"> pudiera prever</w:t>
      </w:r>
      <w:r w:rsidR="009D661E" w:rsidRPr="00975C02">
        <w:rPr>
          <w:rFonts w:eastAsia="MS Mincho" w:cs="Verdana"/>
          <w:sz w:val="20"/>
          <w:szCs w:val="20"/>
          <w:lang w:val="es-ES" w:bidi="en-US"/>
        </w:rPr>
        <w:t>.</w:t>
      </w:r>
    </w:p>
    <w:p w14:paraId="28B092FA" w14:textId="77777777" w:rsidR="009D661E" w:rsidRPr="00975C02" w:rsidRDefault="009D661E" w:rsidP="009D661E">
      <w:pPr>
        <w:tabs>
          <w:tab w:val="num" w:pos="720"/>
          <w:tab w:val="left" w:pos="851"/>
          <w:tab w:val="num" w:pos="1427"/>
        </w:tabs>
        <w:spacing w:line="240" w:lineRule="auto"/>
        <w:rPr>
          <w:b/>
          <w:sz w:val="20"/>
          <w:szCs w:val="20"/>
          <w:lang w:val="es-ES"/>
        </w:rPr>
      </w:pPr>
    </w:p>
    <w:p w14:paraId="1903477B"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73" w:name="_Toc476390740"/>
      <w:bookmarkStart w:id="174" w:name="_Toc495658696"/>
      <w:bookmarkStart w:id="175" w:name="_Toc514172664"/>
      <w:r w:rsidRPr="00975C02">
        <w:rPr>
          <w:rFonts w:eastAsia="MS Mincho"/>
          <w:b/>
          <w:bCs/>
          <w:i/>
          <w:sz w:val="20"/>
          <w:szCs w:val="20"/>
          <w:lang w:val="es-ES"/>
        </w:rPr>
        <w:t>Medidas de rehabilitación, satisfacción</w:t>
      </w:r>
      <w:bookmarkEnd w:id="173"/>
      <w:r w:rsidRPr="00975C02">
        <w:rPr>
          <w:rFonts w:eastAsia="MS Mincho"/>
          <w:b/>
          <w:bCs/>
          <w:i/>
          <w:sz w:val="20"/>
          <w:szCs w:val="20"/>
          <w:lang w:val="es-ES"/>
        </w:rPr>
        <w:t xml:space="preserve"> y garantías de no repetición</w:t>
      </w:r>
      <w:bookmarkEnd w:id="174"/>
      <w:bookmarkEnd w:id="175"/>
    </w:p>
    <w:p w14:paraId="2DD9F82D" w14:textId="77777777" w:rsidR="009D661E" w:rsidRPr="00975C02" w:rsidRDefault="009D661E" w:rsidP="009D661E">
      <w:pPr>
        <w:spacing w:line="240" w:lineRule="auto"/>
        <w:rPr>
          <w:b/>
          <w:sz w:val="20"/>
          <w:szCs w:val="20"/>
          <w:lang w:val="es-ES"/>
        </w:rPr>
      </w:pPr>
    </w:p>
    <w:p w14:paraId="1E129C8F" w14:textId="77777777" w:rsidR="009D661E" w:rsidRPr="00975C02" w:rsidRDefault="009D661E" w:rsidP="009D661E">
      <w:pPr>
        <w:pStyle w:val="Heading2"/>
        <w:tabs>
          <w:tab w:val="left" w:pos="1843"/>
        </w:tabs>
        <w:spacing w:before="0" w:line="240" w:lineRule="auto"/>
        <w:ind w:left="1134"/>
        <w:rPr>
          <w:rFonts w:ascii="Verdana" w:hAnsi="Verdana"/>
          <w:b w:val="0"/>
          <w:i/>
          <w:color w:val="auto"/>
          <w:sz w:val="20"/>
          <w:szCs w:val="20"/>
          <w:lang w:val="es-ES"/>
        </w:rPr>
      </w:pPr>
      <w:bookmarkStart w:id="176" w:name="_Toc495658697"/>
      <w:bookmarkStart w:id="177" w:name="_Toc514172665"/>
      <w:r w:rsidRPr="00975C02">
        <w:rPr>
          <w:rFonts w:ascii="Verdana" w:hAnsi="Verdana"/>
          <w:b w:val="0"/>
          <w:i/>
          <w:color w:val="auto"/>
          <w:sz w:val="20"/>
          <w:szCs w:val="20"/>
          <w:lang w:val="es-ES"/>
        </w:rPr>
        <w:t xml:space="preserve">C.1 </w:t>
      </w:r>
      <w:r w:rsidRPr="00975C02">
        <w:rPr>
          <w:rFonts w:ascii="Verdana" w:hAnsi="Verdana"/>
          <w:b w:val="0"/>
          <w:i/>
          <w:color w:val="auto"/>
          <w:sz w:val="20"/>
          <w:szCs w:val="20"/>
          <w:lang w:val="es-ES"/>
        </w:rPr>
        <w:tab/>
        <w:t>Rehabilitación</w:t>
      </w:r>
      <w:bookmarkEnd w:id="176"/>
      <w:bookmarkEnd w:id="177"/>
    </w:p>
    <w:p w14:paraId="4B0CD4FE" w14:textId="77777777" w:rsidR="009D661E" w:rsidRPr="00975C02" w:rsidRDefault="009D661E" w:rsidP="009D661E">
      <w:pPr>
        <w:tabs>
          <w:tab w:val="left" w:pos="709"/>
          <w:tab w:val="left" w:pos="1134"/>
        </w:tabs>
        <w:spacing w:line="240" w:lineRule="auto"/>
        <w:rPr>
          <w:sz w:val="20"/>
          <w:szCs w:val="20"/>
          <w:lang w:val="es-ES"/>
        </w:rPr>
      </w:pPr>
    </w:p>
    <w:p w14:paraId="4653F335" w14:textId="64A10978"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 xml:space="preserve">La </w:t>
      </w:r>
      <w:r w:rsidRPr="00975C02">
        <w:rPr>
          <w:rFonts w:eastAsia="MS Mincho"/>
          <w:b/>
          <w:i/>
          <w:sz w:val="20"/>
          <w:szCs w:val="20"/>
          <w:lang w:val="es-ES" w:bidi="en-US"/>
        </w:rPr>
        <w:t>Comisión</w:t>
      </w:r>
      <w:r w:rsidRPr="00975C02">
        <w:rPr>
          <w:rFonts w:eastAsia="MS Mincho"/>
          <w:sz w:val="20"/>
          <w:szCs w:val="20"/>
          <w:lang w:val="es-ES" w:bidi="en-US"/>
        </w:rPr>
        <w:t xml:space="preserve"> recomendó brindar, en forma gratuita e inmediata, el tratamiento médico y psicológico o psiquiátrico, según corresponda, a las víctimas que así lo soliciten</w:t>
      </w:r>
      <w:r w:rsidR="00D552B9" w:rsidRPr="00975C02">
        <w:rPr>
          <w:rFonts w:eastAsia="MS Mincho"/>
          <w:sz w:val="20"/>
          <w:szCs w:val="20"/>
          <w:lang w:val="es-ES" w:bidi="en-US"/>
        </w:rPr>
        <w:t>. Asimismo</w:t>
      </w:r>
      <w:r w:rsidRPr="00975C02">
        <w:rPr>
          <w:rFonts w:eastAsia="MS Mincho"/>
          <w:sz w:val="20"/>
          <w:szCs w:val="20"/>
          <w:lang w:val="es-ES" w:bidi="en-US"/>
        </w:rPr>
        <w:t xml:space="preserve">, teniendo en cuenta que </w:t>
      </w:r>
      <w:r w:rsidR="00F53A54" w:rsidRPr="00975C02">
        <w:rPr>
          <w:rFonts w:eastAsia="MS Mincho"/>
          <w:sz w:val="20"/>
          <w:szCs w:val="20"/>
          <w:lang w:val="es-ES" w:bidi="en-US"/>
        </w:rPr>
        <w:t xml:space="preserve">algunas </w:t>
      </w:r>
      <w:r w:rsidRPr="00975C02">
        <w:rPr>
          <w:rFonts w:eastAsia="MS Mincho"/>
          <w:sz w:val="20"/>
          <w:szCs w:val="20"/>
          <w:lang w:val="es-ES" w:bidi="en-US"/>
        </w:rPr>
        <w:t>víctimas se encuentran fuera del país, precisó que esta recomendación puede ser cumplida mediante el otorgamiento de un monto económico que razonablemente permita costear la atención en salud requerida por ellas.</w:t>
      </w:r>
    </w:p>
    <w:p w14:paraId="1DA6176A" w14:textId="77777777" w:rsidR="009D661E" w:rsidRPr="00975C02" w:rsidRDefault="009D661E" w:rsidP="009D661E">
      <w:pPr>
        <w:tabs>
          <w:tab w:val="left" w:pos="0"/>
          <w:tab w:val="num" w:pos="12305"/>
        </w:tabs>
        <w:spacing w:line="240" w:lineRule="auto"/>
        <w:ind w:right="-90"/>
        <w:rPr>
          <w:rFonts w:eastAsia="MS Mincho"/>
          <w:b/>
          <w:sz w:val="20"/>
          <w:szCs w:val="20"/>
          <w:lang w:val="es-ES" w:bidi="en-US"/>
        </w:rPr>
      </w:pPr>
    </w:p>
    <w:p w14:paraId="07DD0B36" w14:textId="087E7CCD"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Las </w:t>
      </w:r>
      <w:r w:rsidRPr="00975C02">
        <w:rPr>
          <w:rFonts w:eastAsia="MS Mincho"/>
          <w:b/>
          <w:i/>
          <w:sz w:val="20"/>
          <w:szCs w:val="20"/>
          <w:lang w:val="es-ES" w:bidi="en-US"/>
        </w:rPr>
        <w:t>representantes</w:t>
      </w:r>
      <w:r w:rsidRPr="00975C02">
        <w:rPr>
          <w:rFonts w:eastAsia="MS Mincho"/>
          <w:sz w:val="20"/>
          <w:szCs w:val="20"/>
          <w:lang w:val="es-ES" w:bidi="en-US"/>
        </w:rPr>
        <w:t xml:space="preserve"> solicitaron a la Corte que orden</w:t>
      </w:r>
      <w:r w:rsidR="000F6B73" w:rsidRPr="00975C02">
        <w:rPr>
          <w:rFonts w:eastAsia="MS Mincho"/>
          <w:sz w:val="20"/>
          <w:szCs w:val="20"/>
          <w:lang w:val="es-ES" w:bidi="en-US"/>
        </w:rPr>
        <w:t xml:space="preserve">ara </w:t>
      </w:r>
      <w:r w:rsidRPr="00975C02">
        <w:rPr>
          <w:rFonts w:eastAsia="MS Mincho"/>
          <w:sz w:val="20"/>
          <w:szCs w:val="20"/>
          <w:lang w:val="es-ES" w:bidi="en-US"/>
        </w:rPr>
        <w:t>al Estado otorgar a H.J.R.P. y V.A.R.P., qu</w:t>
      </w:r>
      <w:r w:rsidR="000F6B73" w:rsidRPr="00975C02">
        <w:rPr>
          <w:rFonts w:eastAsia="MS Mincho"/>
          <w:sz w:val="20"/>
          <w:szCs w:val="20"/>
          <w:lang w:val="es-ES" w:bidi="en-US"/>
        </w:rPr>
        <w:t>ienes</w:t>
      </w:r>
      <w:r w:rsidRPr="00975C02">
        <w:rPr>
          <w:rFonts w:eastAsia="MS Mincho"/>
          <w:sz w:val="20"/>
          <w:szCs w:val="20"/>
          <w:lang w:val="es-ES" w:bidi="en-US"/>
        </w:rPr>
        <w:t xml:space="preserve"> viven en Nicaragua, tratamiento médico y psicológico en centros especializados, sin costo adicional y de manera gratuita. En relación con V.R.P., V.P.C. y N.R.P., </w:t>
      </w:r>
      <w:r w:rsidR="00AE6175" w:rsidRPr="00975C02">
        <w:rPr>
          <w:rFonts w:eastAsia="MS Mincho"/>
          <w:sz w:val="20"/>
          <w:szCs w:val="20"/>
          <w:lang w:val="es-ES" w:bidi="en-US"/>
        </w:rPr>
        <w:t>en razón</w:t>
      </w:r>
      <w:r w:rsidRPr="00975C02">
        <w:rPr>
          <w:rFonts w:eastAsia="MS Mincho"/>
          <w:sz w:val="20"/>
          <w:szCs w:val="20"/>
          <w:lang w:val="es-ES" w:bidi="en-US"/>
        </w:rPr>
        <w:t xml:space="preserve"> de que ellas no </w:t>
      </w:r>
      <w:r w:rsidR="000F6B73" w:rsidRPr="00975C02">
        <w:rPr>
          <w:rFonts w:eastAsia="MS Mincho"/>
          <w:sz w:val="20"/>
          <w:szCs w:val="20"/>
          <w:lang w:val="es-ES" w:bidi="en-US"/>
        </w:rPr>
        <w:t>residen</w:t>
      </w:r>
      <w:r w:rsidRPr="00975C02">
        <w:rPr>
          <w:rFonts w:eastAsia="MS Mincho"/>
          <w:sz w:val="20"/>
          <w:szCs w:val="20"/>
          <w:lang w:val="es-ES" w:bidi="en-US"/>
        </w:rPr>
        <w:t xml:space="preserve"> en Nicaragua, solicitaron que se disponga el pago en efectivo de un monto prudencial ascendente a US$</w:t>
      </w:r>
      <w:r w:rsidR="00AE6175" w:rsidRPr="00975C02">
        <w:rPr>
          <w:rFonts w:eastAsia="MS Mincho"/>
          <w:sz w:val="20"/>
          <w:szCs w:val="20"/>
          <w:lang w:val="es-ES" w:bidi="en-US"/>
        </w:rPr>
        <w:t xml:space="preserve"> </w:t>
      </w:r>
      <w:r w:rsidRPr="00975C02">
        <w:rPr>
          <w:rFonts w:eastAsia="MS Mincho"/>
          <w:sz w:val="20"/>
          <w:szCs w:val="20"/>
          <w:lang w:val="es-ES" w:bidi="en-US"/>
        </w:rPr>
        <w:t>200</w:t>
      </w:r>
      <w:r w:rsidR="00AE6175" w:rsidRPr="00975C02">
        <w:rPr>
          <w:rFonts w:eastAsia="MS Mincho"/>
          <w:sz w:val="20"/>
          <w:szCs w:val="20"/>
          <w:lang w:val="es-ES" w:bidi="en-US"/>
        </w:rPr>
        <w:t>.</w:t>
      </w:r>
      <w:r w:rsidRPr="00975C02">
        <w:rPr>
          <w:rFonts w:eastAsia="MS Mincho"/>
          <w:sz w:val="20"/>
          <w:szCs w:val="20"/>
          <w:lang w:val="es-ES" w:bidi="en-US"/>
        </w:rPr>
        <w:t>000</w:t>
      </w:r>
      <w:r w:rsidR="00AE6175" w:rsidRPr="00975C02">
        <w:rPr>
          <w:rFonts w:eastAsia="MS Mincho"/>
          <w:sz w:val="20"/>
          <w:szCs w:val="20"/>
          <w:lang w:val="es-ES" w:bidi="en-US"/>
        </w:rPr>
        <w:t>,</w:t>
      </w:r>
      <w:r w:rsidRPr="00975C02">
        <w:rPr>
          <w:rFonts w:eastAsia="MS Mincho"/>
          <w:sz w:val="20"/>
          <w:szCs w:val="20"/>
          <w:lang w:val="es-ES" w:bidi="en-US"/>
        </w:rPr>
        <w:t>00 a favor de V.R.P., US$</w:t>
      </w:r>
      <w:r w:rsidR="00AE6175" w:rsidRPr="00975C02">
        <w:rPr>
          <w:rFonts w:eastAsia="MS Mincho"/>
          <w:sz w:val="20"/>
          <w:szCs w:val="20"/>
          <w:lang w:val="es-ES" w:bidi="en-US"/>
        </w:rPr>
        <w:t xml:space="preserve"> </w:t>
      </w:r>
      <w:r w:rsidRPr="00975C02">
        <w:rPr>
          <w:rFonts w:eastAsia="MS Mincho"/>
          <w:sz w:val="20"/>
          <w:szCs w:val="20"/>
          <w:lang w:val="es-ES" w:bidi="en-US"/>
        </w:rPr>
        <w:t>75</w:t>
      </w:r>
      <w:r w:rsidR="00AE6175" w:rsidRPr="00975C02">
        <w:rPr>
          <w:rFonts w:eastAsia="MS Mincho"/>
          <w:sz w:val="20"/>
          <w:szCs w:val="20"/>
          <w:lang w:val="es-ES" w:bidi="en-US"/>
        </w:rPr>
        <w:t>.</w:t>
      </w:r>
      <w:r w:rsidRPr="00975C02">
        <w:rPr>
          <w:rFonts w:eastAsia="MS Mincho"/>
          <w:sz w:val="20"/>
          <w:szCs w:val="20"/>
          <w:lang w:val="es-ES" w:bidi="en-US"/>
        </w:rPr>
        <w:t>000</w:t>
      </w:r>
      <w:r w:rsidR="00AE6175" w:rsidRPr="00975C02">
        <w:rPr>
          <w:rFonts w:eastAsia="MS Mincho"/>
          <w:sz w:val="20"/>
          <w:szCs w:val="20"/>
          <w:lang w:val="es-ES" w:bidi="en-US"/>
        </w:rPr>
        <w:t>,</w:t>
      </w:r>
      <w:r w:rsidRPr="00975C02">
        <w:rPr>
          <w:rFonts w:eastAsia="MS Mincho"/>
          <w:sz w:val="20"/>
          <w:szCs w:val="20"/>
          <w:lang w:val="es-ES" w:bidi="en-US"/>
        </w:rPr>
        <w:t>00 a V.P.C. y US$</w:t>
      </w:r>
      <w:r w:rsidR="00AE6175" w:rsidRPr="00975C02">
        <w:rPr>
          <w:rFonts w:eastAsia="MS Mincho"/>
          <w:sz w:val="20"/>
          <w:szCs w:val="20"/>
          <w:lang w:val="es-ES" w:bidi="en-US"/>
        </w:rPr>
        <w:t xml:space="preserve"> </w:t>
      </w:r>
      <w:r w:rsidRPr="00975C02">
        <w:rPr>
          <w:rFonts w:eastAsia="MS Mincho"/>
          <w:sz w:val="20"/>
          <w:szCs w:val="20"/>
          <w:lang w:val="es-ES" w:bidi="en-US"/>
        </w:rPr>
        <w:t>30</w:t>
      </w:r>
      <w:r w:rsidR="00AE6175" w:rsidRPr="00975C02">
        <w:rPr>
          <w:rFonts w:eastAsia="MS Mincho"/>
          <w:sz w:val="20"/>
          <w:szCs w:val="20"/>
          <w:lang w:val="es-ES" w:bidi="en-US"/>
        </w:rPr>
        <w:t>.</w:t>
      </w:r>
      <w:r w:rsidRPr="00975C02">
        <w:rPr>
          <w:rFonts w:eastAsia="MS Mincho"/>
          <w:sz w:val="20"/>
          <w:szCs w:val="20"/>
          <w:lang w:val="es-ES" w:bidi="en-US"/>
        </w:rPr>
        <w:t>000</w:t>
      </w:r>
      <w:r w:rsidR="00AE6175" w:rsidRPr="00975C02">
        <w:rPr>
          <w:rFonts w:eastAsia="MS Mincho"/>
          <w:sz w:val="20"/>
          <w:szCs w:val="20"/>
          <w:lang w:val="es-ES" w:bidi="en-US"/>
        </w:rPr>
        <w:t>,</w:t>
      </w:r>
      <w:r w:rsidRPr="00975C02">
        <w:rPr>
          <w:rFonts w:eastAsia="MS Mincho"/>
          <w:sz w:val="20"/>
          <w:szCs w:val="20"/>
          <w:lang w:val="es-ES" w:bidi="en-US"/>
        </w:rPr>
        <w:t>00 a N.R.P., para que puedan cubrir su tratamiento psicológico y psiquiátrico, así como el costo de los medicamentos que se prescriban para su recuperación.</w:t>
      </w:r>
    </w:p>
    <w:p w14:paraId="4603D7F4" w14:textId="77777777" w:rsidR="009D661E" w:rsidRPr="00975C02" w:rsidRDefault="009D661E" w:rsidP="009D661E">
      <w:pPr>
        <w:tabs>
          <w:tab w:val="left" w:pos="709"/>
          <w:tab w:val="left" w:pos="1134"/>
        </w:tabs>
        <w:spacing w:line="240" w:lineRule="auto"/>
        <w:rPr>
          <w:b/>
          <w:sz w:val="20"/>
          <w:szCs w:val="20"/>
          <w:lang w:val="es-ES"/>
        </w:rPr>
      </w:pPr>
    </w:p>
    <w:p w14:paraId="1C809478" w14:textId="7A7E306C"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no reconoció como presuntas víctimas a </w:t>
      </w:r>
      <w:r w:rsidR="000F6B73" w:rsidRPr="00975C02">
        <w:rPr>
          <w:rFonts w:eastAsia="MS Mincho"/>
          <w:sz w:val="20"/>
          <w:szCs w:val="20"/>
          <w:lang w:val="es-ES" w:bidi="en-US"/>
        </w:rPr>
        <w:t xml:space="preserve">H.J.R.P. y </w:t>
      </w:r>
      <w:r w:rsidRPr="00975C02">
        <w:rPr>
          <w:rFonts w:eastAsia="MS Mincho"/>
          <w:sz w:val="20"/>
          <w:szCs w:val="20"/>
          <w:lang w:val="es-ES" w:bidi="en-US"/>
        </w:rPr>
        <w:t>V.A.R.P.</w:t>
      </w:r>
      <w:r w:rsidR="000F6B73" w:rsidRPr="00975C02">
        <w:rPr>
          <w:rFonts w:eastAsia="MS Mincho"/>
          <w:sz w:val="20"/>
          <w:szCs w:val="20"/>
          <w:lang w:val="es-ES" w:bidi="en-US"/>
        </w:rPr>
        <w:t>,</w:t>
      </w:r>
      <w:r w:rsidRPr="00975C02">
        <w:rPr>
          <w:rFonts w:eastAsia="MS Mincho"/>
          <w:sz w:val="20"/>
          <w:szCs w:val="20"/>
          <w:lang w:val="es-ES" w:bidi="en-US"/>
        </w:rPr>
        <w:t xml:space="preserve"> arguyendo que no se acreditó tal condición ni en el informe de admisibilidad ni en el informe de fondo de la Comisión; agregó, no obstante ello, que el sistema nacional de salud en Nicaragua cuenta con hospitales especializados, clínicas y centros de salud totalmente gratuitos y de acceso a toda la población nacional y extranjera. Precisó que la situación de N.R.P. es idéntica a la de sus hermanos porque no se encuentra acreditada como presunta víctima.</w:t>
      </w:r>
    </w:p>
    <w:p w14:paraId="0BCC777E" w14:textId="77777777" w:rsidR="009D661E" w:rsidRPr="00975C02" w:rsidRDefault="009D661E" w:rsidP="009D661E">
      <w:pPr>
        <w:tabs>
          <w:tab w:val="left" w:pos="567"/>
        </w:tabs>
        <w:spacing w:line="240" w:lineRule="auto"/>
        <w:textAlignment w:val="auto"/>
        <w:rPr>
          <w:rFonts w:eastAsia="MS Mincho"/>
          <w:b/>
          <w:sz w:val="20"/>
          <w:szCs w:val="20"/>
          <w:lang w:val="es-ES" w:bidi="en-US"/>
        </w:rPr>
      </w:pPr>
    </w:p>
    <w:p w14:paraId="3E10E395" w14:textId="334A6923"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 xml:space="preserve">Por otro lado, respecto a V.R.P. y V.P.C., </w:t>
      </w:r>
      <w:r w:rsidR="00AE6175" w:rsidRPr="00975C02">
        <w:rPr>
          <w:rFonts w:eastAsia="MS Mincho"/>
          <w:sz w:val="20"/>
          <w:szCs w:val="20"/>
          <w:lang w:val="es-ES" w:bidi="en-US"/>
        </w:rPr>
        <w:t xml:space="preserve">el Estado </w:t>
      </w:r>
      <w:r w:rsidRPr="00975C02">
        <w:rPr>
          <w:rFonts w:eastAsia="MS Mincho"/>
          <w:sz w:val="20"/>
          <w:szCs w:val="20"/>
          <w:lang w:val="es-ES" w:bidi="en-US"/>
        </w:rPr>
        <w:t xml:space="preserve">adujo que debe realizarse una “valoración psicológica” que tome en cuenta la “valoración de salud física cuya causa podría provenir de los hechos puestos en conocimiento de la Corte”, lo que permitiría determinar el tipo de tratamiento que corresponde y, consecuentemente, el monto que procedería otorgarles como medida de rehabilitación acorde a parámetros nacionales, y no </w:t>
      </w:r>
      <w:r w:rsidR="00AE6175" w:rsidRPr="00975C02">
        <w:rPr>
          <w:rFonts w:eastAsia="MS Mincho"/>
          <w:sz w:val="20"/>
          <w:szCs w:val="20"/>
          <w:lang w:val="es-ES" w:bidi="en-US"/>
        </w:rPr>
        <w:t xml:space="preserve">con </w:t>
      </w:r>
      <w:r w:rsidRPr="00975C02">
        <w:rPr>
          <w:rFonts w:eastAsia="MS Mincho"/>
          <w:sz w:val="20"/>
          <w:szCs w:val="20"/>
          <w:lang w:val="es-ES" w:bidi="en-US"/>
        </w:rPr>
        <w:t>relación al parámetro del valor de la salud en los Estados Unidos</w:t>
      </w:r>
      <w:r w:rsidR="00F53A54" w:rsidRPr="00975C02">
        <w:rPr>
          <w:rFonts w:eastAsia="MS Mincho"/>
          <w:sz w:val="20"/>
          <w:szCs w:val="20"/>
          <w:lang w:val="es-ES" w:bidi="en-US"/>
        </w:rPr>
        <w:t>.</w:t>
      </w:r>
      <w:r w:rsidRPr="00975C02">
        <w:rPr>
          <w:rFonts w:eastAsia="MS Mincho"/>
          <w:sz w:val="20"/>
          <w:szCs w:val="20"/>
          <w:lang w:val="es-ES" w:bidi="en-US"/>
        </w:rPr>
        <w:t xml:space="preserve"> En tal sentido, ofreció la atención gratuita e inmediata en Nicaragua para V.P.C. y V.P.R.</w:t>
      </w:r>
      <w:r w:rsidR="003875EC" w:rsidRPr="00975C02">
        <w:rPr>
          <w:rFonts w:eastAsia="MS Mincho"/>
          <w:sz w:val="20"/>
          <w:szCs w:val="20"/>
          <w:lang w:val="es-ES" w:bidi="en-US"/>
        </w:rPr>
        <w:t>,</w:t>
      </w:r>
      <w:r w:rsidRPr="00975C02">
        <w:rPr>
          <w:rFonts w:eastAsia="MS Mincho"/>
          <w:sz w:val="20"/>
          <w:szCs w:val="20"/>
          <w:lang w:val="es-ES" w:bidi="en-US"/>
        </w:rPr>
        <w:t xml:space="preserve"> dado que sobre ellas no existe ninguna orden de restricción para acceder a su territorio.</w:t>
      </w:r>
    </w:p>
    <w:p w14:paraId="28F7978F" w14:textId="77777777" w:rsidR="009D661E" w:rsidRPr="00975C02" w:rsidRDefault="009D661E" w:rsidP="009D661E">
      <w:pPr>
        <w:tabs>
          <w:tab w:val="left" w:pos="567"/>
        </w:tabs>
        <w:spacing w:line="240" w:lineRule="auto"/>
        <w:textAlignment w:val="auto"/>
        <w:rPr>
          <w:rFonts w:eastAsia="MS Mincho"/>
          <w:b/>
          <w:sz w:val="20"/>
          <w:szCs w:val="20"/>
          <w:lang w:val="es-ES" w:bidi="en-US"/>
        </w:rPr>
      </w:pPr>
    </w:p>
    <w:p w14:paraId="3D7E06EA" w14:textId="2CD73B04"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sz w:val="20"/>
          <w:szCs w:val="20"/>
          <w:lang w:val="es-ES"/>
        </w:rPr>
        <w:t xml:space="preserve">Habiendo constatado las </w:t>
      </w:r>
      <w:r w:rsidR="003875EC" w:rsidRPr="00975C02">
        <w:rPr>
          <w:sz w:val="20"/>
          <w:szCs w:val="20"/>
          <w:lang w:val="es-ES"/>
        </w:rPr>
        <w:t xml:space="preserve">graves </w:t>
      </w:r>
      <w:r w:rsidRPr="00975C02">
        <w:rPr>
          <w:sz w:val="20"/>
          <w:szCs w:val="20"/>
          <w:lang w:val="es-ES"/>
        </w:rPr>
        <w:t>afectaciones a la integridad personal sufridas por V.R.P. y sus familiares a raíz de los hechos del presente caso, la Corte estima, como lo ha hecho en otros casos</w:t>
      </w:r>
      <w:r w:rsidRPr="00975C02">
        <w:rPr>
          <w:sz w:val="20"/>
          <w:szCs w:val="20"/>
          <w:vertAlign w:val="superscript"/>
          <w:lang w:val="es-ES"/>
        </w:rPr>
        <w:footnoteReference w:id="425"/>
      </w:r>
      <w:r w:rsidRPr="00975C02">
        <w:rPr>
          <w:sz w:val="20"/>
          <w:szCs w:val="20"/>
          <w:lang w:val="es-ES"/>
        </w:rPr>
        <w:t xml:space="preserve">, que es preciso disponer una medida de reparación que brinde una atención adecuada a los padecimientos </w:t>
      </w:r>
      <w:r w:rsidR="000F6B73" w:rsidRPr="00975C02">
        <w:rPr>
          <w:sz w:val="20"/>
          <w:szCs w:val="20"/>
          <w:lang w:val="es-ES"/>
        </w:rPr>
        <w:t xml:space="preserve">físicos, </w:t>
      </w:r>
      <w:r w:rsidRPr="00975C02">
        <w:rPr>
          <w:sz w:val="20"/>
          <w:szCs w:val="20"/>
          <w:lang w:val="es-ES"/>
        </w:rPr>
        <w:t>psicológicos y</w:t>
      </w:r>
      <w:r w:rsidR="000F6B73" w:rsidRPr="00975C02">
        <w:rPr>
          <w:sz w:val="20"/>
          <w:szCs w:val="20"/>
          <w:lang w:val="es-ES"/>
        </w:rPr>
        <w:t>/o psiquiátricos</w:t>
      </w:r>
      <w:r w:rsidRPr="00975C02">
        <w:rPr>
          <w:sz w:val="20"/>
          <w:szCs w:val="20"/>
          <w:lang w:val="es-ES"/>
        </w:rPr>
        <w:t xml:space="preserve"> sufridos por las víctimas derivados de las violaciones establecidas en la presente Sentencia.</w:t>
      </w:r>
    </w:p>
    <w:p w14:paraId="26DC212A" w14:textId="77777777" w:rsidR="009D661E" w:rsidRPr="00975C02" w:rsidRDefault="009D661E" w:rsidP="009D661E">
      <w:pPr>
        <w:pStyle w:val="ListParagraph"/>
        <w:spacing w:line="240" w:lineRule="auto"/>
        <w:rPr>
          <w:sz w:val="20"/>
          <w:szCs w:val="20"/>
          <w:lang w:val="es-ES"/>
        </w:rPr>
      </w:pPr>
    </w:p>
    <w:p w14:paraId="65F12026" w14:textId="470A489D"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sz w:val="20"/>
          <w:szCs w:val="20"/>
          <w:lang w:val="es-ES"/>
        </w:rPr>
        <w:t xml:space="preserve">Con el fin de contribuir a la reparación de los daños </w:t>
      </w:r>
      <w:r w:rsidR="000F6B73" w:rsidRPr="00975C02">
        <w:rPr>
          <w:sz w:val="20"/>
          <w:szCs w:val="20"/>
          <w:lang w:val="es-ES"/>
        </w:rPr>
        <w:t xml:space="preserve">físicos, </w:t>
      </w:r>
      <w:r w:rsidRPr="00975C02">
        <w:rPr>
          <w:sz w:val="20"/>
          <w:szCs w:val="20"/>
          <w:lang w:val="es-ES"/>
        </w:rPr>
        <w:t>psicológicos y/o psiquiátricos sufridos por V.R.P., y considerando que no reside en Nicaragua, el Tribunal dispone la obligación a cargo del Estado de otorgarle, por una única vez, la suma de US$</w:t>
      </w:r>
      <w:r w:rsidR="008F1161" w:rsidRPr="00975C02">
        <w:rPr>
          <w:sz w:val="20"/>
          <w:szCs w:val="20"/>
          <w:lang w:val="es-ES"/>
        </w:rPr>
        <w:t xml:space="preserve"> </w:t>
      </w:r>
      <w:r w:rsidR="00015005" w:rsidRPr="00975C02">
        <w:rPr>
          <w:sz w:val="20"/>
          <w:szCs w:val="20"/>
          <w:lang w:val="es-ES"/>
        </w:rPr>
        <w:t>7</w:t>
      </w:r>
      <w:r w:rsidRPr="00975C02">
        <w:rPr>
          <w:sz w:val="20"/>
          <w:szCs w:val="20"/>
          <w:lang w:val="es-ES"/>
        </w:rPr>
        <w:t>5</w:t>
      </w:r>
      <w:r w:rsidR="008F1161" w:rsidRPr="00975C02">
        <w:rPr>
          <w:sz w:val="20"/>
          <w:szCs w:val="20"/>
          <w:lang w:val="es-ES"/>
        </w:rPr>
        <w:t>.</w:t>
      </w:r>
      <w:r w:rsidRPr="00975C02">
        <w:rPr>
          <w:sz w:val="20"/>
          <w:szCs w:val="20"/>
          <w:lang w:val="es-ES"/>
        </w:rPr>
        <w:t>000</w:t>
      </w:r>
      <w:r w:rsidR="008F1161" w:rsidRPr="00975C02">
        <w:rPr>
          <w:sz w:val="20"/>
          <w:szCs w:val="20"/>
          <w:lang w:val="es-ES"/>
        </w:rPr>
        <w:t>,00</w:t>
      </w:r>
      <w:r w:rsidRPr="00975C02">
        <w:rPr>
          <w:sz w:val="20"/>
          <w:szCs w:val="20"/>
          <w:lang w:val="es-ES"/>
        </w:rPr>
        <w:t xml:space="preserve"> </w:t>
      </w:r>
      <w:r w:rsidR="00015005" w:rsidRPr="00975C02">
        <w:rPr>
          <w:sz w:val="20"/>
          <w:szCs w:val="20"/>
          <w:lang w:val="es-ES"/>
        </w:rPr>
        <w:t>(</w:t>
      </w:r>
      <w:r w:rsidR="008F1161" w:rsidRPr="00975C02">
        <w:rPr>
          <w:sz w:val="20"/>
          <w:szCs w:val="20"/>
          <w:lang w:val="es-ES"/>
        </w:rPr>
        <w:t>setenta</w:t>
      </w:r>
      <w:r w:rsidR="00015005" w:rsidRPr="00975C02">
        <w:rPr>
          <w:sz w:val="20"/>
          <w:szCs w:val="20"/>
          <w:lang w:val="es-ES"/>
        </w:rPr>
        <w:t xml:space="preserve"> y cinco </w:t>
      </w:r>
      <w:r w:rsidRPr="00975C02">
        <w:rPr>
          <w:sz w:val="20"/>
          <w:szCs w:val="20"/>
          <w:lang w:val="es-ES"/>
        </w:rPr>
        <w:t xml:space="preserve">mil dólares de los Estados Unidos de América), por concepto de gastos por tratamiento </w:t>
      </w:r>
      <w:r w:rsidR="00A767BC" w:rsidRPr="00975C02">
        <w:rPr>
          <w:sz w:val="20"/>
          <w:szCs w:val="20"/>
          <w:lang w:val="es-ES"/>
        </w:rPr>
        <w:t>médico</w:t>
      </w:r>
      <w:r w:rsidR="000F6B73" w:rsidRPr="00975C02">
        <w:rPr>
          <w:sz w:val="20"/>
          <w:szCs w:val="20"/>
          <w:lang w:val="es-ES"/>
        </w:rPr>
        <w:t xml:space="preserve">, </w:t>
      </w:r>
      <w:r w:rsidRPr="00975C02">
        <w:rPr>
          <w:sz w:val="20"/>
          <w:szCs w:val="20"/>
          <w:lang w:val="es-ES"/>
        </w:rPr>
        <w:t xml:space="preserve">psicológico </w:t>
      </w:r>
      <w:r w:rsidR="000F6B73" w:rsidRPr="00975C02">
        <w:rPr>
          <w:sz w:val="20"/>
          <w:szCs w:val="20"/>
          <w:lang w:val="es-ES"/>
        </w:rPr>
        <w:t>y/</w:t>
      </w:r>
      <w:r w:rsidRPr="00975C02">
        <w:rPr>
          <w:sz w:val="20"/>
          <w:szCs w:val="20"/>
          <w:lang w:val="es-ES"/>
        </w:rPr>
        <w:t>o psiquiátrico, así como por medicamentos y otros gastos conexos, para que pueda recibir dicha atención en el lugar donde resida.</w:t>
      </w:r>
      <w:r w:rsidRPr="00975C02">
        <w:rPr>
          <w:rFonts w:eastAsia="MS Mincho"/>
          <w:b/>
          <w:sz w:val="20"/>
          <w:szCs w:val="20"/>
          <w:lang w:val="es-ES" w:bidi="en-US"/>
        </w:rPr>
        <w:t xml:space="preserve"> </w:t>
      </w:r>
      <w:r w:rsidRPr="00975C02">
        <w:rPr>
          <w:sz w:val="20"/>
          <w:szCs w:val="20"/>
          <w:lang w:val="es-ES"/>
        </w:rPr>
        <w:t>En relación con los daños sufridos por V.P.C. y N.R.P., y tomando en cuenta que también residen fuera de Nicaragua, la Corte ordena la obligación a cargo del Estado de otorgarles, por una única vez, las sumas de US$</w:t>
      </w:r>
      <w:r w:rsidR="008F1161" w:rsidRPr="00975C02">
        <w:rPr>
          <w:sz w:val="20"/>
          <w:szCs w:val="20"/>
          <w:lang w:val="es-ES"/>
        </w:rPr>
        <w:t xml:space="preserve"> </w:t>
      </w:r>
      <w:r w:rsidR="00015005" w:rsidRPr="00975C02">
        <w:rPr>
          <w:sz w:val="20"/>
          <w:szCs w:val="20"/>
          <w:lang w:val="es-ES"/>
        </w:rPr>
        <w:t>50</w:t>
      </w:r>
      <w:r w:rsidR="008F1161" w:rsidRPr="00975C02">
        <w:rPr>
          <w:sz w:val="20"/>
          <w:szCs w:val="20"/>
          <w:lang w:val="es-ES"/>
        </w:rPr>
        <w:t>.</w:t>
      </w:r>
      <w:r w:rsidRPr="00975C02">
        <w:rPr>
          <w:sz w:val="20"/>
          <w:szCs w:val="20"/>
          <w:lang w:val="es-ES"/>
        </w:rPr>
        <w:t>000</w:t>
      </w:r>
      <w:r w:rsidR="008F1161" w:rsidRPr="00975C02">
        <w:rPr>
          <w:sz w:val="20"/>
          <w:szCs w:val="20"/>
          <w:lang w:val="es-ES"/>
        </w:rPr>
        <w:t>,00</w:t>
      </w:r>
      <w:r w:rsidRPr="00975C02">
        <w:rPr>
          <w:sz w:val="20"/>
          <w:szCs w:val="20"/>
          <w:lang w:val="es-ES"/>
        </w:rPr>
        <w:t xml:space="preserve"> (</w:t>
      </w:r>
      <w:r w:rsidR="00015005" w:rsidRPr="00975C02">
        <w:rPr>
          <w:sz w:val="20"/>
          <w:szCs w:val="20"/>
          <w:lang w:val="es-ES"/>
        </w:rPr>
        <w:t>cincuenta</w:t>
      </w:r>
      <w:r w:rsidRPr="00975C02">
        <w:rPr>
          <w:sz w:val="20"/>
          <w:szCs w:val="20"/>
          <w:lang w:val="es-ES"/>
        </w:rPr>
        <w:t xml:space="preserve"> mil dólares de los Estados Unidos de América), y US$</w:t>
      </w:r>
      <w:r w:rsidR="008F1161" w:rsidRPr="00975C02">
        <w:rPr>
          <w:sz w:val="20"/>
          <w:szCs w:val="20"/>
          <w:lang w:val="es-ES"/>
        </w:rPr>
        <w:t xml:space="preserve"> </w:t>
      </w:r>
      <w:r w:rsidR="00015005" w:rsidRPr="00975C02">
        <w:rPr>
          <w:sz w:val="20"/>
          <w:szCs w:val="20"/>
          <w:lang w:val="es-ES"/>
        </w:rPr>
        <w:t>20</w:t>
      </w:r>
      <w:r w:rsidR="008F1161" w:rsidRPr="00975C02">
        <w:rPr>
          <w:sz w:val="20"/>
          <w:szCs w:val="20"/>
          <w:lang w:val="es-ES"/>
        </w:rPr>
        <w:t>.</w:t>
      </w:r>
      <w:r w:rsidRPr="00975C02">
        <w:rPr>
          <w:sz w:val="20"/>
          <w:szCs w:val="20"/>
          <w:lang w:val="es-ES"/>
        </w:rPr>
        <w:t>000</w:t>
      </w:r>
      <w:r w:rsidR="008F1161" w:rsidRPr="00975C02">
        <w:rPr>
          <w:sz w:val="20"/>
          <w:szCs w:val="20"/>
          <w:lang w:val="es-ES"/>
        </w:rPr>
        <w:t>,00</w:t>
      </w:r>
      <w:r w:rsidRPr="00975C02">
        <w:rPr>
          <w:sz w:val="20"/>
          <w:szCs w:val="20"/>
          <w:lang w:val="es-ES"/>
        </w:rPr>
        <w:t xml:space="preserve"> (</w:t>
      </w:r>
      <w:r w:rsidR="00015005" w:rsidRPr="00975C02">
        <w:rPr>
          <w:sz w:val="20"/>
          <w:szCs w:val="20"/>
          <w:lang w:val="es-ES"/>
        </w:rPr>
        <w:t>veinte</w:t>
      </w:r>
      <w:r w:rsidRPr="00975C02">
        <w:rPr>
          <w:sz w:val="20"/>
          <w:szCs w:val="20"/>
          <w:lang w:val="es-ES"/>
        </w:rPr>
        <w:t xml:space="preserve"> mil dólares de los Estados Unidos de América), respectivamente, por concepto de gastos por tratamiento psicológico y/o psiquiátrico, así como por medicamentos y otros gastos conexos, para que puedan recibir dicha atención en el lugar donde residan.</w:t>
      </w:r>
      <w:r w:rsidR="000F6B73" w:rsidRPr="00975C02">
        <w:rPr>
          <w:rFonts w:eastAsia="MS Mincho"/>
          <w:b/>
          <w:sz w:val="20"/>
          <w:szCs w:val="20"/>
          <w:lang w:val="es-ES" w:bidi="en-US"/>
        </w:rPr>
        <w:t xml:space="preserve"> </w:t>
      </w:r>
      <w:r w:rsidR="000F6B73" w:rsidRPr="00975C02">
        <w:rPr>
          <w:rFonts w:eastAsia="MS Mincho"/>
          <w:sz w:val="20"/>
          <w:szCs w:val="20"/>
          <w:lang w:val="es-ES" w:bidi="en-US"/>
        </w:rPr>
        <w:t>E</w:t>
      </w:r>
      <w:r w:rsidRPr="00975C02">
        <w:rPr>
          <w:rFonts w:eastAsia="MS Mincho"/>
          <w:sz w:val="20"/>
          <w:szCs w:val="20"/>
          <w:lang w:val="es-ES" w:bidi="en-US"/>
        </w:rPr>
        <w:t xml:space="preserve">l Estado dispondrá del plazo de </w:t>
      </w:r>
      <w:r w:rsidR="00352F2A" w:rsidRPr="00975C02">
        <w:rPr>
          <w:rFonts w:eastAsia="MS Mincho"/>
          <w:sz w:val="20"/>
          <w:szCs w:val="20"/>
          <w:lang w:val="es-ES" w:bidi="en-US"/>
        </w:rPr>
        <w:t>un año</w:t>
      </w:r>
      <w:r w:rsidRPr="00975C02">
        <w:rPr>
          <w:rFonts w:eastAsia="MS Mincho"/>
          <w:sz w:val="20"/>
          <w:szCs w:val="20"/>
          <w:lang w:val="es-ES" w:bidi="en-US"/>
        </w:rPr>
        <w:t>,</w:t>
      </w:r>
      <w:r w:rsidR="00352F2A" w:rsidRPr="00975C02">
        <w:rPr>
          <w:rFonts w:eastAsia="MS Mincho"/>
          <w:sz w:val="20"/>
          <w:szCs w:val="20"/>
          <w:lang w:val="es-ES" w:bidi="en-US"/>
        </w:rPr>
        <w:t xml:space="preserve"> </w:t>
      </w:r>
      <w:r w:rsidRPr="00975C02">
        <w:rPr>
          <w:rFonts w:eastAsia="MS Mincho"/>
          <w:sz w:val="20"/>
          <w:szCs w:val="20"/>
          <w:lang w:val="es-ES" w:bidi="en-US"/>
        </w:rPr>
        <w:t xml:space="preserve">contado a partir de la </w:t>
      </w:r>
      <w:r w:rsidR="00352F2A" w:rsidRPr="00975C02">
        <w:rPr>
          <w:rFonts w:eastAsia="MS Mincho"/>
          <w:sz w:val="20"/>
          <w:szCs w:val="20"/>
          <w:lang w:val="es-ES" w:bidi="en-US"/>
        </w:rPr>
        <w:t>notificación de la presente Sentencia, para realizar los pagos a cada una de las víctimas indicadas.</w:t>
      </w:r>
    </w:p>
    <w:p w14:paraId="6E6B2E1D" w14:textId="77777777" w:rsidR="009D661E" w:rsidRPr="00975C02" w:rsidRDefault="009D661E" w:rsidP="009D661E">
      <w:pPr>
        <w:tabs>
          <w:tab w:val="left" w:pos="567"/>
        </w:tabs>
        <w:spacing w:line="240" w:lineRule="auto"/>
        <w:textAlignment w:val="auto"/>
        <w:rPr>
          <w:rFonts w:eastAsia="MS Mincho"/>
          <w:b/>
          <w:sz w:val="20"/>
          <w:szCs w:val="20"/>
          <w:lang w:val="es-ES" w:bidi="en-US"/>
        </w:rPr>
      </w:pPr>
    </w:p>
    <w:p w14:paraId="20D50659" w14:textId="16676DA3" w:rsidR="009D661E" w:rsidRPr="00975C02" w:rsidRDefault="00352F2A"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sz w:val="20"/>
          <w:szCs w:val="20"/>
          <w:lang w:val="es-ES"/>
        </w:rPr>
        <w:t>Con r</w:t>
      </w:r>
      <w:r w:rsidR="009D661E" w:rsidRPr="00975C02">
        <w:rPr>
          <w:sz w:val="20"/>
          <w:szCs w:val="20"/>
          <w:lang w:val="es-ES"/>
        </w:rPr>
        <w:t xml:space="preserve">especto a los daños sufridos por los hermanos H.J.R.P. y V.A.R.P., y </w:t>
      </w:r>
      <w:r w:rsidR="00733CE2" w:rsidRPr="00975C02">
        <w:rPr>
          <w:sz w:val="20"/>
          <w:szCs w:val="20"/>
          <w:lang w:val="es-ES"/>
        </w:rPr>
        <w:t xml:space="preserve">teniendo en cuenta </w:t>
      </w:r>
      <w:r w:rsidR="009D661E" w:rsidRPr="00975C02">
        <w:rPr>
          <w:sz w:val="20"/>
          <w:szCs w:val="20"/>
          <w:lang w:val="es-ES"/>
        </w:rPr>
        <w:t xml:space="preserve">que residen en Nicaragua, el Tribunal dispone la obligación a cargo del Estado de brindar gratuitamente, a través de sus instituciones de salud especializadas, y de forma inmediata, adecuada y efectiva, el tratamiento psicológico y/o psiquiátrico, incluyendo el suministro gratuito de los medicamentos que eventualmente se requieran, tomando en consideración los </w:t>
      </w:r>
      <w:r w:rsidR="009D661E" w:rsidRPr="00975C02">
        <w:rPr>
          <w:sz w:val="20"/>
          <w:szCs w:val="20"/>
          <w:lang w:val="es-ES"/>
        </w:rPr>
        <w:lastRenderedPageBreak/>
        <w:t>padecimientos de cada uno de ellos. Lo anterior implica que las víctimas deberán recibir un tratamiento diferenciado en relación con el trámite y procedimiento que debieran realizar para ser atendidos en los hospitales públicos</w:t>
      </w:r>
      <w:r w:rsidR="009D661E" w:rsidRPr="00975C02">
        <w:rPr>
          <w:sz w:val="20"/>
          <w:szCs w:val="20"/>
          <w:vertAlign w:val="superscript"/>
          <w:lang w:val="es-ES"/>
        </w:rPr>
        <w:footnoteReference w:id="426"/>
      </w:r>
      <w:r w:rsidR="009D661E" w:rsidRPr="00975C02">
        <w:rPr>
          <w:sz w:val="20"/>
          <w:szCs w:val="20"/>
          <w:lang w:val="es-ES"/>
        </w:rPr>
        <w:t>. Asimismo, los tratamientos respectivos deberán prestarse, en la medida de lo posible, en los centros más cercanos a sus lugares de residencia</w:t>
      </w:r>
      <w:r w:rsidR="009D661E" w:rsidRPr="00975C02">
        <w:rPr>
          <w:sz w:val="20"/>
          <w:szCs w:val="20"/>
          <w:vertAlign w:val="superscript"/>
          <w:lang w:val="es-ES"/>
        </w:rPr>
        <w:footnoteReference w:id="427"/>
      </w:r>
      <w:r w:rsidR="009D661E" w:rsidRPr="00975C02">
        <w:rPr>
          <w:sz w:val="20"/>
          <w:szCs w:val="20"/>
          <w:lang w:val="es-ES"/>
        </w:rPr>
        <w:t xml:space="preserve"> en Nicaragua por el tiempo que sea necesario. Al proveer el tratamiento psicológico y/o psiquiátrico se debe considerar, además, las circunstancias y necesidades particulares de cada víctima, según lo que se acuerde con cada una de ellas y después de una evaluación individual</w:t>
      </w:r>
      <w:r w:rsidR="009D661E" w:rsidRPr="00975C02">
        <w:rPr>
          <w:sz w:val="20"/>
          <w:szCs w:val="20"/>
          <w:vertAlign w:val="superscript"/>
          <w:lang w:val="es-ES"/>
        </w:rPr>
        <w:footnoteReference w:id="428"/>
      </w:r>
      <w:r w:rsidR="009D661E" w:rsidRPr="00975C02">
        <w:rPr>
          <w:sz w:val="20"/>
          <w:szCs w:val="20"/>
          <w:lang w:val="es-ES"/>
        </w:rPr>
        <w:t>. L</w:t>
      </w:r>
      <w:r w:rsidR="003677C7" w:rsidRPr="00975C02">
        <w:rPr>
          <w:sz w:val="20"/>
          <w:szCs w:val="20"/>
          <w:lang w:val="es-ES"/>
        </w:rPr>
        <w:t>os beneficiarios de esta medida</w:t>
      </w:r>
      <w:r w:rsidR="009D661E" w:rsidRPr="00975C02">
        <w:rPr>
          <w:sz w:val="20"/>
          <w:szCs w:val="20"/>
          <w:lang w:val="es-ES"/>
        </w:rPr>
        <w:t xml:space="preserve"> disponen de un plazo de seis meses, contado a partir de la notificación de la presente Sentencia, para </w:t>
      </w:r>
      <w:r w:rsidR="009D2AAA" w:rsidRPr="00975C02">
        <w:rPr>
          <w:sz w:val="20"/>
          <w:szCs w:val="20"/>
          <w:lang w:val="es-ES"/>
        </w:rPr>
        <w:t>confirmar</w:t>
      </w:r>
      <w:r w:rsidR="009D661E" w:rsidRPr="00975C02">
        <w:rPr>
          <w:sz w:val="20"/>
          <w:szCs w:val="20"/>
          <w:lang w:val="es-ES"/>
        </w:rPr>
        <w:t xml:space="preserve"> al Estado su </w:t>
      </w:r>
      <w:r w:rsidR="009D2AAA" w:rsidRPr="00975C02">
        <w:rPr>
          <w:sz w:val="20"/>
          <w:szCs w:val="20"/>
          <w:lang w:val="es-ES"/>
        </w:rPr>
        <w:t>anuencia</w:t>
      </w:r>
      <w:r w:rsidR="009D661E" w:rsidRPr="00975C02">
        <w:rPr>
          <w:sz w:val="20"/>
          <w:szCs w:val="20"/>
          <w:lang w:val="es-ES"/>
        </w:rPr>
        <w:t xml:space="preserve"> </w:t>
      </w:r>
      <w:r w:rsidR="009D2AAA" w:rsidRPr="00975C02">
        <w:rPr>
          <w:sz w:val="20"/>
          <w:szCs w:val="20"/>
          <w:lang w:val="es-ES"/>
        </w:rPr>
        <w:t>a</w:t>
      </w:r>
      <w:r w:rsidR="009D661E" w:rsidRPr="00975C02">
        <w:rPr>
          <w:sz w:val="20"/>
          <w:szCs w:val="20"/>
          <w:lang w:val="es-ES"/>
        </w:rPr>
        <w:t xml:space="preserve"> recibir atención psicológica </w:t>
      </w:r>
      <w:r w:rsidR="009D2AAA" w:rsidRPr="00975C02">
        <w:rPr>
          <w:sz w:val="20"/>
          <w:szCs w:val="20"/>
          <w:lang w:val="es-ES"/>
        </w:rPr>
        <w:t>y/</w:t>
      </w:r>
      <w:r w:rsidR="009D661E" w:rsidRPr="00975C02">
        <w:rPr>
          <w:sz w:val="20"/>
          <w:szCs w:val="20"/>
          <w:lang w:val="es-ES"/>
        </w:rPr>
        <w:t>o psiquiátrica</w:t>
      </w:r>
      <w:r w:rsidR="009D661E" w:rsidRPr="00975C02">
        <w:rPr>
          <w:sz w:val="20"/>
          <w:szCs w:val="20"/>
          <w:vertAlign w:val="superscript"/>
          <w:lang w:val="es-ES"/>
        </w:rPr>
        <w:footnoteReference w:id="429"/>
      </w:r>
      <w:r w:rsidR="009D661E" w:rsidRPr="00975C02">
        <w:rPr>
          <w:sz w:val="20"/>
          <w:szCs w:val="20"/>
          <w:lang w:val="es-ES"/>
        </w:rPr>
        <w:t xml:space="preserve">. A su vez, el Estado dispondrá del plazo de tres meses, contado a partir de la recepción de dicha solicitud, para brindar de manera efectiva la atención psicológica </w:t>
      </w:r>
      <w:r w:rsidR="004B76BB" w:rsidRPr="00975C02">
        <w:rPr>
          <w:sz w:val="20"/>
          <w:szCs w:val="20"/>
          <w:lang w:val="es-ES"/>
        </w:rPr>
        <w:t>y/</w:t>
      </w:r>
      <w:r w:rsidR="009D661E" w:rsidRPr="00975C02">
        <w:rPr>
          <w:sz w:val="20"/>
          <w:szCs w:val="20"/>
          <w:lang w:val="es-ES"/>
        </w:rPr>
        <w:t>o psiquiátrica solicitada.</w:t>
      </w:r>
    </w:p>
    <w:p w14:paraId="276148E5" w14:textId="77777777" w:rsidR="009D661E" w:rsidRPr="00975C02" w:rsidRDefault="009D661E" w:rsidP="009D661E">
      <w:pPr>
        <w:spacing w:line="240" w:lineRule="auto"/>
        <w:rPr>
          <w:rFonts w:eastAsia="MS Mincho"/>
          <w:sz w:val="20"/>
          <w:szCs w:val="20"/>
          <w:lang w:val="es-ES" w:bidi="en-US"/>
        </w:rPr>
      </w:pPr>
    </w:p>
    <w:p w14:paraId="5A363462" w14:textId="77777777" w:rsidR="009D661E" w:rsidRPr="00975C02" w:rsidRDefault="009D661E" w:rsidP="009D661E">
      <w:pPr>
        <w:pStyle w:val="Heading2"/>
        <w:tabs>
          <w:tab w:val="left" w:pos="1843"/>
        </w:tabs>
        <w:spacing w:before="0" w:line="240" w:lineRule="auto"/>
        <w:ind w:left="1134"/>
        <w:rPr>
          <w:rFonts w:ascii="Verdana" w:hAnsi="Verdana"/>
          <w:b w:val="0"/>
          <w:i/>
          <w:color w:val="auto"/>
          <w:sz w:val="20"/>
          <w:szCs w:val="20"/>
          <w:lang w:val="es-ES"/>
        </w:rPr>
      </w:pPr>
      <w:bookmarkStart w:id="178" w:name="_Toc495658698"/>
      <w:bookmarkStart w:id="179" w:name="_Toc514172666"/>
      <w:r w:rsidRPr="00975C02">
        <w:rPr>
          <w:rFonts w:ascii="Verdana" w:hAnsi="Verdana"/>
          <w:b w:val="0"/>
          <w:i/>
          <w:color w:val="auto"/>
          <w:sz w:val="20"/>
          <w:szCs w:val="20"/>
          <w:lang w:val="es-ES"/>
        </w:rPr>
        <w:t xml:space="preserve">C.2 </w:t>
      </w:r>
      <w:r w:rsidRPr="00975C02">
        <w:rPr>
          <w:rFonts w:ascii="Verdana" w:hAnsi="Verdana"/>
          <w:b w:val="0"/>
          <w:i/>
          <w:color w:val="auto"/>
          <w:sz w:val="20"/>
          <w:szCs w:val="20"/>
          <w:lang w:val="es-ES"/>
        </w:rPr>
        <w:tab/>
        <w:t>Satisfacción</w:t>
      </w:r>
      <w:bookmarkEnd w:id="178"/>
      <w:bookmarkEnd w:id="179"/>
    </w:p>
    <w:p w14:paraId="6C848078" w14:textId="77777777" w:rsidR="009D661E" w:rsidRPr="00975C02" w:rsidRDefault="009D661E" w:rsidP="009D661E">
      <w:pPr>
        <w:autoSpaceDE w:val="0"/>
        <w:autoSpaceDN w:val="0"/>
        <w:spacing w:line="240" w:lineRule="auto"/>
        <w:rPr>
          <w:rFonts w:cs="Verdana"/>
          <w:sz w:val="20"/>
          <w:szCs w:val="20"/>
          <w:lang w:val="es-ES"/>
        </w:rPr>
      </w:pPr>
    </w:p>
    <w:p w14:paraId="324178E0" w14:textId="77777777" w:rsidR="009D661E" w:rsidRPr="00975C02" w:rsidRDefault="009D661E" w:rsidP="009D661E">
      <w:pPr>
        <w:spacing w:line="240" w:lineRule="auto"/>
        <w:ind w:left="1985"/>
        <w:rPr>
          <w:sz w:val="20"/>
          <w:szCs w:val="20"/>
          <w:lang w:val="es-ES"/>
        </w:rPr>
      </w:pPr>
      <w:r w:rsidRPr="00975C02">
        <w:rPr>
          <w:i/>
          <w:iCs/>
          <w:sz w:val="20"/>
          <w:szCs w:val="20"/>
          <w:lang w:val="es-ES"/>
        </w:rPr>
        <w:t>a) Publicación de la Sentencia</w:t>
      </w:r>
    </w:p>
    <w:p w14:paraId="14C6F7D4" w14:textId="77777777" w:rsidR="006F233B" w:rsidRPr="00975C02" w:rsidRDefault="006F233B" w:rsidP="009D661E">
      <w:pPr>
        <w:spacing w:line="240" w:lineRule="auto"/>
        <w:ind w:left="1985"/>
        <w:rPr>
          <w:i/>
          <w:iCs/>
          <w:sz w:val="20"/>
          <w:szCs w:val="20"/>
          <w:lang w:val="es-ES"/>
        </w:rPr>
      </w:pPr>
    </w:p>
    <w:p w14:paraId="301E3A50" w14:textId="352B1A7D"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Las </w:t>
      </w:r>
      <w:r w:rsidRPr="00975C02">
        <w:rPr>
          <w:rFonts w:eastAsia="MS Mincho"/>
          <w:b/>
          <w:i/>
          <w:sz w:val="20"/>
          <w:szCs w:val="20"/>
          <w:lang w:val="es-ES" w:bidi="en-US"/>
        </w:rPr>
        <w:t>representantes</w:t>
      </w:r>
      <w:r w:rsidRPr="00975C02">
        <w:rPr>
          <w:rFonts w:eastAsia="MS Mincho"/>
          <w:b/>
          <w:sz w:val="20"/>
          <w:szCs w:val="20"/>
          <w:lang w:val="es-ES" w:bidi="en-US"/>
        </w:rPr>
        <w:t xml:space="preserve"> </w:t>
      </w:r>
      <w:r w:rsidRPr="00975C02">
        <w:rPr>
          <w:rFonts w:eastAsia="MS Mincho"/>
          <w:sz w:val="20"/>
          <w:szCs w:val="20"/>
          <w:lang w:val="es-ES" w:bidi="en-US"/>
        </w:rPr>
        <w:t>solicitaron a la Corte que orden</w:t>
      </w:r>
      <w:r w:rsidR="00EF3D6A" w:rsidRPr="00975C02">
        <w:rPr>
          <w:rFonts w:eastAsia="MS Mincho"/>
          <w:sz w:val="20"/>
          <w:szCs w:val="20"/>
          <w:lang w:val="es-ES" w:bidi="en-US"/>
        </w:rPr>
        <w:t>ara</w:t>
      </w:r>
      <w:r w:rsidRPr="00975C02">
        <w:rPr>
          <w:rFonts w:eastAsia="MS Mincho"/>
          <w:sz w:val="20"/>
          <w:szCs w:val="20"/>
          <w:lang w:val="es-ES" w:bidi="en-US"/>
        </w:rPr>
        <w:t xml:space="preserve"> al Estado publicar, en un plazo de seis meses contados a partir de la notificación </w:t>
      </w:r>
      <w:r w:rsidR="00EF3D6A" w:rsidRPr="00975C02">
        <w:rPr>
          <w:rFonts w:eastAsia="MS Mincho"/>
          <w:sz w:val="20"/>
          <w:szCs w:val="20"/>
          <w:lang w:val="es-ES" w:bidi="en-US"/>
        </w:rPr>
        <w:t xml:space="preserve">de </w:t>
      </w:r>
      <w:r w:rsidRPr="00975C02">
        <w:rPr>
          <w:rFonts w:eastAsia="MS Mincho"/>
          <w:sz w:val="20"/>
          <w:szCs w:val="20"/>
          <w:lang w:val="es-ES" w:bidi="en-US"/>
        </w:rPr>
        <w:t>la sentencia, un resumen en el diario oficial La Gaceta y en un diario de amplia circulación nacional</w:t>
      </w:r>
      <w:r w:rsidR="00EF3D6A" w:rsidRPr="00975C02">
        <w:rPr>
          <w:rFonts w:eastAsia="MS Mincho"/>
          <w:sz w:val="20"/>
          <w:szCs w:val="20"/>
          <w:lang w:val="es-ES" w:bidi="en-US"/>
        </w:rPr>
        <w:t>.</w:t>
      </w:r>
      <w:r w:rsidRPr="00975C02">
        <w:rPr>
          <w:rFonts w:eastAsia="MS Mincho"/>
          <w:sz w:val="20"/>
          <w:szCs w:val="20"/>
          <w:lang w:val="es-ES" w:bidi="en-US"/>
        </w:rPr>
        <w:t xml:space="preserve"> </w:t>
      </w:r>
      <w:r w:rsidR="00EF3D6A" w:rsidRPr="00975C02">
        <w:rPr>
          <w:rFonts w:eastAsia="MS Mincho"/>
          <w:sz w:val="20"/>
          <w:szCs w:val="20"/>
          <w:lang w:val="es-ES" w:bidi="en-US"/>
        </w:rPr>
        <w:t>A</w:t>
      </w:r>
      <w:r w:rsidRPr="00975C02">
        <w:rPr>
          <w:rFonts w:eastAsia="MS Mincho"/>
          <w:sz w:val="20"/>
          <w:szCs w:val="20"/>
          <w:lang w:val="es-ES" w:bidi="en-US"/>
        </w:rPr>
        <w:t xml:space="preserve">simismo, </w:t>
      </w:r>
      <w:r w:rsidR="00EF3D6A" w:rsidRPr="00975C02">
        <w:rPr>
          <w:rFonts w:eastAsia="MS Mincho"/>
          <w:sz w:val="20"/>
          <w:szCs w:val="20"/>
          <w:lang w:val="es-ES" w:bidi="en-US"/>
        </w:rPr>
        <w:t>solicitaron</w:t>
      </w:r>
      <w:r w:rsidRPr="00975C02">
        <w:rPr>
          <w:rFonts w:eastAsia="MS Mincho"/>
          <w:sz w:val="20"/>
          <w:szCs w:val="20"/>
          <w:lang w:val="es-ES" w:bidi="en-US"/>
        </w:rPr>
        <w:t xml:space="preserve"> que se orden</w:t>
      </w:r>
      <w:r w:rsidR="00EF3D6A" w:rsidRPr="00975C02">
        <w:rPr>
          <w:rFonts w:eastAsia="MS Mincho"/>
          <w:sz w:val="20"/>
          <w:szCs w:val="20"/>
          <w:lang w:val="es-ES" w:bidi="en-US"/>
        </w:rPr>
        <w:t>ara</w:t>
      </w:r>
      <w:r w:rsidRPr="00975C02">
        <w:rPr>
          <w:rFonts w:eastAsia="MS Mincho"/>
          <w:sz w:val="20"/>
          <w:szCs w:val="20"/>
          <w:lang w:val="es-ES" w:bidi="en-US"/>
        </w:rPr>
        <w:t xml:space="preserve"> efectuar la difusión de la sentencia</w:t>
      </w:r>
      <w:r w:rsidR="00EF3D6A" w:rsidRPr="00975C02">
        <w:rPr>
          <w:rFonts w:eastAsia="MS Mincho"/>
          <w:sz w:val="20"/>
          <w:szCs w:val="20"/>
          <w:lang w:val="es-ES" w:bidi="en-US"/>
        </w:rPr>
        <w:t>,</w:t>
      </w:r>
      <w:r w:rsidRPr="00975C02">
        <w:rPr>
          <w:rFonts w:eastAsia="MS Mincho"/>
          <w:sz w:val="20"/>
          <w:szCs w:val="20"/>
          <w:lang w:val="es-ES" w:bidi="en-US"/>
        </w:rPr>
        <w:t xml:space="preserve"> por un período de un año</w:t>
      </w:r>
      <w:r w:rsidR="00EF3D6A" w:rsidRPr="00975C02">
        <w:rPr>
          <w:rFonts w:eastAsia="MS Mincho"/>
          <w:sz w:val="20"/>
          <w:szCs w:val="20"/>
          <w:lang w:val="es-ES" w:bidi="en-US"/>
        </w:rPr>
        <w:t>,</w:t>
      </w:r>
      <w:r w:rsidRPr="00975C02">
        <w:rPr>
          <w:rFonts w:eastAsia="MS Mincho"/>
          <w:sz w:val="20"/>
          <w:szCs w:val="20"/>
          <w:lang w:val="es-ES" w:bidi="en-US"/>
        </w:rPr>
        <w:t xml:space="preserve"> en un sitio web oficial</w:t>
      </w:r>
      <w:r w:rsidRPr="00975C02">
        <w:rPr>
          <w:sz w:val="20"/>
          <w:szCs w:val="20"/>
          <w:lang w:val="es-ES"/>
        </w:rPr>
        <w:t>.</w:t>
      </w:r>
    </w:p>
    <w:p w14:paraId="12AFCEAE" w14:textId="77777777" w:rsidR="009D661E" w:rsidRPr="00975C02" w:rsidRDefault="009D661E" w:rsidP="006F233B">
      <w:pPr>
        <w:tabs>
          <w:tab w:val="left" w:pos="3675"/>
        </w:tabs>
        <w:spacing w:line="240" w:lineRule="auto"/>
        <w:rPr>
          <w:sz w:val="20"/>
          <w:szCs w:val="20"/>
          <w:lang w:val="es-ES"/>
        </w:rPr>
      </w:pPr>
    </w:p>
    <w:p w14:paraId="7D98A4DA" w14:textId="77777777" w:rsidR="009D661E" w:rsidRPr="00975C02" w:rsidRDefault="006F233B"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Ni e</w:t>
      </w:r>
      <w:r w:rsidR="009D661E" w:rsidRPr="00975C02">
        <w:rPr>
          <w:rFonts w:eastAsia="MS Mincho"/>
          <w:sz w:val="20"/>
          <w:szCs w:val="20"/>
          <w:lang w:val="es-ES" w:bidi="en-US"/>
        </w:rPr>
        <w:t xml:space="preserve">l </w:t>
      </w:r>
      <w:r w:rsidR="009D661E" w:rsidRPr="00975C02">
        <w:rPr>
          <w:rFonts w:eastAsia="MS Mincho"/>
          <w:b/>
          <w:i/>
          <w:sz w:val="20"/>
          <w:szCs w:val="20"/>
          <w:lang w:val="es-ES" w:bidi="en-US"/>
        </w:rPr>
        <w:t>Estado</w:t>
      </w:r>
      <w:r w:rsidR="009D661E" w:rsidRPr="00975C02">
        <w:rPr>
          <w:rFonts w:eastAsia="MS Mincho"/>
          <w:sz w:val="20"/>
          <w:szCs w:val="20"/>
          <w:lang w:val="es-ES" w:bidi="en-US"/>
        </w:rPr>
        <w:t xml:space="preserve"> </w:t>
      </w:r>
      <w:r w:rsidRPr="00975C02">
        <w:rPr>
          <w:rFonts w:eastAsia="MS Mincho"/>
          <w:sz w:val="20"/>
          <w:szCs w:val="20"/>
          <w:lang w:val="es-ES" w:bidi="en-US"/>
        </w:rPr>
        <w:t xml:space="preserve">ni la </w:t>
      </w:r>
      <w:r w:rsidRPr="00975C02">
        <w:rPr>
          <w:rFonts w:eastAsia="MS Mincho"/>
          <w:b/>
          <w:i/>
          <w:sz w:val="20"/>
          <w:szCs w:val="20"/>
          <w:lang w:val="es-ES" w:bidi="en-US"/>
        </w:rPr>
        <w:t>Comisión</w:t>
      </w:r>
      <w:r w:rsidRPr="00975C02">
        <w:rPr>
          <w:rFonts w:eastAsia="MS Mincho"/>
          <w:sz w:val="20"/>
          <w:szCs w:val="20"/>
          <w:lang w:val="es-ES" w:bidi="en-US"/>
        </w:rPr>
        <w:t xml:space="preserve"> </w:t>
      </w:r>
      <w:r w:rsidR="009D661E" w:rsidRPr="00975C02">
        <w:rPr>
          <w:rFonts w:eastAsia="MS Mincho"/>
          <w:sz w:val="20"/>
          <w:szCs w:val="20"/>
          <w:lang w:val="es-ES" w:bidi="en-US"/>
        </w:rPr>
        <w:t>present</w:t>
      </w:r>
      <w:r w:rsidRPr="00975C02">
        <w:rPr>
          <w:rFonts w:eastAsia="MS Mincho"/>
          <w:sz w:val="20"/>
          <w:szCs w:val="20"/>
          <w:lang w:val="es-ES" w:bidi="en-US"/>
        </w:rPr>
        <w:t>aron</w:t>
      </w:r>
      <w:r w:rsidR="009D661E" w:rsidRPr="00975C02">
        <w:rPr>
          <w:rFonts w:eastAsia="MS Mincho"/>
          <w:sz w:val="20"/>
          <w:szCs w:val="20"/>
          <w:lang w:val="es-ES" w:bidi="en-US"/>
        </w:rPr>
        <w:t xml:space="preserve"> alegatos específicos sobre este punto.</w:t>
      </w:r>
    </w:p>
    <w:p w14:paraId="63F92F83" w14:textId="77777777" w:rsidR="009D661E" w:rsidRPr="00975C02" w:rsidRDefault="009D661E" w:rsidP="009D661E">
      <w:pPr>
        <w:tabs>
          <w:tab w:val="left" w:pos="4300"/>
        </w:tabs>
        <w:spacing w:line="240" w:lineRule="auto"/>
        <w:textAlignment w:val="auto"/>
        <w:rPr>
          <w:rFonts w:eastAsia="MS Mincho"/>
          <w:b/>
          <w:sz w:val="20"/>
          <w:szCs w:val="20"/>
          <w:lang w:val="es-ES" w:bidi="en-US"/>
        </w:rPr>
      </w:pPr>
    </w:p>
    <w:p w14:paraId="69A09937"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eastAsia="MS Mincho"/>
          <w:sz w:val="20"/>
          <w:szCs w:val="20"/>
          <w:lang w:val="es-ES" w:bidi="en-US"/>
        </w:rPr>
        <w:t>La</w:t>
      </w:r>
      <w:r w:rsidRPr="00975C02">
        <w:rPr>
          <w:rFonts w:eastAsia="MS Mincho" w:cs="Verdana"/>
          <w:sz w:val="20"/>
          <w:szCs w:val="20"/>
          <w:lang w:val="es-ES" w:bidi="en-US"/>
        </w:rPr>
        <w:t xml:space="preserve"> </w:t>
      </w:r>
      <w:r w:rsidRPr="00975C02">
        <w:rPr>
          <w:rFonts w:eastAsia="MS Mincho"/>
          <w:sz w:val="20"/>
          <w:szCs w:val="20"/>
          <w:lang w:val="es-ES" w:bidi="en-US"/>
        </w:rPr>
        <w:t>Corte</w:t>
      </w:r>
      <w:r w:rsidRPr="00975C02">
        <w:rPr>
          <w:rFonts w:eastAsia="MS Mincho" w:cs="Verdana"/>
          <w:sz w:val="20"/>
          <w:szCs w:val="20"/>
          <w:lang w:val="es-ES" w:bidi="en-US"/>
        </w:rPr>
        <w:t xml:space="preserve"> estima, como lo ha dispuesto en otros casos</w:t>
      </w:r>
      <w:r w:rsidRPr="00975C02">
        <w:rPr>
          <w:rFonts w:eastAsia="MS Mincho"/>
          <w:sz w:val="20"/>
          <w:szCs w:val="20"/>
          <w:vertAlign w:val="superscript"/>
          <w:lang w:val="es-ES" w:bidi="en-US"/>
        </w:rPr>
        <w:footnoteReference w:id="430"/>
      </w:r>
      <w:r w:rsidRPr="00975C02">
        <w:rPr>
          <w:rFonts w:eastAsia="MS Mincho" w:cs="Verdana"/>
          <w:sz w:val="20"/>
          <w:szCs w:val="20"/>
          <w:lang w:val="es-ES" w:bidi="en-US"/>
        </w:rPr>
        <w:t xml:space="preserve">, que el Estado debe publicar, </w:t>
      </w:r>
      <w:r w:rsidR="00E25B13" w:rsidRPr="00975C02">
        <w:rPr>
          <w:sz w:val="20"/>
          <w:szCs w:val="20"/>
          <w:lang w:val="es-ES"/>
        </w:rPr>
        <w:t xml:space="preserve">si V.R.P. así lo autoriza, </w:t>
      </w:r>
      <w:r w:rsidRPr="00975C02">
        <w:rPr>
          <w:rFonts w:eastAsia="MS Mincho" w:cs="Verdana"/>
          <w:sz w:val="20"/>
          <w:szCs w:val="20"/>
          <w:lang w:val="es-ES" w:bidi="en-US"/>
        </w:rPr>
        <w:t>en el plazo de seis meses, contado a partir de la notificación de la presente Sentencia: a) el resumen oficial de la presente Sentencia elaborado por la Corte, por una sola vez, en el Diario Oficial</w:t>
      </w:r>
      <w:r w:rsidRPr="00975C02">
        <w:rPr>
          <w:sz w:val="20"/>
          <w:szCs w:val="20"/>
          <w:lang w:val="es-ES"/>
        </w:rPr>
        <w:t xml:space="preserve"> en un tamaño de letra legible y adecuado</w:t>
      </w:r>
      <w:r w:rsidRPr="00975C02">
        <w:rPr>
          <w:rFonts w:eastAsia="MS Mincho" w:cs="Verdana"/>
          <w:sz w:val="20"/>
          <w:szCs w:val="20"/>
          <w:lang w:val="es-ES" w:bidi="en-US"/>
        </w:rPr>
        <w:t>; b) el resumen oficial de la presente Sentencia elaborado por la Corte, por una sola vez, en un diario de amplia circulación nacional</w:t>
      </w:r>
      <w:r w:rsidRPr="00975C02">
        <w:rPr>
          <w:sz w:val="20"/>
          <w:szCs w:val="20"/>
          <w:lang w:val="es-ES"/>
        </w:rPr>
        <w:t xml:space="preserve"> en un tamaño de letra legible y adecuado</w:t>
      </w:r>
      <w:r w:rsidRPr="00975C02">
        <w:rPr>
          <w:rFonts w:eastAsia="MS Mincho" w:cs="Verdana"/>
          <w:sz w:val="20"/>
          <w:szCs w:val="20"/>
          <w:lang w:val="es-ES" w:bidi="en-US"/>
        </w:rPr>
        <w:t xml:space="preserve">, y c) la presente Sentencia en su integridad, disponible por un período de un año, en un sitio web oficial </w:t>
      </w:r>
      <w:r w:rsidRPr="00975C02">
        <w:rPr>
          <w:sz w:val="20"/>
          <w:szCs w:val="20"/>
          <w:lang w:val="es-ES"/>
        </w:rPr>
        <w:t>del Estado, de manera accesible al público desde su página de inicio.</w:t>
      </w:r>
    </w:p>
    <w:p w14:paraId="5122D102" w14:textId="77777777" w:rsidR="009D661E" w:rsidRPr="00975C02" w:rsidRDefault="009D661E" w:rsidP="009D661E">
      <w:pPr>
        <w:tabs>
          <w:tab w:val="left" w:pos="567"/>
        </w:tabs>
        <w:spacing w:line="240" w:lineRule="auto"/>
        <w:textAlignment w:val="auto"/>
        <w:rPr>
          <w:rFonts w:eastAsia="MS Mincho"/>
          <w:b/>
          <w:sz w:val="20"/>
          <w:szCs w:val="20"/>
          <w:lang w:val="es-ES" w:bidi="en-US"/>
        </w:rPr>
      </w:pPr>
    </w:p>
    <w:p w14:paraId="3FB9277F" w14:textId="626613F1"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sz w:val="20"/>
          <w:szCs w:val="20"/>
          <w:lang w:val="es-ES"/>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696FB2" w:rsidRPr="00975C02">
        <w:rPr>
          <w:sz w:val="20"/>
          <w:szCs w:val="20"/>
          <w:lang w:val="es-ES"/>
        </w:rPr>
        <w:t>25</w:t>
      </w:r>
      <w:r w:rsidRPr="00975C02">
        <w:rPr>
          <w:sz w:val="20"/>
          <w:szCs w:val="20"/>
          <w:lang w:val="es-ES"/>
        </w:rPr>
        <w:t xml:space="preserve"> de la Sentencia.</w:t>
      </w:r>
    </w:p>
    <w:p w14:paraId="3D2D10F3"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04EFFDA4" w14:textId="77777777" w:rsidR="009D661E" w:rsidRPr="00975C02" w:rsidRDefault="009D661E" w:rsidP="009D661E">
      <w:pPr>
        <w:spacing w:line="240" w:lineRule="auto"/>
        <w:ind w:left="1985"/>
        <w:rPr>
          <w:i/>
          <w:iCs/>
          <w:sz w:val="20"/>
          <w:szCs w:val="20"/>
          <w:lang w:val="es-ES"/>
        </w:rPr>
      </w:pPr>
      <w:r w:rsidRPr="00975C02">
        <w:rPr>
          <w:i/>
          <w:iCs/>
          <w:sz w:val="20"/>
          <w:szCs w:val="20"/>
          <w:lang w:val="es-ES"/>
        </w:rPr>
        <w:t>b) Becas de estudio</w:t>
      </w:r>
    </w:p>
    <w:p w14:paraId="05E23B5F"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530C673B" w14:textId="319AE92A"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solicitaron, como forma de restablecer el proyecto de vida de las víctimas que no concluyeron sus estudios superiores, que la Corte ordenara al Estado brindarles los medios necesarios para que puedan hacerlo. </w:t>
      </w:r>
      <w:r w:rsidR="004D4F16" w:rsidRPr="00975C02">
        <w:rPr>
          <w:rFonts w:eastAsia="MS Mincho"/>
          <w:sz w:val="20"/>
          <w:szCs w:val="20"/>
          <w:lang w:val="es-ES" w:bidi="en-US"/>
        </w:rPr>
        <w:t xml:space="preserve">En relación con V.R.P., teniendo en cuenta que ella aún no ha podido concluir sus estudios y no puede optar por una beca en Nicaragua, pues reside </w:t>
      </w:r>
      <w:r w:rsidR="004D4F16" w:rsidRPr="00975C02">
        <w:rPr>
          <w:rFonts w:eastAsia="MS Mincho"/>
          <w:sz w:val="20"/>
          <w:szCs w:val="20"/>
          <w:lang w:val="es-ES" w:bidi="en-US"/>
        </w:rPr>
        <w:lastRenderedPageBreak/>
        <w:t>fuera de ese país, solicitaron que se le asigne un monto prudencial ascendente a US$ 150.000,00 para cubrir sus estudios y pagos de préstamos estudiantiles. R</w:t>
      </w:r>
      <w:r w:rsidRPr="00975C02">
        <w:rPr>
          <w:rFonts w:eastAsia="MS Mincho"/>
          <w:sz w:val="20"/>
          <w:szCs w:val="20"/>
          <w:lang w:val="es-ES" w:bidi="en-US"/>
        </w:rPr>
        <w:t xml:space="preserve">especto a V.A.R.P. pidieron que se le proporcione una beca y gastos académicos necesarios para que pueda realizar estudios superiores o universitarios en un centro de reconocida calidad académica, escogido de común acuerdo entre el Estado y la víctima. </w:t>
      </w:r>
    </w:p>
    <w:p w14:paraId="1DE1135C" w14:textId="77777777" w:rsidR="009D661E" w:rsidRPr="00975C02" w:rsidRDefault="009D661E" w:rsidP="009D661E">
      <w:pPr>
        <w:pStyle w:val="ListParagraph"/>
        <w:spacing w:line="240" w:lineRule="auto"/>
        <w:rPr>
          <w:rFonts w:eastAsia="MS Mincho"/>
          <w:sz w:val="20"/>
          <w:szCs w:val="20"/>
          <w:lang w:val="es-ES" w:bidi="en-US"/>
        </w:rPr>
      </w:pPr>
    </w:p>
    <w:p w14:paraId="775E11C8" w14:textId="7F67DC40" w:rsidR="0064446E" w:rsidRPr="00975C02" w:rsidRDefault="0064446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Respecto al pedido formulado para que se otorgue una suma de dinero a V.R.P., el </w:t>
      </w:r>
      <w:r w:rsidRPr="00975C02">
        <w:rPr>
          <w:rFonts w:eastAsia="MS Mincho"/>
          <w:b/>
          <w:i/>
          <w:sz w:val="20"/>
          <w:szCs w:val="20"/>
          <w:lang w:val="es-ES" w:bidi="en-US"/>
        </w:rPr>
        <w:t>Estado</w:t>
      </w:r>
      <w:r w:rsidRPr="00975C02">
        <w:rPr>
          <w:rFonts w:eastAsia="MS Mincho"/>
          <w:sz w:val="20"/>
          <w:szCs w:val="20"/>
          <w:lang w:val="es-ES" w:bidi="en-US"/>
        </w:rPr>
        <w:t xml:space="preserve"> señaló que el monto solicitado carecía de fundamento y que, si a consideración de la Corte correspondía pagar alguna indemnización, debía efectuarse una tasación de acuerdo a parámetros nacionales. Asimismo, el Estado agregó que la Corte no podía ser una instancia a través de la cual se pretendiera resolver todos los aspectos de la vida de las presuntas víctimas y que, al encontrarse ellas asiladas en Estados Unidos por haberse alejado voluntariamente de Nicaragua, gozaban de “otras prerrogativas y facilidades de desarrollo”.</w:t>
      </w:r>
    </w:p>
    <w:p w14:paraId="3575357F" w14:textId="77777777" w:rsidR="0064446E" w:rsidRPr="00975C02" w:rsidRDefault="0064446E" w:rsidP="0064446E">
      <w:pPr>
        <w:tabs>
          <w:tab w:val="left" w:pos="567"/>
        </w:tabs>
        <w:spacing w:line="240" w:lineRule="auto"/>
        <w:textAlignment w:val="auto"/>
        <w:rPr>
          <w:sz w:val="20"/>
          <w:szCs w:val="20"/>
          <w:lang w:val="es-ES"/>
        </w:rPr>
      </w:pPr>
    </w:p>
    <w:p w14:paraId="5EB06A7D" w14:textId="1D689C94"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El Estado alegó que no puede imputársele obligación alguna respecto de V.A.R.P. porque su calidad de presunta víctima no ha</w:t>
      </w:r>
      <w:r w:rsidR="0064446E" w:rsidRPr="00975C02">
        <w:rPr>
          <w:rFonts w:eastAsia="MS Mincho"/>
          <w:sz w:val="20"/>
          <w:szCs w:val="20"/>
          <w:lang w:val="es-ES" w:bidi="en-US"/>
        </w:rPr>
        <w:t>bría</w:t>
      </w:r>
      <w:r w:rsidRPr="00975C02">
        <w:rPr>
          <w:rFonts w:eastAsia="MS Mincho"/>
          <w:sz w:val="20"/>
          <w:szCs w:val="20"/>
          <w:lang w:val="es-ES" w:bidi="en-US"/>
        </w:rPr>
        <w:t xml:space="preserve"> sido acreditada ni en el informe de admisibilidad ni en el informe de fondo de la Comisión. Señaló que llamaba la atención el pedido de otorgamiento de beca de estudios y gastos académicos, pues a la fecha de la contestación V.A.R.P. tenía más de 34 años y, además, pudo y puede acceder a la educación superior en Nicaragua, ya que los centros universitarios nacionales son prácticamente gratuitos y su ingreso está condicionado únicamente a que apruebe un examen de admisión</w:t>
      </w:r>
      <w:r w:rsidR="00F53A54" w:rsidRPr="00975C02">
        <w:rPr>
          <w:rFonts w:eastAsia="MS Mincho"/>
          <w:sz w:val="20"/>
          <w:szCs w:val="20"/>
          <w:lang w:val="es-ES" w:bidi="en-US"/>
        </w:rPr>
        <w:t>.</w:t>
      </w:r>
    </w:p>
    <w:p w14:paraId="3E7870F0" w14:textId="77777777" w:rsidR="009D661E" w:rsidRPr="00975C02" w:rsidRDefault="009D661E" w:rsidP="009D661E">
      <w:pPr>
        <w:tabs>
          <w:tab w:val="left" w:pos="567"/>
        </w:tabs>
        <w:spacing w:line="240" w:lineRule="auto"/>
        <w:textAlignment w:val="auto"/>
        <w:rPr>
          <w:sz w:val="20"/>
          <w:szCs w:val="20"/>
          <w:lang w:val="es-ES"/>
        </w:rPr>
      </w:pPr>
    </w:p>
    <w:p w14:paraId="2D916FF2" w14:textId="77777777"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La </w:t>
      </w:r>
      <w:r w:rsidRPr="00975C02">
        <w:rPr>
          <w:rFonts w:eastAsia="MS Mincho"/>
          <w:b/>
          <w:i/>
          <w:sz w:val="20"/>
          <w:szCs w:val="20"/>
          <w:lang w:val="es-ES" w:bidi="en-US"/>
        </w:rPr>
        <w:t>Comisión</w:t>
      </w:r>
      <w:r w:rsidRPr="00975C02">
        <w:rPr>
          <w:rFonts w:eastAsia="MS Mincho"/>
          <w:sz w:val="20"/>
          <w:szCs w:val="20"/>
          <w:lang w:val="es-ES" w:bidi="en-US"/>
        </w:rPr>
        <w:t xml:space="preserve"> no se pronunció específicamente sobre esta medida de reparación.</w:t>
      </w:r>
    </w:p>
    <w:p w14:paraId="3F8058B4" w14:textId="77777777" w:rsidR="009D661E" w:rsidRPr="00975C02" w:rsidRDefault="009D661E" w:rsidP="009D661E">
      <w:pPr>
        <w:tabs>
          <w:tab w:val="left" w:pos="567"/>
        </w:tabs>
        <w:spacing w:line="240" w:lineRule="auto"/>
        <w:textAlignment w:val="auto"/>
        <w:rPr>
          <w:sz w:val="20"/>
          <w:szCs w:val="20"/>
          <w:lang w:val="es-ES"/>
        </w:rPr>
      </w:pPr>
    </w:p>
    <w:p w14:paraId="39D7B74D" w14:textId="59EDE87C"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La Corte ha establecido en la presente Sentencia que los hechos del caso generaron una grave afectación </w:t>
      </w:r>
      <w:r w:rsidR="00601D72" w:rsidRPr="00975C02">
        <w:rPr>
          <w:sz w:val="20"/>
          <w:szCs w:val="20"/>
          <w:lang w:val="es-ES"/>
        </w:rPr>
        <w:t xml:space="preserve">a </w:t>
      </w:r>
      <w:r w:rsidRPr="00975C02">
        <w:rPr>
          <w:sz w:val="20"/>
          <w:szCs w:val="20"/>
          <w:lang w:val="es-ES"/>
        </w:rPr>
        <w:t xml:space="preserve">V.R.P. y sus familiares, que perdura en el tiempo y que ocasionó cambios significativos tanto en sus vidas como en sus relaciones personales y sociales, </w:t>
      </w:r>
      <w:r w:rsidR="009E2A5B" w:rsidRPr="00975C02">
        <w:rPr>
          <w:sz w:val="20"/>
          <w:szCs w:val="20"/>
          <w:lang w:val="es-ES"/>
        </w:rPr>
        <w:t>dañando</w:t>
      </w:r>
      <w:r w:rsidR="00601D72" w:rsidRPr="00975C02">
        <w:rPr>
          <w:sz w:val="20"/>
          <w:szCs w:val="20"/>
          <w:lang w:val="es-ES"/>
        </w:rPr>
        <w:t xml:space="preserve"> </w:t>
      </w:r>
      <w:r w:rsidRPr="00975C02">
        <w:rPr>
          <w:sz w:val="20"/>
          <w:szCs w:val="20"/>
          <w:lang w:val="es-ES"/>
        </w:rPr>
        <w:t>su desarrollo personal (</w:t>
      </w:r>
      <w:r w:rsidRPr="00975C02">
        <w:rPr>
          <w:i/>
          <w:sz w:val="20"/>
          <w:szCs w:val="20"/>
          <w:lang w:val="es-ES"/>
        </w:rPr>
        <w:t>supra</w:t>
      </w:r>
      <w:r w:rsidRPr="00975C02">
        <w:rPr>
          <w:sz w:val="20"/>
          <w:szCs w:val="20"/>
          <w:lang w:val="es-ES"/>
        </w:rPr>
        <w:t xml:space="preserve"> párrs. </w:t>
      </w:r>
      <w:r w:rsidR="0044295D" w:rsidRPr="00975C02">
        <w:rPr>
          <w:sz w:val="20"/>
          <w:szCs w:val="20"/>
          <w:lang w:val="es-ES"/>
        </w:rPr>
        <w:t>295 y 299 y Capítulo VIII-3</w:t>
      </w:r>
      <w:r w:rsidRPr="00975C02">
        <w:rPr>
          <w:sz w:val="20"/>
          <w:szCs w:val="20"/>
          <w:lang w:val="es-ES"/>
        </w:rPr>
        <w:t>).</w:t>
      </w:r>
      <w:r w:rsidRPr="00975C02">
        <w:rPr>
          <w:rFonts w:cs="Arial"/>
          <w:sz w:val="20"/>
          <w:szCs w:val="20"/>
          <w:lang w:val="es-ES"/>
        </w:rPr>
        <w:t xml:space="preserve"> En particular, el Tribunal destaca que los hechos </w:t>
      </w:r>
      <w:r w:rsidR="00601D72" w:rsidRPr="00975C02">
        <w:rPr>
          <w:rFonts w:cs="Arial"/>
          <w:sz w:val="20"/>
          <w:szCs w:val="20"/>
          <w:lang w:val="es-ES"/>
        </w:rPr>
        <w:t xml:space="preserve">sucedieron </w:t>
      </w:r>
      <w:r w:rsidRPr="00975C02">
        <w:rPr>
          <w:rFonts w:cs="Arial"/>
          <w:sz w:val="20"/>
          <w:szCs w:val="20"/>
          <w:lang w:val="es-ES"/>
        </w:rPr>
        <w:t>durante la etapa escolar de V.R.P., quien se vio obligada a abandonar la escuela y</w:t>
      </w:r>
      <w:r w:rsidR="00601D72" w:rsidRPr="00975C02">
        <w:rPr>
          <w:rFonts w:cs="Arial"/>
          <w:sz w:val="20"/>
          <w:szCs w:val="20"/>
          <w:lang w:val="es-ES"/>
        </w:rPr>
        <w:t>,</w:t>
      </w:r>
      <w:r w:rsidRPr="00975C02">
        <w:rPr>
          <w:rFonts w:cs="Arial"/>
          <w:sz w:val="20"/>
          <w:szCs w:val="20"/>
          <w:lang w:val="es-ES"/>
        </w:rPr>
        <w:t xml:space="preserve"> posteriormente</w:t>
      </w:r>
      <w:r w:rsidR="00601D72" w:rsidRPr="00975C02">
        <w:rPr>
          <w:rFonts w:cs="Arial"/>
          <w:sz w:val="20"/>
          <w:szCs w:val="20"/>
          <w:lang w:val="es-ES"/>
        </w:rPr>
        <w:t>,</w:t>
      </w:r>
      <w:r w:rsidRPr="00975C02">
        <w:rPr>
          <w:rFonts w:cs="Arial"/>
          <w:sz w:val="20"/>
          <w:szCs w:val="20"/>
          <w:lang w:val="es-ES"/>
        </w:rPr>
        <w:t xml:space="preserve"> trasladarse a Estados Unidos. Según su declaración en </w:t>
      </w:r>
      <w:r w:rsidR="00601D72" w:rsidRPr="00975C02">
        <w:rPr>
          <w:rFonts w:cs="Arial"/>
          <w:sz w:val="20"/>
          <w:szCs w:val="20"/>
          <w:lang w:val="es-ES"/>
        </w:rPr>
        <w:t xml:space="preserve">la </w:t>
      </w:r>
      <w:r w:rsidRPr="00975C02">
        <w:rPr>
          <w:rFonts w:cs="Arial"/>
          <w:sz w:val="20"/>
          <w:szCs w:val="20"/>
          <w:lang w:val="es-ES"/>
        </w:rPr>
        <w:t>audiencia, actualmente se encuentra realizando estudios universitarios en Estados Unidos “para tratar de ayudar a niños que pasaron cosas similares”. Asimismo, su hermano V.A.R.P. declaró que la estigmatización y revictimización sufrida durante el proceso penal así como la desintegración familiar posterior provocaron la imposibilidad de que concluya su educación universitaria</w:t>
      </w:r>
      <w:r w:rsidR="000F093D" w:rsidRPr="00975C02">
        <w:rPr>
          <w:rStyle w:val="FootnoteReference"/>
          <w:rFonts w:cs="Arial"/>
          <w:sz w:val="20"/>
          <w:szCs w:val="20"/>
          <w:lang w:val="es-ES"/>
        </w:rPr>
        <w:footnoteReference w:id="431"/>
      </w:r>
      <w:r w:rsidRPr="00975C02">
        <w:rPr>
          <w:rFonts w:cs="Arial"/>
          <w:sz w:val="20"/>
          <w:szCs w:val="20"/>
          <w:lang w:val="es-ES"/>
        </w:rPr>
        <w:t>.</w:t>
      </w:r>
    </w:p>
    <w:p w14:paraId="239FCA82" w14:textId="77777777" w:rsidR="009D661E" w:rsidRPr="00975C02" w:rsidRDefault="009D661E" w:rsidP="009D661E">
      <w:pPr>
        <w:pStyle w:val="ListParagraph"/>
        <w:spacing w:line="240" w:lineRule="auto"/>
        <w:rPr>
          <w:rFonts w:cs="Arial"/>
          <w:sz w:val="20"/>
          <w:szCs w:val="20"/>
          <w:lang w:val="es-ES"/>
        </w:rPr>
      </w:pPr>
    </w:p>
    <w:p w14:paraId="4428A648" w14:textId="6D8FFED3"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
          <w:sz w:val="20"/>
          <w:szCs w:val="20"/>
          <w:lang w:val="es-ES" w:bidi="en-US"/>
        </w:rPr>
      </w:pPr>
      <w:r w:rsidRPr="00975C02">
        <w:rPr>
          <w:rFonts w:cs="Arial"/>
          <w:sz w:val="20"/>
          <w:szCs w:val="20"/>
          <w:lang w:val="es-ES"/>
        </w:rPr>
        <w:t xml:space="preserve">En atención a lo anterior, como </w:t>
      </w:r>
      <w:r w:rsidR="00B92597" w:rsidRPr="00975C02">
        <w:rPr>
          <w:rFonts w:cs="Arial"/>
          <w:sz w:val="20"/>
          <w:szCs w:val="20"/>
          <w:lang w:val="es-ES"/>
        </w:rPr>
        <w:t xml:space="preserve">se </w:t>
      </w:r>
      <w:r w:rsidRPr="00975C02">
        <w:rPr>
          <w:rFonts w:cs="Arial"/>
          <w:sz w:val="20"/>
          <w:szCs w:val="20"/>
          <w:lang w:val="es-ES"/>
        </w:rPr>
        <w:t>ha dispuesto en otros casos</w:t>
      </w:r>
      <w:r w:rsidRPr="00975C02">
        <w:rPr>
          <w:rStyle w:val="FootnoteReference"/>
          <w:rFonts w:eastAsia="Calibri" w:cs="Arial"/>
          <w:sz w:val="20"/>
          <w:szCs w:val="20"/>
          <w:lang w:val="es-ES"/>
        </w:rPr>
        <w:footnoteReference w:id="432"/>
      </w:r>
      <w:r w:rsidRPr="00975C02">
        <w:rPr>
          <w:rFonts w:cs="Arial"/>
          <w:sz w:val="20"/>
          <w:szCs w:val="20"/>
          <w:lang w:val="es-ES"/>
        </w:rPr>
        <w:t>, la Corte estima oportuno ordenar, como medida de satisfacción en el presente caso, que el Estado otorgue a favor de V.R.P.</w:t>
      </w:r>
      <w:r w:rsidRPr="00975C02">
        <w:rPr>
          <w:sz w:val="20"/>
          <w:szCs w:val="20"/>
          <w:lang w:val="es-ES"/>
        </w:rPr>
        <w:t>, por una única vez, la suma de US$</w:t>
      </w:r>
      <w:r w:rsidR="00A85E34" w:rsidRPr="00975C02">
        <w:rPr>
          <w:sz w:val="20"/>
          <w:szCs w:val="20"/>
          <w:lang w:val="es-ES"/>
        </w:rPr>
        <w:t xml:space="preserve"> </w:t>
      </w:r>
      <w:r w:rsidR="00FB01D2" w:rsidRPr="00975C02">
        <w:rPr>
          <w:sz w:val="20"/>
          <w:szCs w:val="20"/>
          <w:lang w:val="es-ES"/>
        </w:rPr>
        <w:t>1</w:t>
      </w:r>
      <w:r w:rsidR="00FC3BF6" w:rsidRPr="00975C02">
        <w:rPr>
          <w:sz w:val="20"/>
          <w:szCs w:val="20"/>
          <w:lang w:val="es-ES"/>
        </w:rPr>
        <w:t>5</w:t>
      </w:r>
      <w:r w:rsidR="00FB01D2" w:rsidRPr="00975C02">
        <w:rPr>
          <w:sz w:val="20"/>
          <w:szCs w:val="20"/>
          <w:lang w:val="es-ES"/>
        </w:rPr>
        <w:t>0</w:t>
      </w:r>
      <w:r w:rsidR="00307673" w:rsidRPr="00975C02">
        <w:rPr>
          <w:sz w:val="20"/>
          <w:szCs w:val="20"/>
          <w:lang w:val="es-ES"/>
        </w:rPr>
        <w:t>.</w:t>
      </w:r>
      <w:r w:rsidRPr="00975C02">
        <w:rPr>
          <w:sz w:val="20"/>
          <w:szCs w:val="20"/>
          <w:lang w:val="es-ES"/>
        </w:rPr>
        <w:t>000</w:t>
      </w:r>
      <w:r w:rsidR="00307673" w:rsidRPr="00975C02">
        <w:rPr>
          <w:sz w:val="20"/>
          <w:szCs w:val="20"/>
          <w:lang w:val="es-ES"/>
        </w:rPr>
        <w:t>,00</w:t>
      </w:r>
      <w:r w:rsidRPr="00975C02">
        <w:rPr>
          <w:sz w:val="20"/>
          <w:szCs w:val="20"/>
          <w:lang w:val="es-ES"/>
        </w:rPr>
        <w:t xml:space="preserve"> (</w:t>
      </w:r>
      <w:r w:rsidR="00FB01D2" w:rsidRPr="00975C02">
        <w:rPr>
          <w:sz w:val="20"/>
          <w:szCs w:val="20"/>
          <w:lang w:val="es-ES"/>
        </w:rPr>
        <w:t>cien</w:t>
      </w:r>
      <w:r w:rsidR="00FC3BF6" w:rsidRPr="00975C02">
        <w:rPr>
          <w:sz w:val="20"/>
          <w:szCs w:val="20"/>
          <w:lang w:val="es-ES"/>
        </w:rPr>
        <w:t>to cincuenta</w:t>
      </w:r>
      <w:r w:rsidRPr="00975C02">
        <w:rPr>
          <w:sz w:val="20"/>
          <w:szCs w:val="20"/>
          <w:lang w:val="es-ES"/>
        </w:rPr>
        <w:t xml:space="preserve"> mil dólares de los Estados Unidos de América), para poder sufragar los gastos necesarios para la conclusión de su formación profesional en el lugar donde resida. </w:t>
      </w:r>
      <w:r w:rsidRPr="00975C02">
        <w:rPr>
          <w:rFonts w:eastAsia="MS Mincho"/>
          <w:sz w:val="20"/>
          <w:szCs w:val="20"/>
          <w:lang w:val="es-ES" w:bidi="en-US"/>
        </w:rPr>
        <w:t>El Estado dispondrá del plazo de un año, contado a partir de la notificación de la presente Sentencia, para hacer efectivo el pago del monto ordenado</w:t>
      </w:r>
      <w:r w:rsidR="00945A71" w:rsidRPr="00975C02">
        <w:rPr>
          <w:rFonts w:eastAsia="MS Mincho"/>
          <w:sz w:val="20"/>
          <w:szCs w:val="20"/>
          <w:lang w:val="es-ES" w:bidi="en-US"/>
        </w:rPr>
        <w:t xml:space="preserve"> a V.R.P.</w:t>
      </w:r>
    </w:p>
    <w:p w14:paraId="667FF5D1" w14:textId="77777777" w:rsidR="009D661E" w:rsidRPr="00975C02" w:rsidRDefault="009D661E" w:rsidP="009D661E">
      <w:pPr>
        <w:pStyle w:val="ListParagraph"/>
        <w:spacing w:line="240" w:lineRule="auto"/>
        <w:rPr>
          <w:rFonts w:eastAsia="MS Mincho"/>
          <w:b/>
          <w:sz w:val="20"/>
          <w:szCs w:val="20"/>
          <w:lang w:val="es-ES" w:bidi="en-US"/>
        </w:rPr>
      </w:pPr>
    </w:p>
    <w:p w14:paraId="56062EB6" w14:textId="482FD977" w:rsidR="009D661E" w:rsidRPr="00975C02" w:rsidRDefault="009D661E" w:rsidP="0054596C">
      <w:pPr>
        <w:numPr>
          <w:ilvl w:val="0"/>
          <w:numId w:val="2"/>
        </w:numPr>
        <w:tabs>
          <w:tab w:val="left" w:pos="567"/>
          <w:tab w:val="num" w:pos="5057"/>
        </w:tabs>
        <w:spacing w:line="240" w:lineRule="auto"/>
        <w:ind w:left="0" w:firstLine="0"/>
        <w:textAlignment w:val="auto"/>
        <w:rPr>
          <w:rFonts w:cs="Verdana"/>
          <w:sz w:val="20"/>
          <w:szCs w:val="20"/>
          <w:lang w:val="es-ES"/>
        </w:rPr>
      </w:pPr>
      <w:r w:rsidRPr="00975C02">
        <w:rPr>
          <w:rFonts w:cs="Arial"/>
          <w:sz w:val="20"/>
          <w:szCs w:val="20"/>
          <w:lang w:val="es-ES"/>
        </w:rPr>
        <w:t xml:space="preserve">Por otra parte, el Tribunal dispone que el Estado debe otorgar una beca en una institución pública nicaragüense en beneficio de V.A.R.P., concertada </w:t>
      </w:r>
      <w:r w:rsidR="00A85E34" w:rsidRPr="00975C02">
        <w:rPr>
          <w:rFonts w:cs="Arial"/>
          <w:sz w:val="20"/>
          <w:szCs w:val="20"/>
          <w:lang w:val="es-ES"/>
        </w:rPr>
        <w:t>entre</w:t>
      </w:r>
      <w:r w:rsidRPr="00975C02">
        <w:rPr>
          <w:rFonts w:cs="Arial"/>
          <w:sz w:val="20"/>
          <w:szCs w:val="20"/>
          <w:lang w:val="es-ES"/>
        </w:rPr>
        <w:t xml:space="preserve"> </w:t>
      </w:r>
      <w:r w:rsidR="00A85E34" w:rsidRPr="00975C02">
        <w:rPr>
          <w:rFonts w:cs="Arial"/>
          <w:sz w:val="20"/>
          <w:szCs w:val="20"/>
          <w:lang w:val="es-ES"/>
        </w:rPr>
        <w:t>é</w:t>
      </w:r>
      <w:r w:rsidRPr="00975C02">
        <w:rPr>
          <w:rFonts w:cs="Arial"/>
          <w:sz w:val="20"/>
          <w:szCs w:val="20"/>
          <w:lang w:val="es-ES"/>
        </w:rPr>
        <w:t xml:space="preserve">ste y el Estado, para realizar estudios superiores técnicos o universitarios, o bien para capacitarse en un oficio. </w:t>
      </w:r>
      <w:r w:rsidRPr="00975C02">
        <w:rPr>
          <w:rFonts w:cs="Verdana"/>
          <w:sz w:val="20"/>
          <w:szCs w:val="20"/>
          <w:lang w:val="es-ES"/>
        </w:rPr>
        <w:t xml:space="preserve">Dicha beca se otorgará desde el momento en que el beneficiario la solicite al Estado hasta la conclusión de sus estudios superiores técnicos o universitarios y deberá cubrir todos los gastos para la completa finalización de dichos estudios, incluyendo el material académico o educativo. Asimismo, deberá </w:t>
      </w:r>
      <w:r w:rsidRPr="00975C02">
        <w:rPr>
          <w:rFonts w:cs="Verdana"/>
          <w:sz w:val="20"/>
          <w:szCs w:val="20"/>
          <w:lang w:val="es-ES"/>
        </w:rPr>
        <w:lastRenderedPageBreak/>
        <w:t>empezar a hacerse efectiva de la manera más pronta posible a partir de la notificación de la presente Sentencia, para que el beneficiario comience sus estudios en el próximo año, si así lo desea.</w:t>
      </w:r>
      <w:r w:rsidRPr="00975C02">
        <w:rPr>
          <w:sz w:val="20"/>
          <w:szCs w:val="20"/>
          <w:lang w:val="es-ES"/>
        </w:rPr>
        <w:t xml:space="preserve"> La víctima o sus representantes cuentan con un plazo de </w:t>
      </w:r>
      <w:r w:rsidR="003F3B0A" w:rsidRPr="00975C02">
        <w:rPr>
          <w:sz w:val="20"/>
          <w:szCs w:val="20"/>
          <w:lang w:val="es-ES"/>
        </w:rPr>
        <w:t>seis meses</w:t>
      </w:r>
      <w:r w:rsidRPr="00975C02">
        <w:rPr>
          <w:sz w:val="20"/>
          <w:szCs w:val="20"/>
          <w:lang w:val="es-ES"/>
        </w:rPr>
        <w:t>, contado a partir de la notificación de la presente Sentencia, para dar a conocer al Estado su intención de recibir dicha beca.</w:t>
      </w:r>
    </w:p>
    <w:p w14:paraId="463AE983" w14:textId="77777777" w:rsidR="009D661E" w:rsidRPr="00975C02" w:rsidRDefault="009D661E" w:rsidP="009D661E">
      <w:pPr>
        <w:tabs>
          <w:tab w:val="left" w:pos="720"/>
        </w:tabs>
        <w:spacing w:line="240" w:lineRule="auto"/>
        <w:ind w:right="-90"/>
        <w:rPr>
          <w:rFonts w:cs="Verdana"/>
          <w:sz w:val="20"/>
          <w:szCs w:val="20"/>
          <w:lang w:val="es-ES"/>
        </w:rPr>
      </w:pPr>
    </w:p>
    <w:p w14:paraId="5D1D27EC" w14:textId="77777777" w:rsidR="00047EC8" w:rsidRPr="00975C02" w:rsidRDefault="009D661E" w:rsidP="00DF3D71">
      <w:pPr>
        <w:pStyle w:val="Heading2"/>
        <w:tabs>
          <w:tab w:val="left" w:pos="1843"/>
        </w:tabs>
        <w:spacing w:before="0" w:line="240" w:lineRule="auto"/>
        <w:ind w:left="1134"/>
        <w:rPr>
          <w:i/>
          <w:color w:val="auto"/>
          <w:sz w:val="20"/>
          <w:szCs w:val="20"/>
          <w:lang w:val="es-ES"/>
        </w:rPr>
      </w:pPr>
      <w:bookmarkStart w:id="180" w:name="_Toc495658699"/>
      <w:bookmarkStart w:id="181" w:name="_Toc514172667"/>
      <w:r w:rsidRPr="00975C02">
        <w:rPr>
          <w:rFonts w:ascii="Verdana" w:hAnsi="Verdana"/>
          <w:b w:val="0"/>
          <w:i/>
          <w:color w:val="auto"/>
          <w:sz w:val="20"/>
          <w:szCs w:val="20"/>
          <w:lang w:val="es-ES"/>
        </w:rPr>
        <w:t xml:space="preserve">C.3 </w:t>
      </w:r>
      <w:r w:rsidRPr="00975C02">
        <w:rPr>
          <w:rFonts w:ascii="Verdana" w:hAnsi="Verdana"/>
          <w:b w:val="0"/>
          <w:i/>
          <w:color w:val="auto"/>
          <w:sz w:val="20"/>
          <w:szCs w:val="20"/>
          <w:lang w:val="es-ES"/>
        </w:rPr>
        <w:tab/>
        <w:t>Garantías de no repetición</w:t>
      </w:r>
      <w:bookmarkEnd w:id="180"/>
      <w:bookmarkEnd w:id="181"/>
    </w:p>
    <w:p w14:paraId="429160B3" w14:textId="77777777" w:rsidR="00047EC8" w:rsidRPr="00975C02" w:rsidRDefault="00047EC8" w:rsidP="006A271A">
      <w:pPr>
        <w:spacing w:line="240" w:lineRule="auto"/>
        <w:rPr>
          <w:i/>
          <w:sz w:val="20"/>
          <w:szCs w:val="20"/>
          <w:lang w:val="es-ES"/>
        </w:rPr>
      </w:pPr>
    </w:p>
    <w:p w14:paraId="5E37964E" w14:textId="272D007D" w:rsidR="009D661E" w:rsidRPr="00975C02" w:rsidRDefault="00D8602B" w:rsidP="006A271A">
      <w:pPr>
        <w:pStyle w:val="ListParagraph"/>
        <w:numPr>
          <w:ilvl w:val="0"/>
          <w:numId w:val="18"/>
        </w:numPr>
        <w:spacing w:line="240" w:lineRule="auto"/>
        <w:rPr>
          <w:lang w:val="es-ES"/>
        </w:rPr>
      </w:pPr>
      <w:r w:rsidRPr="00975C02">
        <w:rPr>
          <w:i/>
          <w:sz w:val="20"/>
          <w:szCs w:val="20"/>
          <w:lang w:val="es-ES"/>
        </w:rPr>
        <w:t xml:space="preserve">Medidas </w:t>
      </w:r>
      <w:r w:rsidR="00A224C6" w:rsidRPr="00975C02">
        <w:rPr>
          <w:i/>
          <w:sz w:val="20"/>
          <w:szCs w:val="20"/>
          <w:lang w:val="es-ES"/>
        </w:rPr>
        <w:t>para el fortalecimiento de la capacidad institucional para enfrentar de forma integral la violencia sexual contra las niñas</w:t>
      </w:r>
      <w:r w:rsidR="00460450" w:rsidRPr="00975C02">
        <w:rPr>
          <w:i/>
          <w:sz w:val="20"/>
          <w:szCs w:val="20"/>
          <w:lang w:val="es-ES"/>
        </w:rPr>
        <w:t>, niños y adolescentes</w:t>
      </w:r>
    </w:p>
    <w:p w14:paraId="158E2207" w14:textId="77777777" w:rsidR="009D661E" w:rsidRPr="00975C02" w:rsidRDefault="009D661E" w:rsidP="006A271A">
      <w:pPr>
        <w:tabs>
          <w:tab w:val="left" w:pos="567"/>
        </w:tabs>
        <w:spacing w:line="240" w:lineRule="auto"/>
        <w:textAlignment w:val="auto"/>
        <w:rPr>
          <w:rFonts w:eastAsia="MS Mincho"/>
          <w:sz w:val="20"/>
          <w:szCs w:val="20"/>
          <w:lang w:val="es-ES" w:bidi="en-US"/>
        </w:rPr>
      </w:pPr>
    </w:p>
    <w:p w14:paraId="08BC2B68" w14:textId="075F96F4"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cs="Verdana"/>
          <w:b/>
          <w:i/>
          <w:sz w:val="20"/>
          <w:szCs w:val="20"/>
          <w:lang w:val="es-ES" w:bidi="en-US"/>
        </w:rPr>
        <w:t>Comisión</w:t>
      </w:r>
      <w:r w:rsidRPr="00975C02">
        <w:rPr>
          <w:rFonts w:eastAsia="MS Mincho"/>
          <w:sz w:val="20"/>
          <w:szCs w:val="20"/>
          <w:lang w:val="es-ES" w:bidi="en-US"/>
        </w:rPr>
        <w:t xml:space="preserve"> solicitó a</w:t>
      </w:r>
      <w:r w:rsidRPr="00975C02">
        <w:rPr>
          <w:sz w:val="20"/>
          <w:szCs w:val="20"/>
          <w:lang w:val="es-ES"/>
        </w:rPr>
        <w:t xml:space="preserve"> la Corte que ordenara al Estado adoptar políticas públicas y programas institucionales integrados, destinados a enfrentar la violencia contra las mujeres y niñas como forma de discriminación, así como a promover la erradicación de patrones socioculturales discriminatorios que impiden su acceso pleno a la justicia</w:t>
      </w:r>
      <w:r w:rsidR="00F53A54" w:rsidRPr="00975C02">
        <w:rPr>
          <w:sz w:val="20"/>
          <w:szCs w:val="20"/>
          <w:lang w:val="es-ES"/>
        </w:rPr>
        <w:t>.</w:t>
      </w:r>
    </w:p>
    <w:p w14:paraId="35D9E57C"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0345A270" w14:textId="7B0FEC6A"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Asimismo, recomendó </w:t>
      </w:r>
      <w:r w:rsidRPr="00975C02">
        <w:rPr>
          <w:sz w:val="20"/>
          <w:szCs w:val="20"/>
          <w:lang w:val="es-ES"/>
        </w:rPr>
        <w:t>que se orden</w:t>
      </w:r>
      <w:r w:rsidR="002F362A" w:rsidRPr="00975C02">
        <w:rPr>
          <w:sz w:val="20"/>
          <w:szCs w:val="20"/>
          <w:lang w:val="es-ES"/>
        </w:rPr>
        <w:t>ara</w:t>
      </w:r>
      <w:r w:rsidRPr="00975C02">
        <w:rPr>
          <w:sz w:val="20"/>
          <w:szCs w:val="20"/>
          <w:lang w:val="es-ES"/>
        </w:rPr>
        <w:t xml:space="preserve"> al Estado fortalecer la capacidad institucional para combatir la impunidad frente a casos de violación sexual y otras formas de violencia sexual contra mujeres, incluyendo niñas, a través de investigaciones criminales efectivas, con perspectiva de género, garantizando así una adecuada sanción y reparación.</w:t>
      </w:r>
    </w:p>
    <w:p w14:paraId="217554BE" w14:textId="77777777" w:rsidR="009D661E" w:rsidRPr="00975C02" w:rsidRDefault="009D661E" w:rsidP="009D661E">
      <w:pPr>
        <w:tabs>
          <w:tab w:val="left" w:pos="0"/>
          <w:tab w:val="num" w:pos="11028"/>
        </w:tabs>
        <w:spacing w:line="240" w:lineRule="auto"/>
        <w:ind w:right="-90"/>
        <w:rPr>
          <w:rFonts w:eastAsia="MS Mincho"/>
          <w:sz w:val="20"/>
          <w:szCs w:val="20"/>
          <w:lang w:val="es-ES" w:bidi="en-US"/>
        </w:rPr>
      </w:pPr>
    </w:p>
    <w:p w14:paraId="2D40BD64" w14:textId="63F806C8"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solicitaron a la Corte que ordenara al Estado adecuar su legislación interna a los estándares mínimos de la Convención Americana sobre Derechos Humanos, en procura de un debido proceso, especialmente </w:t>
      </w:r>
      <w:r w:rsidR="00930F65" w:rsidRPr="00975C02">
        <w:rPr>
          <w:rFonts w:eastAsia="MS Mincho"/>
          <w:sz w:val="20"/>
          <w:szCs w:val="20"/>
          <w:lang w:val="es-ES" w:bidi="en-US"/>
        </w:rPr>
        <w:t xml:space="preserve">en </w:t>
      </w:r>
      <w:r w:rsidRPr="00975C02">
        <w:rPr>
          <w:rFonts w:eastAsia="MS Mincho"/>
          <w:sz w:val="20"/>
          <w:szCs w:val="20"/>
          <w:lang w:val="es-ES" w:bidi="en-US"/>
        </w:rPr>
        <w:t xml:space="preserve">casos que involucren a </w:t>
      </w:r>
      <w:r w:rsidR="00930F65" w:rsidRPr="00975C02">
        <w:rPr>
          <w:rFonts w:eastAsia="MS Mincho"/>
          <w:sz w:val="20"/>
          <w:szCs w:val="20"/>
          <w:lang w:val="es-ES" w:bidi="en-US"/>
        </w:rPr>
        <w:t xml:space="preserve">personas </w:t>
      </w:r>
      <w:r w:rsidRPr="00975C02">
        <w:rPr>
          <w:rFonts w:eastAsia="MS Mincho"/>
          <w:sz w:val="20"/>
          <w:szCs w:val="20"/>
          <w:lang w:val="es-ES" w:bidi="en-US"/>
        </w:rPr>
        <w:t>menores de edad. Indicaron que los procesos debían ser administrados por personas capacitadas, y que el Estado debía tomar una serie de medidas de protección durante el proceso penal, conforme al derecho internacional, en beneficio de l</w:t>
      </w:r>
      <w:r w:rsidR="00930F65" w:rsidRPr="00975C02">
        <w:rPr>
          <w:rFonts w:eastAsia="MS Mincho"/>
          <w:sz w:val="20"/>
          <w:szCs w:val="20"/>
          <w:lang w:val="es-ES" w:bidi="en-US"/>
        </w:rPr>
        <w:t>a</w:t>
      </w:r>
      <w:r w:rsidRPr="00975C02">
        <w:rPr>
          <w:rFonts w:eastAsia="MS Mincho"/>
          <w:sz w:val="20"/>
          <w:szCs w:val="20"/>
          <w:lang w:val="es-ES" w:bidi="en-US"/>
        </w:rPr>
        <w:t xml:space="preserve">s </w:t>
      </w:r>
      <w:r w:rsidR="00930F65" w:rsidRPr="00975C02">
        <w:rPr>
          <w:rFonts w:eastAsia="MS Mincho"/>
          <w:sz w:val="20"/>
          <w:szCs w:val="20"/>
          <w:lang w:val="es-ES" w:bidi="en-US"/>
        </w:rPr>
        <w:t xml:space="preserve">personas </w:t>
      </w:r>
      <w:r w:rsidRPr="00975C02">
        <w:rPr>
          <w:rFonts w:eastAsia="MS Mincho"/>
          <w:sz w:val="20"/>
          <w:szCs w:val="20"/>
          <w:lang w:val="es-ES" w:bidi="en-US"/>
        </w:rPr>
        <w:t>menores de edad, para evitar su revictimización. Señalaron</w:t>
      </w:r>
      <w:r w:rsidR="00930F65" w:rsidRPr="00975C02">
        <w:rPr>
          <w:rFonts w:eastAsia="MS Mincho"/>
          <w:sz w:val="20"/>
          <w:szCs w:val="20"/>
          <w:lang w:val="es-ES" w:bidi="en-US"/>
        </w:rPr>
        <w:t>,</w:t>
      </w:r>
      <w:r w:rsidRPr="00975C02">
        <w:rPr>
          <w:rFonts w:eastAsia="MS Mincho"/>
          <w:sz w:val="20"/>
          <w:szCs w:val="20"/>
          <w:lang w:val="es-ES" w:bidi="en-US"/>
        </w:rPr>
        <w:t xml:space="preserve"> además</w:t>
      </w:r>
      <w:r w:rsidR="00930F65" w:rsidRPr="00975C02">
        <w:rPr>
          <w:rFonts w:eastAsia="MS Mincho"/>
          <w:sz w:val="20"/>
          <w:szCs w:val="20"/>
          <w:lang w:val="es-ES" w:bidi="en-US"/>
        </w:rPr>
        <w:t>,</w:t>
      </w:r>
      <w:r w:rsidRPr="00975C02">
        <w:rPr>
          <w:rFonts w:eastAsia="MS Mincho"/>
          <w:sz w:val="20"/>
          <w:szCs w:val="20"/>
          <w:lang w:val="es-ES" w:bidi="en-US"/>
        </w:rPr>
        <w:t xml:space="preserve"> que la protección del Estado no debió reducirse a la acción judicial, sino que debieron adoptarse medidas de tipo administrativo para resguardar a la víctima de incesto con el fin de que se logre su reintegración social.</w:t>
      </w:r>
    </w:p>
    <w:p w14:paraId="27AE70EF" w14:textId="77777777" w:rsidR="009D661E" w:rsidRPr="00975C02" w:rsidRDefault="009D661E" w:rsidP="009D661E">
      <w:pPr>
        <w:pStyle w:val="ListParagraph"/>
        <w:spacing w:line="240" w:lineRule="auto"/>
        <w:rPr>
          <w:sz w:val="20"/>
          <w:szCs w:val="20"/>
          <w:lang w:val="es-ES"/>
        </w:rPr>
      </w:pPr>
    </w:p>
    <w:p w14:paraId="6A2F3EDD" w14:textId="6785A03B"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adujo que, con la finalidad de hacer frente a la violencia contra la mujer y las niñas, modernizó su legislación, haciéndola más eficaz y garante para la víctima, pues sustituyó el sistema inquisitivo por formas orales y públicas de hacer justicia, además de incrementar las penas para los delitos. En este sentido, agregó que</w:t>
      </w:r>
      <w:r w:rsidR="006944C6" w:rsidRPr="00975C02">
        <w:rPr>
          <w:rFonts w:eastAsia="MS Mincho"/>
          <w:sz w:val="20"/>
          <w:szCs w:val="20"/>
          <w:lang w:val="es-ES" w:bidi="en-US"/>
        </w:rPr>
        <w:t>,</w:t>
      </w:r>
      <w:r w:rsidRPr="00975C02">
        <w:rPr>
          <w:rFonts w:eastAsia="MS Mincho"/>
          <w:sz w:val="20"/>
          <w:szCs w:val="20"/>
          <w:lang w:val="es-ES" w:bidi="en-US"/>
        </w:rPr>
        <w:t xml:space="preserve"> en el año 2001</w:t>
      </w:r>
      <w:r w:rsidR="006944C6" w:rsidRPr="00975C02">
        <w:rPr>
          <w:rFonts w:eastAsia="MS Mincho"/>
          <w:sz w:val="20"/>
          <w:szCs w:val="20"/>
          <w:lang w:val="es-ES" w:bidi="en-US"/>
        </w:rPr>
        <w:t>,</w:t>
      </w:r>
      <w:r w:rsidRPr="00975C02">
        <w:rPr>
          <w:rFonts w:eastAsia="MS Mincho"/>
          <w:sz w:val="20"/>
          <w:szCs w:val="20"/>
          <w:lang w:val="es-ES" w:bidi="en-US"/>
        </w:rPr>
        <w:t xml:space="preserve"> se promulgó el Código Procesal Penal mediante la Ley N° 406, basado en los principios de oralidad e inmediación que garantizan a la víctima el acceso a la justicia</w:t>
      </w:r>
      <w:r w:rsidR="003F2657" w:rsidRPr="00975C02">
        <w:rPr>
          <w:rFonts w:eastAsia="MS Mincho"/>
          <w:sz w:val="20"/>
          <w:szCs w:val="20"/>
          <w:lang w:val="es-ES" w:bidi="en-US"/>
        </w:rPr>
        <w:t>,</w:t>
      </w:r>
      <w:r w:rsidRPr="00975C02">
        <w:rPr>
          <w:rFonts w:eastAsia="MS Mincho"/>
          <w:sz w:val="20"/>
          <w:szCs w:val="20"/>
          <w:lang w:val="es-ES" w:bidi="en-US"/>
        </w:rPr>
        <w:t xml:space="preserve"> y al acusado el derecho a ser juzgado sin dilación</w:t>
      </w:r>
      <w:r w:rsidR="00F53A54" w:rsidRPr="00975C02">
        <w:rPr>
          <w:rFonts w:eastAsia="MS Mincho"/>
          <w:sz w:val="20"/>
          <w:szCs w:val="20"/>
          <w:lang w:val="es-ES" w:bidi="en-US"/>
        </w:rPr>
        <w:t>.</w:t>
      </w:r>
      <w:r w:rsidRPr="00975C02">
        <w:rPr>
          <w:rFonts w:eastAsia="MS Mincho"/>
          <w:sz w:val="20"/>
          <w:szCs w:val="20"/>
          <w:lang w:val="es-ES" w:bidi="en-US"/>
        </w:rPr>
        <w:t xml:space="preserve"> Además, en el año 2008 se promulgó el Código Penal de Nicaragua, en el que se incrementaron las penas de diversos delitos y que constituye una herramienta para prevenir y detener los abusos sexuales, especialmente contra niñas, adolescentes y mujeres</w:t>
      </w:r>
      <w:r w:rsidR="00F53A54" w:rsidRPr="00975C02">
        <w:rPr>
          <w:rFonts w:eastAsia="MS Mincho"/>
          <w:sz w:val="20"/>
          <w:szCs w:val="20"/>
          <w:lang w:val="es-ES" w:bidi="en-US"/>
        </w:rPr>
        <w:t>.</w:t>
      </w:r>
      <w:r w:rsidRPr="00975C02">
        <w:rPr>
          <w:rFonts w:eastAsia="MS Mincho"/>
          <w:sz w:val="20"/>
          <w:szCs w:val="20"/>
          <w:lang w:val="es-ES" w:bidi="en-US"/>
        </w:rPr>
        <w:t xml:space="preserve"> Por otro lado, señaló que la </w:t>
      </w:r>
      <w:r w:rsidR="00CB5403">
        <w:rPr>
          <w:rFonts w:eastAsia="MS Mincho"/>
          <w:sz w:val="20"/>
          <w:szCs w:val="20"/>
          <w:lang w:val="es-ES" w:bidi="en-US"/>
        </w:rPr>
        <w:t>Ley N°</w:t>
      </w:r>
      <w:r w:rsidRPr="00975C02">
        <w:rPr>
          <w:rFonts w:eastAsia="MS Mincho"/>
          <w:sz w:val="20"/>
          <w:szCs w:val="20"/>
          <w:lang w:val="es-ES" w:bidi="en-US"/>
        </w:rPr>
        <w:t xml:space="preserve"> 779 tiene como objetivo principal proteger los derechos de las mujeres y garantizarles una vida libre de violencia, conforme a los principios de igualdad y no discriminación</w:t>
      </w:r>
      <w:r w:rsidR="002F7A4C" w:rsidRPr="00975C02">
        <w:rPr>
          <w:rFonts w:eastAsia="MS Mincho"/>
          <w:sz w:val="20"/>
          <w:szCs w:val="20"/>
          <w:lang w:val="es-ES" w:bidi="en-US"/>
        </w:rPr>
        <w:t>. Esa norma creó</w:t>
      </w:r>
      <w:r w:rsidRPr="00975C02">
        <w:rPr>
          <w:rFonts w:eastAsia="MS Mincho"/>
          <w:sz w:val="20"/>
          <w:szCs w:val="20"/>
          <w:lang w:val="es-ES" w:bidi="en-US"/>
        </w:rPr>
        <w:t xml:space="preserve"> nuevos delitos en materia penal, así como medidas de seguridad</w:t>
      </w:r>
      <w:r w:rsidR="00F53A54" w:rsidRPr="00975C02">
        <w:rPr>
          <w:rFonts w:eastAsia="MS Mincho"/>
          <w:sz w:val="20"/>
          <w:szCs w:val="20"/>
          <w:lang w:val="es-ES" w:bidi="en-US"/>
        </w:rPr>
        <w:t>.</w:t>
      </w:r>
      <w:r w:rsidRPr="00975C02">
        <w:rPr>
          <w:rFonts w:eastAsia="MS Mincho"/>
          <w:sz w:val="20"/>
          <w:szCs w:val="20"/>
          <w:lang w:val="es-ES" w:bidi="en-US"/>
        </w:rPr>
        <w:t xml:space="preserve"> Asimismo, el Estado señaló que se creó una política </w:t>
      </w:r>
      <w:r w:rsidR="002F7A4C" w:rsidRPr="00975C02">
        <w:rPr>
          <w:rFonts w:eastAsia="MS Mincho"/>
          <w:sz w:val="20"/>
          <w:szCs w:val="20"/>
          <w:lang w:val="es-ES" w:bidi="en-US"/>
        </w:rPr>
        <w:t>pública</w:t>
      </w:r>
      <w:r w:rsidRPr="00975C02">
        <w:rPr>
          <w:rFonts w:eastAsia="MS Mincho"/>
          <w:sz w:val="20"/>
          <w:szCs w:val="20"/>
          <w:lang w:val="es-ES" w:bidi="en-US"/>
        </w:rPr>
        <w:t xml:space="preserve"> para el fortalecimiento de la familia y prevención de la violencia, cuyo objetivo es la promoción, protección y restitución de los derechos humanos de las familias, mujeres, niñas, niños y adolescentes, garantizando una vida libre de violencia y estableciendo medidas integrales para prevenir, sancionar y erradicar progresivamente la violencia a través de la atención a las víctimas e impulsando cambios en los patrones socioculturales. Esta política cuenta con estrategias de prevención, atención, coordinación interinstitucional, fortalecimiento institucional, comunicación y, finalmente, de articulación territorial y comunitaria</w:t>
      </w:r>
      <w:r w:rsidR="00F53A54" w:rsidRPr="00975C02">
        <w:rPr>
          <w:rFonts w:eastAsia="MS Mincho"/>
          <w:sz w:val="20"/>
          <w:szCs w:val="20"/>
          <w:lang w:val="es-ES" w:bidi="en-US"/>
        </w:rPr>
        <w:t>.</w:t>
      </w:r>
    </w:p>
    <w:p w14:paraId="318B8D69"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51BCC8EA" w14:textId="48E20937" w:rsidR="009D661E" w:rsidRPr="00975C02" w:rsidRDefault="00F91E64"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Nicaragua a</w:t>
      </w:r>
      <w:r w:rsidR="009D661E" w:rsidRPr="00975C02">
        <w:rPr>
          <w:rFonts w:eastAsia="MS Mincho"/>
          <w:sz w:val="20"/>
          <w:szCs w:val="20"/>
          <w:lang w:val="es-ES" w:bidi="en-US"/>
        </w:rPr>
        <w:t xml:space="preserve">gregó que, con la finalidad de disminuir los índices de impunidad, ha venido desarrollando a través del Poder Judicial, políticas, programas y buenas prácticas que reflejan el </w:t>
      </w:r>
      <w:r w:rsidR="009D661E" w:rsidRPr="00975C02">
        <w:rPr>
          <w:rFonts w:eastAsia="MS Mincho"/>
          <w:sz w:val="20"/>
          <w:szCs w:val="20"/>
          <w:lang w:val="es-ES" w:bidi="en-US"/>
        </w:rPr>
        <w:lastRenderedPageBreak/>
        <w:t>reconocimiento de los derechos de las personas en situación de vulnerabilidad que hacen uso de los servicios judiciales, además de aplicar el contenido de las 100 Reglas de Brasilia</w:t>
      </w:r>
      <w:r w:rsidR="00F53A54" w:rsidRPr="00975C02">
        <w:rPr>
          <w:rFonts w:eastAsia="MS Mincho"/>
          <w:sz w:val="20"/>
          <w:szCs w:val="20"/>
          <w:lang w:val="es-ES" w:bidi="en-US"/>
        </w:rPr>
        <w:t>.</w:t>
      </w:r>
      <w:r w:rsidR="009D661E" w:rsidRPr="00975C02">
        <w:rPr>
          <w:rFonts w:eastAsia="MS Mincho"/>
          <w:sz w:val="20"/>
          <w:szCs w:val="20"/>
          <w:lang w:val="es-ES" w:bidi="en-US"/>
        </w:rPr>
        <w:t xml:space="preserve"> Precisó que el Poder Judicial cuenta con un Plan Estratégico Decenal 2012-2021 para aumentar el acceso a la justicia de la población, en especial de las personas en estado de vulnerabilidad, con un enfoque y perspectiva de género</w:t>
      </w:r>
      <w:r w:rsidRPr="00975C02">
        <w:rPr>
          <w:rFonts w:eastAsia="MS Mincho"/>
          <w:sz w:val="20"/>
          <w:szCs w:val="20"/>
          <w:lang w:val="es-ES" w:bidi="en-US"/>
        </w:rPr>
        <w:t>. Los</w:t>
      </w:r>
      <w:r w:rsidR="009D661E" w:rsidRPr="00975C02">
        <w:rPr>
          <w:rFonts w:eastAsia="MS Mincho"/>
          <w:sz w:val="20"/>
          <w:szCs w:val="20"/>
          <w:lang w:val="es-ES" w:bidi="en-US"/>
        </w:rPr>
        <w:t xml:space="preserve"> principales lineamientos</w:t>
      </w:r>
      <w:r w:rsidRPr="00975C02">
        <w:rPr>
          <w:rFonts w:eastAsia="MS Mincho"/>
          <w:sz w:val="20"/>
          <w:szCs w:val="20"/>
          <w:lang w:val="es-ES" w:bidi="en-US"/>
        </w:rPr>
        <w:t xml:space="preserve"> de este plan son</w:t>
      </w:r>
      <w:r w:rsidR="009D661E" w:rsidRPr="00975C02">
        <w:rPr>
          <w:rFonts w:eastAsia="MS Mincho"/>
          <w:sz w:val="20"/>
          <w:szCs w:val="20"/>
          <w:lang w:val="es-ES" w:bidi="en-US"/>
        </w:rPr>
        <w:t>: continuar con la reducción de la retardación de la administración de justicia</w:t>
      </w:r>
      <w:r w:rsidRPr="00975C02">
        <w:rPr>
          <w:rFonts w:eastAsia="MS Mincho"/>
          <w:sz w:val="20"/>
          <w:szCs w:val="20"/>
          <w:lang w:val="es-ES" w:bidi="en-US"/>
        </w:rPr>
        <w:t>;</w:t>
      </w:r>
      <w:r w:rsidR="009D661E" w:rsidRPr="00975C02">
        <w:rPr>
          <w:rFonts w:eastAsia="MS Mincho"/>
          <w:sz w:val="20"/>
          <w:szCs w:val="20"/>
          <w:lang w:val="es-ES" w:bidi="en-US"/>
        </w:rPr>
        <w:t xml:space="preserve"> garantizar a las partes la seguridad de que sus casos serán resueltos conforme a las leyes y con imparcialidad</w:t>
      </w:r>
      <w:r w:rsidRPr="00975C02">
        <w:rPr>
          <w:rFonts w:eastAsia="MS Mincho"/>
          <w:sz w:val="20"/>
          <w:szCs w:val="20"/>
          <w:lang w:val="es-ES" w:bidi="en-US"/>
        </w:rPr>
        <w:t>;</w:t>
      </w:r>
      <w:r w:rsidR="009D661E" w:rsidRPr="00975C02">
        <w:rPr>
          <w:rFonts w:eastAsia="MS Mincho"/>
          <w:sz w:val="20"/>
          <w:szCs w:val="20"/>
          <w:lang w:val="es-ES" w:bidi="en-US"/>
        </w:rPr>
        <w:t xml:space="preserve"> facilitar el acceso a la justicia de la ciudadanía sin discriminación alguna y, finalmente, desarrollar la coordinación interinstitucional con el sector justicia y con otros poderes del Estado. Manifestó que la especialización y sensibilización de los y las funcionarias judiciales ha facilitado el acceso a la justicia de las víctimas con mayor confianza en el sistema de administración de justicia, en especial de las mujeres y la niñez</w:t>
      </w:r>
      <w:r w:rsidR="002C4AD1" w:rsidRPr="00975C02">
        <w:rPr>
          <w:rFonts w:eastAsia="MS Mincho"/>
          <w:sz w:val="20"/>
          <w:szCs w:val="20"/>
          <w:lang w:val="es-ES" w:bidi="en-US"/>
        </w:rPr>
        <w:t>.</w:t>
      </w:r>
      <w:r w:rsidR="009D661E" w:rsidRPr="00975C02">
        <w:rPr>
          <w:rFonts w:eastAsia="MS Mincho"/>
          <w:sz w:val="20"/>
          <w:szCs w:val="20"/>
          <w:lang w:val="es-ES" w:bidi="en-US"/>
        </w:rPr>
        <w:t xml:space="preserve"> </w:t>
      </w:r>
      <w:r w:rsidR="002C4AD1" w:rsidRPr="00975C02">
        <w:rPr>
          <w:rFonts w:eastAsia="MS Mincho"/>
          <w:sz w:val="20"/>
          <w:szCs w:val="20"/>
          <w:lang w:val="es-ES" w:bidi="en-US"/>
        </w:rPr>
        <w:t>A</w:t>
      </w:r>
      <w:r w:rsidR="009D661E" w:rsidRPr="00975C02">
        <w:rPr>
          <w:rFonts w:eastAsia="MS Mincho"/>
          <w:sz w:val="20"/>
          <w:szCs w:val="20"/>
          <w:lang w:val="es-ES" w:bidi="en-US"/>
        </w:rPr>
        <w:t xml:space="preserve">sí, </w:t>
      </w:r>
      <w:r w:rsidR="002C4AD1" w:rsidRPr="00975C02">
        <w:rPr>
          <w:rFonts w:eastAsia="MS Mincho"/>
          <w:sz w:val="20"/>
          <w:szCs w:val="20"/>
          <w:lang w:val="es-ES" w:bidi="en-US"/>
        </w:rPr>
        <w:t xml:space="preserve">de forma paulatina, </w:t>
      </w:r>
      <w:r w:rsidR="009D661E" w:rsidRPr="00975C02">
        <w:rPr>
          <w:rFonts w:eastAsia="MS Mincho"/>
          <w:sz w:val="20"/>
          <w:szCs w:val="20"/>
          <w:lang w:val="es-ES" w:bidi="en-US"/>
        </w:rPr>
        <w:t>se han creado los juzgados especializados en violencia de género, familia y justicia penal de adolescentes, en los 17 departamentos del país. El Estado alegó, además, que desde el año 2005, en el Ministerio Público se creó la Unidad Especializada contra los Delitos de Violencia de Género, de competencia nacional, con fiscales especializados en cada sede departamental, la que ejerce la acción penal defendiendo los derechos de las víctimas desde la investigación hasta la culminación del proceso judicial.</w:t>
      </w:r>
    </w:p>
    <w:p w14:paraId="527495B1" w14:textId="77777777" w:rsidR="009D661E" w:rsidRPr="00975C02" w:rsidRDefault="009D661E" w:rsidP="009D661E">
      <w:pPr>
        <w:pStyle w:val="ListParagraph"/>
        <w:spacing w:line="240" w:lineRule="auto"/>
        <w:ind w:left="0"/>
        <w:rPr>
          <w:rFonts w:eastAsia="MS Mincho"/>
          <w:sz w:val="20"/>
          <w:szCs w:val="20"/>
          <w:lang w:val="es-ES" w:bidi="en-US"/>
        </w:rPr>
      </w:pPr>
    </w:p>
    <w:p w14:paraId="5D9F9B97" w14:textId="77777777" w:rsidR="009D661E" w:rsidRPr="00975C02" w:rsidRDefault="009D661E" w:rsidP="009D661E">
      <w:pPr>
        <w:pStyle w:val="ListParagraph"/>
        <w:spacing w:line="240" w:lineRule="auto"/>
        <w:ind w:left="0" w:firstLine="720"/>
        <w:rPr>
          <w:rFonts w:eastAsia="MS Mincho"/>
          <w:i/>
          <w:sz w:val="20"/>
          <w:szCs w:val="20"/>
          <w:lang w:val="es-ES" w:bidi="en-US"/>
        </w:rPr>
      </w:pPr>
      <w:r w:rsidRPr="00975C02">
        <w:rPr>
          <w:rFonts w:eastAsia="MS Mincho"/>
          <w:i/>
          <w:sz w:val="20"/>
          <w:szCs w:val="20"/>
          <w:lang w:val="es-ES" w:bidi="en-US"/>
        </w:rPr>
        <w:t>Consideraciones de la Corte</w:t>
      </w:r>
    </w:p>
    <w:p w14:paraId="4F20C619" w14:textId="77777777" w:rsidR="009D661E" w:rsidRPr="00975C02" w:rsidRDefault="009D661E" w:rsidP="009D661E">
      <w:pPr>
        <w:pStyle w:val="ListParagraph"/>
        <w:spacing w:line="240" w:lineRule="auto"/>
        <w:ind w:left="0"/>
        <w:rPr>
          <w:rFonts w:eastAsia="MS Mincho"/>
          <w:i/>
          <w:sz w:val="20"/>
          <w:szCs w:val="20"/>
          <w:lang w:val="es-ES" w:bidi="en-US"/>
        </w:rPr>
      </w:pPr>
    </w:p>
    <w:p w14:paraId="375C898B" w14:textId="61F9B04C" w:rsidR="00632FC4" w:rsidRPr="00975C02" w:rsidRDefault="00AE1EEC" w:rsidP="009D661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La Corte nota que el Estado remitió documentación diversa relativa a normativa interna en relación con sus esfuerzos para prevenir, sancionar y erradicar la violencia de género, en particular la violación sexual, a través de legislación, circulares y directrices del Fiscal General, manuales de procedimiento de la Policía Nacional, normas técnicas, protocolos, decretos de Presidencia, entre otros. De igual manera, la Corte nota que parte de esta normativa incluye ciertos criterios generales sobre el tratamiento y atención a niñas, niños y adolescentes víctimas de violencia sexual e intrafamiliar</w:t>
      </w:r>
      <w:r w:rsidRPr="00975C02">
        <w:rPr>
          <w:rStyle w:val="FootnoteReference"/>
          <w:sz w:val="20"/>
          <w:szCs w:val="20"/>
          <w:lang w:val="es-ES"/>
        </w:rPr>
        <w:footnoteReference w:id="433"/>
      </w:r>
      <w:r w:rsidRPr="00975C02">
        <w:rPr>
          <w:sz w:val="20"/>
          <w:szCs w:val="20"/>
          <w:lang w:val="es-ES"/>
        </w:rPr>
        <w:t>.</w:t>
      </w:r>
    </w:p>
    <w:p w14:paraId="741578E1" w14:textId="77777777" w:rsidR="00632FC4" w:rsidRPr="00975C02" w:rsidRDefault="00632FC4" w:rsidP="00DF3D71">
      <w:pPr>
        <w:tabs>
          <w:tab w:val="left" w:pos="567"/>
        </w:tabs>
        <w:spacing w:line="240" w:lineRule="auto"/>
        <w:textAlignment w:val="auto"/>
        <w:rPr>
          <w:sz w:val="20"/>
          <w:szCs w:val="20"/>
          <w:lang w:val="es-ES"/>
        </w:rPr>
      </w:pPr>
    </w:p>
    <w:p w14:paraId="76CB3257" w14:textId="055B8215" w:rsidR="009D661E" w:rsidRPr="00975C02" w:rsidRDefault="009D661E" w:rsidP="002A43A0">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Asimismo, </w:t>
      </w:r>
      <w:r w:rsidR="00632FC4" w:rsidRPr="00975C02">
        <w:rPr>
          <w:sz w:val="20"/>
          <w:szCs w:val="20"/>
          <w:lang w:val="es-ES"/>
        </w:rPr>
        <w:t xml:space="preserve">conforme a la </w:t>
      </w:r>
      <w:r w:rsidR="00CB5403">
        <w:rPr>
          <w:sz w:val="20"/>
          <w:szCs w:val="20"/>
          <w:lang w:val="es-ES"/>
        </w:rPr>
        <w:t>Ley N°</w:t>
      </w:r>
      <w:r w:rsidR="00632FC4" w:rsidRPr="00975C02">
        <w:rPr>
          <w:sz w:val="20"/>
          <w:szCs w:val="20"/>
          <w:lang w:val="es-ES"/>
        </w:rPr>
        <w:t xml:space="preserve"> 779, </w:t>
      </w:r>
      <w:r w:rsidR="00980760" w:rsidRPr="00975C02">
        <w:rPr>
          <w:sz w:val="20"/>
          <w:szCs w:val="20"/>
          <w:lang w:val="es-ES"/>
        </w:rPr>
        <w:t xml:space="preserve">“Ley Integral Contra la Violencia hacia las Mujeres y de Reformas a la </w:t>
      </w:r>
      <w:r w:rsidR="00CB5403">
        <w:rPr>
          <w:sz w:val="20"/>
          <w:szCs w:val="20"/>
          <w:lang w:val="es-ES"/>
        </w:rPr>
        <w:t>Ley N°</w:t>
      </w:r>
      <w:r w:rsidR="00980760" w:rsidRPr="00975C02">
        <w:rPr>
          <w:sz w:val="20"/>
          <w:szCs w:val="20"/>
          <w:lang w:val="es-ES"/>
        </w:rPr>
        <w:t xml:space="preserve"> 641, ‘Código Penal’”</w:t>
      </w:r>
      <w:r w:rsidR="000C09FE" w:rsidRPr="00975C02">
        <w:rPr>
          <w:sz w:val="20"/>
          <w:szCs w:val="20"/>
          <w:lang w:val="es-ES"/>
        </w:rPr>
        <w:t xml:space="preserve"> y su decreto reglamentario</w:t>
      </w:r>
      <w:r w:rsidR="00632FC4" w:rsidRPr="00975C02">
        <w:rPr>
          <w:sz w:val="20"/>
          <w:szCs w:val="20"/>
          <w:lang w:val="es-ES"/>
        </w:rPr>
        <w:t xml:space="preserve">, se crearon los juzgados de distrito especializados en materia de violencia, integrados por un juez o jueza especializada en la materia, así como equipos interdisciplinarios de atención a la víctima, </w:t>
      </w:r>
      <w:r w:rsidR="000C09FE" w:rsidRPr="00975C02">
        <w:rPr>
          <w:sz w:val="20"/>
          <w:szCs w:val="20"/>
          <w:lang w:val="es-ES"/>
        </w:rPr>
        <w:t xml:space="preserve">compuestos </w:t>
      </w:r>
      <w:r w:rsidR="00632FC4" w:rsidRPr="00975C02">
        <w:rPr>
          <w:sz w:val="20"/>
          <w:szCs w:val="20"/>
          <w:lang w:val="es-ES"/>
        </w:rPr>
        <w:t>al menos por una psicóloga y una trabajadora social, encargados de brindar asistencia especializada, en apoyo de la función jurisdiccional en las audiencias, y para brindar seguimiento y control de las medidas de protección impuestas por el juzgado</w:t>
      </w:r>
      <w:r w:rsidR="000C09FE" w:rsidRPr="00975C02">
        <w:rPr>
          <w:rStyle w:val="FootnoteReference"/>
          <w:sz w:val="20"/>
          <w:szCs w:val="20"/>
          <w:lang w:val="es-ES"/>
        </w:rPr>
        <w:footnoteReference w:id="434"/>
      </w:r>
      <w:r w:rsidR="00632FC4" w:rsidRPr="00975C02">
        <w:rPr>
          <w:sz w:val="20"/>
          <w:szCs w:val="20"/>
          <w:lang w:val="es-ES"/>
        </w:rPr>
        <w:t xml:space="preserve">. </w:t>
      </w:r>
      <w:r w:rsidR="002A43A0" w:rsidRPr="00975C02">
        <w:rPr>
          <w:sz w:val="20"/>
          <w:szCs w:val="20"/>
          <w:lang w:val="es-ES"/>
        </w:rPr>
        <w:t>De igual manera, de acuerdo</w:t>
      </w:r>
      <w:r w:rsidR="00632FC4" w:rsidRPr="00975C02">
        <w:rPr>
          <w:sz w:val="20"/>
          <w:szCs w:val="20"/>
          <w:lang w:val="es-ES"/>
        </w:rPr>
        <w:t xml:space="preserve"> </w:t>
      </w:r>
      <w:r w:rsidR="002A43A0" w:rsidRPr="00975C02">
        <w:rPr>
          <w:sz w:val="20"/>
          <w:szCs w:val="20"/>
          <w:lang w:val="es-ES"/>
        </w:rPr>
        <w:t>con</w:t>
      </w:r>
      <w:r w:rsidR="008E2E79" w:rsidRPr="00975C02">
        <w:rPr>
          <w:sz w:val="20"/>
          <w:szCs w:val="20"/>
          <w:lang w:val="es-ES"/>
        </w:rPr>
        <w:t xml:space="preserve"> el mencionado </w:t>
      </w:r>
      <w:r w:rsidR="008E2E79" w:rsidRPr="00975C02">
        <w:rPr>
          <w:sz w:val="20"/>
          <w:szCs w:val="20"/>
          <w:lang w:val="es-ES"/>
        </w:rPr>
        <w:lastRenderedPageBreak/>
        <w:t>reglamento y otro</w:t>
      </w:r>
      <w:r w:rsidRPr="00975C02">
        <w:rPr>
          <w:sz w:val="20"/>
          <w:szCs w:val="20"/>
          <w:lang w:val="es-ES"/>
        </w:rPr>
        <w:t xml:space="preserve"> decreto, Nicaragua habría adoptado una política </w:t>
      </w:r>
      <w:r w:rsidR="008E2E79" w:rsidRPr="00975C02">
        <w:rPr>
          <w:sz w:val="20"/>
          <w:szCs w:val="20"/>
          <w:lang w:val="es-ES"/>
        </w:rPr>
        <w:t>pública</w:t>
      </w:r>
      <w:r w:rsidRPr="00975C02">
        <w:rPr>
          <w:sz w:val="20"/>
          <w:szCs w:val="20"/>
          <w:lang w:val="es-ES"/>
        </w:rPr>
        <w:t xml:space="preserve"> para el fortalecimiento de la familia nicaragüense y prevención de la violencia, mediante los cuales se establecen distintas estrategias (de prevención, atención, coordinación institucional, fortalecimiento institucional, articulación territorial y comunitaria, de comunicación, investigación y resarcimiento) para lograr prevenir la violencia. Entre ellas, se establece incluir en los sistemas educativos, de salud, institucionales, entre otros, líneas de acción para una educación con </w:t>
      </w:r>
      <w:r w:rsidR="008E2E79" w:rsidRPr="00975C02">
        <w:rPr>
          <w:sz w:val="20"/>
          <w:szCs w:val="20"/>
          <w:lang w:val="es-ES"/>
        </w:rPr>
        <w:t>perspectiva de</w:t>
      </w:r>
      <w:r w:rsidRPr="00975C02">
        <w:rPr>
          <w:sz w:val="20"/>
          <w:szCs w:val="20"/>
          <w:lang w:val="es-ES"/>
        </w:rPr>
        <w:t xml:space="preserve"> derechos humanos</w:t>
      </w:r>
      <w:r w:rsidR="008E2E79" w:rsidRPr="00975C02">
        <w:rPr>
          <w:sz w:val="20"/>
          <w:szCs w:val="20"/>
          <w:lang w:val="es-ES"/>
        </w:rPr>
        <w:t>,</w:t>
      </w:r>
      <w:r w:rsidRPr="00975C02">
        <w:rPr>
          <w:sz w:val="20"/>
          <w:szCs w:val="20"/>
          <w:lang w:val="es-ES"/>
        </w:rPr>
        <w:t xml:space="preserve"> que promueva la igualdad y no discriminación entre hombres y mujeres, </w:t>
      </w:r>
      <w:r w:rsidR="008E2E79" w:rsidRPr="00975C02">
        <w:rPr>
          <w:sz w:val="20"/>
          <w:szCs w:val="20"/>
          <w:lang w:val="es-ES"/>
        </w:rPr>
        <w:t xml:space="preserve">e </w:t>
      </w:r>
      <w:r w:rsidRPr="00975C02">
        <w:rPr>
          <w:sz w:val="20"/>
          <w:szCs w:val="20"/>
          <w:lang w:val="es-ES"/>
        </w:rPr>
        <w:t>impuls</w:t>
      </w:r>
      <w:r w:rsidR="008E2E79" w:rsidRPr="00975C02">
        <w:rPr>
          <w:sz w:val="20"/>
          <w:szCs w:val="20"/>
          <w:lang w:val="es-ES"/>
        </w:rPr>
        <w:t>e</w:t>
      </w:r>
      <w:r w:rsidRPr="00975C02">
        <w:rPr>
          <w:sz w:val="20"/>
          <w:szCs w:val="20"/>
          <w:lang w:val="es-ES"/>
        </w:rPr>
        <w:t xml:space="preserve"> cambios en los patrones socioculturales</w:t>
      </w:r>
      <w:r w:rsidRPr="00975C02">
        <w:rPr>
          <w:rStyle w:val="FootnoteReference"/>
          <w:sz w:val="20"/>
          <w:szCs w:val="20"/>
          <w:lang w:val="es-ES"/>
        </w:rPr>
        <w:footnoteReference w:id="435"/>
      </w:r>
      <w:r w:rsidRPr="00975C02">
        <w:rPr>
          <w:sz w:val="20"/>
          <w:szCs w:val="20"/>
          <w:lang w:val="es-ES"/>
        </w:rPr>
        <w:t>.</w:t>
      </w:r>
    </w:p>
    <w:p w14:paraId="6C57354E" w14:textId="77777777" w:rsidR="009D661E" w:rsidRPr="00975C02" w:rsidRDefault="009D661E" w:rsidP="009D661E">
      <w:pPr>
        <w:tabs>
          <w:tab w:val="left" w:pos="567"/>
        </w:tabs>
        <w:spacing w:line="240" w:lineRule="auto"/>
        <w:textAlignment w:val="auto"/>
        <w:rPr>
          <w:sz w:val="20"/>
          <w:szCs w:val="20"/>
          <w:lang w:val="es-ES"/>
        </w:rPr>
      </w:pPr>
    </w:p>
    <w:p w14:paraId="68A4DB5B" w14:textId="5A9499F4"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El Tribunal valora los esfuerzos del Estado para adoptar legislación, otros actos jurídicos, instituciones y políticas públicas orientadas a combatir la violencia por razón de género, así como su esfuerzo por adecuar su sistema en materia de investigación penal y procesal penal</w:t>
      </w:r>
      <w:r w:rsidR="005A4608" w:rsidRPr="00975C02">
        <w:rPr>
          <w:sz w:val="20"/>
          <w:szCs w:val="20"/>
          <w:lang w:val="es-ES"/>
        </w:rPr>
        <w:t>.</w:t>
      </w:r>
      <w:r w:rsidRPr="00975C02">
        <w:rPr>
          <w:sz w:val="20"/>
          <w:szCs w:val="20"/>
          <w:lang w:val="es-ES"/>
        </w:rPr>
        <w:t xml:space="preserve"> </w:t>
      </w:r>
      <w:r w:rsidRPr="00975C02">
        <w:rPr>
          <w:rFonts w:eastAsia="Calibri"/>
          <w:sz w:val="20"/>
          <w:szCs w:val="20"/>
          <w:lang w:val="es-ES"/>
        </w:rPr>
        <w:t>Estos avances constituyen indicadores estructurales relacionados con la adopción de medidas que, en principio, tienen como objetivo enfrentar la violencia y discriminación contra la mujer y las niñas, o que su aplicación coadyuva a ello</w:t>
      </w:r>
      <w:r w:rsidRPr="00975C02">
        <w:rPr>
          <w:rFonts w:eastAsia="Calibri" w:cs="Verdana"/>
          <w:sz w:val="20"/>
          <w:szCs w:val="20"/>
          <w:vertAlign w:val="superscript"/>
          <w:lang w:val="es-ES"/>
        </w:rPr>
        <w:footnoteReference w:id="436"/>
      </w:r>
      <w:r w:rsidRPr="00975C02">
        <w:rPr>
          <w:sz w:val="20"/>
          <w:szCs w:val="20"/>
          <w:lang w:val="es-ES"/>
        </w:rPr>
        <w:t>.</w:t>
      </w:r>
    </w:p>
    <w:p w14:paraId="1780332A" w14:textId="77777777" w:rsidR="009D661E" w:rsidRPr="00975C02" w:rsidRDefault="009D661E" w:rsidP="009D661E">
      <w:pPr>
        <w:tabs>
          <w:tab w:val="left" w:pos="567"/>
        </w:tabs>
        <w:spacing w:line="240" w:lineRule="auto"/>
        <w:textAlignment w:val="auto"/>
        <w:rPr>
          <w:sz w:val="20"/>
          <w:szCs w:val="20"/>
          <w:lang w:val="es-ES"/>
        </w:rPr>
      </w:pPr>
    </w:p>
    <w:p w14:paraId="2C378476" w14:textId="73A6E9E9" w:rsidR="009D661E" w:rsidRPr="00975C02" w:rsidRDefault="00174377" w:rsidP="00DF3D71">
      <w:pPr>
        <w:numPr>
          <w:ilvl w:val="0"/>
          <w:numId w:val="2"/>
        </w:numPr>
        <w:tabs>
          <w:tab w:val="left" w:pos="567"/>
          <w:tab w:val="num" w:pos="5057"/>
        </w:tabs>
        <w:spacing w:line="240" w:lineRule="auto"/>
        <w:ind w:left="0" w:firstLine="0"/>
        <w:textAlignment w:val="auto"/>
        <w:rPr>
          <w:sz w:val="20"/>
          <w:szCs w:val="20"/>
          <w:lang w:val="es-ES"/>
        </w:rPr>
      </w:pPr>
      <w:r w:rsidRPr="00975C02">
        <w:rPr>
          <w:rFonts w:eastAsia="Calibri"/>
          <w:sz w:val="20"/>
          <w:szCs w:val="20"/>
          <w:lang w:val="es-ES"/>
        </w:rPr>
        <w:t>S</w:t>
      </w:r>
      <w:r w:rsidR="005A4608" w:rsidRPr="00975C02">
        <w:rPr>
          <w:rFonts w:eastAsia="Calibri"/>
          <w:sz w:val="20"/>
          <w:szCs w:val="20"/>
          <w:lang w:val="es-ES"/>
        </w:rPr>
        <w:t>i</w:t>
      </w:r>
      <w:r w:rsidRPr="00975C02">
        <w:rPr>
          <w:rFonts w:eastAsia="Calibri"/>
          <w:sz w:val="20"/>
          <w:szCs w:val="20"/>
          <w:lang w:val="es-ES"/>
        </w:rPr>
        <w:t>n perjuicio de lo anterior</w:t>
      </w:r>
      <w:r w:rsidR="005A4608" w:rsidRPr="00975C02">
        <w:rPr>
          <w:rFonts w:eastAsia="Calibri"/>
          <w:sz w:val="20"/>
          <w:szCs w:val="20"/>
          <w:lang w:val="es-ES"/>
        </w:rPr>
        <w:t xml:space="preserve">, </w:t>
      </w:r>
      <w:r w:rsidR="009D661E" w:rsidRPr="00975C02">
        <w:rPr>
          <w:rFonts w:eastAsia="Calibri"/>
          <w:sz w:val="20"/>
          <w:szCs w:val="20"/>
          <w:lang w:val="es-ES"/>
        </w:rPr>
        <w:t xml:space="preserve">la Corte estima pertinente ordenar las siguientes </w:t>
      </w:r>
      <w:r w:rsidR="005A4608" w:rsidRPr="00975C02">
        <w:rPr>
          <w:rFonts w:eastAsia="Calibri"/>
          <w:sz w:val="20"/>
          <w:szCs w:val="20"/>
          <w:lang w:val="es-ES"/>
        </w:rPr>
        <w:t>garantías de no repetición</w:t>
      </w:r>
      <w:r w:rsidRPr="00975C02">
        <w:rPr>
          <w:rFonts w:eastAsia="Calibri"/>
          <w:sz w:val="20"/>
          <w:szCs w:val="20"/>
          <w:lang w:val="es-ES"/>
        </w:rPr>
        <w:t>, en tanto constituyen medidas que contribuirían a</w:t>
      </w:r>
      <w:r w:rsidR="009D661E" w:rsidRPr="00975C02">
        <w:rPr>
          <w:rFonts w:eastAsia="Calibri"/>
          <w:sz w:val="20"/>
          <w:szCs w:val="20"/>
          <w:lang w:val="es-ES"/>
        </w:rPr>
        <w:t xml:space="preserve"> fortalecer la capacidad institucional del Estado en distintas esferas de actuación y brindar una atención integral a las niñas</w:t>
      </w:r>
      <w:r w:rsidR="000C09FE" w:rsidRPr="00975C02">
        <w:rPr>
          <w:rFonts w:eastAsia="Calibri"/>
          <w:sz w:val="20"/>
          <w:szCs w:val="20"/>
          <w:lang w:val="es-ES"/>
        </w:rPr>
        <w:t>, niños y adolescentes</w:t>
      </w:r>
      <w:r w:rsidR="009D661E" w:rsidRPr="00975C02">
        <w:rPr>
          <w:rFonts w:eastAsia="Calibri"/>
          <w:sz w:val="20"/>
          <w:szCs w:val="20"/>
          <w:lang w:val="es-ES"/>
        </w:rPr>
        <w:t xml:space="preserve"> víctimas de violencia y violación sexual.</w:t>
      </w:r>
    </w:p>
    <w:p w14:paraId="68E1712A" w14:textId="77777777" w:rsidR="009D661E" w:rsidRPr="00975C02" w:rsidRDefault="009D661E" w:rsidP="009D661E">
      <w:pPr>
        <w:pStyle w:val="ListParagraph"/>
        <w:spacing w:line="240" w:lineRule="auto"/>
        <w:ind w:left="0"/>
        <w:rPr>
          <w:sz w:val="20"/>
          <w:szCs w:val="20"/>
          <w:lang w:val="es-ES"/>
        </w:rPr>
      </w:pPr>
    </w:p>
    <w:p w14:paraId="2BBF5158" w14:textId="11E30F98" w:rsidR="009D661E" w:rsidRPr="00975C02" w:rsidRDefault="008F7852" w:rsidP="009D661E">
      <w:pPr>
        <w:spacing w:line="240" w:lineRule="auto"/>
        <w:ind w:left="1985"/>
        <w:rPr>
          <w:i/>
          <w:iCs/>
          <w:sz w:val="20"/>
          <w:szCs w:val="20"/>
          <w:lang w:val="es-ES"/>
        </w:rPr>
      </w:pPr>
      <w:r w:rsidRPr="00975C02">
        <w:rPr>
          <w:i/>
          <w:iCs/>
          <w:sz w:val="20"/>
          <w:szCs w:val="20"/>
          <w:lang w:val="es-ES"/>
        </w:rPr>
        <w:t>a</w:t>
      </w:r>
      <w:r w:rsidR="00D8602B" w:rsidRPr="00975C02">
        <w:rPr>
          <w:i/>
          <w:iCs/>
          <w:sz w:val="20"/>
          <w:szCs w:val="20"/>
          <w:lang w:val="es-ES"/>
        </w:rPr>
        <w:t>.1</w:t>
      </w:r>
      <w:r w:rsidR="009D661E" w:rsidRPr="00975C02">
        <w:rPr>
          <w:i/>
          <w:iCs/>
          <w:sz w:val="20"/>
          <w:szCs w:val="20"/>
          <w:lang w:val="es-ES"/>
        </w:rPr>
        <w:t>) Adopción de protocolos estandarizados de investigación</w:t>
      </w:r>
      <w:r w:rsidR="005A4608" w:rsidRPr="00975C02">
        <w:rPr>
          <w:i/>
          <w:iCs/>
          <w:sz w:val="20"/>
          <w:szCs w:val="20"/>
          <w:lang w:val="es-ES"/>
        </w:rPr>
        <w:t xml:space="preserve"> y atención integral </w:t>
      </w:r>
      <w:r w:rsidR="009D661E" w:rsidRPr="00975C02">
        <w:rPr>
          <w:i/>
          <w:iCs/>
          <w:sz w:val="20"/>
          <w:szCs w:val="20"/>
          <w:lang w:val="es-ES"/>
        </w:rPr>
        <w:t>para casos de violencia sexual en perjuicio de niñas</w:t>
      </w:r>
      <w:r w:rsidR="008E2E79" w:rsidRPr="00975C02">
        <w:rPr>
          <w:i/>
          <w:iCs/>
          <w:sz w:val="20"/>
          <w:szCs w:val="20"/>
          <w:lang w:val="es-ES"/>
        </w:rPr>
        <w:t>, niños y adolescentes</w:t>
      </w:r>
    </w:p>
    <w:p w14:paraId="65A064D3" w14:textId="77777777" w:rsidR="009D661E" w:rsidRPr="00975C02" w:rsidRDefault="009D661E" w:rsidP="009D661E">
      <w:pPr>
        <w:spacing w:line="240" w:lineRule="auto"/>
        <w:rPr>
          <w:iCs/>
          <w:sz w:val="20"/>
          <w:szCs w:val="20"/>
          <w:lang w:val="es-ES"/>
        </w:rPr>
      </w:pPr>
    </w:p>
    <w:p w14:paraId="5548D3E9" w14:textId="1894E1F1"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cs="Verdana"/>
          <w:b/>
          <w:i/>
          <w:sz w:val="20"/>
          <w:szCs w:val="20"/>
          <w:lang w:val="es-ES" w:bidi="en-US"/>
        </w:rPr>
        <w:t>Comisión</w:t>
      </w:r>
      <w:r w:rsidRPr="00975C02">
        <w:rPr>
          <w:rFonts w:eastAsia="MS Mincho"/>
          <w:sz w:val="20"/>
          <w:szCs w:val="20"/>
          <w:lang w:val="es-ES" w:bidi="en-US"/>
        </w:rPr>
        <w:t xml:space="preserve"> solicitó </w:t>
      </w:r>
      <w:r w:rsidRPr="00975C02">
        <w:rPr>
          <w:sz w:val="20"/>
          <w:szCs w:val="20"/>
          <w:lang w:val="es-ES"/>
        </w:rPr>
        <w:t>a la Corte que ordenara al Estado desarrollar protocolos de investigación para que los casos de violación sexual y otras formas de violencia sexual contra las mujeres, incluyendo niñas, sean debidamente investigados y juzgados conforme a los estándares establecidos en su informe</w:t>
      </w:r>
      <w:r w:rsidR="00F53A54" w:rsidRPr="00975C02">
        <w:rPr>
          <w:sz w:val="20"/>
          <w:szCs w:val="20"/>
          <w:lang w:val="es-ES"/>
        </w:rPr>
        <w:t>.</w:t>
      </w:r>
    </w:p>
    <w:p w14:paraId="65F662A4" w14:textId="77777777" w:rsidR="009D661E" w:rsidRPr="00975C02" w:rsidRDefault="009D661E" w:rsidP="009D661E">
      <w:pPr>
        <w:tabs>
          <w:tab w:val="left" w:pos="0"/>
          <w:tab w:val="num" w:pos="11028"/>
        </w:tabs>
        <w:spacing w:line="240" w:lineRule="auto"/>
        <w:ind w:right="-90"/>
        <w:rPr>
          <w:rFonts w:eastAsia="MS Mincho"/>
          <w:sz w:val="20"/>
          <w:szCs w:val="20"/>
          <w:lang w:val="es-ES" w:bidi="en-US"/>
        </w:rPr>
      </w:pPr>
    </w:p>
    <w:p w14:paraId="383314FB" w14:textId="22ACAC99"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pidieron que se desarrolle un protocolo de investigación para los casos de agresión sexual contra la mujer, poniendo especial énfasis en lo relativo a la atención a las niñas víctimas.</w:t>
      </w:r>
    </w:p>
    <w:p w14:paraId="1AB8AE23" w14:textId="77777777" w:rsidR="009D661E" w:rsidRPr="00975C02" w:rsidRDefault="009D661E" w:rsidP="009D661E">
      <w:pPr>
        <w:pStyle w:val="ListParagraph"/>
        <w:spacing w:line="240" w:lineRule="auto"/>
        <w:rPr>
          <w:rFonts w:eastAsia="MS Mincho"/>
          <w:sz w:val="20"/>
          <w:szCs w:val="20"/>
          <w:lang w:val="es-ES" w:bidi="en-US"/>
        </w:rPr>
      </w:pPr>
    </w:p>
    <w:p w14:paraId="39FD3D19" w14:textId="3EB779A5"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señaló que esta recomendación ya se encontraba en cumplimiento, </w:t>
      </w:r>
      <w:r w:rsidR="00AE1EEC" w:rsidRPr="00975C02">
        <w:rPr>
          <w:rFonts w:eastAsia="MS Mincho"/>
          <w:sz w:val="20"/>
          <w:szCs w:val="20"/>
          <w:lang w:val="es-ES" w:bidi="en-US"/>
        </w:rPr>
        <w:t xml:space="preserve">puesto </w:t>
      </w:r>
      <w:r w:rsidRPr="00975C02">
        <w:rPr>
          <w:rFonts w:eastAsia="MS Mincho"/>
          <w:sz w:val="20"/>
          <w:szCs w:val="20"/>
          <w:lang w:val="es-ES" w:bidi="en-US"/>
        </w:rPr>
        <w:t>que para el Estado de Nicaragua era importante la investigación de los casos de violación sexual y otras formas de violencia contra las mujeres, niñas y niños</w:t>
      </w:r>
      <w:r w:rsidR="00AE1EEC" w:rsidRPr="00975C02">
        <w:rPr>
          <w:rFonts w:eastAsia="MS Mincho"/>
          <w:sz w:val="20"/>
          <w:szCs w:val="20"/>
          <w:lang w:val="es-ES" w:bidi="en-US"/>
        </w:rPr>
        <w:t>. En esta línea</w:t>
      </w:r>
      <w:r w:rsidRPr="00975C02">
        <w:rPr>
          <w:rFonts w:eastAsia="MS Mincho"/>
          <w:sz w:val="20"/>
          <w:szCs w:val="20"/>
          <w:lang w:val="es-ES" w:bidi="en-US"/>
        </w:rPr>
        <w:t>, creó instrumentos de política institucional, como los Protocolos de Actuación de Atención a Víctimas y el Protocolo de la Gestión Fiscal en materia de violencia de género</w:t>
      </w:r>
      <w:r w:rsidR="00F53A54" w:rsidRPr="00975C02">
        <w:rPr>
          <w:rFonts w:eastAsia="MS Mincho"/>
          <w:sz w:val="20"/>
          <w:szCs w:val="20"/>
          <w:lang w:val="es-ES" w:bidi="en-US"/>
        </w:rPr>
        <w:t>.</w:t>
      </w:r>
      <w:r w:rsidRPr="00975C02">
        <w:rPr>
          <w:rFonts w:eastAsia="MS Mincho"/>
          <w:sz w:val="20"/>
          <w:szCs w:val="20"/>
          <w:lang w:val="es-ES" w:bidi="en-US"/>
        </w:rPr>
        <w:t xml:space="preserve"> Precisó que</w:t>
      </w:r>
      <w:r w:rsidR="00182928" w:rsidRPr="00975C02">
        <w:rPr>
          <w:rFonts w:eastAsia="MS Mincho"/>
          <w:sz w:val="20"/>
          <w:szCs w:val="20"/>
          <w:lang w:val="es-ES" w:bidi="en-US"/>
        </w:rPr>
        <w:t>,</w:t>
      </w:r>
      <w:r w:rsidRPr="00975C02">
        <w:rPr>
          <w:rFonts w:eastAsia="MS Mincho"/>
          <w:sz w:val="20"/>
          <w:szCs w:val="20"/>
          <w:lang w:val="es-ES" w:bidi="en-US"/>
        </w:rPr>
        <w:t xml:space="preserve"> en el año 2010</w:t>
      </w:r>
      <w:r w:rsidR="00182928" w:rsidRPr="00975C02">
        <w:rPr>
          <w:rFonts w:eastAsia="MS Mincho"/>
          <w:sz w:val="20"/>
          <w:szCs w:val="20"/>
          <w:lang w:val="es-ES" w:bidi="en-US"/>
        </w:rPr>
        <w:t>,</w:t>
      </w:r>
      <w:r w:rsidRPr="00975C02">
        <w:rPr>
          <w:rFonts w:eastAsia="MS Mincho"/>
          <w:sz w:val="20"/>
          <w:szCs w:val="20"/>
          <w:lang w:val="es-ES" w:bidi="en-US"/>
        </w:rPr>
        <w:t xml:space="preserve"> se puso en marcha el Modelo de Atención Integral a Víctimas de Violencia de Género en Nicaragua (MAI), con el objetivo de articular el sistema de atención a favor de víctimas de delitos de violencia intrafamiliar y violencia sexual, lo que permitía realizar acciones de investigación, persecución y sanción penal desde el conocimiento del hecho y la protección para la recuperación de la víctima hasta la restitución y resarcimiento de los daños. Finalmente, señaló que de manera específica se planteó la implementación de normas de atención y actuación centrada en las víctimas </w:t>
      </w:r>
      <w:r w:rsidR="00AE1EEC" w:rsidRPr="00975C02">
        <w:rPr>
          <w:rFonts w:eastAsia="MS Mincho"/>
          <w:sz w:val="20"/>
          <w:szCs w:val="20"/>
          <w:lang w:val="es-ES" w:bidi="en-US"/>
        </w:rPr>
        <w:t xml:space="preserve">que evitan </w:t>
      </w:r>
      <w:r w:rsidRPr="00975C02">
        <w:rPr>
          <w:rFonts w:eastAsia="MS Mincho"/>
          <w:sz w:val="20"/>
          <w:szCs w:val="20"/>
          <w:lang w:val="es-ES" w:bidi="en-US"/>
        </w:rPr>
        <w:t xml:space="preserve">la victimización secundaria, fortalecen la capacidad de respuesta institucional en los casos de violencia intrafamiliar y delitos sexuales, así como protegen la integridad física, psicológica, sexual </w:t>
      </w:r>
      <w:r w:rsidRPr="00975C02">
        <w:rPr>
          <w:rFonts w:eastAsia="MS Mincho"/>
          <w:sz w:val="20"/>
          <w:szCs w:val="20"/>
          <w:lang w:val="es-ES" w:bidi="en-US"/>
        </w:rPr>
        <w:lastRenderedPageBreak/>
        <w:t>y patrimonial, con la aplicación de medidas precautelares a favor de las víctimas</w:t>
      </w:r>
      <w:r w:rsidR="00F53A54" w:rsidRPr="00975C02">
        <w:rPr>
          <w:rFonts w:eastAsia="MS Mincho"/>
          <w:sz w:val="20"/>
          <w:szCs w:val="20"/>
          <w:lang w:val="es-ES" w:bidi="en-US"/>
        </w:rPr>
        <w:t>.</w:t>
      </w:r>
    </w:p>
    <w:p w14:paraId="431DAD64" w14:textId="77777777" w:rsidR="009D661E" w:rsidRPr="00975C02" w:rsidRDefault="009D661E" w:rsidP="009D661E">
      <w:pPr>
        <w:tabs>
          <w:tab w:val="left" w:pos="567"/>
        </w:tabs>
        <w:spacing w:line="240" w:lineRule="auto"/>
        <w:textAlignment w:val="auto"/>
        <w:rPr>
          <w:sz w:val="20"/>
          <w:szCs w:val="20"/>
          <w:lang w:val="es-ES"/>
        </w:rPr>
      </w:pPr>
    </w:p>
    <w:p w14:paraId="6491AFD7" w14:textId="1C7C6558"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El Estado alegó, además, que desde el año 2005, en el Ministerio Público se cre</w:t>
      </w:r>
      <w:r w:rsidR="00AE1EEC" w:rsidRPr="00975C02">
        <w:rPr>
          <w:rFonts w:eastAsia="MS Mincho"/>
          <w:sz w:val="20"/>
          <w:szCs w:val="20"/>
          <w:lang w:val="es-ES" w:bidi="en-US"/>
        </w:rPr>
        <w:t>ó</w:t>
      </w:r>
      <w:r w:rsidRPr="00975C02">
        <w:rPr>
          <w:rFonts w:eastAsia="MS Mincho"/>
          <w:sz w:val="20"/>
          <w:szCs w:val="20"/>
          <w:lang w:val="es-ES" w:bidi="en-US"/>
        </w:rPr>
        <w:t xml:space="preserve"> la Unidad Especializada contra los Delitos de Violencia de Género y la Unidad Especializada de Atención a Víctimas</w:t>
      </w:r>
      <w:r w:rsidR="00AE1EEC" w:rsidRPr="00975C02">
        <w:rPr>
          <w:rFonts w:eastAsia="MS Mincho"/>
          <w:sz w:val="20"/>
          <w:szCs w:val="20"/>
          <w:lang w:val="es-ES" w:bidi="en-US"/>
        </w:rPr>
        <w:t>.</w:t>
      </w:r>
      <w:r w:rsidRPr="00975C02">
        <w:rPr>
          <w:rFonts w:eastAsia="MS Mincho"/>
          <w:sz w:val="20"/>
          <w:szCs w:val="20"/>
          <w:lang w:val="es-ES" w:bidi="en-US"/>
        </w:rPr>
        <w:t xml:space="preserve"> </w:t>
      </w:r>
      <w:r w:rsidR="00AE1EEC" w:rsidRPr="00975C02">
        <w:rPr>
          <w:rFonts w:eastAsia="MS Mincho"/>
          <w:sz w:val="20"/>
          <w:szCs w:val="20"/>
          <w:lang w:val="es-ES" w:bidi="en-US"/>
        </w:rPr>
        <w:t>É</w:t>
      </w:r>
      <w:r w:rsidRPr="00975C02">
        <w:rPr>
          <w:rFonts w:eastAsia="MS Mincho"/>
          <w:sz w:val="20"/>
          <w:szCs w:val="20"/>
          <w:lang w:val="es-ES" w:bidi="en-US"/>
        </w:rPr>
        <w:t>sta última se encarga de brindar atención integral en temas jurídicos, psicológicos, asesoría legal, trabajo social y acompañamientos, en el que las víctimas pasan por un proceso de empoderamiento, reforzamiento de autoestima, preparación emocional y jurídica para enfrentar el proceso penal. Manifestó que otro de sus logros era la creación y funcionamiento de la clínica forense integral de la mujer y la oficina de ayuda a la víctima, que ha</w:t>
      </w:r>
      <w:r w:rsidR="00AE1EEC" w:rsidRPr="00975C02">
        <w:rPr>
          <w:rFonts w:eastAsia="MS Mincho"/>
          <w:sz w:val="20"/>
          <w:szCs w:val="20"/>
          <w:lang w:val="es-ES" w:bidi="en-US"/>
        </w:rPr>
        <w:t>n</w:t>
      </w:r>
      <w:r w:rsidRPr="00975C02">
        <w:rPr>
          <w:rFonts w:eastAsia="MS Mincho"/>
          <w:sz w:val="20"/>
          <w:szCs w:val="20"/>
          <w:lang w:val="es-ES" w:bidi="en-US"/>
        </w:rPr>
        <w:t xml:space="preserve"> contribuido a disminuir la impunidad y la victimización secundaria. Agregó que se ha logrado aportar elementos de prueba al sistema de justicia para demostrar o descartar faltas y delitos, entre otros, contra la libertad e integridad sexual, la trata de personas, violencia intrafamiliar, violencia física y psicológica</w:t>
      </w:r>
      <w:r w:rsidR="00F53A54" w:rsidRPr="00975C02">
        <w:rPr>
          <w:rFonts w:eastAsia="MS Mincho"/>
          <w:sz w:val="20"/>
          <w:szCs w:val="20"/>
          <w:lang w:val="es-ES" w:bidi="en-US"/>
        </w:rPr>
        <w:t>.</w:t>
      </w:r>
    </w:p>
    <w:p w14:paraId="4413B521" w14:textId="77777777" w:rsidR="009D661E" w:rsidRPr="00975C02" w:rsidRDefault="009D661E" w:rsidP="009D661E">
      <w:pPr>
        <w:tabs>
          <w:tab w:val="left" w:pos="567"/>
        </w:tabs>
        <w:spacing w:line="240" w:lineRule="auto"/>
        <w:textAlignment w:val="auto"/>
        <w:rPr>
          <w:sz w:val="20"/>
          <w:szCs w:val="20"/>
          <w:lang w:val="es-ES"/>
        </w:rPr>
      </w:pPr>
    </w:p>
    <w:p w14:paraId="43188DA7" w14:textId="02E30826" w:rsidR="00383283" w:rsidRPr="00975C02" w:rsidRDefault="00DD1DDB" w:rsidP="00AE1EEC">
      <w:pPr>
        <w:numPr>
          <w:ilvl w:val="0"/>
          <w:numId w:val="2"/>
        </w:numPr>
        <w:tabs>
          <w:tab w:val="left" w:pos="567"/>
          <w:tab w:val="num" w:pos="5057"/>
        </w:tabs>
        <w:spacing w:line="240" w:lineRule="auto"/>
        <w:ind w:left="0" w:firstLine="0"/>
        <w:textAlignment w:val="auto"/>
        <w:rPr>
          <w:b/>
          <w:sz w:val="20"/>
          <w:szCs w:val="20"/>
          <w:lang w:val="es-ES"/>
        </w:rPr>
      </w:pPr>
      <w:r w:rsidRPr="00975C02">
        <w:rPr>
          <w:rFonts w:eastAsia="MS Mincho"/>
          <w:sz w:val="20"/>
          <w:szCs w:val="20"/>
          <w:lang w:val="es-ES" w:bidi="en-US"/>
        </w:rPr>
        <w:t xml:space="preserve">La Corte nota que </w:t>
      </w:r>
      <w:r w:rsidR="00535BF4" w:rsidRPr="00975C02">
        <w:rPr>
          <w:rFonts w:eastAsia="MS Mincho"/>
          <w:sz w:val="20"/>
          <w:szCs w:val="20"/>
          <w:lang w:val="es-ES" w:bidi="en-US"/>
        </w:rPr>
        <w:t xml:space="preserve">la mayoría de la normativa remitida por </w:t>
      </w:r>
      <w:r w:rsidRPr="00975C02">
        <w:rPr>
          <w:rFonts w:eastAsia="MS Mincho"/>
          <w:sz w:val="20"/>
          <w:szCs w:val="20"/>
          <w:lang w:val="es-ES" w:bidi="en-US"/>
        </w:rPr>
        <w:t xml:space="preserve">el Estado </w:t>
      </w:r>
      <w:r w:rsidR="009D661E" w:rsidRPr="00975C02">
        <w:rPr>
          <w:rFonts w:eastAsia="MS Mincho"/>
          <w:sz w:val="20"/>
          <w:szCs w:val="20"/>
          <w:lang w:val="es-ES" w:bidi="en-US"/>
        </w:rPr>
        <w:t>está enfocada en la prevención, combate y erradicación de la violencia de género de forma general</w:t>
      </w:r>
      <w:r w:rsidR="00D6695E" w:rsidRPr="00975C02">
        <w:rPr>
          <w:rFonts w:eastAsia="MS Mincho"/>
          <w:sz w:val="20"/>
          <w:szCs w:val="20"/>
          <w:lang w:val="es-ES" w:bidi="en-US"/>
        </w:rPr>
        <w:t xml:space="preserve">. </w:t>
      </w:r>
      <w:r w:rsidR="009D661E" w:rsidRPr="00975C02">
        <w:rPr>
          <w:rFonts w:eastAsia="MS Mincho"/>
          <w:sz w:val="20"/>
          <w:szCs w:val="20"/>
          <w:lang w:val="es-ES" w:bidi="en-US"/>
        </w:rPr>
        <w:t xml:space="preserve">Sin perjuicio de ello, el Tribunal constata que las siguientes normas incluyen un apartado específico o lineamientos generales </w:t>
      </w:r>
      <w:r w:rsidR="00AE1EEC" w:rsidRPr="00975C02">
        <w:rPr>
          <w:rFonts w:eastAsia="MS Mincho"/>
          <w:sz w:val="20"/>
          <w:szCs w:val="20"/>
          <w:lang w:val="es-ES" w:bidi="en-US"/>
        </w:rPr>
        <w:t xml:space="preserve">para </w:t>
      </w:r>
      <w:r w:rsidR="009D661E" w:rsidRPr="00975C02">
        <w:rPr>
          <w:rFonts w:eastAsia="MS Mincho"/>
          <w:sz w:val="20"/>
          <w:szCs w:val="20"/>
          <w:lang w:val="es-ES" w:bidi="en-US"/>
        </w:rPr>
        <w:t xml:space="preserve">casos </w:t>
      </w:r>
      <w:r w:rsidR="00AE1EEC" w:rsidRPr="00975C02">
        <w:rPr>
          <w:rFonts w:eastAsia="MS Mincho"/>
          <w:sz w:val="20"/>
          <w:szCs w:val="20"/>
          <w:lang w:val="es-ES" w:bidi="en-US"/>
        </w:rPr>
        <w:t>en</w:t>
      </w:r>
      <w:r w:rsidR="009D661E" w:rsidRPr="00975C02">
        <w:rPr>
          <w:rFonts w:eastAsia="MS Mincho"/>
          <w:sz w:val="20"/>
          <w:szCs w:val="20"/>
          <w:lang w:val="es-ES" w:bidi="en-US"/>
        </w:rPr>
        <w:t xml:space="preserve"> que la víctima sea una niña, niño o adolescente:</w:t>
      </w:r>
      <w:r w:rsidR="00AE1EEC" w:rsidRPr="00975C02">
        <w:rPr>
          <w:rFonts w:eastAsia="MS Mincho"/>
          <w:sz w:val="20"/>
          <w:szCs w:val="20"/>
          <w:lang w:val="es-ES" w:bidi="en-US"/>
        </w:rPr>
        <w:t xml:space="preserve"> </w:t>
      </w:r>
      <w:r w:rsidR="00AE1EEC" w:rsidRPr="00975C02">
        <w:rPr>
          <w:sz w:val="20"/>
          <w:szCs w:val="20"/>
          <w:lang w:val="es-ES"/>
        </w:rPr>
        <w:t>a) Disposición N° 010/03 de la Policía Nacional, Ministerio de Gobernación. “Manual de procedimientos policiales de atención especializada a víctimas y sobrevinientes de violencia intrafamiliar y sexual”</w:t>
      </w:r>
      <w:r w:rsidR="00AE1EEC" w:rsidRPr="00975C02">
        <w:rPr>
          <w:rStyle w:val="FootnoteReference"/>
          <w:sz w:val="20"/>
          <w:szCs w:val="20"/>
          <w:lang w:val="es-ES"/>
        </w:rPr>
        <w:footnoteReference w:id="437"/>
      </w:r>
      <w:r w:rsidR="00AE1EEC" w:rsidRPr="00975C02">
        <w:rPr>
          <w:sz w:val="20"/>
          <w:szCs w:val="20"/>
          <w:lang w:val="es-ES"/>
        </w:rPr>
        <w:t>; b) Protocolo de actuación en atención a víctimas de violencia de género de la Unidad especializada de atención a víctimas del Ministerio Público</w:t>
      </w:r>
      <w:r w:rsidR="00AE1EEC" w:rsidRPr="00975C02">
        <w:rPr>
          <w:rStyle w:val="FootnoteReference"/>
          <w:sz w:val="20"/>
          <w:szCs w:val="20"/>
          <w:lang w:val="es-ES"/>
        </w:rPr>
        <w:footnoteReference w:id="438"/>
      </w:r>
      <w:r w:rsidR="00AE1EEC" w:rsidRPr="00975C02">
        <w:rPr>
          <w:sz w:val="20"/>
          <w:szCs w:val="20"/>
          <w:lang w:val="es-ES"/>
        </w:rPr>
        <w:t>; c) Protocolo de actuación del Ministerio Público en la atención a las víctimas del delito (2010)</w:t>
      </w:r>
      <w:r w:rsidR="00AE1EEC" w:rsidRPr="00975C02">
        <w:rPr>
          <w:rStyle w:val="FootnoteReference"/>
          <w:sz w:val="20"/>
          <w:szCs w:val="20"/>
          <w:lang w:val="es-ES"/>
        </w:rPr>
        <w:footnoteReference w:id="439"/>
      </w:r>
      <w:r w:rsidR="00AE1EEC" w:rsidRPr="00975C02">
        <w:rPr>
          <w:sz w:val="20"/>
          <w:szCs w:val="20"/>
          <w:lang w:val="es-ES"/>
        </w:rPr>
        <w:t>; d) Protocolo de Actuación de la Gestión Fiscal en materia de violencia de género de la Unidad Especializada de Delitos contra la Violencia de Género (2009)</w:t>
      </w:r>
      <w:r w:rsidR="00AE1EEC" w:rsidRPr="00975C02">
        <w:rPr>
          <w:rStyle w:val="FootnoteReference"/>
          <w:sz w:val="20"/>
          <w:szCs w:val="20"/>
          <w:lang w:val="es-ES"/>
        </w:rPr>
        <w:footnoteReference w:id="440"/>
      </w:r>
      <w:r w:rsidR="00AE1EEC" w:rsidRPr="00975C02">
        <w:rPr>
          <w:sz w:val="20"/>
          <w:szCs w:val="20"/>
          <w:lang w:val="es-ES"/>
        </w:rPr>
        <w:t>; e) Modelo de atención integral a víctimas de violencia de género en Nicaragua, del Equipo Técnico de Modelo de Atención Integral (MAI) (2012)</w:t>
      </w:r>
      <w:r w:rsidR="00AE1EEC" w:rsidRPr="00975C02">
        <w:rPr>
          <w:rStyle w:val="FootnoteReference"/>
          <w:sz w:val="20"/>
          <w:szCs w:val="20"/>
          <w:lang w:val="es-ES"/>
        </w:rPr>
        <w:footnoteReference w:id="441"/>
      </w:r>
      <w:r w:rsidR="00AE1EEC" w:rsidRPr="00975C02">
        <w:rPr>
          <w:sz w:val="20"/>
          <w:szCs w:val="20"/>
          <w:lang w:val="es-ES"/>
        </w:rPr>
        <w:t>; f) Normativa 031 de la Dirección General de Extensión y Calidad de la Atención, Ministerio de Salud. “Normas y Protocolos para la prevención, detección y atención de la violencia intrafamiliar y sexual” (2009)</w:t>
      </w:r>
      <w:r w:rsidR="00AE1EEC" w:rsidRPr="00975C02">
        <w:rPr>
          <w:rStyle w:val="FootnoteReference"/>
          <w:sz w:val="20"/>
          <w:szCs w:val="20"/>
          <w:lang w:val="es-ES"/>
        </w:rPr>
        <w:footnoteReference w:id="442"/>
      </w:r>
      <w:r w:rsidR="00AE1EEC" w:rsidRPr="00975C02">
        <w:rPr>
          <w:sz w:val="20"/>
          <w:szCs w:val="20"/>
          <w:lang w:val="es-ES"/>
        </w:rPr>
        <w:t>, y g) Protocolo de Normas y Procedimientos para la Atención Especializada a Víctimas y Sobrevivientes de Violencia de Género, Intrafamiliar y Sexual de las Comisarías de la Mujer, la Niñez y la Adolescencia de la Policía Nacional (2014)</w:t>
      </w:r>
      <w:r w:rsidR="00AE1EEC" w:rsidRPr="00975C02">
        <w:rPr>
          <w:rStyle w:val="FootnoteReference"/>
          <w:sz w:val="20"/>
          <w:szCs w:val="20"/>
          <w:lang w:val="es-ES"/>
        </w:rPr>
        <w:footnoteReference w:id="443"/>
      </w:r>
      <w:r w:rsidR="00AE1EEC" w:rsidRPr="00975C02">
        <w:rPr>
          <w:sz w:val="20"/>
          <w:szCs w:val="20"/>
          <w:lang w:val="es-ES"/>
        </w:rPr>
        <w:t>.</w:t>
      </w:r>
    </w:p>
    <w:p w14:paraId="1FFF1144" w14:textId="77777777" w:rsidR="00AA5AA4" w:rsidRPr="00975C02" w:rsidRDefault="00AA5AA4" w:rsidP="00DF3D71">
      <w:pPr>
        <w:tabs>
          <w:tab w:val="left" w:pos="567"/>
        </w:tabs>
        <w:spacing w:line="240" w:lineRule="auto"/>
        <w:textAlignment w:val="auto"/>
        <w:rPr>
          <w:b/>
          <w:sz w:val="20"/>
          <w:szCs w:val="20"/>
          <w:lang w:val="es-ES"/>
        </w:rPr>
      </w:pPr>
    </w:p>
    <w:p w14:paraId="17463021" w14:textId="042CFD80" w:rsidR="00AA5AA4" w:rsidRPr="00975C02" w:rsidRDefault="00AA5AA4" w:rsidP="00DF3D71">
      <w:pPr>
        <w:numPr>
          <w:ilvl w:val="0"/>
          <w:numId w:val="2"/>
        </w:numPr>
        <w:tabs>
          <w:tab w:val="left" w:pos="567"/>
          <w:tab w:val="num" w:pos="5057"/>
        </w:tabs>
        <w:spacing w:line="240" w:lineRule="auto"/>
        <w:ind w:left="0" w:firstLine="0"/>
        <w:textAlignment w:val="auto"/>
        <w:rPr>
          <w:b/>
          <w:sz w:val="20"/>
          <w:szCs w:val="20"/>
          <w:lang w:val="es-ES"/>
        </w:rPr>
      </w:pPr>
      <w:r w:rsidRPr="00975C02">
        <w:rPr>
          <w:rFonts w:cs="HelveticaNeue-Light"/>
          <w:sz w:val="20"/>
          <w:szCs w:val="20"/>
          <w:lang w:val="es-ES"/>
        </w:rPr>
        <w:t>Por su parte, el</w:t>
      </w:r>
      <w:r w:rsidR="00E80343" w:rsidRPr="00975C02">
        <w:rPr>
          <w:sz w:val="20"/>
          <w:szCs w:val="20"/>
          <w:lang w:val="es-ES"/>
        </w:rPr>
        <w:t xml:space="preserve"> </w:t>
      </w:r>
      <w:r w:rsidRPr="00975C02">
        <w:rPr>
          <w:rFonts w:cs="HelveticaNeue-Light"/>
          <w:sz w:val="20"/>
          <w:szCs w:val="20"/>
          <w:lang w:val="es-ES"/>
        </w:rPr>
        <w:t xml:space="preserve">Instituto de Medicina Legal cuenta con una </w:t>
      </w:r>
      <w:r w:rsidRPr="00975C02">
        <w:rPr>
          <w:rFonts w:cs="Arial"/>
          <w:sz w:val="20"/>
          <w:szCs w:val="20"/>
          <w:lang w:val="es-ES"/>
        </w:rPr>
        <w:t>Norma técnica sobre abordaje médico integral en la investigación de violencia sexual (2014)</w:t>
      </w:r>
      <w:r w:rsidR="00E80343" w:rsidRPr="00975C02">
        <w:rPr>
          <w:rStyle w:val="FootnoteReference"/>
          <w:sz w:val="20"/>
          <w:szCs w:val="20"/>
          <w:lang w:val="es-ES"/>
        </w:rPr>
        <w:footnoteReference w:id="444"/>
      </w:r>
      <w:r w:rsidRPr="00975C02">
        <w:rPr>
          <w:rFonts w:cs="Arial"/>
          <w:sz w:val="20"/>
          <w:szCs w:val="20"/>
          <w:lang w:val="es-ES"/>
        </w:rPr>
        <w:t>, la cual hace una referencia general a las posiciones recomendable</w:t>
      </w:r>
      <w:r w:rsidR="0065128E" w:rsidRPr="00975C02">
        <w:rPr>
          <w:rFonts w:cs="Arial"/>
          <w:sz w:val="20"/>
          <w:szCs w:val="20"/>
          <w:lang w:val="es-ES"/>
        </w:rPr>
        <w:t>s para la revisión ginecológica</w:t>
      </w:r>
      <w:r w:rsidRPr="00975C02">
        <w:rPr>
          <w:rFonts w:cs="Arial"/>
          <w:sz w:val="20"/>
          <w:szCs w:val="20"/>
          <w:lang w:val="es-ES"/>
        </w:rPr>
        <w:t xml:space="preserve"> de niñas, así como a ciertos criterios que el psicólogo, psiquiatra, médico forense o cualquier otro personal de salud público o privado deberá tener en cuenta al momento de entrevistar a las niñas </w:t>
      </w:r>
      <w:r w:rsidR="0065128E" w:rsidRPr="00975C02">
        <w:rPr>
          <w:rFonts w:cs="Arial"/>
          <w:sz w:val="20"/>
          <w:szCs w:val="20"/>
          <w:lang w:val="es-ES"/>
        </w:rPr>
        <w:t xml:space="preserve">y niños </w:t>
      </w:r>
      <w:r w:rsidRPr="00975C02">
        <w:rPr>
          <w:rFonts w:cs="Arial"/>
          <w:sz w:val="20"/>
          <w:szCs w:val="20"/>
          <w:lang w:val="es-ES"/>
        </w:rPr>
        <w:t xml:space="preserve">víctimas de violencia sexual. Asimismo, el Instituto de Medicina Legal cuenta con la </w:t>
      </w:r>
      <w:r w:rsidRPr="00975C02">
        <w:rPr>
          <w:bCs/>
          <w:sz w:val="20"/>
          <w:szCs w:val="20"/>
          <w:lang w:val="es-ES"/>
        </w:rPr>
        <w:t>Norma técnica para la peritación del daño psíquico en mujeres, niñas, niños y adolescentes víctimas de violencia familiar, sexual y otras formas de violencia basada en género (2015)</w:t>
      </w:r>
      <w:r w:rsidR="00E80343" w:rsidRPr="00975C02">
        <w:rPr>
          <w:rStyle w:val="FootnoteReference"/>
          <w:sz w:val="20"/>
          <w:szCs w:val="20"/>
          <w:lang w:val="es-ES"/>
        </w:rPr>
        <w:footnoteReference w:id="445"/>
      </w:r>
      <w:r w:rsidR="00E80343" w:rsidRPr="00975C02">
        <w:rPr>
          <w:sz w:val="20"/>
          <w:szCs w:val="20"/>
          <w:lang w:val="es-ES"/>
        </w:rPr>
        <w:t>,</w:t>
      </w:r>
      <w:r w:rsidRPr="00975C02">
        <w:rPr>
          <w:bCs/>
          <w:sz w:val="20"/>
          <w:szCs w:val="20"/>
          <w:lang w:val="es-ES"/>
        </w:rPr>
        <w:t xml:space="preserve"> y la </w:t>
      </w:r>
      <w:r w:rsidRPr="00975C02">
        <w:rPr>
          <w:rFonts w:cs="Arial"/>
          <w:sz w:val="20"/>
          <w:szCs w:val="20"/>
          <w:lang w:val="es-ES"/>
        </w:rPr>
        <w:t>Norma técnica para la valoración médico legal integral en la investigación de la violencia intrafamiliar (2015)</w:t>
      </w:r>
      <w:r w:rsidR="00E80343" w:rsidRPr="00975C02">
        <w:rPr>
          <w:rStyle w:val="FootnoteReference"/>
          <w:sz w:val="20"/>
          <w:szCs w:val="20"/>
          <w:lang w:val="es-ES"/>
        </w:rPr>
        <w:footnoteReference w:id="446"/>
      </w:r>
      <w:r w:rsidRPr="00975C02">
        <w:rPr>
          <w:rFonts w:cs="Arial"/>
          <w:sz w:val="20"/>
          <w:szCs w:val="20"/>
          <w:lang w:val="es-ES"/>
        </w:rPr>
        <w:t>.</w:t>
      </w:r>
      <w:r w:rsidR="00757D93" w:rsidRPr="00975C02">
        <w:rPr>
          <w:sz w:val="20"/>
          <w:szCs w:val="20"/>
          <w:lang w:val="es-ES"/>
        </w:rPr>
        <w:t xml:space="preserve"> La Corte destaca que la norma técnica de 2014 recoge ciertos criterios de abordaje médico integral en casos de niñas víctimas de </w:t>
      </w:r>
      <w:r w:rsidR="00757D93" w:rsidRPr="00975C02">
        <w:rPr>
          <w:sz w:val="20"/>
          <w:szCs w:val="20"/>
          <w:lang w:val="es-ES"/>
        </w:rPr>
        <w:lastRenderedPageBreak/>
        <w:t>violencia sexual.</w:t>
      </w:r>
    </w:p>
    <w:p w14:paraId="7AB10DF8" w14:textId="39D28829" w:rsidR="009D661E" w:rsidRPr="00975C02" w:rsidRDefault="009D661E" w:rsidP="00087D96">
      <w:pPr>
        <w:tabs>
          <w:tab w:val="left" w:pos="567"/>
        </w:tabs>
        <w:spacing w:line="240" w:lineRule="auto"/>
        <w:textAlignment w:val="auto"/>
        <w:rPr>
          <w:b/>
          <w:sz w:val="20"/>
          <w:szCs w:val="20"/>
          <w:lang w:val="es-ES"/>
        </w:rPr>
      </w:pPr>
    </w:p>
    <w:p w14:paraId="7571D4D5" w14:textId="1F547628" w:rsidR="00AA5AA4" w:rsidRPr="00975C02" w:rsidRDefault="009D661E" w:rsidP="00087D96">
      <w:pPr>
        <w:numPr>
          <w:ilvl w:val="0"/>
          <w:numId w:val="2"/>
        </w:numPr>
        <w:tabs>
          <w:tab w:val="left" w:pos="567"/>
          <w:tab w:val="num" w:pos="5057"/>
        </w:tabs>
        <w:spacing w:line="240" w:lineRule="auto"/>
        <w:ind w:left="0" w:firstLine="0"/>
        <w:textAlignment w:val="auto"/>
        <w:rPr>
          <w:b/>
          <w:sz w:val="20"/>
          <w:szCs w:val="20"/>
          <w:lang w:val="es-ES"/>
        </w:rPr>
      </w:pPr>
      <w:r w:rsidRPr="00975C02">
        <w:rPr>
          <w:rFonts w:eastAsia="MS Mincho"/>
          <w:sz w:val="20"/>
          <w:szCs w:val="20"/>
          <w:lang w:val="es-ES" w:bidi="en-US"/>
        </w:rPr>
        <w:t>Con base en la normativa citada, la Corte advierte que</w:t>
      </w:r>
      <w:r w:rsidR="00D229FA" w:rsidRPr="00975C02">
        <w:rPr>
          <w:rFonts w:eastAsia="MS Mincho"/>
          <w:sz w:val="20"/>
          <w:szCs w:val="20"/>
          <w:lang w:val="es-ES" w:bidi="en-US"/>
        </w:rPr>
        <w:t>,</w:t>
      </w:r>
      <w:r w:rsidRPr="00975C02">
        <w:rPr>
          <w:rFonts w:eastAsia="MS Mincho"/>
          <w:sz w:val="20"/>
          <w:szCs w:val="20"/>
          <w:lang w:val="es-ES" w:bidi="en-US"/>
        </w:rPr>
        <w:t xml:space="preserve"> tanto a nivel policial</w:t>
      </w:r>
      <w:r w:rsidR="00AA5AA4" w:rsidRPr="00975C02">
        <w:rPr>
          <w:rFonts w:eastAsia="MS Mincho"/>
          <w:sz w:val="20"/>
          <w:szCs w:val="20"/>
          <w:lang w:val="es-ES" w:bidi="en-US"/>
        </w:rPr>
        <w:t xml:space="preserve"> como </w:t>
      </w:r>
      <w:r w:rsidRPr="00975C02">
        <w:rPr>
          <w:rFonts w:eastAsia="MS Mincho"/>
          <w:sz w:val="20"/>
          <w:szCs w:val="20"/>
          <w:lang w:val="es-ES" w:bidi="en-US"/>
        </w:rPr>
        <w:t>fiscal</w:t>
      </w:r>
      <w:r w:rsidR="00AA5AA4" w:rsidRPr="00975C02">
        <w:rPr>
          <w:rFonts w:eastAsia="MS Mincho"/>
          <w:sz w:val="20"/>
          <w:szCs w:val="20"/>
          <w:lang w:val="es-ES" w:bidi="en-US"/>
        </w:rPr>
        <w:t xml:space="preserve">, </w:t>
      </w:r>
      <w:r w:rsidRPr="00975C02">
        <w:rPr>
          <w:rFonts w:eastAsia="MS Mincho"/>
          <w:sz w:val="20"/>
          <w:szCs w:val="20"/>
          <w:lang w:val="es-ES" w:bidi="en-US"/>
        </w:rPr>
        <w:t>existen ciertos criterios y lineamientos especiales para la atención diferenciada de niñas, niños y adolescentes víctimas de violencia intrafamiliar y sexual. Entre ellos</w:t>
      </w:r>
      <w:r w:rsidR="0065128E" w:rsidRPr="00975C02">
        <w:rPr>
          <w:rFonts w:eastAsia="MS Mincho"/>
          <w:sz w:val="20"/>
          <w:szCs w:val="20"/>
          <w:lang w:val="es-ES" w:bidi="en-US"/>
        </w:rPr>
        <w:t>,</w:t>
      </w:r>
      <w:r w:rsidRPr="00975C02">
        <w:rPr>
          <w:rFonts w:eastAsia="MS Mincho"/>
          <w:sz w:val="20"/>
          <w:szCs w:val="20"/>
          <w:lang w:val="es-ES" w:bidi="en-US"/>
        </w:rPr>
        <w:t xml:space="preserve"> se destacan la interacción especial que las autoridades deben tener con las niñas debido al impacto diferenciado que un acto de </w:t>
      </w:r>
      <w:r w:rsidR="0065128E" w:rsidRPr="00975C02">
        <w:rPr>
          <w:rFonts w:eastAsia="MS Mincho"/>
          <w:sz w:val="20"/>
          <w:szCs w:val="20"/>
          <w:lang w:val="es-ES" w:bidi="en-US"/>
        </w:rPr>
        <w:t xml:space="preserve">violencia </w:t>
      </w:r>
      <w:r w:rsidRPr="00975C02">
        <w:rPr>
          <w:rFonts w:eastAsia="MS Mincho"/>
          <w:sz w:val="20"/>
          <w:szCs w:val="20"/>
          <w:lang w:val="es-ES" w:bidi="en-US"/>
        </w:rPr>
        <w:t>sexual podría causarles y su mayor estado vulnerabilidad; la importancia de la declaración de la niña</w:t>
      </w:r>
      <w:r w:rsidR="0065128E" w:rsidRPr="00975C02">
        <w:rPr>
          <w:rFonts w:eastAsia="MS Mincho"/>
          <w:sz w:val="20"/>
          <w:szCs w:val="20"/>
          <w:lang w:val="es-ES" w:bidi="en-US"/>
        </w:rPr>
        <w:t>, niño o adolescente</w:t>
      </w:r>
      <w:r w:rsidRPr="00975C02">
        <w:rPr>
          <w:rFonts w:eastAsia="MS Mincho"/>
          <w:sz w:val="20"/>
          <w:szCs w:val="20"/>
          <w:lang w:val="es-ES" w:bidi="en-US"/>
        </w:rPr>
        <w:t xml:space="preserve">; la necesidad de que no exista </w:t>
      </w:r>
      <w:r w:rsidR="0065128E" w:rsidRPr="00975C02">
        <w:rPr>
          <w:rFonts w:eastAsia="MS Mincho"/>
          <w:sz w:val="20"/>
          <w:szCs w:val="20"/>
          <w:lang w:val="es-ES" w:bidi="en-US"/>
        </w:rPr>
        <w:t xml:space="preserve">contacto </w:t>
      </w:r>
      <w:r w:rsidRPr="00975C02">
        <w:rPr>
          <w:rFonts w:eastAsia="MS Mincho"/>
          <w:sz w:val="20"/>
          <w:szCs w:val="20"/>
          <w:lang w:val="es-ES" w:bidi="en-US"/>
        </w:rPr>
        <w:t xml:space="preserve">con el perpetrador; el tacto y sensibilidad </w:t>
      </w:r>
      <w:r w:rsidR="0065128E" w:rsidRPr="00975C02">
        <w:rPr>
          <w:rFonts w:eastAsia="MS Mincho"/>
          <w:sz w:val="20"/>
          <w:szCs w:val="20"/>
          <w:lang w:val="es-ES" w:bidi="en-US"/>
        </w:rPr>
        <w:t>en el trato</w:t>
      </w:r>
      <w:r w:rsidRPr="00975C02">
        <w:rPr>
          <w:rFonts w:eastAsia="MS Mincho"/>
          <w:sz w:val="20"/>
          <w:szCs w:val="20"/>
          <w:lang w:val="es-ES" w:bidi="en-US"/>
        </w:rPr>
        <w:t xml:space="preserve">; </w:t>
      </w:r>
      <w:r w:rsidR="0065128E" w:rsidRPr="00975C02">
        <w:rPr>
          <w:rFonts w:eastAsia="MS Mincho"/>
          <w:sz w:val="20"/>
          <w:szCs w:val="20"/>
          <w:lang w:val="es-ES" w:bidi="en-US"/>
        </w:rPr>
        <w:t>el respeto</w:t>
      </w:r>
      <w:r w:rsidRPr="00975C02">
        <w:rPr>
          <w:rFonts w:eastAsia="MS Mincho"/>
          <w:sz w:val="20"/>
          <w:szCs w:val="20"/>
          <w:lang w:val="es-ES" w:bidi="en-US"/>
        </w:rPr>
        <w:t xml:space="preserve"> con </w:t>
      </w:r>
      <w:r w:rsidR="0065128E" w:rsidRPr="00975C02">
        <w:rPr>
          <w:rFonts w:eastAsia="MS Mincho"/>
          <w:sz w:val="20"/>
          <w:szCs w:val="20"/>
          <w:lang w:val="es-ES" w:bidi="en-US"/>
        </w:rPr>
        <w:t>e</w:t>
      </w:r>
      <w:r w:rsidRPr="00975C02">
        <w:rPr>
          <w:rFonts w:eastAsia="MS Mincho"/>
          <w:sz w:val="20"/>
          <w:szCs w:val="20"/>
          <w:lang w:val="es-ES" w:bidi="en-US"/>
        </w:rPr>
        <w:t xml:space="preserve">l que las autoridades deben actuar, sin forzar la entrevista, asegurando su privacidad y un ambiente de confianza y seguridad, entre otras. Asimismo, algunos de dichos documentos destacan ciertas técnicas para facilitar el </w:t>
      </w:r>
      <w:r w:rsidR="00AA5AA4" w:rsidRPr="00975C02">
        <w:rPr>
          <w:rFonts w:eastAsia="MS Mincho"/>
          <w:sz w:val="20"/>
          <w:szCs w:val="20"/>
          <w:lang w:val="es-ES" w:bidi="en-US"/>
        </w:rPr>
        <w:t xml:space="preserve">establecimiento de un </w:t>
      </w:r>
      <w:r w:rsidRPr="00975C02">
        <w:rPr>
          <w:rFonts w:eastAsia="MS Mincho"/>
          <w:sz w:val="20"/>
          <w:szCs w:val="20"/>
          <w:lang w:val="es-ES" w:bidi="en-US"/>
        </w:rPr>
        <w:t>vínculo con la niña, niño o adolescente.</w:t>
      </w:r>
    </w:p>
    <w:p w14:paraId="2AFEE565" w14:textId="77777777" w:rsidR="009D661E" w:rsidRPr="00975C02" w:rsidRDefault="009D661E">
      <w:pPr>
        <w:pStyle w:val="ListParagraph"/>
        <w:spacing w:line="240" w:lineRule="auto"/>
        <w:rPr>
          <w:sz w:val="20"/>
          <w:szCs w:val="20"/>
          <w:lang w:val="es-ES"/>
        </w:rPr>
      </w:pPr>
    </w:p>
    <w:p w14:paraId="0FB30A78" w14:textId="6C72BAAC" w:rsidR="00757D93" w:rsidRPr="00975C02" w:rsidRDefault="009D661E" w:rsidP="00DF3D71">
      <w:pPr>
        <w:numPr>
          <w:ilvl w:val="0"/>
          <w:numId w:val="2"/>
        </w:numPr>
        <w:tabs>
          <w:tab w:val="left" w:pos="567"/>
          <w:tab w:val="num" w:pos="5057"/>
        </w:tabs>
        <w:spacing w:line="240" w:lineRule="auto"/>
        <w:ind w:left="0" w:firstLine="0"/>
        <w:textAlignment w:val="auto"/>
        <w:rPr>
          <w:b/>
          <w:sz w:val="20"/>
          <w:szCs w:val="20"/>
          <w:lang w:val="es-ES"/>
        </w:rPr>
      </w:pPr>
      <w:r w:rsidRPr="00975C02">
        <w:rPr>
          <w:sz w:val="20"/>
          <w:szCs w:val="20"/>
          <w:lang w:val="es-ES"/>
        </w:rPr>
        <w:t xml:space="preserve">La Corte considera que los criterios generales establecidos en la documentación citada </w:t>
      </w:r>
      <w:r w:rsidR="0065128E" w:rsidRPr="00975C02">
        <w:rPr>
          <w:sz w:val="20"/>
          <w:szCs w:val="20"/>
          <w:lang w:val="es-ES"/>
        </w:rPr>
        <w:t>implican</w:t>
      </w:r>
      <w:r w:rsidRPr="00975C02">
        <w:rPr>
          <w:sz w:val="20"/>
          <w:szCs w:val="20"/>
          <w:lang w:val="es-ES"/>
        </w:rPr>
        <w:t xml:space="preserve"> un avance significativo en cuanto a la adecuación de las normas y prácticas internas a la normativa internacional en materia de protección de los derechos de</w:t>
      </w:r>
      <w:r w:rsidR="00950DFA" w:rsidRPr="00975C02">
        <w:rPr>
          <w:sz w:val="20"/>
          <w:szCs w:val="20"/>
          <w:lang w:val="es-ES"/>
        </w:rPr>
        <w:t xml:space="preserve"> </w:t>
      </w:r>
      <w:r w:rsidRPr="00975C02">
        <w:rPr>
          <w:sz w:val="20"/>
          <w:szCs w:val="20"/>
          <w:lang w:val="es-ES"/>
        </w:rPr>
        <w:t>niñ</w:t>
      </w:r>
      <w:r w:rsidR="00950DFA" w:rsidRPr="00975C02">
        <w:rPr>
          <w:sz w:val="20"/>
          <w:szCs w:val="20"/>
          <w:lang w:val="es-ES"/>
        </w:rPr>
        <w:t>a</w:t>
      </w:r>
      <w:r w:rsidR="00354BD5" w:rsidRPr="00975C02">
        <w:rPr>
          <w:sz w:val="20"/>
          <w:szCs w:val="20"/>
          <w:lang w:val="es-ES"/>
        </w:rPr>
        <w:t>s</w:t>
      </w:r>
      <w:r w:rsidR="0065128E" w:rsidRPr="00975C02">
        <w:rPr>
          <w:sz w:val="20"/>
          <w:szCs w:val="20"/>
          <w:lang w:val="es-ES"/>
        </w:rPr>
        <w:t>, niño</w:t>
      </w:r>
      <w:r w:rsidR="00354BD5" w:rsidRPr="00975C02">
        <w:rPr>
          <w:sz w:val="20"/>
          <w:szCs w:val="20"/>
          <w:lang w:val="es-ES"/>
        </w:rPr>
        <w:t>s y</w:t>
      </w:r>
      <w:r w:rsidR="0065128E" w:rsidRPr="00975C02">
        <w:rPr>
          <w:sz w:val="20"/>
          <w:szCs w:val="20"/>
          <w:lang w:val="es-ES"/>
        </w:rPr>
        <w:t xml:space="preserve"> adolescente</w:t>
      </w:r>
      <w:r w:rsidR="00354BD5" w:rsidRPr="00975C02">
        <w:rPr>
          <w:sz w:val="20"/>
          <w:szCs w:val="20"/>
          <w:lang w:val="es-ES"/>
        </w:rPr>
        <w:t>s</w:t>
      </w:r>
      <w:r w:rsidRPr="00975C02">
        <w:rPr>
          <w:sz w:val="20"/>
          <w:szCs w:val="20"/>
          <w:lang w:val="es-ES"/>
        </w:rPr>
        <w:t xml:space="preserve">. Sin embargo, la Corte advierte que es preciso contar con normas más específicas que contemplen los criterios establecidos en la presente Sentencia y </w:t>
      </w:r>
      <w:r w:rsidR="00383283" w:rsidRPr="00975C02">
        <w:rPr>
          <w:sz w:val="20"/>
          <w:szCs w:val="20"/>
          <w:lang w:val="es-ES"/>
        </w:rPr>
        <w:t xml:space="preserve">en </w:t>
      </w:r>
      <w:r w:rsidRPr="00975C02">
        <w:rPr>
          <w:sz w:val="20"/>
          <w:szCs w:val="20"/>
          <w:lang w:val="es-ES"/>
        </w:rPr>
        <w:t xml:space="preserve">otros instrumentos internacionales </w:t>
      </w:r>
      <w:r w:rsidR="00383283" w:rsidRPr="00975C02">
        <w:rPr>
          <w:sz w:val="20"/>
          <w:szCs w:val="20"/>
          <w:lang w:val="es-ES"/>
        </w:rPr>
        <w:t>en la materia.</w:t>
      </w:r>
    </w:p>
    <w:p w14:paraId="62A5489A" w14:textId="77777777" w:rsidR="00757D93" w:rsidRPr="00975C02" w:rsidRDefault="00757D93" w:rsidP="00DF3D71">
      <w:pPr>
        <w:pStyle w:val="ListParagraph"/>
        <w:spacing w:line="240" w:lineRule="auto"/>
        <w:rPr>
          <w:sz w:val="20"/>
          <w:szCs w:val="20"/>
          <w:lang w:val="es-ES"/>
        </w:rPr>
      </w:pPr>
    </w:p>
    <w:p w14:paraId="79DF1FD2" w14:textId="21AE8C62" w:rsidR="00950DFA" w:rsidRPr="00975C02" w:rsidRDefault="00383283" w:rsidP="00087D96">
      <w:pPr>
        <w:numPr>
          <w:ilvl w:val="0"/>
          <w:numId w:val="2"/>
        </w:numPr>
        <w:tabs>
          <w:tab w:val="left" w:pos="567"/>
          <w:tab w:val="num" w:pos="5057"/>
        </w:tabs>
        <w:spacing w:line="240" w:lineRule="auto"/>
        <w:ind w:left="0" w:firstLine="0"/>
        <w:textAlignment w:val="auto"/>
        <w:rPr>
          <w:b/>
          <w:sz w:val="20"/>
          <w:szCs w:val="20"/>
          <w:lang w:val="es-ES"/>
        </w:rPr>
      </w:pPr>
      <w:r w:rsidRPr="00975C02">
        <w:rPr>
          <w:sz w:val="20"/>
          <w:szCs w:val="20"/>
          <w:lang w:val="es-ES"/>
        </w:rPr>
        <w:t xml:space="preserve">En este sentido, </w:t>
      </w:r>
      <w:r w:rsidR="00950DFA" w:rsidRPr="00975C02">
        <w:rPr>
          <w:sz w:val="20"/>
          <w:szCs w:val="20"/>
          <w:lang w:val="es-ES"/>
        </w:rPr>
        <w:t xml:space="preserve">la Corte estima conveniente </w:t>
      </w:r>
      <w:r w:rsidR="004F5657" w:rsidRPr="00975C02">
        <w:rPr>
          <w:sz w:val="20"/>
          <w:szCs w:val="20"/>
          <w:lang w:val="es-ES"/>
        </w:rPr>
        <w:t xml:space="preserve">ordenar </w:t>
      </w:r>
      <w:r w:rsidR="00950DFA" w:rsidRPr="00975C02">
        <w:rPr>
          <w:sz w:val="20"/>
          <w:szCs w:val="20"/>
          <w:lang w:val="es-ES"/>
        </w:rPr>
        <w:t>que el Estado adopte protocolos que establezcan medidas claras de protección y criterios a tomar en cuenta durante las investigaciones y procesos penales derivados de actos de violenc</w:t>
      </w:r>
      <w:r w:rsidR="00087D96" w:rsidRPr="00975C02">
        <w:rPr>
          <w:sz w:val="20"/>
          <w:szCs w:val="20"/>
          <w:lang w:val="es-ES"/>
        </w:rPr>
        <w:t>ia sexual en perjuicio de niñas</w:t>
      </w:r>
      <w:r w:rsidR="0065128E" w:rsidRPr="00975C02">
        <w:rPr>
          <w:sz w:val="20"/>
          <w:szCs w:val="20"/>
          <w:lang w:val="es-ES"/>
        </w:rPr>
        <w:t>, niños y adolescentes</w:t>
      </w:r>
      <w:r w:rsidR="00087D96" w:rsidRPr="00975C02">
        <w:rPr>
          <w:sz w:val="20"/>
          <w:szCs w:val="20"/>
          <w:lang w:val="es-ES"/>
        </w:rPr>
        <w:t>;</w:t>
      </w:r>
      <w:r w:rsidR="00950DFA" w:rsidRPr="00975C02">
        <w:rPr>
          <w:sz w:val="20"/>
          <w:szCs w:val="20"/>
          <w:lang w:val="es-ES"/>
        </w:rPr>
        <w:t xml:space="preserve"> </w:t>
      </w:r>
      <w:r w:rsidR="00757D93" w:rsidRPr="00975C02">
        <w:rPr>
          <w:sz w:val="20"/>
          <w:szCs w:val="20"/>
          <w:lang w:val="es-ES"/>
        </w:rPr>
        <w:t xml:space="preserve">que aseguren que </w:t>
      </w:r>
      <w:r w:rsidR="0065128E" w:rsidRPr="00975C02">
        <w:rPr>
          <w:sz w:val="20"/>
          <w:szCs w:val="20"/>
          <w:lang w:val="es-ES"/>
        </w:rPr>
        <w:t xml:space="preserve">las declaraciones y entrevistas, </w:t>
      </w:r>
      <w:r w:rsidR="00757D93" w:rsidRPr="00975C02">
        <w:rPr>
          <w:sz w:val="20"/>
          <w:szCs w:val="20"/>
          <w:lang w:val="es-ES"/>
        </w:rPr>
        <w:t>los exámenes médico-forenses, así como las pericias psicológicas y/o psiquiátricas sean llevadas a cabo de forma ajustada a las necesidades de niñas</w:t>
      </w:r>
      <w:r w:rsidR="0065128E" w:rsidRPr="00975C02">
        <w:rPr>
          <w:sz w:val="20"/>
          <w:szCs w:val="20"/>
          <w:lang w:val="es-ES"/>
        </w:rPr>
        <w:t>, niños y adolescentes</w:t>
      </w:r>
      <w:r w:rsidR="00757D93" w:rsidRPr="00975C02">
        <w:rPr>
          <w:sz w:val="20"/>
          <w:szCs w:val="20"/>
          <w:lang w:val="es-ES"/>
        </w:rPr>
        <w:t xml:space="preserve"> víctimas</w:t>
      </w:r>
      <w:r w:rsidR="0065128E" w:rsidRPr="00975C02">
        <w:rPr>
          <w:sz w:val="20"/>
          <w:szCs w:val="20"/>
          <w:lang w:val="es-ES"/>
        </w:rPr>
        <w:t>,</w:t>
      </w:r>
      <w:r w:rsidR="00087D96" w:rsidRPr="00975C02">
        <w:rPr>
          <w:sz w:val="20"/>
          <w:szCs w:val="20"/>
          <w:lang w:val="es-ES"/>
        </w:rPr>
        <w:t xml:space="preserve"> y </w:t>
      </w:r>
      <w:r w:rsidR="00950DFA" w:rsidRPr="00975C02">
        <w:rPr>
          <w:sz w:val="20"/>
          <w:szCs w:val="20"/>
          <w:lang w:val="es-ES"/>
        </w:rPr>
        <w:t xml:space="preserve">delimiten </w:t>
      </w:r>
      <w:r w:rsidR="00950DFA" w:rsidRPr="00975C02">
        <w:rPr>
          <w:bCs/>
          <w:sz w:val="20"/>
          <w:szCs w:val="20"/>
          <w:lang w:val="es-ES"/>
        </w:rPr>
        <w:t>el contenido de la atención integral especializada para niñas</w:t>
      </w:r>
      <w:r w:rsidR="0065128E" w:rsidRPr="00975C02">
        <w:rPr>
          <w:sz w:val="20"/>
          <w:szCs w:val="20"/>
          <w:lang w:val="es-ES"/>
        </w:rPr>
        <w:t>, niños y adolescentes</w:t>
      </w:r>
      <w:r w:rsidR="00950DFA" w:rsidRPr="00975C02">
        <w:rPr>
          <w:bCs/>
          <w:sz w:val="20"/>
          <w:szCs w:val="20"/>
          <w:lang w:val="es-ES"/>
        </w:rPr>
        <w:t xml:space="preserve"> víctimas de violencia sexual. Por ello, la Corte ordena al Estado la adopción</w:t>
      </w:r>
      <w:r w:rsidR="00793A87" w:rsidRPr="00975C02">
        <w:rPr>
          <w:bCs/>
          <w:sz w:val="20"/>
          <w:szCs w:val="20"/>
          <w:lang w:val="es-ES"/>
        </w:rPr>
        <w:t>,</w:t>
      </w:r>
      <w:r w:rsidR="00B26781" w:rsidRPr="00975C02">
        <w:rPr>
          <w:bCs/>
          <w:sz w:val="20"/>
          <w:szCs w:val="20"/>
          <w:lang w:val="es-ES"/>
        </w:rPr>
        <w:t xml:space="preserve"> implementación</w:t>
      </w:r>
      <w:r w:rsidR="00793A87" w:rsidRPr="00975C02">
        <w:rPr>
          <w:bCs/>
          <w:sz w:val="20"/>
          <w:szCs w:val="20"/>
          <w:lang w:val="es-ES"/>
        </w:rPr>
        <w:t xml:space="preserve">, supervisión y fiscalización apropiada </w:t>
      </w:r>
      <w:r w:rsidR="00950DFA" w:rsidRPr="00975C02">
        <w:rPr>
          <w:bCs/>
          <w:sz w:val="20"/>
          <w:szCs w:val="20"/>
          <w:lang w:val="es-ES"/>
        </w:rPr>
        <w:t xml:space="preserve">de tres protocolos estandarizados, a saber: i) protocolo de investigación </w:t>
      </w:r>
      <w:r w:rsidR="00497BF5" w:rsidRPr="00975C02">
        <w:rPr>
          <w:bCs/>
          <w:sz w:val="20"/>
          <w:szCs w:val="20"/>
          <w:lang w:val="es-ES"/>
        </w:rPr>
        <w:t xml:space="preserve">y actuación </w:t>
      </w:r>
      <w:r w:rsidR="008F6E3F" w:rsidRPr="00975C02">
        <w:rPr>
          <w:bCs/>
          <w:sz w:val="20"/>
          <w:szCs w:val="20"/>
          <w:lang w:val="es-ES"/>
        </w:rPr>
        <w:t>durante</w:t>
      </w:r>
      <w:r w:rsidR="00497BF5" w:rsidRPr="00975C02">
        <w:rPr>
          <w:bCs/>
          <w:sz w:val="20"/>
          <w:szCs w:val="20"/>
          <w:lang w:val="es-ES"/>
        </w:rPr>
        <w:t xml:space="preserve"> el proceso penal para casos de niñas, niños y adolescentes</w:t>
      </w:r>
      <w:r w:rsidR="006A5849" w:rsidRPr="00975C02">
        <w:rPr>
          <w:bCs/>
          <w:sz w:val="20"/>
          <w:szCs w:val="20"/>
          <w:lang w:val="es-ES"/>
        </w:rPr>
        <w:t xml:space="preserve"> víctimas de violencia sexual</w:t>
      </w:r>
      <w:r w:rsidR="00497BF5" w:rsidRPr="00975C02">
        <w:rPr>
          <w:bCs/>
          <w:sz w:val="20"/>
          <w:szCs w:val="20"/>
          <w:lang w:val="es-ES"/>
        </w:rPr>
        <w:t xml:space="preserve">; ii) protocolo </w:t>
      </w:r>
      <w:r w:rsidR="00087D96" w:rsidRPr="00975C02">
        <w:rPr>
          <w:bCs/>
          <w:sz w:val="20"/>
          <w:szCs w:val="20"/>
          <w:lang w:val="es-ES"/>
        </w:rPr>
        <w:t>sobre abordaje integral y valoración médico legal para casos de niñas, niños y adolescentes</w:t>
      </w:r>
      <w:r w:rsidR="006A5849" w:rsidRPr="00975C02">
        <w:rPr>
          <w:bCs/>
          <w:sz w:val="20"/>
          <w:szCs w:val="20"/>
          <w:lang w:val="es-ES"/>
        </w:rPr>
        <w:t xml:space="preserve"> víctimas de violencia sexual</w:t>
      </w:r>
      <w:r w:rsidR="00087D96" w:rsidRPr="00975C02">
        <w:rPr>
          <w:bCs/>
          <w:sz w:val="20"/>
          <w:szCs w:val="20"/>
          <w:lang w:val="es-ES"/>
        </w:rPr>
        <w:t>, y iii) protocolo de atención integral para niñas, niños y adolescentes víctimas de violencia sexual.</w:t>
      </w:r>
    </w:p>
    <w:p w14:paraId="7FD4C05C" w14:textId="77777777" w:rsidR="009D661E" w:rsidRPr="00975C02" w:rsidRDefault="009D661E" w:rsidP="00E621FE">
      <w:pPr>
        <w:spacing w:line="240" w:lineRule="auto"/>
        <w:rPr>
          <w:sz w:val="20"/>
          <w:szCs w:val="20"/>
          <w:lang w:val="es-ES"/>
        </w:rPr>
      </w:pPr>
    </w:p>
    <w:p w14:paraId="0F8D5F6B" w14:textId="5DF3EE5B" w:rsidR="00E621FE" w:rsidRPr="00975C02" w:rsidRDefault="00E621FE" w:rsidP="00E621FE">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En relación con el protocolo de investigación y actuación durante el proceso penal para casos de niñas, niños y adolescentes víctimas de violencia sexual, el Estado deberá tener en cuenta los criterios establecidos en los instrumentos internacionales en materia de protección de los derechos del niño, niña y adolescente, así como los estándares desarrollados en esta Sentencia y en la jurisprudencia de la Corte. En este sentido, dicho protocolo deberá tener en consideración que la debida diligencia</w:t>
      </w:r>
      <w:r w:rsidR="00C35CE3">
        <w:rPr>
          <w:sz w:val="20"/>
          <w:szCs w:val="20"/>
          <w:lang w:val="es-ES"/>
        </w:rPr>
        <w:t xml:space="preserve"> reforzada </w:t>
      </w:r>
      <w:r w:rsidRPr="00975C02">
        <w:rPr>
          <w:sz w:val="20"/>
          <w:szCs w:val="20"/>
          <w:lang w:val="es-ES"/>
        </w:rPr>
        <w:t xml:space="preserve">implica la adopción de medidas especiales y el desarrollo de un proceso adaptado a las niñas, niños y adolescentes con miras a evitar </w:t>
      </w:r>
      <w:r w:rsidR="00C35CE3">
        <w:rPr>
          <w:sz w:val="20"/>
          <w:szCs w:val="20"/>
          <w:lang w:val="es-ES"/>
        </w:rPr>
        <w:t>su</w:t>
      </w:r>
      <w:r w:rsidRPr="00975C02">
        <w:rPr>
          <w:sz w:val="20"/>
          <w:szCs w:val="20"/>
          <w:lang w:val="es-ES"/>
        </w:rPr>
        <w:t xml:space="preserve"> revictimización, por lo que deberá incluir, conforme con los estándares desarrollados en los párrafos </w:t>
      </w:r>
      <w:r w:rsidR="00354BD5" w:rsidRPr="00975C02">
        <w:rPr>
          <w:sz w:val="20"/>
          <w:szCs w:val="20"/>
          <w:lang w:val="es-ES"/>
        </w:rPr>
        <w:t>158</w:t>
      </w:r>
      <w:r w:rsidR="00C64B34" w:rsidRPr="00975C02">
        <w:rPr>
          <w:sz w:val="20"/>
          <w:szCs w:val="20"/>
          <w:lang w:val="es-ES"/>
        </w:rPr>
        <w:t xml:space="preserve"> </w:t>
      </w:r>
      <w:r w:rsidR="00FF05D4" w:rsidRPr="00975C02">
        <w:rPr>
          <w:sz w:val="20"/>
          <w:szCs w:val="20"/>
          <w:lang w:val="es-ES"/>
        </w:rPr>
        <w:t xml:space="preserve">a </w:t>
      </w:r>
      <w:r w:rsidR="00C64B34" w:rsidRPr="00975C02">
        <w:rPr>
          <w:sz w:val="20"/>
          <w:szCs w:val="20"/>
          <w:lang w:val="es-ES"/>
        </w:rPr>
        <w:t>168</w:t>
      </w:r>
      <w:r w:rsidRPr="00975C02">
        <w:rPr>
          <w:sz w:val="20"/>
          <w:szCs w:val="20"/>
          <w:lang w:val="es-ES"/>
        </w:rPr>
        <w:t xml:space="preserve">, </w:t>
      </w:r>
      <w:r w:rsidR="001813BF">
        <w:rPr>
          <w:sz w:val="20"/>
          <w:szCs w:val="20"/>
          <w:lang w:val="es-ES"/>
        </w:rPr>
        <w:t xml:space="preserve">al menos </w:t>
      </w:r>
      <w:r w:rsidRPr="00975C02">
        <w:rPr>
          <w:sz w:val="20"/>
          <w:szCs w:val="20"/>
          <w:lang w:val="es-ES"/>
        </w:rPr>
        <w:t>los siguientes criterios: i) el derecho a la información relativa al procedimiento</w:t>
      </w:r>
      <w:r w:rsidR="00C35CE3">
        <w:rPr>
          <w:sz w:val="20"/>
          <w:szCs w:val="20"/>
          <w:lang w:val="es-ES"/>
        </w:rPr>
        <w:t>,</w:t>
      </w:r>
      <w:r w:rsidRPr="00975C02">
        <w:rPr>
          <w:sz w:val="20"/>
          <w:szCs w:val="20"/>
          <w:lang w:val="es-ES"/>
        </w:rPr>
        <w:t xml:space="preserve"> así como los servicios de asistencia jurídica, de salud y demás medidas de protección disponibles; ii) la asistencia letrada, gratuita y proporcionada por el Estado, de un abogado especializado en niñez y adolescencia</w:t>
      </w:r>
      <w:r w:rsidR="001813BF">
        <w:rPr>
          <w:sz w:val="20"/>
          <w:szCs w:val="20"/>
          <w:lang w:val="es-ES"/>
        </w:rPr>
        <w:t xml:space="preserve">, </w:t>
      </w:r>
      <w:r w:rsidR="001813BF" w:rsidRPr="00707DC0">
        <w:rPr>
          <w:rFonts w:eastAsia="Times"/>
          <w:sz w:val="20"/>
          <w:szCs w:val="20"/>
          <w:lang w:val="es-ES"/>
        </w:rPr>
        <w:t>con facultades de constituirse en calidad de parte procesal, oponerse a medidas judiciales, interponer recursos y realizar todo otro acto procesal tendiente a defender sus derechos en el proceso</w:t>
      </w:r>
      <w:r w:rsidRPr="00975C02">
        <w:rPr>
          <w:sz w:val="20"/>
          <w:szCs w:val="20"/>
          <w:lang w:val="es-ES"/>
        </w:rPr>
        <w:t>; iii) el derecho a ser oído, con las debidas garantías y dentro de un plazo razonable</w:t>
      </w:r>
      <w:r w:rsidR="001813BF">
        <w:rPr>
          <w:sz w:val="20"/>
          <w:szCs w:val="20"/>
          <w:lang w:val="es-ES"/>
        </w:rPr>
        <w:t xml:space="preserve">, que conlleva </w:t>
      </w:r>
      <w:r w:rsidR="001813BF" w:rsidRPr="00975C02">
        <w:rPr>
          <w:rFonts w:eastAsia="Calibri" w:cs="Calibri"/>
          <w:sz w:val="20"/>
          <w:szCs w:val="20"/>
          <w:lang w:val="es-ES" w:eastAsia="en-US"/>
        </w:rPr>
        <w:t>un criterio reforzado de celeridad</w:t>
      </w:r>
      <w:r w:rsidRPr="00975C02">
        <w:rPr>
          <w:sz w:val="20"/>
          <w:szCs w:val="20"/>
          <w:lang w:val="es-ES"/>
        </w:rPr>
        <w:t xml:space="preserve">; iv) el derecho </w:t>
      </w:r>
      <w:r w:rsidR="00C35CE3">
        <w:rPr>
          <w:sz w:val="20"/>
          <w:szCs w:val="20"/>
          <w:lang w:val="es-ES"/>
        </w:rPr>
        <w:t xml:space="preserve">de la niña, niño o adolescente víctima </w:t>
      </w:r>
      <w:r w:rsidRPr="00975C02">
        <w:rPr>
          <w:sz w:val="20"/>
          <w:szCs w:val="20"/>
          <w:lang w:val="es-ES"/>
        </w:rPr>
        <w:t xml:space="preserve">a participar en el proceso penal, en función de su edad y madurez, y siempre que no implique un perjuicio en su bienestar biopsico-social. Para ello, deben realizarse las diligencias estrictamente necesarias y evitarse la presencia e interacción de las niñas, niños y adolescentes con su agresor; v) generar las condiciones adecuadas para que las niñas, niños y adolescentes puedan participar de forma </w:t>
      </w:r>
      <w:r w:rsidRPr="00975C02">
        <w:rPr>
          <w:sz w:val="20"/>
          <w:szCs w:val="20"/>
          <w:lang w:val="es-ES"/>
        </w:rPr>
        <w:lastRenderedPageBreak/>
        <w:t xml:space="preserve">efectiva en el proceso penal mediante las protecciones especiales y el acompañamiento especializado; vi) la entrevista deberá llevarse a cabo por un psicólogo especializado o un profesional de disciplinas afines debidamente capacitado en la toma de este tipo de declaraciones de niñas, niños y adolescentes; vii) </w:t>
      </w:r>
      <w:r w:rsidRPr="00975C02">
        <w:rPr>
          <w:kern w:val="2"/>
          <w:sz w:val="20"/>
          <w:szCs w:val="20"/>
          <w:lang w:val="es-ES"/>
        </w:rPr>
        <w:t>las salas de entrevistas otorgarán un entorno seguro y no intimidatorio, hostil, insensible o inadecuado, que les brinde privacidad y confianza</w:t>
      </w:r>
      <w:r w:rsidRPr="00975C02">
        <w:rPr>
          <w:sz w:val="20"/>
          <w:szCs w:val="20"/>
          <w:lang w:val="es-ES"/>
        </w:rPr>
        <w:t>; viii) el personal del servicio de justicia que intervenga deberá estar capacitado en la temática</w:t>
      </w:r>
      <w:r w:rsidR="00FF05D4" w:rsidRPr="00975C02">
        <w:rPr>
          <w:sz w:val="20"/>
          <w:szCs w:val="20"/>
          <w:lang w:val="es-ES"/>
        </w:rPr>
        <w:t>, y</w:t>
      </w:r>
      <w:r w:rsidRPr="00975C02">
        <w:rPr>
          <w:sz w:val="20"/>
          <w:szCs w:val="20"/>
          <w:lang w:val="es-ES"/>
        </w:rPr>
        <w:t xml:space="preserve"> ix) </w:t>
      </w:r>
      <w:r w:rsidR="00CE5758">
        <w:rPr>
          <w:sz w:val="20"/>
          <w:szCs w:val="20"/>
          <w:lang w:val="es-ES"/>
        </w:rPr>
        <w:t xml:space="preserve">deberá </w:t>
      </w:r>
      <w:r w:rsidRPr="00975C02">
        <w:rPr>
          <w:sz w:val="20"/>
          <w:szCs w:val="20"/>
          <w:lang w:val="es-ES"/>
        </w:rPr>
        <w:t>brindar</w:t>
      </w:r>
      <w:r w:rsidR="00CE5758">
        <w:rPr>
          <w:sz w:val="20"/>
          <w:szCs w:val="20"/>
          <w:lang w:val="es-ES"/>
        </w:rPr>
        <w:t>se</w:t>
      </w:r>
      <w:r w:rsidRPr="00975C02">
        <w:rPr>
          <w:sz w:val="20"/>
          <w:szCs w:val="20"/>
          <w:lang w:val="es-ES"/>
        </w:rPr>
        <w:t xml:space="preserve"> asistencia inmediata y profesional, tanto médica como psicológica </w:t>
      </w:r>
      <w:r w:rsidR="00C35CE3">
        <w:rPr>
          <w:sz w:val="20"/>
          <w:szCs w:val="20"/>
          <w:lang w:val="es-ES"/>
        </w:rPr>
        <w:t>y/</w:t>
      </w:r>
      <w:r w:rsidRPr="00975C02">
        <w:rPr>
          <w:sz w:val="20"/>
          <w:szCs w:val="20"/>
          <w:lang w:val="es-ES"/>
        </w:rPr>
        <w:t>o psiquiátrica, a cargo de un profesional específicamente capacitado en la atención de víctimas de este tipo de delitos y con perspectiva de género. La Corte considera que este protocolo deberá estar dirigido, especialmente, a todo el personal de la administración de justicia que intervenga en la investigación y tramitación de procesos penales en casos de niñas, niños o adolescentes víctimas de violencia sexual, sea que ésta haya ocurrido en la esfera pública o privada.</w:t>
      </w:r>
    </w:p>
    <w:p w14:paraId="78BD41AC" w14:textId="77777777" w:rsidR="00E621FE" w:rsidRPr="00975C02" w:rsidRDefault="00E621FE" w:rsidP="00681AE9">
      <w:pPr>
        <w:spacing w:line="240" w:lineRule="auto"/>
        <w:rPr>
          <w:sz w:val="20"/>
          <w:szCs w:val="20"/>
          <w:lang w:val="es-ES"/>
        </w:rPr>
      </w:pPr>
    </w:p>
    <w:p w14:paraId="5BFA1DCD" w14:textId="58EEB088" w:rsidR="002F5FF5" w:rsidRPr="00975C02" w:rsidRDefault="002F5FF5" w:rsidP="002F5FF5">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En relación con el protocolo sobre abordaje integral y valoración médico legal para casos de niñas, niños y adolescentes víctimas de violencia sexual, la Corte ordena al Estado de Nicaragua que adopte un protocolo específico estandarizado para que todo el personal de salud, ya sea público o privado y, de forma particular, el personal del Instituto de Medicina Legal, cuente con los criterios necesarios para la ejecución de los exámenes que correspondan, conforme con los criterios establecidos en </w:t>
      </w:r>
      <w:r w:rsidR="00354BD5" w:rsidRPr="00975C02">
        <w:rPr>
          <w:sz w:val="20"/>
          <w:szCs w:val="20"/>
          <w:lang w:val="es-ES"/>
        </w:rPr>
        <w:t>e</w:t>
      </w:r>
      <w:r w:rsidRPr="00975C02">
        <w:rPr>
          <w:sz w:val="20"/>
          <w:szCs w:val="20"/>
          <w:lang w:val="es-ES"/>
        </w:rPr>
        <w:t xml:space="preserve">l párrafo </w:t>
      </w:r>
      <w:r w:rsidR="00354BD5" w:rsidRPr="00975C02">
        <w:rPr>
          <w:sz w:val="20"/>
          <w:szCs w:val="20"/>
          <w:lang w:val="es-ES"/>
        </w:rPr>
        <w:t>169</w:t>
      </w:r>
      <w:r w:rsidRPr="00975C02">
        <w:rPr>
          <w:sz w:val="20"/>
          <w:szCs w:val="20"/>
          <w:lang w:val="es-ES"/>
        </w:rPr>
        <w:t xml:space="preserve"> de la presente Sentencia y la jurisprudencia de la Corte, así como los estándares internacionales en la materia. El Tribunal resalta que, de considerarse necesaria la realización de un examen médico, el Estado deberá garantizar</w:t>
      </w:r>
      <w:r w:rsidR="001813BF">
        <w:rPr>
          <w:sz w:val="20"/>
          <w:szCs w:val="20"/>
          <w:lang w:val="es-ES"/>
        </w:rPr>
        <w:t xml:space="preserve"> al menos</w:t>
      </w:r>
      <w:r w:rsidR="007136AF">
        <w:rPr>
          <w:sz w:val="20"/>
          <w:szCs w:val="20"/>
          <w:lang w:val="es-ES"/>
        </w:rPr>
        <w:t xml:space="preserve"> </w:t>
      </w:r>
      <w:r w:rsidRPr="00975C02">
        <w:rPr>
          <w:sz w:val="20"/>
          <w:szCs w:val="20"/>
          <w:lang w:val="es-ES"/>
        </w:rPr>
        <w:t xml:space="preserve">lo siguiente: i) deberá evitarse, en la medida de lo posible, más de una evaluación física; ii) debe ser realizado por un profesional con amplio conocimiento y experiencia en casos de violencia sexual de niñas, niños y adolescentes; iii) la víctima o su representante legal, según el grado de madurez de la niña, niño o adolescente, podrá elegir el sexo del profesional; iv) el examen debe estar a cargo de un profesional de salud especialista en ginecología infanto-juvenil, con formación específica para realizar los exámenes médicos forenses en casos de </w:t>
      </w:r>
      <w:r w:rsidR="00BB0086">
        <w:rPr>
          <w:sz w:val="20"/>
          <w:szCs w:val="20"/>
          <w:lang w:val="es-ES"/>
        </w:rPr>
        <w:t xml:space="preserve">abuso y </w:t>
      </w:r>
      <w:r w:rsidRPr="00975C02">
        <w:rPr>
          <w:sz w:val="20"/>
          <w:szCs w:val="20"/>
          <w:lang w:val="es-ES"/>
        </w:rPr>
        <w:t>violación sexual; v) deberá llevarse a cabo luego del consentimiento informado de la víctima o de su representante legal, según su grado de madurez, tomando en cuenta el derecho de la niña, niño o adolescente a ser oído</w:t>
      </w:r>
      <w:r w:rsidR="000669CD" w:rsidRPr="00975C02">
        <w:rPr>
          <w:sz w:val="20"/>
          <w:szCs w:val="20"/>
          <w:lang w:val="es-ES"/>
        </w:rPr>
        <w:t>, y</w:t>
      </w:r>
      <w:r w:rsidRPr="00975C02">
        <w:rPr>
          <w:sz w:val="20"/>
          <w:szCs w:val="20"/>
          <w:lang w:val="es-ES"/>
        </w:rPr>
        <w:t xml:space="preserve"> vi) se realizará en un lugar adecuado y se respetará su derecho a la intimidad y privacidad, permitiendo la presencia de un acompañante de confianza de la víctima.</w:t>
      </w:r>
    </w:p>
    <w:p w14:paraId="43C4478F" w14:textId="77777777" w:rsidR="002F5FF5" w:rsidRPr="00975C02" w:rsidRDefault="002F5FF5" w:rsidP="00DF3D71">
      <w:pPr>
        <w:pStyle w:val="Default"/>
        <w:tabs>
          <w:tab w:val="left" w:pos="567"/>
        </w:tabs>
        <w:jc w:val="both"/>
        <w:rPr>
          <w:rFonts w:ascii="Verdana" w:hAnsi="Verdana"/>
          <w:color w:val="auto"/>
          <w:sz w:val="20"/>
          <w:szCs w:val="20"/>
          <w:lang w:val="es-ES"/>
        </w:rPr>
      </w:pPr>
    </w:p>
    <w:p w14:paraId="41E55DC6" w14:textId="6DF28F72" w:rsidR="00415EF8" w:rsidRPr="00975C02" w:rsidRDefault="00172747" w:rsidP="008F6E3F">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Finalmente, en relación con el</w:t>
      </w:r>
      <w:r w:rsidR="009D661E" w:rsidRPr="00975C02">
        <w:rPr>
          <w:sz w:val="20"/>
          <w:szCs w:val="20"/>
          <w:lang w:val="es-ES"/>
        </w:rPr>
        <w:t xml:space="preserve"> </w:t>
      </w:r>
      <w:r w:rsidRPr="00975C02">
        <w:rPr>
          <w:sz w:val="20"/>
          <w:szCs w:val="20"/>
          <w:lang w:val="es-ES"/>
        </w:rPr>
        <w:t xml:space="preserve">protocolo específico estandarizado </w:t>
      </w:r>
      <w:r w:rsidRPr="00975C02">
        <w:rPr>
          <w:bCs/>
          <w:sz w:val="20"/>
          <w:szCs w:val="20"/>
          <w:lang w:val="es-ES"/>
        </w:rPr>
        <w:t>de atención integral para niñas, niños y adolescentes víctimas de violencia sexual</w:t>
      </w:r>
      <w:r w:rsidR="00904555" w:rsidRPr="00975C02">
        <w:rPr>
          <w:bCs/>
          <w:sz w:val="20"/>
          <w:szCs w:val="20"/>
          <w:lang w:val="es-ES"/>
        </w:rPr>
        <w:t xml:space="preserve">, la Corte ordena que </w:t>
      </w:r>
      <w:r w:rsidR="00A07760" w:rsidRPr="00975C02">
        <w:rPr>
          <w:bCs/>
          <w:sz w:val="20"/>
          <w:szCs w:val="20"/>
          <w:lang w:val="es-ES"/>
        </w:rPr>
        <w:t>este</w:t>
      </w:r>
      <w:r w:rsidR="00CA401A" w:rsidRPr="00975C02">
        <w:rPr>
          <w:bCs/>
          <w:sz w:val="20"/>
          <w:szCs w:val="20"/>
          <w:lang w:val="es-ES"/>
        </w:rPr>
        <w:t xml:space="preserve"> </w:t>
      </w:r>
      <w:r w:rsidR="009D661E" w:rsidRPr="00975C02">
        <w:rPr>
          <w:sz w:val="20"/>
          <w:szCs w:val="20"/>
          <w:lang w:val="es-ES"/>
        </w:rPr>
        <w:t xml:space="preserve">deberá brindar </w:t>
      </w:r>
      <w:r w:rsidR="00CA401A" w:rsidRPr="00975C02">
        <w:rPr>
          <w:sz w:val="20"/>
          <w:szCs w:val="20"/>
          <w:lang w:val="es-ES"/>
        </w:rPr>
        <w:t xml:space="preserve">medidas de protección </w:t>
      </w:r>
      <w:r w:rsidR="009D661E" w:rsidRPr="00975C02">
        <w:rPr>
          <w:sz w:val="20"/>
          <w:szCs w:val="20"/>
          <w:lang w:val="es-ES"/>
        </w:rPr>
        <w:t xml:space="preserve">desde el momento en que </w:t>
      </w:r>
      <w:r w:rsidR="00CA401A" w:rsidRPr="00975C02">
        <w:rPr>
          <w:sz w:val="20"/>
          <w:szCs w:val="20"/>
          <w:lang w:val="es-ES"/>
        </w:rPr>
        <w:t xml:space="preserve">el Estado </w:t>
      </w:r>
      <w:r w:rsidR="009D661E" w:rsidRPr="00975C02">
        <w:rPr>
          <w:sz w:val="20"/>
          <w:szCs w:val="20"/>
          <w:lang w:val="es-ES"/>
        </w:rPr>
        <w:t xml:space="preserve">conozca de </w:t>
      </w:r>
      <w:r w:rsidR="00CA401A" w:rsidRPr="00975C02">
        <w:rPr>
          <w:sz w:val="20"/>
          <w:szCs w:val="20"/>
          <w:lang w:val="es-ES"/>
        </w:rPr>
        <w:t xml:space="preserve">la violencia sexual, </w:t>
      </w:r>
      <w:r w:rsidR="009D661E" w:rsidRPr="00975C02">
        <w:rPr>
          <w:sz w:val="20"/>
          <w:szCs w:val="20"/>
          <w:lang w:val="es-ES"/>
        </w:rPr>
        <w:t xml:space="preserve">conforme </w:t>
      </w:r>
      <w:r w:rsidR="00A07760" w:rsidRPr="00975C02">
        <w:rPr>
          <w:sz w:val="20"/>
          <w:szCs w:val="20"/>
          <w:lang w:val="es-ES"/>
        </w:rPr>
        <w:t>con</w:t>
      </w:r>
      <w:r w:rsidR="009D661E" w:rsidRPr="00975C02">
        <w:rPr>
          <w:sz w:val="20"/>
          <w:szCs w:val="20"/>
          <w:lang w:val="es-ES"/>
        </w:rPr>
        <w:t xml:space="preserve"> los criterios establecidos en los párrafos </w:t>
      </w:r>
      <w:r w:rsidR="00354BD5" w:rsidRPr="00975C02">
        <w:rPr>
          <w:sz w:val="20"/>
          <w:szCs w:val="20"/>
          <w:lang w:val="es-ES"/>
        </w:rPr>
        <w:t>164, 165 y 170</w:t>
      </w:r>
      <w:r w:rsidR="00CA401A" w:rsidRPr="00975C02">
        <w:rPr>
          <w:sz w:val="20"/>
          <w:szCs w:val="20"/>
          <w:lang w:val="es-ES"/>
        </w:rPr>
        <w:t xml:space="preserve"> de la presente Sentencia</w:t>
      </w:r>
      <w:r w:rsidR="009D661E" w:rsidRPr="00975C02">
        <w:rPr>
          <w:sz w:val="20"/>
          <w:szCs w:val="20"/>
          <w:lang w:val="es-ES"/>
        </w:rPr>
        <w:t>.</w:t>
      </w:r>
      <w:r w:rsidR="00CA401A" w:rsidRPr="00975C02">
        <w:rPr>
          <w:sz w:val="20"/>
          <w:szCs w:val="20"/>
          <w:lang w:val="es-ES"/>
        </w:rPr>
        <w:t xml:space="preserve"> En particular, la Corte ordena al Estado que</w:t>
      </w:r>
      <w:r w:rsidR="009D661E" w:rsidRPr="00975C02">
        <w:rPr>
          <w:sz w:val="20"/>
          <w:szCs w:val="20"/>
          <w:lang w:val="es-ES"/>
        </w:rPr>
        <w:t xml:space="preserve"> </w:t>
      </w:r>
      <w:r w:rsidR="00CA401A" w:rsidRPr="00975C02">
        <w:rPr>
          <w:sz w:val="20"/>
          <w:szCs w:val="20"/>
          <w:lang w:val="es-ES"/>
        </w:rPr>
        <w:t>d</w:t>
      </w:r>
      <w:r w:rsidR="009D661E" w:rsidRPr="00975C02">
        <w:rPr>
          <w:sz w:val="20"/>
          <w:szCs w:val="20"/>
          <w:lang w:val="es-ES"/>
        </w:rPr>
        <w:t xml:space="preserve">icho protocolo </w:t>
      </w:r>
      <w:r w:rsidR="00CA401A" w:rsidRPr="00975C02">
        <w:rPr>
          <w:sz w:val="20"/>
          <w:szCs w:val="20"/>
          <w:lang w:val="es-ES"/>
        </w:rPr>
        <w:t>garantice el establecimiento de protecciones especiales y acompañamiento especializado, médico, psicológico y/o psiquiátrico para que las niñas, niños y adolescentes puedan participar de forma efectiva en el proceso penal, evitando la revictimización</w:t>
      </w:r>
      <w:r w:rsidR="00C76EF4" w:rsidRPr="00975C02">
        <w:rPr>
          <w:sz w:val="20"/>
          <w:szCs w:val="20"/>
          <w:lang w:val="es-ES"/>
        </w:rPr>
        <w:t xml:space="preserve"> y conforme a sus vivencias y entendimiento. El protocolo además, deberá garantizar que se brinde asistencia antes</w:t>
      </w:r>
      <w:r w:rsidR="008247AD" w:rsidRPr="00975C02">
        <w:rPr>
          <w:sz w:val="20"/>
          <w:szCs w:val="20"/>
          <w:lang w:val="es-ES"/>
        </w:rPr>
        <w:t xml:space="preserve">, durante </w:t>
      </w:r>
      <w:r w:rsidR="00C76EF4" w:rsidRPr="00975C02">
        <w:rPr>
          <w:sz w:val="20"/>
          <w:szCs w:val="20"/>
          <w:lang w:val="es-ES"/>
        </w:rPr>
        <w:t xml:space="preserve">y después </w:t>
      </w:r>
      <w:r w:rsidR="00C76EF4" w:rsidRPr="00975C02">
        <w:rPr>
          <w:bCs/>
          <w:sz w:val="20"/>
          <w:szCs w:val="20"/>
          <w:lang w:val="es-ES"/>
        </w:rPr>
        <w:t xml:space="preserve">de las investigaciones y proceso penal para lograr la reintegración y rehabilitación de las niñas, niños y adolescentes víctimas de violencia sexual. En este sentido, se </w:t>
      </w:r>
      <w:r w:rsidR="002A4337" w:rsidRPr="00975C02">
        <w:rPr>
          <w:bCs/>
          <w:sz w:val="20"/>
          <w:szCs w:val="20"/>
          <w:lang w:val="es-ES"/>
        </w:rPr>
        <w:t xml:space="preserve">brindará </w:t>
      </w:r>
      <w:r w:rsidR="00C76EF4" w:rsidRPr="00975C02">
        <w:rPr>
          <w:bCs/>
          <w:sz w:val="20"/>
          <w:szCs w:val="20"/>
          <w:lang w:val="es-ES"/>
        </w:rPr>
        <w:t>asistencia inmediata y profesional, tanto médica, psicológica como psiquiátrica a cargo de personal especializado</w:t>
      </w:r>
      <w:r w:rsidR="002A4337" w:rsidRPr="00975C02">
        <w:rPr>
          <w:bCs/>
          <w:sz w:val="20"/>
          <w:szCs w:val="20"/>
          <w:lang w:val="es-ES"/>
        </w:rPr>
        <w:t>,</w:t>
      </w:r>
      <w:r w:rsidR="00C76EF4" w:rsidRPr="00975C02">
        <w:rPr>
          <w:bCs/>
          <w:sz w:val="20"/>
          <w:szCs w:val="20"/>
          <w:lang w:val="es-ES"/>
        </w:rPr>
        <w:t xml:space="preserve"> con perspectiva de género y sin discriminación, </w:t>
      </w:r>
      <w:r w:rsidR="002A4337" w:rsidRPr="00975C02">
        <w:rPr>
          <w:bCs/>
          <w:sz w:val="20"/>
          <w:szCs w:val="20"/>
          <w:lang w:val="es-ES"/>
        </w:rPr>
        <w:t>para</w:t>
      </w:r>
      <w:r w:rsidR="00C76EF4" w:rsidRPr="00975C02">
        <w:rPr>
          <w:bCs/>
          <w:sz w:val="20"/>
          <w:szCs w:val="20"/>
          <w:lang w:val="es-ES"/>
        </w:rPr>
        <w:t xml:space="preserve"> las víctimas y sus familiares</w:t>
      </w:r>
      <w:r w:rsidR="002A4337" w:rsidRPr="00975C02">
        <w:rPr>
          <w:bCs/>
          <w:sz w:val="20"/>
          <w:szCs w:val="20"/>
          <w:lang w:val="es-ES"/>
        </w:rPr>
        <w:t>,</w:t>
      </w:r>
      <w:r w:rsidR="00BD4AF8" w:rsidRPr="00975C02">
        <w:rPr>
          <w:bCs/>
          <w:sz w:val="20"/>
          <w:szCs w:val="20"/>
          <w:lang w:val="es-ES"/>
        </w:rPr>
        <w:t xml:space="preserve"> durante el tiempo que sea necesario para lograr la rehabilitación.</w:t>
      </w:r>
      <w:r w:rsidR="00C76EF4" w:rsidRPr="00975C02">
        <w:rPr>
          <w:bCs/>
          <w:sz w:val="20"/>
          <w:szCs w:val="20"/>
          <w:lang w:val="es-ES"/>
        </w:rPr>
        <w:t xml:space="preserve"> La Cor</w:t>
      </w:r>
      <w:r w:rsidR="00F343DF" w:rsidRPr="00975C02">
        <w:rPr>
          <w:bCs/>
          <w:sz w:val="20"/>
          <w:szCs w:val="20"/>
          <w:lang w:val="es-ES"/>
        </w:rPr>
        <w:t>te estima que este protocolo deberá estar</w:t>
      </w:r>
      <w:r w:rsidR="00C76EF4" w:rsidRPr="00975C02">
        <w:rPr>
          <w:bCs/>
          <w:sz w:val="20"/>
          <w:szCs w:val="20"/>
          <w:lang w:val="es-ES"/>
        </w:rPr>
        <w:t xml:space="preserve"> dirigido no solo al personal de salud </w:t>
      </w:r>
      <w:r w:rsidR="00F343DF" w:rsidRPr="00975C02">
        <w:rPr>
          <w:bCs/>
          <w:sz w:val="20"/>
          <w:szCs w:val="20"/>
          <w:lang w:val="es-ES"/>
        </w:rPr>
        <w:t>que interviene en casos de violencia sexual</w:t>
      </w:r>
      <w:r w:rsidR="00463B80" w:rsidRPr="00975C02">
        <w:rPr>
          <w:bCs/>
          <w:sz w:val="20"/>
          <w:szCs w:val="20"/>
          <w:lang w:val="es-ES"/>
        </w:rPr>
        <w:t>,</w:t>
      </w:r>
      <w:r w:rsidR="00F343DF" w:rsidRPr="00975C02">
        <w:rPr>
          <w:bCs/>
          <w:sz w:val="20"/>
          <w:szCs w:val="20"/>
          <w:lang w:val="es-ES"/>
        </w:rPr>
        <w:t xml:space="preserve"> sino también al personal </w:t>
      </w:r>
      <w:r w:rsidR="00BD4AF8" w:rsidRPr="00975C02">
        <w:rPr>
          <w:bCs/>
          <w:sz w:val="20"/>
          <w:szCs w:val="20"/>
          <w:lang w:val="es-ES"/>
        </w:rPr>
        <w:t xml:space="preserve">de apoyo </w:t>
      </w:r>
      <w:r w:rsidR="00F343DF" w:rsidRPr="00975C02">
        <w:rPr>
          <w:bCs/>
          <w:sz w:val="20"/>
          <w:szCs w:val="20"/>
          <w:lang w:val="es-ES"/>
        </w:rPr>
        <w:t xml:space="preserve">social y familiar que de forma integral brindan atención a las víctimas, por lo que deberá incluir los </w:t>
      </w:r>
      <w:r w:rsidR="00C76EF4" w:rsidRPr="00975C02">
        <w:rPr>
          <w:bCs/>
          <w:sz w:val="20"/>
          <w:szCs w:val="20"/>
          <w:lang w:val="es-ES"/>
        </w:rPr>
        <w:t xml:space="preserve">mecanismos de apoyo </w:t>
      </w:r>
      <w:r w:rsidR="00F343DF" w:rsidRPr="00975C02">
        <w:rPr>
          <w:bCs/>
          <w:sz w:val="20"/>
          <w:szCs w:val="20"/>
          <w:lang w:val="es-ES"/>
        </w:rPr>
        <w:t xml:space="preserve">con los que </w:t>
      </w:r>
      <w:r w:rsidR="00C76EF4" w:rsidRPr="00975C02">
        <w:rPr>
          <w:bCs/>
          <w:sz w:val="20"/>
          <w:szCs w:val="20"/>
          <w:lang w:val="es-ES"/>
        </w:rPr>
        <w:t xml:space="preserve">cuentan </w:t>
      </w:r>
      <w:r w:rsidR="00BD4AF8" w:rsidRPr="00975C02">
        <w:rPr>
          <w:bCs/>
          <w:sz w:val="20"/>
          <w:szCs w:val="20"/>
          <w:lang w:val="es-ES"/>
        </w:rPr>
        <w:t>dichas</w:t>
      </w:r>
      <w:r w:rsidR="00C76EF4" w:rsidRPr="00975C02">
        <w:rPr>
          <w:bCs/>
          <w:sz w:val="20"/>
          <w:szCs w:val="20"/>
          <w:lang w:val="es-ES"/>
        </w:rPr>
        <w:t xml:space="preserve"> víctimas y sus familiares</w:t>
      </w:r>
      <w:r w:rsidR="00F343DF" w:rsidRPr="00975C02">
        <w:rPr>
          <w:bCs/>
          <w:sz w:val="20"/>
          <w:szCs w:val="20"/>
          <w:lang w:val="es-ES"/>
        </w:rPr>
        <w:t>. El protocolo deberá</w:t>
      </w:r>
      <w:r w:rsidR="00463B80" w:rsidRPr="00975C02">
        <w:rPr>
          <w:bCs/>
          <w:sz w:val="20"/>
          <w:szCs w:val="20"/>
          <w:lang w:val="es-ES"/>
        </w:rPr>
        <w:t>,</w:t>
      </w:r>
      <w:r w:rsidR="00F343DF" w:rsidRPr="00975C02">
        <w:rPr>
          <w:bCs/>
          <w:sz w:val="20"/>
          <w:szCs w:val="20"/>
          <w:lang w:val="es-ES"/>
        </w:rPr>
        <w:t xml:space="preserve"> asimismo, </w:t>
      </w:r>
      <w:r w:rsidR="009D661E" w:rsidRPr="00975C02">
        <w:rPr>
          <w:sz w:val="20"/>
          <w:szCs w:val="20"/>
          <w:lang w:val="es-ES"/>
        </w:rPr>
        <w:t>establecer claramente las acciones de coordinación entre distintas instancias estatales que brindan asistencia a las niñas, niños y adolescente</w:t>
      </w:r>
      <w:r w:rsidR="00BD4AF8" w:rsidRPr="00975C02">
        <w:rPr>
          <w:sz w:val="20"/>
          <w:szCs w:val="20"/>
          <w:lang w:val="es-ES"/>
        </w:rPr>
        <w:t>s</w:t>
      </w:r>
      <w:r w:rsidR="009D661E" w:rsidRPr="00975C02">
        <w:rPr>
          <w:sz w:val="20"/>
          <w:szCs w:val="20"/>
          <w:lang w:val="es-ES"/>
        </w:rPr>
        <w:t xml:space="preserve"> </w:t>
      </w:r>
      <w:r w:rsidR="00F343DF" w:rsidRPr="00975C02">
        <w:rPr>
          <w:sz w:val="20"/>
          <w:szCs w:val="20"/>
          <w:lang w:val="es-ES"/>
        </w:rPr>
        <w:t xml:space="preserve">víctimas de violencia sexual </w:t>
      </w:r>
      <w:r w:rsidR="009D661E" w:rsidRPr="00975C02">
        <w:rPr>
          <w:sz w:val="20"/>
          <w:szCs w:val="20"/>
          <w:lang w:val="es-ES"/>
        </w:rPr>
        <w:t xml:space="preserve">en </w:t>
      </w:r>
      <w:r w:rsidR="009D661E" w:rsidRPr="00975C02">
        <w:rPr>
          <w:sz w:val="20"/>
          <w:szCs w:val="20"/>
          <w:lang w:val="es-ES"/>
        </w:rPr>
        <w:lastRenderedPageBreak/>
        <w:t>Nicaragua</w:t>
      </w:r>
      <w:r w:rsidR="00415EF8" w:rsidRPr="00975C02">
        <w:rPr>
          <w:rStyle w:val="FootnoteReference"/>
          <w:sz w:val="20"/>
          <w:szCs w:val="20"/>
          <w:lang w:val="es-ES"/>
        </w:rPr>
        <w:footnoteReference w:id="447"/>
      </w:r>
      <w:r w:rsidR="009D661E" w:rsidRPr="00975C02">
        <w:rPr>
          <w:sz w:val="20"/>
          <w:szCs w:val="20"/>
          <w:lang w:val="es-ES"/>
        </w:rPr>
        <w:t>.</w:t>
      </w:r>
    </w:p>
    <w:p w14:paraId="174B58F6" w14:textId="77777777" w:rsidR="00415EF8" w:rsidRPr="00975C02" w:rsidRDefault="00415EF8" w:rsidP="00DF3D71">
      <w:pPr>
        <w:tabs>
          <w:tab w:val="left" w:pos="567"/>
        </w:tabs>
        <w:spacing w:line="240" w:lineRule="auto"/>
        <w:textAlignment w:val="auto"/>
        <w:rPr>
          <w:sz w:val="20"/>
          <w:szCs w:val="20"/>
          <w:lang w:val="es-ES"/>
        </w:rPr>
      </w:pPr>
    </w:p>
    <w:p w14:paraId="40A09BA6" w14:textId="3EC5D69C" w:rsidR="00415EF8" w:rsidRPr="00975C02" w:rsidRDefault="00415EF8" w:rsidP="00DF3D71">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 xml:space="preserve">La Corte ordena que Nicaragua deberá cumplir con </w:t>
      </w:r>
      <w:r w:rsidR="002A4337" w:rsidRPr="00975C02">
        <w:rPr>
          <w:sz w:val="20"/>
          <w:szCs w:val="20"/>
          <w:lang w:val="es-ES"/>
        </w:rPr>
        <w:t xml:space="preserve">las </w:t>
      </w:r>
      <w:r w:rsidRPr="00975C02">
        <w:rPr>
          <w:sz w:val="20"/>
          <w:szCs w:val="20"/>
          <w:lang w:val="es-ES"/>
        </w:rPr>
        <w:t>medida</w:t>
      </w:r>
      <w:r w:rsidR="002A4337" w:rsidRPr="00975C02">
        <w:rPr>
          <w:sz w:val="20"/>
          <w:szCs w:val="20"/>
          <w:lang w:val="es-ES"/>
        </w:rPr>
        <w:t>s</w:t>
      </w:r>
      <w:r w:rsidRPr="00975C02">
        <w:rPr>
          <w:sz w:val="20"/>
          <w:szCs w:val="20"/>
          <w:lang w:val="es-ES"/>
        </w:rPr>
        <w:t xml:space="preserve"> de reparación</w:t>
      </w:r>
      <w:r w:rsidR="002A4337" w:rsidRPr="00975C02">
        <w:rPr>
          <w:sz w:val="20"/>
          <w:szCs w:val="20"/>
          <w:lang w:val="es-ES"/>
        </w:rPr>
        <w:t xml:space="preserve"> dispuestas en este apartado</w:t>
      </w:r>
      <w:r w:rsidRPr="00975C02">
        <w:rPr>
          <w:sz w:val="20"/>
          <w:szCs w:val="20"/>
          <w:lang w:val="es-ES"/>
        </w:rPr>
        <w:t xml:space="preserve"> en el plazo de dos años desde la notificación de la presente Sentencia.</w:t>
      </w:r>
    </w:p>
    <w:p w14:paraId="6C8017AD" w14:textId="77777777" w:rsidR="009D661E" w:rsidRPr="00975C02" w:rsidRDefault="009D661E" w:rsidP="000744BD">
      <w:pPr>
        <w:tabs>
          <w:tab w:val="left" w:pos="567"/>
        </w:tabs>
        <w:spacing w:line="240" w:lineRule="auto"/>
        <w:textAlignment w:val="auto"/>
        <w:rPr>
          <w:sz w:val="20"/>
          <w:szCs w:val="20"/>
          <w:lang w:val="es-ES"/>
        </w:rPr>
      </w:pPr>
    </w:p>
    <w:p w14:paraId="09194907" w14:textId="77777777" w:rsidR="00132CFF" w:rsidRPr="00975C02" w:rsidRDefault="00D8602B" w:rsidP="009D661E">
      <w:pPr>
        <w:spacing w:line="240" w:lineRule="auto"/>
        <w:ind w:left="1985"/>
        <w:rPr>
          <w:i/>
          <w:iCs/>
          <w:sz w:val="20"/>
          <w:szCs w:val="20"/>
          <w:lang w:val="es-ES"/>
        </w:rPr>
      </w:pPr>
      <w:r w:rsidRPr="00975C02">
        <w:rPr>
          <w:i/>
          <w:iCs/>
          <w:sz w:val="20"/>
          <w:szCs w:val="20"/>
          <w:lang w:val="es-ES"/>
        </w:rPr>
        <w:t>a.2</w:t>
      </w:r>
      <w:r w:rsidR="009D661E" w:rsidRPr="00975C02">
        <w:rPr>
          <w:i/>
          <w:iCs/>
          <w:sz w:val="20"/>
          <w:szCs w:val="20"/>
          <w:lang w:val="es-ES"/>
        </w:rPr>
        <w:t xml:space="preserve">) Creación de </w:t>
      </w:r>
      <w:r w:rsidR="0052452C" w:rsidRPr="00975C02">
        <w:rPr>
          <w:i/>
          <w:iCs/>
          <w:sz w:val="20"/>
          <w:szCs w:val="20"/>
          <w:lang w:val="es-ES"/>
        </w:rPr>
        <w:t>la</w:t>
      </w:r>
      <w:r w:rsidR="009D661E" w:rsidRPr="00975C02">
        <w:rPr>
          <w:i/>
          <w:iCs/>
          <w:sz w:val="20"/>
          <w:szCs w:val="20"/>
          <w:lang w:val="es-ES"/>
        </w:rPr>
        <w:t xml:space="preserve"> figura de</w:t>
      </w:r>
      <w:r w:rsidR="00BC46DB" w:rsidRPr="00975C02">
        <w:rPr>
          <w:i/>
          <w:iCs/>
          <w:sz w:val="20"/>
          <w:szCs w:val="20"/>
          <w:lang w:val="es-ES"/>
        </w:rPr>
        <w:t>l abogado de niñas, niños y adolescentes que brinde</w:t>
      </w:r>
      <w:r w:rsidR="0052452C" w:rsidRPr="00975C02">
        <w:rPr>
          <w:i/>
          <w:iCs/>
          <w:sz w:val="20"/>
          <w:szCs w:val="20"/>
          <w:lang w:val="es-ES"/>
        </w:rPr>
        <w:t xml:space="preserve"> asistencia jurídica </w:t>
      </w:r>
      <w:r w:rsidR="000744BD" w:rsidRPr="00975C02">
        <w:rPr>
          <w:i/>
          <w:iCs/>
          <w:sz w:val="20"/>
          <w:szCs w:val="20"/>
          <w:lang w:val="es-ES"/>
        </w:rPr>
        <w:t xml:space="preserve">a víctimas </w:t>
      </w:r>
      <w:r w:rsidR="00D95BFD" w:rsidRPr="00975C02">
        <w:rPr>
          <w:i/>
          <w:iCs/>
          <w:sz w:val="20"/>
          <w:szCs w:val="20"/>
          <w:lang w:val="es-ES"/>
        </w:rPr>
        <w:t xml:space="preserve">de delitos </w:t>
      </w:r>
      <w:r w:rsidR="0052452C" w:rsidRPr="00975C02">
        <w:rPr>
          <w:i/>
          <w:iCs/>
          <w:sz w:val="20"/>
          <w:szCs w:val="20"/>
          <w:lang w:val="es-ES"/>
        </w:rPr>
        <w:t>en materia penal</w:t>
      </w:r>
      <w:r w:rsidR="00051F81" w:rsidRPr="00975C02">
        <w:rPr>
          <w:i/>
          <w:iCs/>
          <w:sz w:val="20"/>
          <w:szCs w:val="20"/>
          <w:lang w:val="es-ES"/>
        </w:rPr>
        <w:t xml:space="preserve"> de forma gratuita</w:t>
      </w:r>
    </w:p>
    <w:p w14:paraId="2A134AB7" w14:textId="77777777" w:rsidR="009D661E" w:rsidRPr="00975C02" w:rsidRDefault="009D661E" w:rsidP="007F115C">
      <w:pPr>
        <w:spacing w:line="240" w:lineRule="auto"/>
        <w:rPr>
          <w:i/>
          <w:iCs/>
          <w:sz w:val="20"/>
          <w:szCs w:val="20"/>
          <w:lang w:val="es-ES"/>
        </w:rPr>
      </w:pPr>
    </w:p>
    <w:p w14:paraId="412618A9" w14:textId="7BE4F82E" w:rsidR="007F7D30" w:rsidRPr="00975C02" w:rsidRDefault="007F115C" w:rsidP="007F7D30">
      <w:pPr>
        <w:pStyle w:val="Default"/>
        <w:numPr>
          <w:ilvl w:val="0"/>
          <w:numId w:val="2"/>
        </w:numPr>
        <w:tabs>
          <w:tab w:val="left" w:pos="567"/>
          <w:tab w:val="left" w:pos="1276"/>
          <w:tab w:val="left" w:pos="1560"/>
        </w:tabs>
        <w:ind w:left="32" w:hanging="32"/>
        <w:jc w:val="both"/>
        <w:rPr>
          <w:rFonts w:ascii="Verdana" w:hAnsi="Verdana"/>
          <w:sz w:val="20"/>
          <w:szCs w:val="20"/>
          <w:lang w:val="es-ES"/>
        </w:rPr>
      </w:pPr>
      <w:r w:rsidRPr="00975C02">
        <w:rPr>
          <w:rFonts w:ascii="Verdana" w:hAnsi="Verdana"/>
          <w:sz w:val="20"/>
          <w:szCs w:val="20"/>
          <w:lang w:val="es-ES"/>
        </w:rPr>
        <w:t xml:space="preserve">La Corte advierte que </w:t>
      </w:r>
      <w:r w:rsidR="008247AD" w:rsidRPr="00975C02">
        <w:rPr>
          <w:rFonts w:ascii="Verdana" w:hAnsi="Verdana"/>
          <w:sz w:val="20"/>
          <w:szCs w:val="20"/>
          <w:lang w:val="es-ES"/>
        </w:rPr>
        <w:t>V.R.P.</w:t>
      </w:r>
      <w:r w:rsidRPr="00975C02">
        <w:rPr>
          <w:rFonts w:ascii="Verdana" w:hAnsi="Verdana"/>
          <w:sz w:val="20"/>
          <w:szCs w:val="20"/>
          <w:lang w:val="es-ES"/>
        </w:rPr>
        <w:t xml:space="preserve"> no contó con asistencia letrada </w:t>
      </w:r>
      <w:r w:rsidR="000875F9" w:rsidRPr="00975C02">
        <w:rPr>
          <w:rFonts w:ascii="Verdana" w:hAnsi="Verdana"/>
          <w:sz w:val="20"/>
          <w:szCs w:val="20"/>
          <w:lang w:val="es-ES"/>
        </w:rPr>
        <w:t xml:space="preserve">propia ni con el apoyo de una entidad estatal que velara por los derechos de la niña </w:t>
      </w:r>
      <w:r w:rsidRPr="00975C02">
        <w:rPr>
          <w:rFonts w:ascii="Verdana" w:hAnsi="Verdana"/>
          <w:sz w:val="20"/>
          <w:szCs w:val="20"/>
          <w:lang w:val="es-ES"/>
        </w:rPr>
        <w:t>durante las diligencias judiciales revictimizantes, que hubiera permitido hacer valer</w:t>
      </w:r>
      <w:r w:rsidR="00051F81" w:rsidRPr="00975C02">
        <w:rPr>
          <w:rFonts w:ascii="Verdana" w:hAnsi="Verdana"/>
          <w:sz w:val="20"/>
          <w:szCs w:val="20"/>
          <w:lang w:val="es-ES"/>
        </w:rPr>
        <w:t xml:space="preserve"> procesalmente </w:t>
      </w:r>
      <w:r w:rsidRPr="00975C02">
        <w:rPr>
          <w:rFonts w:ascii="Verdana" w:hAnsi="Verdana"/>
          <w:sz w:val="20"/>
          <w:szCs w:val="20"/>
          <w:lang w:val="es-ES"/>
        </w:rPr>
        <w:t>su voz y su clara voluntad exteriorizada de no realizar dichas diligencias por el daño que le causaban. Este Tribunal nota que si la niña hubiera participado en el proceso penal con asistencia jurídica propia habría podido oponerse a las diligencias judiciales dañinas y</w:t>
      </w:r>
      <w:r w:rsidR="00BD1F51" w:rsidRPr="00975C02">
        <w:rPr>
          <w:rFonts w:ascii="Verdana" w:hAnsi="Verdana"/>
          <w:sz w:val="20"/>
          <w:szCs w:val="20"/>
          <w:lang w:val="es-ES"/>
        </w:rPr>
        <w:t>,</w:t>
      </w:r>
      <w:r w:rsidRPr="00975C02">
        <w:rPr>
          <w:rFonts w:ascii="Verdana" w:hAnsi="Verdana"/>
          <w:sz w:val="20"/>
          <w:szCs w:val="20"/>
          <w:lang w:val="es-ES"/>
        </w:rPr>
        <w:t xml:space="preserve"> así</w:t>
      </w:r>
      <w:r w:rsidR="00BD1F51" w:rsidRPr="00975C02">
        <w:rPr>
          <w:rFonts w:ascii="Verdana" w:hAnsi="Verdana"/>
          <w:sz w:val="20"/>
          <w:szCs w:val="20"/>
          <w:lang w:val="es-ES"/>
        </w:rPr>
        <w:t>,</w:t>
      </w:r>
      <w:r w:rsidRPr="00975C02">
        <w:rPr>
          <w:rFonts w:ascii="Verdana" w:hAnsi="Verdana"/>
          <w:sz w:val="20"/>
          <w:szCs w:val="20"/>
          <w:lang w:val="es-ES"/>
        </w:rPr>
        <w:t xml:space="preserve"> habría podido evitar los diversos actos de revictimización sufridos.</w:t>
      </w:r>
    </w:p>
    <w:p w14:paraId="6D8CDE7D" w14:textId="77777777" w:rsidR="007F115C" w:rsidRPr="00975C02" w:rsidRDefault="007F115C" w:rsidP="007F7D30">
      <w:pPr>
        <w:pStyle w:val="Default"/>
        <w:tabs>
          <w:tab w:val="left" w:pos="567"/>
          <w:tab w:val="left" w:pos="1276"/>
          <w:tab w:val="left" w:pos="1560"/>
        </w:tabs>
        <w:ind w:left="32"/>
        <w:jc w:val="both"/>
        <w:rPr>
          <w:rFonts w:ascii="Verdana" w:hAnsi="Verdana"/>
          <w:i/>
          <w:iCs/>
          <w:sz w:val="20"/>
          <w:szCs w:val="20"/>
          <w:lang w:val="es-ES"/>
        </w:rPr>
      </w:pPr>
    </w:p>
    <w:p w14:paraId="50404C1B" w14:textId="6D863643" w:rsidR="009D661E" w:rsidRPr="00975C02" w:rsidRDefault="009D661E" w:rsidP="000744BD">
      <w:pPr>
        <w:pStyle w:val="Default"/>
        <w:numPr>
          <w:ilvl w:val="0"/>
          <w:numId w:val="2"/>
        </w:numPr>
        <w:tabs>
          <w:tab w:val="left" w:pos="567"/>
          <w:tab w:val="left" w:pos="1276"/>
          <w:tab w:val="left" w:pos="1560"/>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La Corte considera que, como una medida de fortalecimiento de la capacidad institucional del Estado, Nicaragua debe crear e implementar una figura </w:t>
      </w:r>
      <w:r w:rsidR="00355EB2" w:rsidRPr="00975C02">
        <w:rPr>
          <w:rFonts w:ascii="Verdana" w:hAnsi="Verdana"/>
          <w:color w:val="auto"/>
          <w:sz w:val="20"/>
          <w:szCs w:val="20"/>
          <w:lang w:val="es-ES"/>
        </w:rPr>
        <w:t>especializada que brinde asistencia jurídica a las niñas, niños y adolescentes víctimas de delitos</w:t>
      </w:r>
      <w:r w:rsidR="00A91B59" w:rsidRPr="00975C02">
        <w:rPr>
          <w:rFonts w:ascii="Verdana" w:hAnsi="Verdana"/>
          <w:color w:val="auto"/>
          <w:sz w:val="20"/>
          <w:szCs w:val="20"/>
          <w:lang w:val="es-ES"/>
        </w:rPr>
        <w:t>, especialmente de violencia sexual</w:t>
      </w:r>
      <w:r w:rsidR="00355EB2" w:rsidRPr="00975C02">
        <w:rPr>
          <w:rFonts w:ascii="Verdana" w:hAnsi="Verdana"/>
          <w:color w:val="auto"/>
          <w:sz w:val="20"/>
          <w:szCs w:val="20"/>
          <w:lang w:val="es-ES"/>
        </w:rPr>
        <w:t xml:space="preserve">, </w:t>
      </w:r>
      <w:r w:rsidR="00A91B59" w:rsidRPr="00975C02">
        <w:rPr>
          <w:rFonts w:ascii="Verdana" w:hAnsi="Verdana"/>
          <w:color w:val="auto"/>
          <w:sz w:val="20"/>
          <w:szCs w:val="20"/>
          <w:lang w:val="es-ES"/>
        </w:rPr>
        <w:t>es decir un abogado de</w:t>
      </w:r>
      <w:r w:rsidR="00454141" w:rsidRPr="00975C02">
        <w:rPr>
          <w:rFonts w:ascii="Verdana" w:hAnsi="Verdana"/>
          <w:color w:val="auto"/>
          <w:sz w:val="20"/>
          <w:szCs w:val="20"/>
          <w:lang w:val="es-ES"/>
        </w:rPr>
        <w:t xml:space="preserve"> </w:t>
      </w:r>
      <w:r w:rsidR="00A91B59" w:rsidRPr="00975C02">
        <w:rPr>
          <w:rFonts w:ascii="Verdana" w:hAnsi="Verdana"/>
          <w:color w:val="auto"/>
          <w:sz w:val="20"/>
          <w:szCs w:val="20"/>
          <w:lang w:val="es-ES"/>
        </w:rPr>
        <w:t>l</w:t>
      </w:r>
      <w:r w:rsidR="00454141" w:rsidRPr="00975C02">
        <w:rPr>
          <w:rFonts w:ascii="Verdana" w:hAnsi="Verdana"/>
          <w:color w:val="auto"/>
          <w:sz w:val="20"/>
          <w:szCs w:val="20"/>
          <w:lang w:val="es-ES"/>
        </w:rPr>
        <w:t>a</w:t>
      </w:r>
      <w:r w:rsidR="00A91B59" w:rsidRPr="00975C02">
        <w:rPr>
          <w:rFonts w:ascii="Verdana" w:hAnsi="Verdana"/>
          <w:color w:val="auto"/>
          <w:sz w:val="20"/>
          <w:szCs w:val="20"/>
          <w:lang w:val="es-ES"/>
        </w:rPr>
        <w:t xml:space="preserve"> niñ</w:t>
      </w:r>
      <w:r w:rsidR="00454141" w:rsidRPr="00975C02">
        <w:rPr>
          <w:rFonts w:ascii="Verdana" w:hAnsi="Verdana"/>
          <w:color w:val="auto"/>
          <w:sz w:val="20"/>
          <w:szCs w:val="20"/>
          <w:lang w:val="es-ES"/>
        </w:rPr>
        <w:t>a, niñ</w:t>
      </w:r>
      <w:r w:rsidR="00A91B59" w:rsidRPr="00975C02">
        <w:rPr>
          <w:rFonts w:ascii="Verdana" w:hAnsi="Verdana"/>
          <w:color w:val="auto"/>
          <w:sz w:val="20"/>
          <w:szCs w:val="20"/>
          <w:lang w:val="es-ES"/>
        </w:rPr>
        <w:t>o</w:t>
      </w:r>
      <w:r w:rsidR="00454141" w:rsidRPr="00975C02">
        <w:rPr>
          <w:rFonts w:ascii="Verdana" w:hAnsi="Verdana"/>
          <w:color w:val="auto"/>
          <w:sz w:val="20"/>
          <w:szCs w:val="20"/>
          <w:lang w:val="es-ES"/>
        </w:rPr>
        <w:t xml:space="preserve"> o adolescente,</w:t>
      </w:r>
      <w:r w:rsidR="00A91B59" w:rsidRPr="00975C02">
        <w:rPr>
          <w:rFonts w:ascii="Verdana" w:hAnsi="Verdana"/>
          <w:color w:val="auto"/>
          <w:sz w:val="20"/>
          <w:szCs w:val="20"/>
          <w:lang w:val="es-ES"/>
        </w:rPr>
        <w:t xml:space="preserve"> especiali</w:t>
      </w:r>
      <w:r w:rsidR="00454141" w:rsidRPr="00975C02">
        <w:rPr>
          <w:rFonts w:ascii="Verdana" w:hAnsi="Verdana"/>
          <w:color w:val="auto"/>
          <w:sz w:val="20"/>
          <w:szCs w:val="20"/>
          <w:lang w:val="es-ES"/>
        </w:rPr>
        <w:t>zado</w:t>
      </w:r>
      <w:r w:rsidR="00A91B59" w:rsidRPr="00975C02">
        <w:rPr>
          <w:rFonts w:ascii="Verdana" w:hAnsi="Verdana"/>
          <w:color w:val="auto"/>
          <w:sz w:val="20"/>
          <w:szCs w:val="20"/>
          <w:lang w:val="es-ES"/>
        </w:rPr>
        <w:t xml:space="preserve"> en la materia, </w:t>
      </w:r>
      <w:r w:rsidR="00355EB2" w:rsidRPr="00975C02">
        <w:rPr>
          <w:rFonts w:ascii="Verdana" w:hAnsi="Verdana"/>
          <w:color w:val="auto"/>
          <w:sz w:val="20"/>
          <w:szCs w:val="20"/>
          <w:lang w:val="es-ES"/>
        </w:rPr>
        <w:t xml:space="preserve">que defienda sus intereses durante las investigaciones y </w:t>
      </w:r>
      <w:r w:rsidR="00454141" w:rsidRPr="00975C02">
        <w:rPr>
          <w:rFonts w:ascii="Verdana" w:hAnsi="Verdana"/>
          <w:color w:val="auto"/>
          <w:sz w:val="20"/>
          <w:szCs w:val="20"/>
          <w:lang w:val="es-ES"/>
        </w:rPr>
        <w:t xml:space="preserve">el </w:t>
      </w:r>
      <w:r w:rsidR="00355EB2" w:rsidRPr="00975C02">
        <w:rPr>
          <w:rFonts w:ascii="Verdana" w:hAnsi="Verdana"/>
          <w:color w:val="auto"/>
          <w:sz w:val="20"/>
          <w:szCs w:val="20"/>
          <w:lang w:val="es-ES"/>
        </w:rPr>
        <w:t>proceso penal. D</w:t>
      </w:r>
      <w:r w:rsidR="00E00B9B" w:rsidRPr="00975C02">
        <w:rPr>
          <w:rFonts w:ascii="Verdana" w:hAnsi="Verdana"/>
          <w:color w:val="auto"/>
          <w:sz w:val="20"/>
          <w:szCs w:val="20"/>
          <w:lang w:val="es-ES"/>
        </w:rPr>
        <w:t>icha</w:t>
      </w:r>
      <w:r w:rsidR="00355EB2" w:rsidRPr="00975C02">
        <w:rPr>
          <w:rFonts w:ascii="Verdana" w:hAnsi="Verdana"/>
          <w:color w:val="auto"/>
          <w:sz w:val="20"/>
          <w:szCs w:val="20"/>
          <w:lang w:val="es-ES"/>
        </w:rPr>
        <w:t xml:space="preserve"> asistencia técnica jurídica será brindada por el Esta</w:t>
      </w:r>
      <w:r w:rsidR="00E00B9B" w:rsidRPr="00975C02">
        <w:rPr>
          <w:rFonts w:ascii="Verdana" w:hAnsi="Verdana"/>
          <w:color w:val="auto"/>
          <w:sz w:val="20"/>
          <w:szCs w:val="20"/>
          <w:lang w:val="es-ES"/>
        </w:rPr>
        <w:t xml:space="preserve">do </w:t>
      </w:r>
      <w:r w:rsidR="00A91B59" w:rsidRPr="00975C02">
        <w:rPr>
          <w:rFonts w:ascii="Verdana" w:hAnsi="Verdana"/>
          <w:color w:val="auto"/>
          <w:sz w:val="20"/>
          <w:szCs w:val="20"/>
          <w:lang w:val="es-ES"/>
        </w:rPr>
        <w:t xml:space="preserve">de forma gratuita, </w:t>
      </w:r>
      <w:r w:rsidR="00E00B9B" w:rsidRPr="00975C02">
        <w:rPr>
          <w:rFonts w:ascii="Verdana" w:hAnsi="Verdana"/>
          <w:color w:val="auto"/>
          <w:sz w:val="20"/>
          <w:szCs w:val="20"/>
          <w:lang w:val="es-ES"/>
        </w:rPr>
        <w:t xml:space="preserve">en </w:t>
      </w:r>
      <w:r w:rsidR="00355EB2" w:rsidRPr="00975C02">
        <w:rPr>
          <w:rFonts w:ascii="Verdana" w:hAnsi="Verdana"/>
          <w:color w:val="auto"/>
          <w:sz w:val="20"/>
          <w:szCs w:val="20"/>
          <w:lang w:val="es-ES"/>
        </w:rPr>
        <w:t>caso</w:t>
      </w:r>
      <w:r w:rsidR="00E00B9B" w:rsidRPr="00975C02">
        <w:rPr>
          <w:rFonts w:ascii="Verdana" w:hAnsi="Verdana"/>
          <w:color w:val="auto"/>
          <w:sz w:val="20"/>
          <w:szCs w:val="20"/>
          <w:lang w:val="es-ES"/>
        </w:rPr>
        <w:t xml:space="preserve"> de</w:t>
      </w:r>
      <w:r w:rsidR="00355EB2" w:rsidRPr="00975C02">
        <w:rPr>
          <w:rFonts w:ascii="Verdana" w:hAnsi="Verdana"/>
          <w:color w:val="auto"/>
          <w:sz w:val="20"/>
          <w:szCs w:val="20"/>
          <w:lang w:val="es-ES"/>
        </w:rPr>
        <w:t xml:space="preserve"> que l</w:t>
      </w:r>
      <w:r w:rsidR="00454141" w:rsidRPr="00975C02">
        <w:rPr>
          <w:rFonts w:ascii="Verdana" w:hAnsi="Verdana"/>
          <w:color w:val="auto"/>
          <w:sz w:val="20"/>
          <w:szCs w:val="20"/>
          <w:lang w:val="es-ES"/>
        </w:rPr>
        <w:t>a persona</w:t>
      </w:r>
      <w:r w:rsidR="00355EB2" w:rsidRPr="00975C02">
        <w:rPr>
          <w:rFonts w:ascii="Verdana" w:hAnsi="Verdana"/>
          <w:color w:val="auto"/>
          <w:sz w:val="20"/>
          <w:szCs w:val="20"/>
          <w:lang w:val="es-ES"/>
        </w:rPr>
        <w:t xml:space="preserve"> menor de edad cuente con la</w:t>
      </w:r>
      <w:r w:rsidR="00E00B9B" w:rsidRPr="00975C02">
        <w:rPr>
          <w:rFonts w:ascii="Verdana" w:hAnsi="Verdana"/>
          <w:color w:val="auto"/>
          <w:sz w:val="20"/>
          <w:szCs w:val="20"/>
          <w:lang w:val="es-ES"/>
        </w:rPr>
        <w:t xml:space="preserve"> edad y madurez </w:t>
      </w:r>
      <w:r w:rsidR="00454141" w:rsidRPr="00975C02">
        <w:rPr>
          <w:rFonts w:ascii="Verdana" w:hAnsi="Verdana"/>
          <w:color w:val="auto"/>
          <w:sz w:val="20"/>
          <w:szCs w:val="20"/>
          <w:lang w:val="es-ES"/>
        </w:rPr>
        <w:t xml:space="preserve">suficiente </w:t>
      </w:r>
      <w:r w:rsidR="00355EB2" w:rsidRPr="00975C02">
        <w:rPr>
          <w:rFonts w:ascii="Verdana" w:hAnsi="Verdana"/>
          <w:color w:val="auto"/>
          <w:sz w:val="20"/>
          <w:szCs w:val="20"/>
          <w:lang w:val="es-ES"/>
        </w:rPr>
        <w:t>para</w:t>
      </w:r>
      <w:r w:rsidR="00E00B9B" w:rsidRPr="00975C02">
        <w:rPr>
          <w:rFonts w:ascii="Verdana" w:hAnsi="Verdana"/>
          <w:color w:val="auto"/>
          <w:sz w:val="20"/>
          <w:szCs w:val="20"/>
          <w:lang w:val="es-ES"/>
        </w:rPr>
        <w:t xml:space="preserve"> manifestar su intención de constituirse como parte querellante en el proceso, con el fin de defender sus derechos de manera </w:t>
      </w:r>
      <w:r w:rsidR="00454141" w:rsidRPr="00975C02">
        <w:rPr>
          <w:rFonts w:ascii="Verdana" w:hAnsi="Verdana"/>
          <w:color w:val="auto"/>
          <w:sz w:val="20"/>
          <w:szCs w:val="20"/>
          <w:lang w:val="es-ES"/>
        </w:rPr>
        <w:t xml:space="preserve">autónoma </w:t>
      </w:r>
      <w:r w:rsidR="00E00B9B" w:rsidRPr="00975C02">
        <w:rPr>
          <w:rFonts w:ascii="Verdana" w:hAnsi="Verdana"/>
          <w:color w:val="auto"/>
          <w:sz w:val="20"/>
          <w:szCs w:val="20"/>
          <w:lang w:val="es-ES"/>
        </w:rPr>
        <w:t xml:space="preserve">como sujeto de derechos, diferenciada de los adultos. La asistencia técnica será </w:t>
      </w:r>
      <w:r w:rsidR="00A91B59" w:rsidRPr="00975C02">
        <w:rPr>
          <w:rFonts w:ascii="Verdana" w:hAnsi="Verdana"/>
          <w:color w:val="auto"/>
          <w:sz w:val="20"/>
          <w:szCs w:val="20"/>
          <w:lang w:val="es-ES"/>
        </w:rPr>
        <w:t xml:space="preserve">de libre elección, por lo que será </w:t>
      </w:r>
      <w:r w:rsidR="00E00B9B" w:rsidRPr="00975C02">
        <w:rPr>
          <w:rFonts w:ascii="Verdana" w:hAnsi="Verdana"/>
          <w:color w:val="auto"/>
          <w:sz w:val="20"/>
          <w:szCs w:val="20"/>
          <w:lang w:val="es-ES"/>
        </w:rPr>
        <w:t>ofrecida y</w:t>
      </w:r>
      <w:r w:rsidR="00454141" w:rsidRPr="00975C02">
        <w:rPr>
          <w:rFonts w:ascii="Verdana" w:hAnsi="Verdana"/>
          <w:color w:val="auto"/>
          <w:sz w:val="20"/>
          <w:szCs w:val="20"/>
          <w:lang w:val="es-ES"/>
        </w:rPr>
        <w:t xml:space="preserve"> se</w:t>
      </w:r>
      <w:r w:rsidR="00E00B9B" w:rsidRPr="00975C02">
        <w:rPr>
          <w:rFonts w:ascii="Verdana" w:hAnsi="Verdana"/>
          <w:color w:val="auto"/>
          <w:sz w:val="20"/>
          <w:szCs w:val="20"/>
          <w:lang w:val="es-ES"/>
        </w:rPr>
        <w:t xml:space="preserve"> brinda</w:t>
      </w:r>
      <w:r w:rsidR="00454141" w:rsidRPr="00975C02">
        <w:rPr>
          <w:rFonts w:ascii="Verdana" w:hAnsi="Verdana"/>
          <w:color w:val="auto"/>
          <w:sz w:val="20"/>
          <w:szCs w:val="20"/>
          <w:lang w:val="es-ES"/>
        </w:rPr>
        <w:t>rá</w:t>
      </w:r>
      <w:r w:rsidR="00E00B9B" w:rsidRPr="00975C02">
        <w:rPr>
          <w:rFonts w:ascii="Verdana" w:hAnsi="Verdana"/>
          <w:color w:val="auto"/>
          <w:sz w:val="20"/>
          <w:szCs w:val="20"/>
          <w:lang w:val="es-ES"/>
        </w:rPr>
        <w:t xml:space="preserve"> </w:t>
      </w:r>
      <w:r w:rsidR="00A91B59" w:rsidRPr="00975C02">
        <w:rPr>
          <w:rFonts w:ascii="Verdana" w:hAnsi="Verdana"/>
          <w:color w:val="auto"/>
          <w:sz w:val="20"/>
          <w:szCs w:val="20"/>
          <w:lang w:val="es-ES"/>
        </w:rPr>
        <w:t xml:space="preserve">si </w:t>
      </w:r>
      <w:r w:rsidR="00DB7711" w:rsidRPr="00975C02">
        <w:rPr>
          <w:rFonts w:ascii="Verdana" w:hAnsi="Verdana"/>
          <w:color w:val="auto"/>
          <w:sz w:val="20"/>
          <w:szCs w:val="20"/>
          <w:lang w:val="es-ES"/>
        </w:rPr>
        <w:t xml:space="preserve">la </w:t>
      </w:r>
      <w:r w:rsidR="00454141" w:rsidRPr="00975C02">
        <w:rPr>
          <w:rFonts w:ascii="Verdana" w:hAnsi="Verdana"/>
          <w:color w:val="auto"/>
          <w:sz w:val="20"/>
          <w:szCs w:val="20"/>
          <w:lang w:val="es-ES"/>
        </w:rPr>
        <w:t xml:space="preserve">niña, niño o adolescente </w:t>
      </w:r>
      <w:r w:rsidR="00A91B59" w:rsidRPr="00975C02">
        <w:rPr>
          <w:rFonts w:ascii="Verdana" w:hAnsi="Verdana"/>
          <w:color w:val="auto"/>
          <w:sz w:val="20"/>
          <w:szCs w:val="20"/>
          <w:lang w:val="es-ES"/>
        </w:rPr>
        <w:t xml:space="preserve">así lo </w:t>
      </w:r>
      <w:r w:rsidR="00454141" w:rsidRPr="00975C02">
        <w:rPr>
          <w:rFonts w:ascii="Verdana" w:hAnsi="Verdana"/>
          <w:color w:val="auto"/>
          <w:sz w:val="20"/>
          <w:szCs w:val="20"/>
          <w:lang w:val="es-ES"/>
        </w:rPr>
        <w:t>requiere</w:t>
      </w:r>
      <w:r w:rsidR="00A91B59" w:rsidRPr="00975C02">
        <w:rPr>
          <w:rFonts w:ascii="Verdana" w:hAnsi="Verdana"/>
          <w:color w:val="auto"/>
          <w:sz w:val="20"/>
          <w:szCs w:val="20"/>
          <w:lang w:val="es-ES"/>
        </w:rPr>
        <w:t xml:space="preserve">, </w:t>
      </w:r>
      <w:r w:rsidR="00E00B9B" w:rsidRPr="00975C02">
        <w:rPr>
          <w:rFonts w:ascii="Verdana" w:hAnsi="Verdana"/>
          <w:color w:val="auto"/>
          <w:sz w:val="20"/>
          <w:szCs w:val="20"/>
          <w:lang w:val="es-ES"/>
        </w:rPr>
        <w:t xml:space="preserve">a menos que </w:t>
      </w:r>
      <w:r w:rsidR="00A91B59" w:rsidRPr="00975C02">
        <w:rPr>
          <w:rFonts w:ascii="Verdana" w:hAnsi="Verdana"/>
          <w:color w:val="auto"/>
          <w:sz w:val="20"/>
          <w:szCs w:val="20"/>
          <w:lang w:val="es-ES"/>
        </w:rPr>
        <w:t xml:space="preserve">cuente </w:t>
      </w:r>
      <w:r w:rsidR="00E00B9B" w:rsidRPr="00975C02">
        <w:rPr>
          <w:rFonts w:ascii="Verdana" w:hAnsi="Verdana"/>
          <w:color w:val="auto"/>
          <w:sz w:val="20"/>
          <w:szCs w:val="20"/>
          <w:lang w:val="es-ES"/>
        </w:rPr>
        <w:t xml:space="preserve">con </w:t>
      </w:r>
      <w:r w:rsidR="00454141" w:rsidRPr="00975C02">
        <w:rPr>
          <w:rFonts w:ascii="Verdana" w:hAnsi="Verdana"/>
          <w:color w:val="auto"/>
          <w:sz w:val="20"/>
          <w:szCs w:val="20"/>
          <w:lang w:val="es-ES"/>
        </w:rPr>
        <w:t>patrocinio jurídico</w:t>
      </w:r>
      <w:r w:rsidR="00E00B9B" w:rsidRPr="00975C02">
        <w:rPr>
          <w:rFonts w:ascii="Verdana" w:hAnsi="Verdana"/>
          <w:color w:val="auto"/>
          <w:sz w:val="20"/>
          <w:szCs w:val="20"/>
          <w:lang w:val="es-ES"/>
        </w:rPr>
        <w:t xml:space="preserve"> propi</w:t>
      </w:r>
      <w:r w:rsidR="00454141" w:rsidRPr="00975C02">
        <w:rPr>
          <w:rFonts w:ascii="Verdana" w:hAnsi="Verdana"/>
          <w:color w:val="auto"/>
          <w:sz w:val="20"/>
          <w:szCs w:val="20"/>
          <w:lang w:val="es-ES"/>
        </w:rPr>
        <w:t>o</w:t>
      </w:r>
      <w:r w:rsidR="00E00B9B" w:rsidRPr="00975C02">
        <w:rPr>
          <w:rFonts w:ascii="Verdana" w:hAnsi="Verdana"/>
          <w:color w:val="auto"/>
          <w:sz w:val="20"/>
          <w:szCs w:val="20"/>
          <w:lang w:val="es-ES"/>
        </w:rPr>
        <w:t>.</w:t>
      </w:r>
      <w:r w:rsidR="000744BD" w:rsidRPr="00975C02">
        <w:rPr>
          <w:rFonts w:ascii="Verdana" w:hAnsi="Verdana"/>
          <w:color w:val="auto"/>
          <w:sz w:val="20"/>
          <w:szCs w:val="20"/>
          <w:lang w:val="es-ES"/>
        </w:rPr>
        <w:t xml:space="preserve"> </w:t>
      </w:r>
      <w:r w:rsidRPr="00975C02">
        <w:rPr>
          <w:rFonts w:ascii="Verdana" w:hAnsi="Verdana"/>
          <w:color w:val="auto"/>
          <w:sz w:val="20"/>
          <w:szCs w:val="20"/>
          <w:lang w:val="es-ES"/>
        </w:rPr>
        <w:t>Nicaragua deberá cumplir con esta medida de reparación en el plazo de dos años desde la notificación de la presente Sentencia.</w:t>
      </w:r>
    </w:p>
    <w:p w14:paraId="4DB49AD3" w14:textId="77777777" w:rsidR="008F7852" w:rsidRPr="00975C02" w:rsidRDefault="008F7852" w:rsidP="00DF3D71">
      <w:pPr>
        <w:pStyle w:val="Default"/>
        <w:tabs>
          <w:tab w:val="left" w:pos="567"/>
        </w:tabs>
        <w:ind w:left="32"/>
        <w:jc w:val="both"/>
        <w:rPr>
          <w:rFonts w:ascii="Verdana" w:hAnsi="Verdana"/>
          <w:color w:val="auto"/>
          <w:sz w:val="20"/>
          <w:szCs w:val="20"/>
          <w:lang w:val="es-ES"/>
        </w:rPr>
      </w:pPr>
    </w:p>
    <w:p w14:paraId="24A46386" w14:textId="77777777" w:rsidR="008F7852" w:rsidRPr="00975C02" w:rsidRDefault="00D8602B" w:rsidP="00DF3D71">
      <w:pPr>
        <w:spacing w:line="240" w:lineRule="auto"/>
        <w:ind w:left="1276"/>
        <w:rPr>
          <w:i/>
          <w:iCs/>
          <w:sz w:val="20"/>
          <w:szCs w:val="20"/>
          <w:lang w:val="es-ES"/>
        </w:rPr>
      </w:pPr>
      <w:r w:rsidRPr="00975C02">
        <w:rPr>
          <w:i/>
          <w:iCs/>
          <w:sz w:val="20"/>
          <w:szCs w:val="20"/>
          <w:lang w:val="es-ES"/>
        </w:rPr>
        <w:t>b</w:t>
      </w:r>
      <w:r w:rsidR="008F7852" w:rsidRPr="00975C02">
        <w:rPr>
          <w:i/>
          <w:iCs/>
          <w:sz w:val="20"/>
          <w:szCs w:val="20"/>
          <w:lang w:val="es-ES"/>
        </w:rPr>
        <w:t>) Capacita</w:t>
      </w:r>
      <w:r w:rsidR="007F2D69" w:rsidRPr="00975C02">
        <w:rPr>
          <w:i/>
          <w:iCs/>
          <w:sz w:val="20"/>
          <w:szCs w:val="20"/>
          <w:lang w:val="es-ES"/>
        </w:rPr>
        <w:t>ción para funcionarios públicos</w:t>
      </w:r>
    </w:p>
    <w:p w14:paraId="518AE179" w14:textId="77777777" w:rsidR="008F7852" w:rsidRPr="00975C02" w:rsidRDefault="008F7852" w:rsidP="008F7852">
      <w:pPr>
        <w:spacing w:line="240" w:lineRule="auto"/>
        <w:rPr>
          <w:iCs/>
          <w:sz w:val="20"/>
          <w:szCs w:val="20"/>
          <w:lang w:val="es-ES"/>
        </w:rPr>
      </w:pPr>
    </w:p>
    <w:p w14:paraId="57F8B7F9" w14:textId="402E8C93" w:rsidR="008F7852" w:rsidRPr="00975C02" w:rsidRDefault="008F7852" w:rsidP="008F7852">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cs="Verdana"/>
          <w:b/>
          <w:i/>
          <w:sz w:val="20"/>
          <w:szCs w:val="20"/>
          <w:lang w:val="es-ES" w:bidi="en-US"/>
        </w:rPr>
        <w:t>Comisión</w:t>
      </w:r>
      <w:r w:rsidRPr="00975C02">
        <w:rPr>
          <w:rFonts w:eastAsia="MS Mincho"/>
          <w:sz w:val="20"/>
          <w:szCs w:val="20"/>
          <w:lang w:val="es-ES" w:bidi="en-US"/>
        </w:rPr>
        <w:t xml:space="preserve"> recomendó </w:t>
      </w:r>
      <w:r w:rsidRPr="00975C02">
        <w:rPr>
          <w:sz w:val="20"/>
          <w:szCs w:val="20"/>
          <w:lang w:val="es-ES"/>
        </w:rPr>
        <w:t>que se diseñ</w:t>
      </w:r>
      <w:r w:rsidR="00802B70" w:rsidRPr="00975C02">
        <w:rPr>
          <w:sz w:val="20"/>
          <w:szCs w:val="20"/>
          <w:lang w:val="es-ES"/>
        </w:rPr>
        <w:t>ara</w:t>
      </w:r>
      <w:r w:rsidRPr="00975C02">
        <w:rPr>
          <w:sz w:val="20"/>
          <w:szCs w:val="20"/>
          <w:lang w:val="es-ES"/>
        </w:rPr>
        <w:t>n e implement</w:t>
      </w:r>
      <w:r w:rsidR="00802B70" w:rsidRPr="00975C02">
        <w:rPr>
          <w:sz w:val="20"/>
          <w:szCs w:val="20"/>
          <w:lang w:val="es-ES"/>
        </w:rPr>
        <w:t>ara</w:t>
      </w:r>
      <w:r w:rsidRPr="00975C02">
        <w:rPr>
          <w:sz w:val="20"/>
          <w:szCs w:val="20"/>
          <w:lang w:val="es-ES"/>
        </w:rPr>
        <w:t>n programas de capacitación permanentes para funcionarios públicos del Poder Judicial, Ministerio Público y Policía Nacional, sobre estándares internacionales en materia de investigación de violación sexual y otras formas de violencia sexual en contra de mujeres, incluyendo niñas. Asimismo, solicitó</w:t>
      </w:r>
      <w:r w:rsidR="00802B70" w:rsidRPr="00975C02">
        <w:rPr>
          <w:sz w:val="20"/>
          <w:szCs w:val="20"/>
          <w:lang w:val="es-ES"/>
        </w:rPr>
        <w:t xml:space="preserve"> que</w:t>
      </w:r>
      <w:r w:rsidRPr="00975C02">
        <w:rPr>
          <w:sz w:val="20"/>
          <w:szCs w:val="20"/>
          <w:lang w:val="es-ES"/>
        </w:rPr>
        <w:t xml:space="preserve"> se capacit</w:t>
      </w:r>
      <w:r w:rsidR="00802B70" w:rsidRPr="00975C02">
        <w:rPr>
          <w:sz w:val="20"/>
          <w:szCs w:val="20"/>
          <w:lang w:val="es-ES"/>
        </w:rPr>
        <w:t>ara</w:t>
      </w:r>
      <w:r w:rsidRPr="00975C02">
        <w:rPr>
          <w:sz w:val="20"/>
          <w:szCs w:val="20"/>
          <w:lang w:val="es-ES"/>
        </w:rPr>
        <w:t xml:space="preserve"> al personal de salud, tanto médico como psicológico, que esté vinculado a dichas investigaciones, sobre los estándares internacionales en materia de trato a niñ</w:t>
      </w:r>
      <w:r w:rsidR="00821DFA" w:rsidRPr="00975C02">
        <w:rPr>
          <w:sz w:val="20"/>
          <w:szCs w:val="20"/>
          <w:lang w:val="es-ES"/>
        </w:rPr>
        <w:t>a</w:t>
      </w:r>
      <w:r w:rsidRPr="00975C02">
        <w:rPr>
          <w:sz w:val="20"/>
          <w:szCs w:val="20"/>
          <w:lang w:val="es-ES"/>
        </w:rPr>
        <w:t>s y niñ</w:t>
      </w:r>
      <w:r w:rsidR="00821DFA" w:rsidRPr="00975C02">
        <w:rPr>
          <w:sz w:val="20"/>
          <w:szCs w:val="20"/>
          <w:lang w:val="es-ES"/>
        </w:rPr>
        <w:t>o</w:t>
      </w:r>
      <w:r w:rsidRPr="00975C02">
        <w:rPr>
          <w:sz w:val="20"/>
          <w:szCs w:val="20"/>
          <w:lang w:val="es-ES"/>
        </w:rPr>
        <w:t>s víctimas de violencia sexual</w:t>
      </w:r>
      <w:r w:rsidR="001C0BD0" w:rsidRPr="00975C02">
        <w:rPr>
          <w:sz w:val="20"/>
          <w:szCs w:val="20"/>
          <w:lang w:val="es-ES"/>
        </w:rPr>
        <w:t>.</w:t>
      </w:r>
      <w:r w:rsidRPr="00975C02">
        <w:rPr>
          <w:sz w:val="20"/>
          <w:szCs w:val="20"/>
          <w:lang w:val="es-ES"/>
        </w:rPr>
        <w:t xml:space="preserve"> </w:t>
      </w:r>
    </w:p>
    <w:p w14:paraId="7BB69D33" w14:textId="77777777" w:rsidR="008F7852" w:rsidRPr="00975C02" w:rsidRDefault="008F7852" w:rsidP="008F7852">
      <w:pPr>
        <w:tabs>
          <w:tab w:val="left" w:pos="0"/>
          <w:tab w:val="num" w:pos="11028"/>
        </w:tabs>
        <w:spacing w:line="240" w:lineRule="auto"/>
        <w:ind w:right="-90"/>
        <w:rPr>
          <w:rFonts w:eastAsia="MS Mincho"/>
          <w:sz w:val="20"/>
          <w:szCs w:val="20"/>
          <w:lang w:val="es-ES" w:bidi="en-US"/>
        </w:rPr>
      </w:pPr>
    </w:p>
    <w:p w14:paraId="27B9B440" w14:textId="7CF82AE8" w:rsidR="008F7852" w:rsidRPr="00975C02" w:rsidRDefault="008F7852" w:rsidP="008F7852">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por su parte, solicitaron que los servidores públicos que por su función trabajen en temas de agresiones sexuales sean capacitados en el ámbito de derechos humanos y buenas prácticas en el manejo de víctimas de tales agresiones, impidiendo de ese modo la revictimización, especialmente cuando se trata de</w:t>
      </w:r>
      <w:r w:rsidR="00821DFA" w:rsidRPr="00975C02">
        <w:rPr>
          <w:rFonts w:eastAsia="MS Mincho"/>
          <w:sz w:val="20"/>
          <w:szCs w:val="20"/>
          <w:lang w:val="es-ES" w:bidi="en-US"/>
        </w:rPr>
        <w:t xml:space="preserve"> personas</w:t>
      </w:r>
      <w:r w:rsidRPr="00975C02">
        <w:rPr>
          <w:rFonts w:eastAsia="MS Mincho"/>
          <w:sz w:val="20"/>
          <w:szCs w:val="20"/>
          <w:lang w:val="es-ES" w:bidi="en-US"/>
        </w:rPr>
        <w:t xml:space="preserve"> menores de edad.</w:t>
      </w:r>
    </w:p>
    <w:p w14:paraId="1A44C582" w14:textId="77777777" w:rsidR="008F7852" w:rsidRPr="00975C02" w:rsidRDefault="008F7852" w:rsidP="008F7852">
      <w:pPr>
        <w:pStyle w:val="ListParagraph"/>
        <w:spacing w:line="240" w:lineRule="auto"/>
        <w:ind w:left="0"/>
        <w:rPr>
          <w:rFonts w:eastAsia="MS Mincho"/>
          <w:sz w:val="20"/>
          <w:szCs w:val="20"/>
          <w:lang w:val="es-ES" w:bidi="en-US"/>
        </w:rPr>
      </w:pPr>
    </w:p>
    <w:p w14:paraId="5B59BFED" w14:textId="74961E48" w:rsidR="008F7852" w:rsidRPr="00975C02" w:rsidRDefault="008F7852" w:rsidP="008F7852">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señaló que</w:t>
      </w:r>
      <w:r w:rsidR="00821DFA" w:rsidRPr="00975C02">
        <w:rPr>
          <w:rFonts w:eastAsia="MS Mincho"/>
          <w:sz w:val="20"/>
          <w:szCs w:val="20"/>
          <w:lang w:val="es-ES" w:bidi="en-US"/>
        </w:rPr>
        <w:t xml:space="preserve"> se encuentra trabajando</w:t>
      </w:r>
      <w:r w:rsidRPr="00975C02">
        <w:rPr>
          <w:rFonts w:eastAsia="MS Mincho"/>
          <w:sz w:val="20"/>
          <w:szCs w:val="20"/>
          <w:lang w:val="es-ES" w:bidi="en-US"/>
        </w:rPr>
        <w:t xml:space="preserve"> </w:t>
      </w:r>
      <w:r w:rsidR="00821DFA" w:rsidRPr="00975C02">
        <w:rPr>
          <w:rFonts w:eastAsia="MS Mincho"/>
          <w:sz w:val="20"/>
          <w:szCs w:val="20"/>
          <w:lang w:val="es-ES" w:bidi="en-US"/>
        </w:rPr>
        <w:t xml:space="preserve">sobre </w:t>
      </w:r>
      <w:r w:rsidRPr="00975C02">
        <w:rPr>
          <w:rFonts w:eastAsia="MS Mincho"/>
          <w:sz w:val="20"/>
          <w:szCs w:val="20"/>
          <w:lang w:val="es-ES" w:bidi="en-US"/>
        </w:rPr>
        <w:t xml:space="preserve">esta recomendación como parte intrínseca de la actualización de su legislación en materia penal con una perspectiva de género. </w:t>
      </w:r>
      <w:r w:rsidRPr="00975C02">
        <w:rPr>
          <w:rFonts w:eastAsia="MS Mincho"/>
          <w:sz w:val="20"/>
          <w:szCs w:val="20"/>
          <w:lang w:val="es-ES" w:bidi="en-US"/>
        </w:rPr>
        <w:lastRenderedPageBreak/>
        <w:t>Agregó que la Asamblea Nacional, la Corte Suprema de Justicia, la Policía Nacional y el Ministerio Público de Nicaragua han creado la Unidad y Secretarías Técnicas de Género, para incluir la temática de género en el proceso de formación de la ley y las funciones propias de cada una de esas instituciones</w:t>
      </w:r>
      <w:r w:rsidR="00F4144A" w:rsidRPr="00975C02">
        <w:rPr>
          <w:rFonts w:eastAsia="MS Mincho"/>
          <w:sz w:val="20"/>
          <w:szCs w:val="20"/>
          <w:lang w:val="es-ES" w:bidi="en-US"/>
        </w:rPr>
        <w:t>. Refirió que</w:t>
      </w:r>
      <w:r w:rsidRPr="00975C02">
        <w:rPr>
          <w:rFonts w:eastAsia="MS Mincho"/>
          <w:sz w:val="20"/>
          <w:szCs w:val="20"/>
          <w:lang w:val="es-ES" w:bidi="en-US"/>
        </w:rPr>
        <w:t xml:space="preserve"> tanto la Unidad como las Secretarías Técnicas </w:t>
      </w:r>
      <w:r w:rsidR="00F4144A" w:rsidRPr="00975C02">
        <w:rPr>
          <w:rFonts w:eastAsia="MS Mincho"/>
          <w:sz w:val="20"/>
          <w:szCs w:val="20"/>
          <w:lang w:val="es-ES" w:bidi="en-US"/>
        </w:rPr>
        <w:t>han</w:t>
      </w:r>
      <w:r w:rsidRPr="00975C02">
        <w:rPr>
          <w:rFonts w:eastAsia="MS Mincho"/>
          <w:sz w:val="20"/>
          <w:szCs w:val="20"/>
          <w:lang w:val="es-ES" w:bidi="en-US"/>
        </w:rPr>
        <w:t xml:space="preserve"> brindado capacitaci</w:t>
      </w:r>
      <w:r w:rsidR="00F4144A" w:rsidRPr="00975C02">
        <w:rPr>
          <w:rFonts w:eastAsia="MS Mincho"/>
          <w:sz w:val="20"/>
          <w:szCs w:val="20"/>
          <w:lang w:val="es-ES" w:bidi="en-US"/>
        </w:rPr>
        <w:t>o</w:t>
      </w:r>
      <w:r w:rsidRPr="00975C02">
        <w:rPr>
          <w:rFonts w:eastAsia="MS Mincho"/>
          <w:sz w:val="20"/>
          <w:szCs w:val="20"/>
          <w:lang w:val="es-ES" w:bidi="en-US"/>
        </w:rPr>
        <w:t>n</w:t>
      </w:r>
      <w:r w:rsidR="00F4144A" w:rsidRPr="00975C02">
        <w:rPr>
          <w:rFonts w:eastAsia="MS Mincho"/>
          <w:sz w:val="20"/>
          <w:szCs w:val="20"/>
          <w:lang w:val="es-ES" w:bidi="en-US"/>
        </w:rPr>
        <w:t>es</w:t>
      </w:r>
      <w:r w:rsidRPr="00975C02">
        <w:rPr>
          <w:rFonts w:eastAsia="MS Mincho"/>
          <w:sz w:val="20"/>
          <w:szCs w:val="20"/>
          <w:lang w:val="es-ES" w:bidi="en-US"/>
        </w:rPr>
        <w:t xml:space="preserve"> sobre enfoque de género a funcionarios y funcionarias. Precisó que</w:t>
      </w:r>
      <w:r w:rsidR="00F4144A" w:rsidRPr="00975C02">
        <w:rPr>
          <w:rFonts w:eastAsia="MS Mincho"/>
          <w:sz w:val="20"/>
          <w:szCs w:val="20"/>
          <w:lang w:val="es-ES" w:bidi="en-US"/>
        </w:rPr>
        <w:t>,</w:t>
      </w:r>
      <w:r w:rsidRPr="00975C02">
        <w:rPr>
          <w:rFonts w:eastAsia="MS Mincho"/>
          <w:sz w:val="20"/>
          <w:szCs w:val="20"/>
          <w:lang w:val="es-ES" w:bidi="en-US"/>
        </w:rPr>
        <w:t xml:space="preserve"> en el ámbito de la salud, se encuentran funcionando</w:t>
      </w:r>
      <w:r w:rsidR="00F4144A" w:rsidRPr="00975C02">
        <w:rPr>
          <w:rFonts w:eastAsia="MS Mincho"/>
          <w:sz w:val="20"/>
          <w:szCs w:val="20"/>
          <w:lang w:val="es-ES" w:bidi="en-US"/>
        </w:rPr>
        <w:t xml:space="preserve"> desde el año 2009</w:t>
      </w:r>
      <w:r w:rsidRPr="00975C02">
        <w:rPr>
          <w:rFonts w:eastAsia="MS Mincho"/>
          <w:sz w:val="20"/>
          <w:szCs w:val="20"/>
          <w:lang w:val="es-ES" w:bidi="en-US"/>
        </w:rPr>
        <w:t xml:space="preserve"> las Normas y Protocolos para la prevención, detección y atención de la violencia intrafamiliar y sexual.</w:t>
      </w:r>
    </w:p>
    <w:p w14:paraId="1D24CDAD" w14:textId="77777777" w:rsidR="008F7852" w:rsidRPr="00975C02" w:rsidRDefault="008F7852" w:rsidP="008F7852">
      <w:pPr>
        <w:pStyle w:val="ListParagraph"/>
        <w:spacing w:line="240" w:lineRule="auto"/>
        <w:rPr>
          <w:sz w:val="20"/>
          <w:szCs w:val="20"/>
          <w:lang w:val="es-ES"/>
        </w:rPr>
      </w:pPr>
    </w:p>
    <w:p w14:paraId="27F332E0" w14:textId="212CCFEE" w:rsidR="008F7852" w:rsidRPr="00975C02" w:rsidRDefault="008F7852" w:rsidP="008F7852">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La Corte nota que el artículo 33 de la </w:t>
      </w:r>
      <w:r w:rsidR="00CB5403">
        <w:rPr>
          <w:rFonts w:ascii="Verdana" w:hAnsi="Verdana"/>
          <w:color w:val="auto"/>
          <w:sz w:val="20"/>
          <w:szCs w:val="20"/>
          <w:lang w:val="es-ES"/>
        </w:rPr>
        <w:t>Ley N°</w:t>
      </w:r>
      <w:r w:rsidRPr="00975C02">
        <w:rPr>
          <w:rFonts w:ascii="Verdana" w:hAnsi="Verdana"/>
          <w:color w:val="auto"/>
          <w:sz w:val="20"/>
          <w:szCs w:val="20"/>
          <w:lang w:val="es-ES"/>
        </w:rPr>
        <w:t xml:space="preserve"> 779 se refiere a que el personal que atiende la investigación y tramitación de los procesos relativos a la violencia </w:t>
      </w:r>
      <w:r w:rsidR="004F1424" w:rsidRPr="00975C02">
        <w:rPr>
          <w:rFonts w:ascii="Verdana" w:hAnsi="Verdana"/>
          <w:color w:val="auto"/>
          <w:sz w:val="20"/>
          <w:szCs w:val="20"/>
          <w:lang w:val="es-ES"/>
        </w:rPr>
        <w:t xml:space="preserve">contra </w:t>
      </w:r>
      <w:r w:rsidRPr="00975C02">
        <w:rPr>
          <w:rFonts w:ascii="Verdana" w:hAnsi="Verdana"/>
          <w:color w:val="auto"/>
          <w:sz w:val="20"/>
          <w:szCs w:val="20"/>
          <w:lang w:val="es-ES"/>
        </w:rPr>
        <w:t xml:space="preserve">la mujer debe ser capacitado en la materia a través de programas de formación inicial, continua y especializada. Por otro lado, la Corte advierte que si bien dicha capacitación abarca a todas las instituciones que integran el sistema de justicia penal, </w:t>
      </w:r>
      <w:r w:rsidR="004F1424" w:rsidRPr="00975C02">
        <w:rPr>
          <w:rFonts w:ascii="Verdana" w:hAnsi="Verdana"/>
          <w:color w:val="auto"/>
          <w:sz w:val="20"/>
          <w:szCs w:val="20"/>
          <w:lang w:val="es-ES"/>
        </w:rPr>
        <w:t xml:space="preserve">ésta se refiere </w:t>
      </w:r>
      <w:r w:rsidRPr="00975C02">
        <w:rPr>
          <w:rFonts w:ascii="Verdana" w:hAnsi="Verdana"/>
          <w:color w:val="auto"/>
          <w:sz w:val="20"/>
          <w:szCs w:val="20"/>
          <w:lang w:val="es-ES"/>
        </w:rPr>
        <w:t>a la violencia contra la mujer</w:t>
      </w:r>
      <w:r w:rsidR="004F1424" w:rsidRPr="00975C02">
        <w:rPr>
          <w:rFonts w:ascii="Verdana" w:hAnsi="Verdana"/>
          <w:color w:val="auto"/>
          <w:sz w:val="20"/>
          <w:szCs w:val="20"/>
          <w:lang w:val="es-ES"/>
        </w:rPr>
        <w:t>, sin especificar las situaciones de violencia contra niñas, niños y adolescentes</w:t>
      </w:r>
      <w:r w:rsidRPr="00975C02">
        <w:rPr>
          <w:rFonts w:ascii="Verdana" w:hAnsi="Verdana"/>
          <w:color w:val="auto"/>
          <w:sz w:val="20"/>
          <w:szCs w:val="20"/>
          <w:lang w:val="es-ES"/>
        </w:rPr>
        <w:t>. Asimismo, el Estado no proveyó información concreta sobre la idoneidad, implementación y permanencia de los pr</w:t>
      </w:r>
      <w:r w:rsidR="00C6782D">
        <w:rPr>
          <w:rFonts w:ascii="Verdana" w:hAnsi="Verdana"/>
          <w:color w:val="auto"/>
          <w:sz w:val="20"/>
          <w:szCs w:val="20"/>
          <w:lang w:val="es-ES"/>
        </w:rPr>
        <w:t>ogramas de formación referidos.</w:t>
      </w:r>
    </w:p>
    <w:p w14:paraId="37F38ABA" w14:textId="77777777" w:rsidR="008F7852" w:rsidRPr="00975C02" w:rsidRDefault="008F7852" w:rsidP="008F7852">
      <w:pPr>
        <w:pStyle w:val="ListParagraph"/>
        <w:spacing w:line="240" w:lineRule="auto"/>
        <w:rPr>
          <w:sz w:val="20"/>
          <w:szCs w:val="20"/>
          <w:lang w:val="es-ES"/>
        </w:rPr>
      </w:pPr>
    </w:p>
    <w:p w14:paraId="151DC2C3" w14:textId="244E1982" w:rsidR="00DD5247" w:rsidRPr="00975C02" w:rsidRDefault="008F7852" w:rsidP="00DD5247">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En consecuencia, este Tribunal estima que el Estado debe </w:t>
      </w:r>
      <w:r w:rsidR="00955C70" w:rsidRPr="00975C02">
        <w:rPr>
          <w:rFonts w:ascii="Verdana" w:hAnsi="Verdana"/>
          <w:color w:val="auto"/>
          <w:sz w:val="20"/>
          <w:szCs w:val="20"/>
          <w:lang w:val="es-ES"/>
        </w:rPr>
        <w:t xml:space="preserve">adoptar e implementar </w:t>
      </w:r>
      <w:r w:rsidRPr="00975C02">
        <w:rPr>
          <w:rFonts w:ascii="Verdana" w:hAnsi="Verdana"/>
          <w:color w:val="auto"/>
          <w:sz w:val="20"/>
          <w:szCs w:val="20"/>
          <w:lang w:val="es-ES"/>
        </w:rPr>
        <w:t>capacitaciones y cursos</w:t>
      </w:r>
      <w:r w:rsidR="00945FBA" w:rsidRPr="00975C02">
        <w:rPr>
          <w:rFonts w:ascii="Verdana" w:hAnsi="Verdana"/>
          <w:color w:val="auto"/>
          <w:sz w:val="20"/>
          <w:szCs w:val="20"/>
          <w:lang w:val="es-ES"/>
        </w:rPr>
        <w:t>,</w:t>
      </w:r>
      <w:r w:rsidRPr="00975C02">
        <w:rPr>
          <w:rFonts w:ascii="Verdana" w:hAnsi="Verdana"/>
          <w:color w:val="auto"/>
          <w:sz w:val="20"/>
          <w:szCs w:val="20"/>
          <w:lang w:val="es-ES"/>
        </w:rPr>
        <w:t xml:space="preserve"> </w:t>
      </w:r>
      <w:r w:rsidR="004110D8" w:rsidRPr="00975C02">
        <w:rPr>
          <w:rFonts w:ascii="Verdana" w:hAnsi="Verdana"/>
          <w:color w:val="auto"/>
          <w:sz w:val="20"/>
          <w:szCs w:val="20"/>
          <w:lang w:val="es-ES"/>
        </w:rPr>
        <w:t xml:space="preserve">de carácter </w:t>
      </w:r>
      <w:r w:rsidRPr="00975C02">
        <w:rPr>
          <w:rFonts w:ascii="Verdana" w:hAnsi="Verdana"/>
          <w:color w:val="auto"/>
          <w:sz w:val="20"/>
          <w:szCs w:val="20"/>
          <w:lang w:val="es-ES"/>
        </w:rPr>
        <w:t>permanente</w:t>
      </w:r>
      <w:r w:rsidR="00945FBA" w:rsidRPr="00975C02">
        <w:rPr>
          <w:rFonts w:ascii="Verdana" w:hAnsi="Verdana"/>
          <w:color w:val="auto"/>
          <w:sz w:val="20"/>
          <w:szCs w:val="20"/>
          <w:lang w:val="es-ES"/>
        </w:rPr>
        <w:t>,</w:t>
      </w:r>
      <w:r w:rsidRPr="00975C02">
        <w:rPr>
          <w:rFonts w:ascii="Verdana" w:hAnsi="Verdana"/>
          <w:color w:val="auto"/>
          <w:sz w:val="20"/>
          <w:szCs w:val="20"/>
          <w:lang w:val="es-ES"/>
        </w:rPr>
        <w:t xml:space="preserve"> para funcionarios públicos </w:t>
      </w:r>
      <w:r w:rsidR="00DD5247" w:rsidRPr="00975C02">
        <w:rPr>
          <w:rFonts w:ascii="Verdana" w:hAnsi="Verdana"/>
          <w:color w:val="auto"/>
          <w:sz w:val="20"/>
          <w:szCs w:val="20"/>
          <w:lang w:val="es-ES"/>
        </w:rPr>
        <w:t xml:space="preserve">que por su función </w:t>
      </w:r>
      <w:r w:rsidR="000659BC" w:rsidRPr="00975C02">
        <w:rPr>
          <w:rFonts w:ascii="Verdana" w:hAnsi="Verdana"/>
          <w:color w:val="auto"/>
          <w:sz w:val="20"/>
          <w:szCs w:val="20"/>
          <w:lang w:val="es-ES"/>
        </w:rPr>
        <w:t>en el sistema de administración de justicia</w:t>
      </w:r>
      <w:r w:rsidR="00DD5247" w:rsidRPr="00975C02">
        <w:rPr>
          <w:rFonts w:ascii="Verdana" w:hAnsi="Verdana"/>
          <w:color w:val="auto"/>
          <w:sz w:val="20"/>
          <w:szCs w:val="20"/>
          <w:lang w:val="es-ES"/>
        </w:rPr>
        <w:t xml:space="preserve"> trabajen con tem</w:t>
      </w:r>
      <w:r w:rsidR="00945FBA" w:rsidRPr="00975C02">
        <w:rPr>
          <w:rFonts w:ascii="Verdana" w:hAnsi="Verdana"/>
          <w:color w:val="auto"/>
          <w:sz w:val="20"/>
          <w:szCs w:val="20"/>
          <w:lang w:val="es-ES"/>
        </w:rPr>
        <w:t>átic</w:t>
      </w:r>
      <w:r w:rsidR="00DD5247" w:rsidRPr="00975C02">
        <w:rPr>
          <w:rFonts w:ascii="Verdana" w:hAnsi="Verdana"/>
          <w:color w:val="auto"/>
          <w:sz w:val="20"/>
          <w:szCs w:val="20"/>
          <w:lang w:val="es-ES"/>
        </w:rPr>
        <w:t>as de violencia sexual</w:t>
      </w:r>
      <w:r w:rsidR="00945FBA" w:rsidRPr="00975C02">
        <w:rPr>
          <w:rFonts w:ascii="Verdana" w:hAnsi="Verdana"/>
          <w:color w:val="auto"/>
          <w:sz w:val="20"/>
          <w:szCs w:val="20"/>
          <w:lang w:val="es-ES"/>
        </w:rPr>
        <w:t>;</w:t>
      </w:r>
      <w:r w:rsidR="00DD5247" w:rsidRPr="00975C02">
        <w:rPr>
          <w:rFonts w:ascii="Verdana" w:hAnsi="Verdana"/>
          <w:color w:val="auto"/>
          <w:sz w:val="20"/>
          <w:szCs w:val="20"/>
          <w:lang w:val="es-ES"/>
        </w:rPr>
        <w:t xml:space="preserve"> en particular</w:t>
      </w:r>
      <w:r w:rsidR="00945FBA" w:rsidRPr="00975C02">
        <w:rPr>
          <w:rFonts w:ascii="Verdana" w:hAnsi="Verdana"/>
          <w:color w:val="auto"/>
          <w:sz w:val="20"/>
          <w:szCs w:val="20"/>
          <w:lang w:val="es-ES"/>
        </w:rPr>
        <w:t>,</w:t>
      </w:r>
      <w:r w:rsidR="00DD5247" w:rsidRPr="00975C02">
        <w:rPr>
          <w:rFonts w:ascii="Verdana" w:hAnsi="Verdana"/>
          <w:color w:val="auto"/>
          <w:sz w:val="20"/>
          <w:szCs w:val="20"/>
          <w:lang w:val="es-ES"/>
        </w:rPr>
        <w:t xml:space="preserve"> los funcionarios </w:t>
      </w:r>
      <w:r w:rsidRPr="00975C02">
        <w:rPr>
          <w:rFonts w:ascii="Verdana" w:hAnsi="Verdana"/>
          <w:color w:val="auto"/>
          <w:sz w:val="20"/>
          <w:szCs w:val="20"/>
          <w:lang w:val="es-ES"/>
        </w:rPr>
        <w:t>pertenecientes al Poder Judicial, Ministerio Público y Policía Nacional</w:t>
      </w:r>
      <w:r w:rsidR="00945FBA" w:rsidRPr="00975C02">
        <w:rPr>
          <w:rFonts w:ascii="Verdana" w:hAnsi="Verdana"/>
          <w:color w:val="auto"/>
          <w:sz w:val="20"/>
          <w:szCs w:val="20"/>
          <w:lang w:val="es-ES"/>
        </w:rPr>
        <w:t>. Dichas capacitaciones</w:t>
      </w:r>
      <w:r w:rsidR="00B73244" w:rsidRPr="00975C02">
        <w:rPr>
          <w:rFonts w:ascii="Verdana" w:hAnsi="Verdana"/>
          <w:color w:val="auto"/>
          <w:sz w:val="20"/>
          <w:szCs w:val="20"/>
          <w:lang w:val="es-ES"/>
        </w:rPr>
        <w:t xml:space="preserve"> y cursos</w:t>
      </w:r>
      <w:r w:rsidR="00945FBA" w:rsidRPr="00975C02">
        <w:rPr>
          <w:rFonts w:ascii="Verdana" w:hAnsi="Verdana"/>
          <w:color w:val="auto"/>
          <w:sz w:val="20"/>
          <w:szCs w:val="20"/>
          <w:lang w:val="es-ES"/>
        </w:rPr>
        <w:t xml:space="preserve"> deben versar</w:t>
      </w:r>
      <w:r w:rsidRPr="00975C02">
        <w:rPr>
          <w:rFonts w:ascii="Verdana" w:hAnsi="Verdana"/>
          <w:color w:val="auto"/>
          <w:sz w:val="20"/>
          <w:szCs w:val="20"/>
          <w:lang w:val="es-ES"/>
        </w:rPr>
        <w:t xml:space="preserve"> </w:t>
      </w:r>
      <w:r w:rsidR="00DD5247" w:rsidRPr="00975C02">
        <w:rPr>
          <w:rFonts w:ascii="Verdana" w:hAnsi="Verdana"/>
          <w:color w:val="auto"/>
          <w:sz w:val="20"/>
          <w:szCs w:val="20"/>
          <w:lang w:val="es-ES"/>
        </w:rPr>
        <w:t xml:space="preserve">sobre estándares de debida diligencia en la </w:t>
      </w:r>
      <w:r w:rsidRPr="00975C02">
        <w:rPr>
          <w:rFonts w:ascii="Verdana" w:hAnsi="Verdana"/>
          <w:color w:val="auto"/>
          <w:sz w:val="20"/>
          <w:szCs w:val="20"/>
          <w:lang w:val="es-ES"/>
        </w:rPr>
        <w:t>investigación</w:t>
      </w:r>
      <w:r w:rsidR="00DD5247" w:rsidRPr="00975C02">
        <w:rPr>
          <w:rFonts w:ascii="Verdana" w:hAnsi="Verdana"/>
          <w:color w:val="auto"/>
          <w:sz w:val="20"/>
          <w:szCs w:val="20"/>
          <w:lang w:val="es-ES"/>
        </w:rPr>
        <w:t xml:space="preserve"> de casos de violencia sexual contra niñas, niños y adolescentes, así como su erradicación y </w:t>
      </w:r>
      <w:r w:rsidR="006C398C" w:rsidRPr="00975C02">
        <w:rPr>
          <w:rFonts w:ascii="Verdana" w:hAnsi="Verdana"/>
          <w:color w:val="auto"/>
          <w:sz w:val="20"/>
          <w:szCs w:val="20"/>
          <w:lang w:val="es-ES"/>
        </w:rPr>
        <w:t xml:space="preserve">las </w:t>
      </w:r>
      <w:r w:rsidR="00DD5247" w:rsidRPr="00975C02">
        <w:rPr>
          <w:rFonts w:ascii="Verdana" w:hAnsi="Verdana"/>
          <w:color w:val="auto"/>
          <w:sz w:val="20"/>
          <w:szCs w:val="20"/>
          <w:lang w:val="es-ES"/>
        </w:rPr>
        <w:t>medidas de protección a adoptar. Además, las capacitaciones deberán basarse en los criterios establecidos en la presente Sentencia, los cuales se corresponden con el contenido de los protocolos estandarizados ordenados por esta Corte (</w:t>
      </w:r>
      <w:r w:rsidR="00DD5247" w:rsidRPr="00975C02">
        <w:rPr>
          <w:rFonts w:ascii="Verdana" w:hAnsi="Verdana"/>
          <w:i/>
          <w:color w:val="auto"/>
          <w:sz w:val="20"/>
          <w:szCs w:val="20"/>
          <w:lang w:val="es-ES"/>
        </w:rPr>
        <w:t>supra</w:t>
      </w:r>
      <w:r w:rsidR="00DD5247" w:rsidRPr="00975C02">
        <w:rPr>
          <w:rFonts w:ascii="Verdana" w:hAnsi="Verdana"/>
          <w:color w:val="auto"/>
          <w:sz w:val="20"/>
          <w:szCs w:val="20"/>
          <w:lang w:val="es-ES"/>
        </w:rPr>
        <w:t xml:space="preserve"> párrs. </w:t>
      </w:r>
      <w:r w:rsidR="00D229FA" w:rsidRPr="00975C02">
        <w:rPr>
          <w:rFonts w:ascii="Verdana" w:hAnsi="Verdana"/>
          <w:color w:val="auto"/>
          <w:sz w:val="20"/>
          <w:szCs w:val="20"/>
          <w:lang w:val="es-ES"/>
        </w:rPr>
        <w:t>381 a 384</w:t>
      </w:r>
      <w:r w:rsidR="00DD5247" w:rsidRPr="00975C02">
        <w:rPr>
          <w:rFonts w:ascii="Verdana" w:hAnsi="Verdana"/>
          <w:color w:val="auto"/>
          <w:sz w:val="20"/>
          <w:szCs w:val="20"/>
          <w:lang w:val="es-ES"/>
        </w:rPr>
        <w:t xml:space="preserve">), en la jurisprudencia de la Corte en relación con la violencia de género y protección de los derechos del niño, así como en los estándares internacionales en la materia. Las capacitaciones deberán impartirse desde una perspectiva de género y de protección de la </w:t>
      </w:r>
      <w:r w:rsidR="00522B60" w:rsidRPr="00975C02">
        <w:rPr>
          <w:rFonts w:ascii="Verdana" w:hAnsi="Verdana"/>
          <w:color w:val="auto"/>
          <w:sz w:val="20"/>
          <w:szCs w:val="20"/>
          <w:lang w:val="es-ES"/>
        </w:rPr>
        <w:t>niñez</w:t>
      </w:r>
      <w:r w:rsidR="00DD5247" w:rsidRPr="00975C02">
        <w:rPr>
          <w:rFonts w:ascii="Verdana" w:hAnsi="Verdana"/>
          <w:color w:val="auto"/>
          <w:sz w:val="20"/>
          <w:szCs w:val="20"/>
          <w:lang w:val="es-ES"/>
        </w:rPr>
        <w:t>, tendente a la deconstrucción de estereotipos de género y falsas creencias en torno a la violencia sexual</w:t>
      </w:r>
      <w:r w:rsidR="004312BA" w:rsidRPr="00975C02">
        <w:rPr>
          <w:rFonts w:ascii="Verdana" w:hAnsi="Verdana"/>
          <w:color w:val="auto"/>
          <w:sz w:val="20"/>
          <w:szCs w:val="20"/>
          <w:lang w:val="es-ES"/>
        </w:rPr>
        <w:t>, para asegurar que las investigaciones y enjuiciamientos de estos hechos se realicen de acuerdo a los más estrictos estándares de debida diligencia</w:t>
      </w:r>
      <w:r w:rsidR="00DD5247" w:rsidRPr="00975C02">
        <w:rPr>
          <w:rFonts w:ascii="Verdana" w:hAnsi="Verdana"/>
          <w:color w:val="auto"/>
          <w:sz w:val="20"/>
          <w:szCs w:val="20"/>
          <w:lang w:val="es-ES"/>
        </w:rPr>
        <w:t>.</w:t>
      </w:r>
    </w:p>
    <w:p w14:paraId="31C5675E" w14:textId="77777777" w:rsidR="00DD5247" w:rsidRPr="00975C02" w:rsidRDefault="00DD5247" w:rsidP="00DF3D71">
      <w:pPr>
        <w:pStyle w:val="Default"/>
        <w:tabs>
          <w:tab w:val="left" w:pos="567"/>
        </w:tabs>
        <w:ind w:left="32"/>
        <w:jc w:val="both"/>
        <w:rPr>
          <w:rFonts w:ascii="Verdana" w:hAnsi="Verdana"/>
          <w:color w:val="auto"/>
          <w:sz w:val="20"/>
          <w:szCs w:val="20"/>
          <w:lang w:val="es-ES"/>
        </w:rPr>
      </w:pPr>
    </w:p>
    <w:p w14:paraId="7D1B4149" w14:textId="0BC53AAB" w:rsidR="004110D8" w:rsidRPr="00975C02" w:rsidRDefault="00DD5247" w:rsidP="00DF3D71">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Asimismo, </w:t>
      </w:r>
      <w:r w:rsidR="003F482F" w:rsidRPr="00975C02">
        <w:rPr>
          <w:rFonts w:ascii="Verdana" w:hAnsi="Verdana"/>
          <w:color w:val="auto"/>
          <w:sz w:val="20"/>
          <w:szCs w:val="20"/>
          <w:lang w:val="es-ES"/>
        </w:rPr>
        <w:t xml:space="preserve">la Corte ordena al Estado que </w:t>
      </w:r>
      <w:r w:rsidR="00955C70" w:rsidRPr="00975C02">
        <w:rPr>
          <w:rFonts w:ascii="Verdana" w:hAnsi="Verdana"/>
          <w:color w:val="auto"/>
          <w:sz w:val="20"/>
          <w:szCs w:val="20"/>
          <w:lang w:val="es-ES"/>
        </w:rPr>
        <w:t>adopte e implemente</w:t>
      </w:r>
      <w:r w:rsidR="00DF51E0" w:rsidRPr="00975C02">
        <w:rPr>
          <w:rFonts w:ascii="Verdana" w:hAnsi="Verdana"/>
          <w:color w:val="auto"/>
          <w:sz w:val="20"/>
          <w:szCs w:val="20"/>
          <w:lang w:val="es-ES"/>
        </w:rPr>
        <w:t xml:space="preserve"> capacitaciones </w:t>
      </w:r>
      <w:r w:rsidR="004110D8" w:rsidRPr="00975C02">
        <w:rPr>
          <w:rFonts w:ascii="Verdana" w:hAnsi="Verdana"/>
          <w:color w:val="auto"/>
          <w:sz w:val="20"/>
          <w:szCs w:val="20"/>
          <w:lang w:val="es-ES"/>
        </w:rPr>
        <w:t>y cursos</w:t>
      </w:r>
      <w:r w:rsidR="00222E0D" w:rsidRPr="00975C02">
        <w:rPr>
          <w:rFonts w:ascii="Verdana" w:hAnsi="Verdana"/>
          <w:color w:val="auto"/>
          <w:sz w:val="20"/>
          <w:szCs w:val="20"/>
          <w:lang w:val="es-ES"/>
        </w:rPr>
        <w:t>,</w:t>
      </w:r>
      <w:r w:rsidR="004110D8" w:rsidRPr="00975C02">
        <w:rPr>
          <w:rFonts w:ascii="Verdana" w:hAnsi="Verdana"/>
          <w:color w:val="auto"/>
          <w:sz w:val="20"/>
          <w:szCs w:val="20"/>
          <w:lang w:val="es-ES"/>
        </w:rPr>
        <w:t xml:space="preserve"> </w:t>
      </w:r>
      <w:r w:rsidR="00C92A43" w:rsidRPr="00975C02">
        <w:rPr>
          <w:rFonts w:ascii="Verdana" w:hAnsi="Verdana"/>
          <w:color w:val="auto"/>
          <w:sz w:val="20"/>
          <w:szCs w:val="20"/>
          <w:lang w:val="es-ES"/>
        </w:rPr>
        <w:t xml:space="preserve">de carácter </w:t>
      </w:r>
      <w:r w:rsidR="00DF51E0" w:rsidRPr="00975C02">
        <w:rPr>
          <w:rFonts w:ascii="Verdana" w:hAnsi="Verdana"/>
          <w:sz w:val="20"/>
          <w:szCs w:val="20"/>
          <w:lang w:val="es-ES"/>
        </w:rPr>
        <w:t>permanente</w:t>
      </w:r>
      <w:r w:rsidR="00C92A43" w:rsidRPr="00975C02">
        <w:rPr>
          <w:rFonts w:ascii="Verdana" w:hAnsi="Verdana"/>
          <w:sz w:val="20"/>
          <w:szCs w:val="20"/>
          <w:lang w:val="es-ES"/>
        </w:rPr>
        <w:t>,</w:t>
      </w:r>
      <w:r w:rsidR="00DF51E0" w:rsidRPr="00975C02">
        <w:rPr>
          <w:rFonts w:ascii="Verdana" w:hAnsi="Verdana"/>
          <w:sz w:val="20"/>
          <w:szCs w:val="20"/>
          <w:lang w:val="es-ES"/>
        </w:rPr>
        <w:t xml:space="preserve"> dirigidas a profesionales médicos y</w:t>
      </w:r>
      <w:r w:rsidR="00DF51E0" w:rsidRPr="00975C02">
        <w:rPr>
          <w:rFonts w:ascii="Verdana" w:hAnsi="Verdana"/>
          <w:color w:val="auto"/>
          <w:sz w:val="20"/>
          <w:szCs w:val="20"/>
          <w:lang w:val="es-ES"/>
        </w:rPr>
        <w:t xml:space="preserve"> </w:t>
      </w:r>
      <w:r w:rsidR="00DF51E0" w:rsidRPr="00975C02">
        <w:rPr>
          <w:rFonts w:ascii="Verdana" w:hAnsi="Verdana"/>
          <w:sz w:val="20"/>
          <w:szCs w:val="20"/>
          <w:lang w:val="es-ES"/>
        </w:rPr>
        <w:t xml:space="preserve">al personal que conforma el sistema </w:t>
      </w:r>
      <w:r w:rsidR="00BC7574" w:rsidRPr="00975C02">
        <w:rPr>
          <w:rFonts w:ascii="Verdana" w:hAnsi="Verdana"/>
          <w:color w:val="auto"/>
          <w:sz w:val="20"/>
          <w:szCs w:val="20"/>
          <w:lang w:val="es-ES"/>
        </w:rPr>
        <w:t xml:space="preserve">público </w:t>
      </w:r>
      <w:r w:rsidR="00DF51E0" w:rsidRPr="00975C02">
        <w:rPr>
          <w:rFonts w:ascii="Verdana" w:hAnsi="Verdana"/>
          <w:sz w:val="20"/>
          <w:szCs w:val="20"/>
          <w:lang w:val="es-ES"/>
        </w:rPr>
        <w:t>de salud</w:t>
      </w:r>
      <w:r w:rsidR="00BC7574" w:rsidRPr="00975C02">
        <w:rPr>
          <w:rFonts w:ascii="Verdana" w:hAnsi="Verdana"/>
          <w:sz w:val="20"/>
          <w:szCs w:val="20"/>
          <w:lang w:val="es-ES"/>
        </w:rPr>
        <w:t xml:space="preserve"> que intervienen en </w:t>
      </w:r>
      <w:r w:rsidR="00C92A43" w:rsidRPr="00975C02">
        <w:rPr>
          <w:rFonts w:ascii="Verdana" w:hAnsi="Verdana"/>
          <w:sz w:val="20"/>
          <w:szCs w:val="20"/>
          <w:lang w:val="es-ES"/>
        </w:rPr>
        <w:t xml:space="preserve">la detección, </w:t>
      </w:r>
      <w:r w:rsidR="00BC7574" w:rsidRPr="00975C02">
        <w:rPr>
          <w:rFonts w:ascii="Verdana" w:hAnsi="Verdana"/>
          <w:sz w:val="20"/>
          <w:szCs w:val="20"/>
          <w:lang w:val="es-ES"/>
        </w:rPr>
        <w:t>el diagnóstico y tratamiento de niñas</w:t>
      </w:r>
      <w:r w:rsidR="008247AD" w:rsidRPr="00975C02">
        <w:rPr>
          <w:rFonts w:ascii="Verdana" w:hAnsi="Verdana"/>
          <w:sz w:val="20"/>
          <w:szCs w:val="20"/>
          <w:lang w:val="es-ES"/>
        </w:rPr>
        <w:t xml:space="preserve">, </w:t>
      </w:r>
      <w:r w:rsidR="00BC7574" w:rsidRPr="00975C02">
        <w:rPr>
          <w:rFonts w:ascii="Verdana" w:hAnsi="Verdana"/>
          <w:sz w:val="20"/>
          <w:szCs w:val="20"/>
          <w:lang w:val="es-ES"/>
        </w:rPr>
        <w:t xml:space="preserve">niños </w:t>
      </w:r>
      <w:r w:rsidR="008247AD" w:rsidRPr="00975C02">
        <w:rPr>
          <w:rFonts w:ascii="Verdana" w:hAnsi="Verdana"/>
          <w:color w:val="auto"/>
          <w:sz w:val="20"/>
          <w:szCs w:val="20"/>
          <w:lang w:val="es-ES"/>
        </w:rPr>
        <w:t xml:space="preserve">y adolescentes </w:t>
      </w:r>
      <w:r w:rsidR="00BC7574" w:rsidRPr="00975C02">
        <w:rPr>
          <w:rFonts w:ascii="Verdana" w:hAnsi="Verdana"/>
          <w:sz w:val="20"/>
          <w:szCs w:val="20"/>
          <w:lang w:val="es-ES"/>
        </w:rPr>
        <w:t>víctimas de violencia sexual,</w:t>
      </w:r>
      <w:r w:rsidR="00DF51E0" w:rsidRPr="00975C02">
        <w:rPr>
          <w:rFonts w:ascii="Verdana" w:hAnsi="Verdana"/>
          <w:sz w:val="20"/>
          <w:szCs w:val="20"/>
          <w:lang w:val="es-ES"/>
        </w:rPr>
        <w:t xml:space="preserve"> </w:t>
      </w:r>
      <w:r w:rsidR="00E01D91" w:rsidRPr="00975C02">
        <w:rPr>
          <w:rFonts w:ascii="Verdana" w:hAnsi="Verdana"/>
          <w:sz w:val="20"/>
          <w:szCs w:val="20"/>
          <w:lang w:val="es-ES"/>
        </w:rPr>
        <w:t>así como a los médicos forenses y demás personal del Instituto de Medicina Legal</w:t>
      </w:r>
      <w:r w:rsidR="00DF51E0" w:rsidRPr="00975C02">
        <w:rPr>
          <w:rFonts w:ascii="Verdana" w:hAnsi="Verdana"/>
          <w:color w:val="auto"/>
          <w:sz w:val="20"/>
          <w:szCs w:val="20"/>
          <w:lang w:val="es-ES"/>
        </w:rPr>
        <w:t>, con el objetivo de brindar</w:t>
      </w:r>
      <w:r w:rsidR="00E01D91" w:rsidRPr="00975C02">
        <w:rPr>
          <w:rFonts w:ascii="Verdana" w:hAnsi="Verdana"/>
          <w:color w:val="auto"/>
          <w:sz w:val="20"/>
          <w:szCs w:val="20"/>
          <w:lang w:val="es-ES"/>
        </w:rPr>
        <w:t xml:space="preserve"> formación sobre</w:t>
      </w:r>
      <w:r w:rsidR="0006181A" w:rsidRPr="00975C02">
        <w:rPr>
          <w:rFonts w:ascii="Verdana" w:hAnsi="Verdana"/>
          <w:color w:val="auto"/>
          <w:sz w:val="20"/>
          <w:szCs w:val="20"/>
          <w:lang w:val="es-ES"/>
        </w:rPr>
        <w:t xml:space="preserve"> </w:t>
      </w:r>
      <w:r w:rsidR="00E01D91" w:rsidRPr="00975C02">
        <w:rPr>
          <w:rFonts w:ascii="Verdana" w:hAnsi="Verdana"/>
          <w:color w:val="auto"/>
          <w:sz w:val="20"/>
          <w:szCs w:val="20"/>
          <w:lang w:val="es-ES"/>
        </w:rPr>
        <w:t>el</w:t>
      </w:r>
      <w:r w:rsidR="00DF51E0" w:rsidRPr="00975C02">
        <w:rPr>
          <w:rFonts w:ascii="Verdana" w:hAnsi="Verdana"/>
          <w:color w:val="auto"/>
          <w:sz w:val="20"/>
          <w:szCs w:val="20"/>
          <w:lang w:val="es-ES"/>
        </w:rPr>
        <w:t xml:space="preserve"> trato adecuado a las niñas, niños y adolescentes </w:t>
      </w:r>
      <w:r w:rsidR="0006181A" w:rsidRPr="00975C02">
        <w:rPr>
          <w:rFonts w:ascii="Verdana" w:hAnsi="Verdana"/>
          <w:sz w:val="20"/>
          <w:szCs w:val="20"/>
          <w:lang w:val="es-ES"/>
        </w:rPr>
        <w:t xml:space="preserve">víctimas de violencia y violación sexual </w:t>
      </w:r>
      <w:r w:rsidR="00DF51E0" w:rsidRPr="00975C02">
        <w:rPr>
          <w:rFonts w:ascii="Verdana" w:hAnsi="Verdana"/>
          <w:color w:val="auto"/>
          <w:sz w:val="20"/>
          <w:szCs w:val="20"/>
          <w:lang w:val="es-ES"/>
        </w:rPr>
        <w:t>durante los exámenes médicos, y con miras a que dicho</w:t>
      </w:r>
      <w:r w:rsidR="0006181A" w:rsidRPr="00975C02">
        <w:rPr>
          <w:rFonts w:ascii="Verdana" w:hAnsi="Verdana"/>
          <w:color w:val="auto"/>
          <w:sz w:val="20"/>
          <w:szCs w:val="20"/>
          <w:lang w:val="es-ES"/>
        </w:rPr>
        <w:t>s</w:t>
      </w:r>
      <w:r w:rsidR="00DF51E0" w:rsidRPr="00975C02">
        <w:rPr>
          <w:rFonts w:ascii="Verdana" w:hAnsi="Verdana"/>
          <w:color w:val="auto"/>
          <w:sz w:val="20"/>
          <w:szCs w:val="20"/>
          <w:lang w:val="es-ES"/>
        </w:rPr>
        <w:t xml:space="preserve"> ex</w:t>
      </w:r>
      <w:r w:rsidR="0006181A" w:rsidRPr="00975C02">
        <w:rPr>
          <w:rFonts w:ascii="Verdana" w:hAnsi="Verdana"/>
          <w:color w:val="auto"/>
          <w:sz w:val="20"/>
          <w:szCs w:val="20"/>
          <w:lang w:val="es-ES"/>
        </w:rPr>
        <w:t>á</w:t>
      </w:r>
      <w:r w:rsidR="00DF51E0" w:rsidRPr="00975C02">
        <w:rPr>
          <w:rFonts w:ascii="Verdana" w:hAnsi="Verdana"/>
          <w:color w:val="auto"/>
          <w:sz w:val="20"/>
          <w:szCs w:val="20"/>
          <w:lang w:val="es-ES"/>
        </w:rPr>
        <w:t>men</w:t>
      </w:r>
      <w:r w:rsidR="0006181A" w:rsidRPr="00975C02">
        <w:rPr>
          <w:rFonts w:ascii="Verdana" w:hAnsi="Verdana"/>
          <w:color w:val="auto"/>
          <w:sz w:val="20"/>
          <w:szCs w:val="20"/>
          <w:lang w:val="es-ES"/>
        </w:rPr>
        <w:t>es</w:t>
      </w:r>
      <w:r w:rsidR="00DF51E0" w:rsidRPr="00975C02">
        <w:rPr>
          <w:rFonts w:ascii="Verdana" w:hAnsi="Verdana"/>
          <w:color w:val="auto"/>
          <w:sz w:val="20"/>
          <w:szCs w:val="20"/>
          <w:lang w:val="es-ES"/>
        </w:rPr>
        <w:t xml:space="preserve"> sea</w:t>
      </w:r>
      <w:r w:rsidR="0006181A" w:rsidRPr="00975C02">
        <w:rPr>
          <w:rFonts w:ascii="Verdana" w:hAnsi="Verdana"/>
          <w:color w:val="auto"/>
          <w:sz w:val="20"/>
          <w:szCs w:val="20"/>
          <w:lang w:val="es-ES"/>
        </w:rPr>
        <w:t>n</w:t>
      </w:r>
      <w:r w:rsidR="00DF51E0" w:rsidRPr="00975C02">
        <w:rPr>
          <w:rFonts w:ascii="Verdana" w:hAnsi="Verdana"/>
          <w:color w:val="auto"/>
          <w:sz w:val="20"/>
          <w:szCs w:val="20"/>
          <w:lang w:val="es-ES"/>
        </w:rPr>
        <w:t xml:space="preserve"> llevado</w:t>
      </w:r>
      <w:r w:rsidR="0006181A" w:rsidRPr="00975C02">
        <w:rPr>
          <w:rFonts w:ascii="Verdana" w:hAnsi="Verdana"/>
          <w:color w:val="auto"/>
          <w:sz w:val="20"/>
          <w:szCs w:val="20"/>
          <w:lang w:val="es-ES"/>
        </w:rPr>
        <w:t>s</w:t>
      </w:r>
      <w:r w:rsidR="00DF51E0" w:rsidRPr="00975C02">
        <w:rPr>
          <w:rFonts w:ascii="Verdana" w:hAnsi="Verdana"/>
          <w:color w:val="auto"/>
          <w:sz w:val="20"/>
          <w:szCs w:val="20"/>
          <w:lang w:val="es-ES"/>
        </w:rPr>
        <w:t xml:space="preserve"> a cabo conforme a los criterios establecidos en la presente Sentencia y a los estándares internacionales en la materia.</w:t>
      </w:r>
    </w:p>
    <w:p w14:paraId="19A479F2" w14:textId="77777777" w:rsidR="004110D8" w:rsidRPr="00975C02" w:rsidRDefault="004110D8" w:rsidP="004110D8">
      <w:pPr>
        <w:pStyle w:val="Default"/>
        <w:tabs>
          <w:tab w:val="left" w:pos="567"/>
        </w:tabs>
        <w:ind w:left="32"/>
        <w:jc w:val="both"/>
        <w:rPr>
          <w:rFonts w:ascii="Verdana" w:hAnsi="Verdana"/>
          <w:color w:val="auto"/>
          <w:sz w:val="20"/>
          <w:szCs w:val="20"/>
          <w:lang w:val="es-ES"/>
        </w:rPr>
      </w:pPr>
    </w:p>
    <w:p w14:paraId="55E6E618" w14:textId="1E2720F4" w:rsidR="00DF51E0" w:rsidRPr="00975C02" w:rsidRDefault="00DF51E0" w:rsidP="00DF3D71">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 xml:space="preserve">De igual manera, la Corte ordena al Estado que </w:t>
      </w:r>
      <w:r w:rsidR="00955C70" w:rsidRPr="00975C02">
        <w:rPr>
          <w:rFonts w:ascii="Verdana" w:hAnsi="Verdana"/>
          <w:color w:val="auto"/>
          <w:sz w:val="20"/>
          <w:szCs w:val="20"/>
          <w:lang w:val="es-ES"/>
        </w:rPr>
        <w:t xml:space="preserve">adopte e implemente </w:t>
      </w:r>
      <w:r w:rsidR="004110D8" w:rsidRPr="00975C02">
        <w:rPr>
          <w:rFonts w:ascii="Verdana" w:hAnsi="Verdana"/>
          <w:color w:val="auto"/>
          <w:sz w:val="20"/>
          <w:szCs w:val="20"/>
          <w:lang w:val="es-ES"/>
        </w:rPr>
        <w:t>capacitaciones y cursos</w:t>
      </w:r>
      <w:r w:rsidR="00C42967" w:rsidRPr="00975C02">
        <w:rPr>
          <w:rFonts w:ascii="Verdana" w:hAnsi="Verdana"/>
          <w:color w:val="auto"/>
          <w:sz w:val="20"/>
          <w:szCs w:val="20"/>
          <w:lang w:val="es-ES"/>
        </w:rPr>
        <w:t>,</w:t>
      </w:r>
      <w:r w:rsidR="004110D8" w:rsidRPr="00975C02">
        <w:rPr>
          <w:rFonts w:ascii="Verdana" w:hAnsi="Verdana"/>
          <w:color w:val="auto"/>
          <w:sz w:val="20"/>
          <w:szCs w:val="20"/>
          <w:lang w:val="es-ES"/>
        </w:rPr>
        <w:t xml:space="preserve"> de carácter </w:t>
      </w:r>
      <w:r w:rsidR="004110D8" w:rsidRPr="00975C02">
        <w:rPr>
          <w:rFonts w:ascii="Verdana" w:hAnsi="Verdana"/>
          <w:sz w:val="20"/>
          <w:szCs w:val="20"/>
          <w:lang w:val="es-ES"/>
        </w:rPr>
        <w:t>permanente</w:t>
      </w:r>
      <w:r w:rsidR="00C42967" w:rsidRPr="00975C02">
        <w:rPr>
          <w:rFonts w:ascii="Verdana" w:hAnsi="Verdana"/>
          <w:sz w:val="20"/>
          <w:szCs w:val="20"/>
          <w:lang w:val="es-ES"/>
        </w:rPr>
        <w:t>,</w:t>
      </w:r>
      <w:r w:rsidR="003F482F" w:rsidRPr="00975C02">
        <w:rPr>
          <w:rFonts w:ascii="Verdana" w:hAnsi="Verdana"/>
          <w:sz w:val="20"/>
          <w:szCs w:val="20"/>
          <w:lang w:val="es-ES"/>
        </w:rPr>
        <w:t xml:space="preserve"> dirigidos a</w:t>
      </w:r>
      <w:r w:rsidR="004110D8" w:rsidRPr="00975C02">
        <w:rPr>
          <w:rFonts w:ascii="Verdana" w:hAnsi="Verdana"/>
          <w:bCs/>
          <w:sz w:val="20"/>
          <w:szCs w:val="20"/>
          <w:lang w:val="es-ES"/>
        </w:rPr>
        <w:t xml:space="preserve">l personal de salud que interviene en casos de violencia </w:t>
      </w:r>
      <w:r w:rsidR="00C42967" w:rsidRPr="00975C02">
        <w:rPr>
          <w:rFonts w:ascii="Verdana" w:hAnsi="Verdana"/>
          <w:bCs/>
          <w:sz w:val="20"/>
          <w:szCs w:val="20"/>
          <w:lang w:val="es-ES"/>
        </w:rPr>
        <w:t xml:space="preserve">y violación </w:t>
      </w:r>
      <w:r w:rsidR="004110D8" w:rsidRPr="00975C02">
        <w:rPr>
          <w:rFonts w:ascii="Verdana" w:hAnsi="Verdana"/>
          <w:bCs/>
          <w:sz w:val="20"/>
          <w:szCs w:val="20"/>
          <w:lang w:val="es-ES"/>
        </w:rPr>
        <w:t>sexual</w:t>
      </w:r>
      <w:r w:rsidR="00C42967" w:rsidRPr="00975C02">
        <w:rPr>
          <w:rFonts w:ascii="Verdana" w:hAnsi="Verdana"/>
          <w:bCs/>
          <w:sz w:val="20"/>
          <w:szCs w:val="20"/>
          <w:lang w:val="es-ES"/>
        </w:rPr>
        <w:t>, así como</w:t>
      </w:r>
      <w:r w:rsidR="004110D8" w:rsidRPr="00975C02">
        <w:rPr>
          <w:rFonts w:ascii="Verdana" w:hAnsi="Verdana"/>
          <w:bCs/>
          <w:sz w:val="20"/>
          <w:szCs w:val="20"/>
          <w:lang w:val="es-ES"/>
        </w:rPr>
        <w:t xml:space="preserve"> al personal de apoyo social y familiar que</w:t>
      </w:r>
      <w:r w:rsidR="00C42967" w:rsidRPr="00975C02">
        <w:rPr>
          <w:rFonts w:ascii="Verdana" w:hAnsi="Verdana"/>
          <w:bCs/>
          <w:sz w:val="20"/>
          <w:szCs w:val="20"/>
          <w:lang w:val="es-ES"/>
        </w:rPr>
        <w:t>,</w:t>
      </w:r>
      <w:r w:rsidR="004110D8" w:rsidRPr="00975C02">
        <w:rPr>
          <w:rFonts w:ascii="Verdana" w:hAnsi="Verdana"/>
          <w:bCs/>
          <w:sz w:val="20"/>
          <w:szCs w:val="20"/>
          <w:lang w:val="es-ES"/>
        </w:rPr>
        <w:t xml:space="preserve"> de forma integral</w:t>
      </w:r>
      <w:r w:rsidR="00C42967" w:rsidRPr="00975C02">
        <w:rPr>
          <w:rFonts w:ascii="Verdana" w:hAnsi="Verdana"/>
          <w:bCs/>
          <w:sz w:val="20"/>
          <w:szCs w:val="20"/>
          <w:lang w:val="es-ES"/>
        </w:rPr>
        <w:t>,</w:t>
      </w:r>
      <w:r w:rsidR="004110D8" w:rsidRPr="00975C02">
        <w:rPr>
          <w:rFonts w:ascii="Verdana" w:hAnsi="Verdana"/>
          <w:bCs/>
          <w:sz w:val="20"/>
          <w:szCs w:val="20"/>
          <w:lang w:val="es-ES"/>
        </w:rPr>
        <w:t xml:space="preserve"> brinda atención a las víctimas</w:t>
      </w:r>
      <w:r w:rsidR="003F482F" w:rsidRPr="00975C02">
        <w:rPr>
          <w:rFonts w:ascii="Verdana" w:hAnsi="Verdana"/>
          <w:sz w:val="20"/>
          <w:szCs w:val="20"/>
          <w:lang w:val="es-ES"/>
        </w:rPr>
        <w:t xml:space="preserve"> de violencia </w:t>
      </w:r>
      <w:r w:rsidR="00C42967" w:rsidRPr="00975C02">
        <w:rPr>
          <w:rFonts w:ascii="Verdana" w:hAnsi="Verdana"/>
          <w:sz w:val="20"/>
          <w:szCs w:val="20"/>
          <w:lang w:val="es-ES"/>
        </w:rPr>
        <w:t xml:space="preserve">y violación </w:t>
      </w:r>
      <w:r w:rsidR="003F482F" w:rsidRPr="00975C02">
        <w:rPr>
          <w:rFonts w:ascii="Verdana" w:hAnsi="Verdana"/>
          <w:sz w:val="20"/>
          <w:szCs w:val="20"/>
          <w:lang w:val="es-ES"/>
        </w:rPr>
        <w:t>sexual</w:t>
      </w:r>
      <w:r w:rsidR="00C42967" w:rsidRPr="00975C02">
        <w:rPr>
          <w:rFonts w:ascii="Verdana" w:hAnsi="Verdana"/>
          <w:sz w:val="20"/>
          <w:szCs w:val="20"/>
          <w:lang w:val="es-ES"/>
        </w:rPr>
        <w:t>. Las capacitaciones</w:t>
      </w:r>
      <w:r w:rsidR="00B73244" w:rsidRPr="00975C02">
        <w:rPr>
          <w:rFonts w:ascii="Verdana" w:hAnsi="Verdana"/>
          <w:sz w:val="20"/>
          <w:szCs w:val="20"/>
          <w:lang w:val="es-ES"/>
        </w:rPr>
        <w:t xml:space="preserve"> y cursos</w:t>
      </w:r>
      <w:r w:rsidR="00C42967" w:rsidRPr="00975C02">
        <w:rPr>
          <w:rFonts w:ascii="Verdana" w:hAnsi="Verdana"/>
          <w:sz w:val="20"/>
          <w:szCs w:val="20"/>
          <w:lang w:val="es-ES"/>
        </w:rPr>
        <w:t xml:space="preserve"> deben versar </w:t>
      </w:r>
      <w:r w:rsidR="003F482F" w:rsidRPr="00975C02">
        <w:rPr>
          <w:rFonts w:ascii="Verdana" w:hAnsi="Verdana"/>
          <w:sz w:val="20"/>
          <w:szCs w:val="20"/>
          <w:lang w:val="es-ES"/>
        </w:rPr>
        <w:t xml:space="preserve">sobre </w:t>
      </w:r>
      <w:r w:rsidR="00AF3761" w:rsidRPr="00975C02">
        <w:rPr>
          <w:rFonts w:ascii="Verdana" w:hAnsi="Verdana"/>
          <w:sz w:val="20"/>
          <w:szCs w:val="20"/>
          <w:lang w:val="es-ES"/>
        </w:rPr>
        <w:t>los criterios</w:t>
      </w:r>
      <w:r w:rsidR="003F482F" w:rsidRPr="00975C02">
        <w:rPr>
          <w:rFonts w:ascii="Verdana" w:hAnsi="Verdana"/>
          <w:sz w:val="20"/>
          <w:szCs w:val="20"/>
          <w:lang w:val="es-ES"/>
        </w:rPr>
        <w:t xml:space="preserve"> de</w:t>
      </w:r>
      <w:r w:rsidRPr="00975C02">
        <w:rPr>
          <w:rFonts w:ascii="Verdana" w:hAnsi="Verdana"/>
          <w:sz w:val="20"/>
          <w:szCs w:val="20"/>
          <w:lang w:val="es-ES"/>
        </w:rPr>
        <w:t>sarrollados en la presente Sentencia</w:t>
      </w:r>
      <w:r w:rsidR="00C42967" w:rsidRPr="00975C02">
        <w:rPr>
          <w:rFonts w:ascii="Verdana" w:hAnsi="Verdana"/>
          <w:sz w:val="20"/>
          <w:szCs w:val="20"/>
          <w:lang w:val="es-ES"/>
        </w:rPr>
        <w:t>; e</w:t>
      </w:r>
      <w:r w:rsidRPr="00975C02">
        <w:rPr>
          <w:rFonts w:ascii="Verdana" w:hAnsi="Verdana"/>
          <w:sz w:val="20"/>
          <w:szCs w:val="20"/>
          <w:lang w:val="es-ES"/>
        </w:rPr>
        <w:t>n particular, sobre</w:t>
      </w:r>
      <w:r w:rsidR="003F482F" w:rsidRPr="00975C02">
        <w:rPr>
          <w:rFonts w:ascii="Verdana" w:hAnsi="Verdana"/>
          <w:sz w:val="20"/>
          <w:szCs w:val="20"/>
          <w:lang w:val="es-ES"/>
        </w:rPr>
        <w:t xml:space="preserve"> el acompañamiento</w:t>
      </w:r>
      <w:r w:rsidR="00C42967" w:rsidRPr="00975C02">
        <w:rPr>
          <w:rFonts w:ascii="Verdana" w:hAnsi="Verdana"/>
          <w:sz w:val="20"/>
          <w:szCs w:val="20"/>
          <w:lang w:val="es-ES"/>
        </w:rPr>
        <w:t xml:space="preserve"> y</w:t>
      </w:r>
      <w:r w:rsidR="003F482F" w:rsidRPr="00975C02">
        <w:rPr>
          <w:rFonts w:ascii="Verdana" w:hAnsi="Verdana"/>
          <w:sz w:val="20"/>
          <w:szCs w:val="20"/>
          <w:lang w:val="es-ES"/>
        </w:rPr>
        <w:t xml:space="preserve"> la atención </w:t>
      </w:r>
      <w:r w:rsidR="00C42967" w:rsidRPr="00975C02">
        <w:rPr>
          <w:rFonts w:ascii="Verdana" w:hAnsi="Verdana"/>
          <w:sz w:val="20"/>
          <w:szCs w:val="20"/>
          <w:lang w:val="es-ES"/>
        </w:rPr>
        <w:t>adecuada</w:t>
      </w:r>
      <w:r w:rsidR="003F482F" w:rsidRPr="00975C02">
        <w:rPr>
          <w:rFonts w:ascii="Verdana" w:hAnsi="Verdana"/>
          <w:sz w:val="20"/>
          <w:szCs w:val="20"/>
          <w:lang w:val="es-ES"/>
        </w:rPr>
        <w:t xml:space="preserve">, integral, especializada y coordinada que debe brindarse a dichas víctimas para lograr </w:t>
      </w:r>
      <w:r w:rsidR="00C42967" w:rsidRPr="00975C02">
        <w:rPr>
          <w:rFonts w:ascii="Verdana" w:hAnsi="Verdana"/>
          <w:sz w:val="20"/>
          <w:szCs w:val="20"/>
          <w:lang w:val="es-ES"/>
        </w:rPr>
        <w:t xml:space="preserve">su </w:t>
      </w:r>
      <w:r w:rsidR="003F482F" w:rsidRPr="00975C02">
        <w:rPr>
          <w:rFonts w:ascii="Verdana" w:hAnsi="Verdana"/>
          <w:sz w:val="20"/>
          <w:szCs w:val="20"/>
          <w:lang w:val="es-ES"/>
        </w:rPr>
        <w:t>reintegración y rehabilitación.</w:t>
      </w:r>
    </w:p>
    <w:p w14:paraId="161614DE" w14:textId="77777777" w:rsidR="00DD5247" w:rsidRPr="00975C02" w:rsidRDefault="00DD5247" w:rsidP="00DF3D71">
      <w:pPr>
        <w:pStyle w:val="Default"/>
        <w:tabs>
          <w:tab w:val="left" w:pos="567"/>
        </w:tabs>
        <w:ind w:left="32"/>
        <w:jc w:val="both"/>
        <w:rPr>
          <w:rFonts w:ascii="Verdana" w:hAnsi="Verdana"/>
          <w:color w:val="auto"/>
          <w:sz w:val="20"/>
          <w:szCs w:val="20"/>
          <w:lang w:val="es-ES"/>
        </w:rPr>
      </w:pPr>
    </w:p>
    <w:p w14:paraId="682B3C92" w14:textId="5E27F0C7" w:rsidR="008F7852" w:rsidRPr="00975C02" w:rsidRDefault="008F7852" w:rsidP="008F7852">
      <w:pPr>
        <w:pStyle w:val="Default"/>
        <w:numPr>
          <w:ilvl w:val="0"/>
          <w:numId w:val="2"/>
        </w:numPr>
        <w:tabs>
          <w:tab w:val="left" w:pos="567"/>
        </w:tabs>
        <w:ind w:left="32" w:hanging="32"/>
        <w:jc w:val="both"/>
        <w:rPr>
          <w:rFonts w:ascii="Verdana" w:hAnsi="Verdana"/>
          <w:color w:val="auto"/>
          <w:sz w:val="20"/>
          <w:szCs w:val="20"/>
          <w:lang w:val="es-ES"/>
        </w:rPr>
      </w:pPr>
      <w:r w:rsidRPr="00975C02">
        <w:rPr>
          <w:rFonts w:ascii="Verdana" w:hAnsi="Verdana"/>
          <w:color w:val="auto"/>
          <w:sz w:val="20"/>
          <w:szCs w:val="20"/>
          <w:lang w:val="es-ES"/>
        </w:rPr>
        <w:t>El Estado debe cumplir con la</w:t>
      </w:r>
      <w:r w:rsidR="000E1CAA" w:rsidRPr="00975C02">
        <w:rPr>
          <w:rFonts w:ascii="Verdana" w:hAnsi="Verdana"/>
          <w:color w:val="auto"/>
          <w:sz w:val="20"/>
          <w:szCs w:val="20"/>
          <w:lang w:val="es-ES"/>
        </w:rPr>
        <w:t>s</w:t>
      </w:r>
      <w:r w:rsidRPr="00975C02">
        <w:rPr>
          <w:rFonts w:ascii="Verdana" w:hAnsi="Verdana"/>
          <w:color w:val="auto"/>
          <w:sz w:val="20"/>
          <w:szCs w:val="20"/>
          <w:lang w:val="es-ES"/>
        </w:rPr>
        <w:t xml:space="preserve"> medida</w:t>
      </w:r>
      <w:r w:rsidR="000E1CAA" w:rsidRPr="00975C02">
        <w:rPr>
          <w:rFonts w:ascii="Verdana" w:hAnsi="Verdana"/>
          <w:color w:val="auto"/>
          <w:sz w:val="20"/>
          <w:szCs w:val="20"/>
          <w:lang w:val="es-ES"/>
        </w:rPr>
        <w:t>s</w:t>
      </w:r>
      <w:r w:rsidRPr="00975C02">
        <w:rPr>
          <w:rFonts w:ascii="Verdana" w:hAnsi="Verdana"/>
          <w:color w:val="auto"/>
          <w:sz w:val="20"/>
          <w:szCs w:val="20"/>
          <w:lang w:val="es-ES"/>
        </w:rPr>
        <w:t xml:space="preserve"> </w:t>
      </w:r>
      <w:r w:rsidR="00225EF6" w:rsidRPr="00975C02">
        <w:rPr>
          <w:rFonts w:ascii="Verdana" w:hAnsi="Verdana"/>
          <w:color w:val="auto"/>
          <w:sz w:val="20"/>
          <w:szCs w:val="20"/>
          <w:lang w:val="es-ES"/>
        </w:rPr>
        <w:t xml:space="preserve">de reparación </w:t>
      </w:r>
      <w:r w:rsidR="00F534A9" w:rsidRPr="00975C02">
        <w:rPr>
          <w:rFonts w:ascii="Verdana" w:hAnsi="Verdana"/>
          <w:color w:val="auto"/>
          <w:sz w:val="20"/>
          <w:szCs w:val="20"/>
          <w:lang w:val="es-ES"/>
        </w:rPr>
        <w:t xml:space="preserve">dispuestas en este apartado </w:t>
      </w:r>
      <w:r w:rsidRPr="00975C02">
        <w:rPr>
          <w:rFonts w:ascii="Verdana" w:hAnsi="Verdana"/>
          <w:color w:val="auto"/>
          <w:sz w:val="20"/>
          <w:szCs w:val="20"/>
          <w:lang w:val="es-ES"/>
        </w:rPr>
        <w:t>en el plazo de un año a partir de la notificación de la presente Sentencia.</w:t>
      </w:r>
    </w:p>
    <w:p w14:paraId="5DBFA885" w14:textId="77777777" w:rsidR="009D661E" w:rsidRPr="00975C02" w:rsidRDefault="009D661E" w:rsidP="009D661E">
      <w:pPr>
        <w:autoSpaceDE w:val="0"/>
        <w:autoSpaceDN w:val="0"/>
        <w:spacing w:line="240" w:lineRule="auto"/>
        <w:ind w:right="49"/>
        <w:rPr>
          <w:sz w:val="20"/>
          <w:szCs w:val="20"/>
          <w:lang w:val="es-ES"/>
        </w:rPr>
      </w:pPr>
    </w:p>
    <w:p w14:paraId="1CB0DD58" w14:textId="77777777" w:rsidR="009D661E" w:rsidRPr="00975C02" w:rsidRDefault="009D661E" w:rsidP="00721D19">
      <w:pPr>
        <w:pStyle w:val="Heading2"/>
        <w:tabs>
          <w:tab w:val="left" w:pos="1843"/>
        </w:tabs>
        <w:spacing w:before="0" w:line="240" w:lineRule="auto"/>
        <w:ind w:left="1134"/>
        <w:rPr>
          <w:rFonts w:ascii="Verdana" w:hAnsi="Verdana"/>
          <w:b w:val="0"/>
          <w:i/>
          <w:color w:val="auto"/>
          <w:sz w:val="20"/>
          <w:szCs w:val="20"/>
          <w:lang w:val="es-ES"/>
        </w:rPr>
      </w:pPr>
      <w:bookmarkStart w:id="182" w:name="_Toc514172668"/>
      <w:r w:rsidRPr="00975C02">
        <w:rPr>
          <w:rFonts w:ascii="Verdana" w:hAnsi="Verdana"/>
          <w:b w:val="0"/>
          <w:i/>
          <w:color w:val="auto"/>
          <w:sz w:val="20"/>
          <w:szCs w:val="20"/>
          <w:lang w:val="es-ES"/>
        </w:rPr>
        <w:lastRenderedPageBreak/>
        <w:t xml:space="preserve">C.4 </w:t>
      </w:r>
      <w:r w:rsidRPr="00975C02">
        <w:rPr>
          <w:rFonts w:ascii="Verdana" w:hAnsi="Verdana"/>
          <w:b w:val="0"/>
          <w:i/>
          <w:color w:val="auto"/>
          <w:sz w:val="20"/>
          <w:szCs w:val="20"/>
          <w:lang w:val="es-ES"/>
        </w:rPr>
        <w:tab/>
        <w:t>Otras medidas solicitadas</w:t>
      </w:r>
      <w:bookmarkEnd w:id="182"/>
    </w:p>
    <w:p w14:paraId="48284971" w14:textId="77777777" w:rsidR="00DE5B12" w:rsidRPr="00975C02" w:rsidRDefault="00DE5B12" w:rsidP="009D661E">
      <w:pPr>
        <w:autoSpaceDE w:val="0"/>
        <w:autoSpaceDN w:val="0"/>
        <w:spacing w:line="240" w:lineRule="auto"/>
        <w:ind w:left="720" w:right="49" w:firstLine="720"/>
        <w:rPr>
          <w:sz w:val="20"/>
          <w:szCs w:val="20"/>
          <w:lang w:val="es-ES"/>
        </w:rPr>
      </w:pPr>
    </w:p>
    <w:p w14:paraId="4C965109" w14:textId="77777777" w:rsidR="00DE5B12" w:rsidRPr="00975C02" w:rsidRDefault="00DE5B12" w:rsidP="002C415B">
      <w:pPr>
        <w:numPr>
          <w:ilvl w:val="0"/>
          <w:numId w:val="13"/>
        </w:numPr>
        <w:spacing w:line="240" w:lineRule="auto"/>
        <w:rPr>
          <w:i/>
          <w:iCs/>
          <w:sz w:val="20"/>
          <w:szCs w:val="20"/>
          <w:lang w:val="es-ES"/>
        </w:rPr>
      </w:pPr>
      <w:r w:rsidRPr="00975C02">
        <w:rPr>
          <w:i/>
          <w:iCs/>
          <w:sz w:val="20"/>
          <w:szCs w:val="20"/>
          <w:lang w:val="es-ES"/>
        </w:rPr>
        <w:t>Adecuación de la legislación interna a los estándares mínimos de la Convención Americana sobre Derechos Humanos en materia de juicios por jurado</w:t>
      </w:r>
    </w:p>
    <w:p w14:paraId="3DAFB012" w14:textId="77777777" w:rsidR="00DE5B12" w:rsidRPr="00975C02" w:rsidRDefault="00DE5B12" w:rsidP="00DE5B12">
      <w:pPr>
        <w:spacing w:line="240" w:lineRule="auto"/>
        <w:rPr>
          <w:iCs/>
          <w:sz w:val="20"/>
          <w:szCs w:val="20"/>
          <w:lang w:val="es-ES"/>
        </w:rPr>
      </w:pPr>
    </w:p>
    <w:p w14:paraId="1802684D" w14:textId="4CF44DDF" w:rsidR="00DE5B12" w:rsidRPr="00975C02" w:rsidRDefault="00DE5B12" w:rsidP="00DE5B12">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solicitaron a la Corte que ordenara al Estado adecuar su legislación interna a los estándares mínimos de la Convención Americana sobre Derechos Humanos, en procura de un debido proceso en los conflictos judiciales, especialmente </w:t>
      </w:r>
      <w:r w:rsidR="00863676" w:rsidRPr="00975C02">
        <w:rPr>
          <w:rFonts w:eastAsia="MS Mincho"/>
          <w:sz w:val="20"/>
          <w:szCs w:val="20"/>
          <w:lang w:val="es-ES" w:bidi="en-US"/>
        </w:rPr>
        <w:t xml:space="preserve">en </w:t>
      </w:r>
      <w:r w:rsidRPr="00975C02">
        <w:rPr>
          <w:rFonts w:eastAsia="MS Mincho"/>
          <w:sz w:val="20"/>
          <w:szCs w:val="20"/>
          <w:lang w:val="es-ES" w:bidi="en-US"/>
        </w:rPr>
        <w:t xml:space="preserve">casos que involucren a </w:t>
      </w:r>
      <w:r w:rsidR="00863676" w:rsidRPr="00975C02">
        <w:rPr>
          <w:rFonts w:eastAsia="MS Mincho"/>
          <w:sz w:val="20"/>
          <w:szCs w:val="20"/>
          <w:lang w:val="es-ES" w:bidi="en-US"/>
        </w:rPr>
        <w:t xml:space="preserve">personas </w:t>
      </w:r>
      <w:r w:rsidRPr="00975C02">
        <w:rPr>
          <w:rFonts w:eastAsia="MS Mincho"/>
          <w:sz w:val="20"/>
          <w:szCs w:val="20"/>
          <w:lang w:val="es-ES" w:bidi="en-US"/>
        </w:rPr>
        <w:t>menores de edad. Pidieron que estos procesos fueran administrados por personas capacitadas, erradicándose el Tribunal de Jurados para casos de violación sexual o de cualquier hecho donde haya vinculación con un</w:t>
      </w:r>
      <w:r w:rsidR="00863676" w:rsidRPr="00975C02">
        <w:rPr>
          <w:rFonts w:eastAsia="MS Mincho"/>
          <w:sz w:val="20"/>
          <w:szCs w:val="20"/>
          <w:lang w:val="es-ES" w:bidi="en-US"/>
        </w:rPr>
        <w:t>a persona</w:t>
      </w:r>
      <w:r w:rsidRPr="00975C02">
        <w:rPr>
          <w:rFonts w:eastAsia="MS Mincho"/>
          <w:sz w:val="20"/>
          <w:szCs w:val="20"/>
          <w:lang w:val="es-ES" w:bidi="en-US"/>
        </w:rPr>
        <w:t xml:space="preserve"> menor de edad, y que la responsabilidad de la administración de </w:t>
      </w:r>
      <w:r w:rsidR="00863676" w:rsidRPr="00975C02">
        <w:rPr>
          <w:rFonts w:eastAsia="MS Mincho"/>
          <w:sz w:val="20"/>
          <w:szCs w:val="20"/>
          <w:lang w:val="es-ES" w:bidi="en-US"/>
        </w:rPr>
        <w:t>justicia</w:t>
      </w:r>
      <w:r w:rsidRPr="00975C02">
        <w:rPr>
          <w:rFonts w:eastAsia="MS Mincho"/>
          <w:sz w:val="20"/>
          <w:szCs w:val="20"/>
          <w:lang w:val="es-ES" w:bidi="en-US"/>
        </w:rPr>
        <w:t xml:space="preserve"> recayera sobre jueces, quienes deb</w:t>
      </w:r>
      <w:r w:rsidR="00863676" w:rsidRPr="00975C02">
        <w:rPr>
          <w:rFonts w:eastAsia="MS Mincho"/>
          <w:sz w:val="20"/>
          <w:szCs w:val="20"/>
          <w:lang w:val="es-ES" w:bidi="en-US"/>
        </w:rPr>
        <w:t>e</w:t>
      </w:r>
      <w:r w:rsidRPr="00975C02">
        <w:rPr>
          <w:rFonts w:eastAsia="MS Mincho"/>
          <w:sz w:val="20"/>
          <w:szCs w:val="20"/>
          <w:lang w:val="es-ES" w:bidi="en-US"/>
        </w:rPr>
        <w:t xml:space="preserve">n resolver de acuerdo a las pruebas presentadas y la sana crítica. Finalmente, solicitaron que se estableciera el </w:t>
      </w:r>
      <w:r w:rsidR="00863676" w:rsidRPr="00975C02">
        <w:rPr>
          <w:rFonts w:eastAsia="MS Mincho"/>
          <w:sz w:val="20"/>
          <w:szCs w:val="20"/>
          <w:lang w:val="es-ES" w:bidi="en-US"/>
        </w:rPr>
        <w:t xml:space="preserve">derecho al </w:t>
      </w:r>
      <w:r w:rsidRPr="00975C02">
        <w:rPr>
          <w:rFonts w:eastAsia="MS Mincho"/>
          <w:sz w:val="20"/>
          <w:szCs w:val="20"/>
          <w:lang w:val="es-ES" w:bidi="en-US"/>
        </w:rPr>
        <w:t>recurso de apelación en todos los procesos</w:t>
      </w:r>
      <w:r w:rsidR="00863676" w:rsidRPr="00975C02">
        <w:rPr>
          <w:rFonts w:eastAsia="MS Mincho"/>
          <w:sz w:val="20"/>
          <w:szCs w:val="20"/>
          <w:lang w:val="es-ES" w:bidi="en-US"/>
        </w:rPr>
        <w:t>,</w:t>
      </w:r>
      <w:r w:rsidRPr="00975C02">
        <w:rPr>
          <w:rFonts w:eastAsia="MS Mincho"/>
          <w:sz w:val="20"/>
          <w:szCs w:val="20"/>
          <w:lang w:val="es-ES" w:bidi="en-US"/>
        </w:rPr>
        <w:t xml:space="preserve"> de manera indistinta, incluyendo los conocidos por el jurado</w:t>
      </w:r>
      <w:r w:rsidR="001C0BD0" w:rsidRPr="00975C02">
        <w:rPr>
          <w:rFonts w:eastAsia="MS Mincho"/>
          <w:sz w:val="20"/>
          <w:szCs w:val="20"/>
          <w:lang w:val="es-ES" w:bidi="en-US"/>
        </w:rPr>
        <w:t>.</w:t>
      </w:r>
    </w:p>
    <w:p w14:paraId="2F680992" w14:textId="77777777" w:rsidR="00DE5B12" w:rsidRPr="00975C02" w:rsidRDefault="00DE5B12" w:rsidP="00DF3D71">
      <w:pPr>
        <w:pStyle w:val="ListParagraph"/>
        <w:tabs>
          <w:tab w:val="left" w:pos="1985"/>
        </w:tabs>
        <w:spacing w:line="240" w:lineRule="auto"/>
        <w:rPr>
          <w:rFonts w:eastAsia="MS Mincho"/>
          <w:sz w:val="20"/>
          <w:szCs w:val="20"/>
          <w:lang w:val="es-ES" w:bidi="en-US"/>
        </w:rPr>
      </w:pPr>
    </w:p>
    <w:p w14:paraId="4543F756" w14:textId="71C3835D" w:rsidR="00DE5B12" w:rsidRPr="00975C02" w:rsidRDefault="00DE5B12" w:rsidP="00DE5B12">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sostuvo que</w:t>
      </w:r>
      <w:r w:rsidR="00863676" w:rsidRPr="00975C02">
        <w:rPr>
          <w:rFonts w:eastAsia="MS Mincho"/>
          <w:sz w:val="20"/>
          <w:szCs w:val="20"/>
          <w:lang w:val="es-ES" w:bidi="en-US"/>
        </w:rPr>
        <w:t>,</w:t>
      </w:r>
      <w:r w:rsidRPr="00975C02">
        <w:rPr>
          <w:rFonts w:eastAsia="MS Mincho"/>
          <w:sz w:val="20"/>
          <w:szCs w:val="20"/>
          <w:lang w:val="es-ES" w:bidi="en-US"/>
        </w:rPr>
        <w:t xml:space="preserve"> desde </w:t>
      </w:r>
      <w:r w:rsidR="00863676" w:rsidRPr="00975C02">
        <w:rPr>
          <w:rFonts w:eastAsia="MS Mincho"/>
          <w:sz w:val="20"/>
          <w:szCs w:val="20"/>
          <w:lang w:val="es-ES" w:bidi="en-US"/>
        </w:rPr>
        <w:t xml:space="preserve">hace </w:t>
      </w:r>
      <w:r w:rsidRPr="00975C02">
        <w:rPr>
          <w:rFonts w:eastAsia="MS Mincho"/>
          <w:sz w:val="20"/>
          <w:szCs w:val="20"/>
          <w:lang w:val="es-ES" w:bidi="en-US"/>
        </w:rPr>
        <w:t>más de 10 años</w:t>
      </w:r>
      <w:r w:rsidR="00863676" w:rsidRPr="00975C02">
        <w:rPr>
          <w:rFonts w:eastAsia="MS Mincho"/>
          <w:sz w:val="20"/>
          <w:szCs w:val="20"/>
          <w:lang w:val="es-ES" w:bidi="en-US"/>
        </w:rPr>
        <w:t>,</w:t>
      </w:r>
      <w:r w:rsidRPr="00975C02">
        <w:rPr>
          <w:rFonts w:eastAsia="MS Mincho"/>
          <w:sz w:val="20"/>
          <w:szCs w:val="20"/>
          <w:lang w:val="es-ES" w:bidi="en-US"/>
        </w:rPr>
        <w:t xml:space="preserve"> </w:t>
      </w:r>
      <w:r w:rsidR="00863676" w:rsidRPr="00975C02">
        <w:rPr>
          <w:rFonts w:eastAsia="MS Mincho"/>
          <w:sz w:val="20"/>
          <w:szCs w:val="20"/>
          <w:lang w:val="es-ES" w:bidi="en-US"/>
        </w:rPr>
        <w:t xml:space="preserve">ha </w:t>
      </w:r>
      <w:r w:rsidRPr="00975C02">
        <w:rPr>
          <w:rFonts w:eastAsia="MS Mincho"/>
          <w:sz w:val="20"/>
          <w:szCs w:val="20"/>
          <w:lang w:val="es-ES" w:bidi="en-US"/>
        </w:rPr>
        <w:t>efectuado cambios importantes en materia penal y de derechos humanos</w:t>
      </w:r>
      <w:r w:rsidR="00863676" w:rsidRPr="00975C02">
        <w:rPr>
          <w:rFonts w:eastAsia="MS Mincho"/>
          <w:sz w:val="20"/>
          <w:szCs w:val="20"/>
          <w:lang w:val="es-ES" w:bidi="en-US"/>
        </w:rPr>
        <w:t>. Agregó que</w:t>
      </w:r>
      <w:r w:rsidRPr="00975C02">
        <w:rPr>
          <w:rFonts w:eastAsia="MS Mincho"/>
          <w:sz w:val="20"/>
          <w:szCs w:val="20"/>
          <w:lang w:val="es-ES" w:bidi="en-US"/>
        </w:rPr>
        <w:t>, uno de los elementos más importantes</w:t>
      </w:r>
      <w:r w:rsidR="00863676" w:rsidRPr="00975C02">
        <w:rPr>
          <w:rFonts w:eastAsia="MS Mincho"/>
          <w:sz w:val="20"/>
          <w:szCs w:val="20"/>
          <w:lang w:val="es-ES" w:bidi="en-US"/>
        </w:rPr>
        <w:t>,</w:t>
      </w:r>
      <w:r w:rsidRPr="00975C02">
        <w:rPr>
          <w:rFonts w:eastAsia="MS Mincho"/>
          <w:sz w:val="20"/>
          <w:szCs w:val="20"/>
          <w:lang w:val="es-ES" w:bidi="en-US"/>
        </w:rPr>
        <w:t xml:space="preserve"> e</w:t>
      </w:r>
      <w:r w:rsidR="00863676" w:rsidRPr="00975C02">
        <w:rPr>
          <w:rFonts w:eastAsia="MS Mincho"/>
          <w:sz w:val="20"/>
          <w:szCs w:val="20"/>
          <w:lang w:val="es-ES" w:bidi="en-US"/>
        </w:rPr>
        <w:t>s</w:t>
      </w:r>
      <w:r w:rsidRPr="00975C02">
        <w:rPr>
          <w:rFonts w:eastAsia="MS Mincho"/>
          <w:sz w:val="20"/>
          <w:szCs w:val="20"/>
          <w:lang w:val="es-ES" w:bidi="en-US"/>
        </w:rPr>
        <w:t xml:space="preserve"> el rol protagónico que </w:t>
      </w:r>
      <w:r w:rsidR="00863676" w:rsidRPr="00975C02">
        <w:rPr>
          <w:rFonts w:eastAsia="MS Mincho"/>
          <w:sz w:val="20"/>
          <w:szCs w:val="20"/>
          <w:lang w:val="es-ES" w:bidi="en-US"/>
        </w:rPr>
        <w:t>tiene</w:t>
      </w:r>
      <w:r w:rsidRPr="00975C02">
        <w:rPr>
          <w:rFonts w:eastAsia="MS Mincho"/>
          <w:sz w:val="20"/>
          <w:szCs w:val="20"/>
          <w:lang w:val="es-ES" w:bidi="en-US"/>
        </w:rPr>
        <w:t xml:space="preserve"> la víctima en todas y cada una de las etapas del proceso, con un modelo de compensación inmediato</w:t>
      </w:r>
      <w:r w:rsidR="001C0BD0" w:rsidRPr="00975C02">
        <w:rPr>
          <w:rFonts w:eastAsia="MS Mincho"/>
          <w:sz w:val="20"/>
          <w:szCs w:val="20"/>
          <w:lang w:val="es-ES" w:bidi="en-US"/>
        </w:rPr>
        <w:t>.</w:t>
      </w:r>
      <w:r w:rsidRPr="00975C02">
        <w:rPr>
          <w:rFonts w:eastAsia="MS Mincho"/>
          <w:sz w:val="20"/>
          <w:szCs w:val="20"/>
          <w:lang w:val="es-ES" w:bidi="en-US"/>
        </w:rPr>
        <w:t xml:space="preserve"> </w:t>
      </w:r>
      <w:r w:rsidR="00863676" w:rsidRPr="00975C02">
        <w:rPr>
          <w:rFonts w:eastAsia="MS Mincho"/>
          <w:sz w:val="20"/>
          <w:szCs w:val="20"/>
          <w:lang w:val="es-ES" w:bidi="en-US"/>
        </w:rPr>
        <w:t xml:space="preserve">Con </w:t>
      </w:r>
      <w:r w:rsidRPr="00975C02">
        <w:rPr>
          <w:rFonts w:eastAsia="MS Mincho"/>
          <w:sz w:val="20"/>
          <w:szCs w:val="20"/>
          <w:lang w:val="es-ES" w:bidi="en-US"/>
        </w:rPr>
        <w:t>relación al sistema de enjuiciamiento penal, alegó que</w:t>
      </w:r>
      <w:r w:rsidR="00863676" w:rsidRPr="00975C02">
        <w:rPr>
          <w:rFonts w:eastAsia="MS Mincho"/>
          <w:sz w:val="20"/>
          <w:szCs w:val="20"/>
          <w:lang w:val="es-ES" w:bidi="en-US"/>
        </w:rPr>
        <w:t>,</w:t>
      </w:r>
      <w:r w:rsidRPr="00975C02">
        <w:rPr>
          <w:rFonts w:eastAsia="MS Mincho"/>
          <w:sz w:val="20"/>
          <w:szCs w:val="20"/>
          <w:lang w:val="es-ES" w:bidi="en-US"/>
        </w:rPr>
        <w:t xml:space="preserve"> desde el año 2008</w:t>
      </w:r>
      <w:r w:rsidR="00863676" w:rsidRPr="00975C02">
        <w:rPr>
          <w:rFonts w:eastAsia="MS Mincho"/>
          <w:sz w:val="20"/>
          <w:szCs w:val="20"/>
          <w:lang w:val="es-ES" w:bidi="en-US"/>
        </w:rPr>
        <w:t>,</w:t>
      </w:r>
      <w:r w:rsidRPr="00975C02">
        <w:rPr>
          <w:rFonts w:eastAsia="MS Mincho"/>
          <w:sz w:val="20"/>
          <w:szCs w:val="20"/>
          <w:lang w:val="es-ES" w:bidi="en-US"/>
        </w:rPr>
        <w:t xml:space="preserve"> los delitos contra la libertad e integridad sexual s</w:t>
      </w:r>
      <w:r w:rsidR="00863676" w:rsidRPr="00975C02">
        <w:rPr>
          <w:rFonts w:eastAsia="MS Mincho"/>
          <w:sz w:val="20"/>
          <w:szCs w:val="20"/>
          <w:lang w:val="es-ES" w:bidi="en-US"/>
        </w:rPr>
        <w:t>on</w:t>
      </w:r>
      <w:r w:rsidRPr="00975C02">
        <w:rPr>
          <w:rFonts w:eastAsia="MS Mincho"/>
          <w:sz w:val="20"/>
          <w:szCs w:val="20"/>
          <w:lang w:val="es-ES" w:bidi="en-US"/>
        </w:rPr>
        <w:t xml:space="preserve"> juzga</w:t>
      </w:r>
      <w:r w:rsidR="00863676" w:rsidRPr="00975C02">
        <w:rPr>
          <w:rFonts w:eastAsia="MS Mincho"/>
          <w:sz w:val="20"/>
          <w:szCs w:val="20"/>
          <w:lang w:val="es-ES" w:bidi="en-US"/>
        </w:rPr>
        <w:t>dos</w:t>
      </w:r>
      <w:r w:rsidRPr="00975C02">
        <w:rPr>
          <w:rFonts w:eastAsia="MS Mincho"/>
          <w:sz w:val="20"/>
          <w:szCs w:val="20"/>
          <w:lang w:val="es-ES" w:bidi="en-US"/>
        </w:rPr>
        <w:t xml:space="preserve"> por jueces técnicos y que</w:t>
      </w:r>
      <w:r w:rsidR="00863676" w:rsidRPr="00975C02">
        <w:rPr>
          <w:rFonts w:eastAsia="MS Mincho"/>
          <w:sz w:val="20"/>
          <w:szCs w:val="20"/>
          <w:lang w:val="es-ES" w:bidi="en-US"/>
        </w:rPr>
        <w:t>,</w:t>
      </w:r>
      <w:r w:rsidRPr="00975C02">
        <w:rPr>
          <w:rFonts w:eastAsia="MS Mincho"/>
          <w:sz w:val="20"/>
          <w:szCs w:val="20"/>
          <w:lang w:val="es-ES" w:bidi="en-US"/>
        </w:rPr>
        <w:t xml:space="preserve"> a través de la </w:t>
      </w:r>
      <w:r w:rsidR="00CB5403">
        <w:rPr>
          <w:rFonts w:eastAsia="MS Mincho"/>
          <w:sz w:val="20"/>
          <w:szCs w:val="20"/>
          <w:lang w:val="es-ES" w:bidi="en-US"/>
        </w:rPr>
        <w:t>Ley N°</w:t>
      </w:r>
      <w:r w:rsidRPr="00975C02">
        <w:rPr>
          <w:rFonts w:eastAsia="MS Mincho"/>
          <w:sz w:val="20"/>
          <w:szCs w:val="20"/>
          <w:lang w:val="es-ES" w:bidi="en-US"/>
        </w:rPr>
        <w:t xml:space="preserve"> 779 </w:t>
      </w:r>
      <w:r w:rsidR="006854BF" w:rsidRPr="00975C02">
        <w:rPr>
          <w:rFonts w:eastAsia="MS Mincho"/>
          <w:sz w:val="20"/>
          <w:szCs w:val="20"/>
          <w:lang w:val="es-ES" w:bidi="en-US"/>
        </w:rPr>
        <w:t xml:space="preserve">fueron </w:t>
      </w:r>
      <w:r w:rsidRPr="00975C02">
        <w:rPr>
          <w:rFonts w:eastAsia="MS Mincho"/>
          <w:sz w:val="20"/>
          <w:szCs w:val="20"/>
          <w:lang w:val="es-ES" w:bidi="en-US"/>
        </w:rPr>
        <w:t>crea</w:t>
      </w:r>
      <w:r w:rsidR="006854BF" w:rsidRPr="00975C02">
        <w:rPr>
          <w:rFonts w:eastAsia="MS Mincho"/>
          <w:sz w:val="20"/>
          <w:szCs w:val="20"/>
          <w:lang w:val="es-ES" w:bidi="en-US"/>
        </w:rPr>
        <w:t>dos</w:t>
      </w:r>
      <w:r w:rsidRPr="00975C02">
        <w:rPr>
          <w:rFonts w:eastAsia="MS Mincho"/>
          <w:sz w:val="20"/>
          <w:szCs w:val="20"/>
          <w:lang w:val="es-ES" w:bidi="en-US"/>
        </w:rPr>
        <w:t xml:space="preserve"> juzgados especializados en violencia de género, por lo que dichos delitos ya no serían </w:t>
      </w:r>
      <w:r w:rsidR="006854BF" w:rsidRPr="00975C02">
        <w:rPr>
          <w:rFonts w:eastAsia="MS Mincho"/>
          <w:sz w:val="20"/>
          <w:szCs w:val="20"/>
          <w:lang w:val="es-ES" w:bidi="en-US"/>
        </w:rPr>
        <w:t>resueltos por</w:t>
      </w:r>
      <w:r w:rsidRPr="00975C02">
        <w:rPr>
          <w:rFonts w:eastAsia="MS Mincho"/>
          <w:sz w:val="20"/>
          <w:szCs w:val="20"/>
          <w:lang w:val="es-ES" w:bidi="en-US"/>
        </w:rPr>
        <w:t xml:space="preserve"> jurados.</w:t>
      </w:r>
    </w:p>
    <w:p w14:paraId="5B747B27" w14:textId="77777777" w:rsidR="00DE5B12" w:rsidRPr="00975C02" w:rsidRDefault="00DE5B12" w:rsidP="00DE5B12">
      <w:pPr>
        <w:tabs>
          <w:tab w:val="left" w:pos="567"/>
        </w:tabs>
        <w:spacing w:line="240" w:lineRule="auto"/>
        <w:textAlignment w:val="auto"/>
        <w:rPr>
          <w:rFonts w:eastAsia="MS Mincho"/>
          <w:sz w:val="20"/>
          <w:szCs w:val="20"/>
          <w:lang w:val="es-ES" w:bidi="en-US"/>
        </w:rPr>
      </w:pPr>
    </w:p>
    <w:p w14:paraId="1EA56A00" w14:textId="6CA0BC0F" w:rsidR="00DE5B12" w:rsidRPr="00975C02" w:rsidRDefault="00DE5B12" w:rsidP="00DE5B12">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La </w:t>
      </w:r>
      <w:r w:rsidRPr="00975C02">
        <w:rPr>
          <w:rFonts w:eastAsia="MS Mincho" w:cs="Verdana"/>
          <w:b/>
          <w:i/>
          <w:sz w:val="20"/>
          <w:szCs w:val="20"/>
          <w:lang w:val="es-ES" w:bidi="en-US"/>
        </w:rPr>
        <w:t>Comisión</w:t>
      </w:r>
      <w:r w:rsidRPr="00975C02">
        <w:rPr>
          <w:rFonts w:eastAsia="MS Mincho"/>
          <w:sz w:val="20"/>
          <w:szCs w:val="20"/>
          <w:lang w:val="es-ES" w:bidi="en-US"/>
        </w:rPr>
        <w:t xml:space="preserve"> no formuló alegato específico respecto a este punto.</w:t>
      </w:r>
    </w:p>
    <w:p w14:paraId="4AE04BE1" w14:textId="77777777" w:rsidR="00DE5B12" w:rsidRPr="00975C02" w:rsidRDefault="00DE5B12" w:rsidP="00DE5B12">
      <w:pPr>
        <w:tabs>
          <w:tab w:val="left" w:pos="0"/>
        </w:tabs>
        <w:spacing w:line="240" w:lineRule="auto"/>
        <w:textAlignment w:val="auto"/>
        <w:rPr>
          <w:rFonts w:eastAsia="MS Mincho"/>
          <w:sz w:val="20"/>
          <w:szCs w:val="20"/>
          <w:lang w:val="es-ES" w:bidi="en-US"/>
        </w:rPr>
      </w:pPr>
    </w:p>
    <w:p w14:paraId="19CBD454" w14:textId="3BB85A44" w:rsidR="009D661E" w:rsidRPr="00975C02" w:rsidRDefault="00DE5B12" w:rsidP="008E78EB">
      <w:pPr>
        <w:pStyle w:val="Default"/>
        <w:numPr>
          <w:ilvl w:val="0"/>
          <w:numId w:val="2"/>
        </w:numPr>
        <w:tabs>
          <w:tab w:val="left" w:pos="567"/>
        </w:tabs>
        <w:ind w:left="0" w:firstLine="0"/>
        <w:jc w:val="both"/>
        <w:rPr>
          <w:iCs/>
          <w:sz w:val="20"/>
          <w:szCs w:val="20"/>
          <w:lang w:val="es-ES"/>
        </w:rPr>
      </w:pPr>
      <w:r w:rsidRPr="00975C02">
        <w:rPr>
          <w:rFonts w:ascii="Verdana" w:hAnsi="Verdana"/>
          <w:color w:val="auto"/>
          <w:sz w:val="20"/>
          <w:szCs w:val="20"/>
          <w:lang w:val="es-ES"/>
        </w:rPr>
        <w:t xml:space="preserve">La Corte comprueba que la </w:t>
      </w:r>
      <w:r w:rsidR="00CB5403">
        <w:rPr>
          <w:rFonts w:ascii="Verdana" w:hAnsi="Verdana"/>
          <w:color w:val="auto"/>
          <w:sz w:val="20"/>
          <w:szCs w:val="20"/>
          <w:lang w:val="es-ES"/>
        </w:rPr>
        <w:t>Ley N°</w:t>
      </w:r>
      <w:r w:rsidRPr="00975C02">
        <w:rPr>
          <w:rFonts w:ascii="Verdana" w:hAnsi="Verdana"/>
          <w:color w:val="auto"/>
          <w:sz w:val="20"/>
          <w:szCs w:val="20"/>
          <w:lang w:val="es-ES"/>
        </w:rPr>
        <w:t xml:space="preserve"> 779, “Ley </w:t>
      </w:r>
      <w:r w:rsidR="00551EEF" w:rsidRPr="00975C02">
        <w:rPr>
          <w:rFonts w:ascii="Verdana" w:hAnsi="Verdana"/>
          <w:color w:val="auto"/>
          <w:sz w:val="20"/>
          <w:szCs w:val="20"/>
          <w:lang w:val="es-ES"/>
        </w:rPr>
        <w:t>I</w:t>
      </w:r>
      <w:r w:rsidRPr="00975C02">
        <w:rPr>
          <w:rFonts w:ascii="Verdana" w:hAnsi="Verdana"/>
          <w:color w:val="auto"/>
          <w:sz w:val="20"/>
          <w:szCs w:val="20"/>
          <w:lang w:val="es-ES"/>
        </w:rPr>
        <w:t xml:space="preserve">ntegral </w:t>
      </w:r>
      <w:r w:rsidR="00551EEF" w:rsidRPr="00975C02">
        <w:rPr>
          <w:rFonts w:ascii="Verdana" w:hAnsi="Verdana"/>
          <w:color w:val="auto"/>
          <w:sz w:val="20"/>
          <w:szCs w:val="20"/>
          <w:lang w:val="es-ES"/>
        </w:rPr>
        <w:t>C</w:t>
      </w:r>
      <w:r w:rsidRPr="00975C02">
        <w:rPr>
          <w:rFonts w:ascii="Verdana" w:hAnsi="Verdana"/>
          <w:color w:val="auto"/>
          <w:sz w:val="20"/>
          <w:szCs w:val="20"/>
          <w:lang w:val="es-ES"/>
        </w:rPr>
        <w:t xml:space="preserve">ontra la </w:t>
      </w:r>
      <w:r w:rsidR="00551EEF" w:rsidRPr="00975C02">
        <w:rPr>
          <w:rFonts w:ascii="Verdana" w:hAnsi="Verdana"/>
          <w:color w:val="auto"/>
          <w:sz w:val="20"/>
          <w:szCs w:val="20"/>
          <w:lang w:val="es-ES"/>
        </w:rPr>
        <w:t>V</w:t>
      </w:r>
      <w:r w:rsidRPr="00975C02">
        <w:rPr>
          <w:rFonts w:ascii="Verdana" w:hAnsi="Verdana"/>
          <w:color w:val="auto"/>
          <w:sz w:val="20"/>
          <w:szCs w:val="20"/>
          <w:lang w:val="es-ES"/>
        </w:rPr>
        <w:t xml:space="preserve">iolencia hacia las </w:t>
      </w:r>
      <w:r w:rsidR="00551EEF" w:rsidRPr="00975C02">
        <w:rPr>
          <w:rFonts w:ascii="Verdana" w:hAnsi="Verdana"/>
          <w:color w:val="auto"/>
          <w:sz w:val="20"/>
          <w:szCs w:val="20"/>
          <w:lang w:val="es-ES"/>
        </w:rPr>
        <w:t>M</w:t>
      </w:r>
      <w:r w:rsidRPr="00975C02">
        <w:rPr>
          <w:rFonts w:ascii="Verdana" w:hAnsi="Verdana"/>
          <w:color w:val="auto"/>
          <w:sz w:val="20"/>
          <w:szCs w:val="20"/>
          <w:lang w:val="es-ES"/>
        </w:rPr>
        <w:t>ujeres</w:t>
      </w:r>
      <w:r w:rsidR="00551EEF" w:rsidRPr="00975C02">
        <w:rPr>
          <w:rFonts w:ascii="Verdana" w:hAnsi="Verdana"/>
          <w:color w:val="auto"/>
          <w:sz w:val="20"/>
          <w:szCs w:val="20"/>
          <w:lang w:val="es-ES"/>
        </w:rPr>
        <w:t xml:space="preserve"> y de Reformas a la </w:t>
      </w:r>
      <w:r w:rsidR="00CB5403">
        <w:rPr>
          <w:rFonts w:ascii="Verdana" w:hAnsi="Verdana"/>
          <w:color w:val="auto"/>
          <w:sz w:val="20"/>
          <w:szCs w:val="20"/>
          <w:lang w:val="es-ES"/>
        </w:rPr>
        <w:t>Ley N°</w:t>
      </w:r>
      <w:r w:rsidR="00551EEF" w:rsidRPr="00975C02">
        <w:rPr>
          <w:rFonts w:ascii="Verdana" w:hAnsi="Verdana"/>
          <w:color w:val="auto"/>
          <w:sz w:val="20"/>
          <w:szCs w:val="20"/>
          <w:lang w:val="es-ES"/>
        </w:rPr>
        <w:t xml:space="preserve"> 641, ‘Código Penal’</w:t>
      </w:r>
      <w:r w:rsidRPr="00975C02">
        <w:rPr>
          <w:rFonts w:ascii="Verdana" w:hAnsi="Verdana"/>
          <w:color w:val="auto"/>
          <w:sz w:val="20"/>
          <w:szCs w:val="20"/>
          <w:lang w:val="es-ES"/>
        </w:rPr>
        <w:t>”, aprobada en el mes de enero del año 201</w:t>
      </w:r>
      <w:r w:rsidR="00551EEF" w:rsidRPr="00975C02">
        <w:rPr>
          <w:rFonts w:ascii="Verdana" w:hAnsi="Verdana"/>
          <w:color w:val="auto"/>
          <w:sz w:val="20"/>
          <w:szCs w:val="20"/>
          <w:lang w:val="es-ES"/>
        </w:rPr>
        <w:t>2</w:t>
      </w:r>
      <w:r w:rsidR="00ED61E1" w:rsidRPr="00975C02">
        <w:rPr>
          <w:rFonts w:ascii="Verdana" w:hAnsi="Verdana"/>
          <w:color w:val="auto"/>
          <w:sz w:val="20"/>
          <w:szCs w:val="20"/>
          <w:lang w:val="es-ES"/>
        </w:rPr>
        <w:t xml:space="preserve"> y publicada el 22 de febrero de 2012</w:t>
      </w:r>
      <w:r w:rsidRPr="00975C02">
        <w:rPr>
          <w:rFonts w:ascii="Verdana" w:hAnsi="Verdana"/>
          <w:color w:val="auto"/>
          <w:sz w:val="20"/>
          <w:szCs w:val="20"/>
          <w:lang w:val="es-ES"/>
        </w:rPr>
        <w:t>, implementa un sistema de enjuiciamiento de casos de violencia de género y</w:t>
      </w:r>
      <w:r w:rsidR="006854BF" w:rsidRPr="00975C02">
        <w:rPr>
          <w:rFonts w:ascii="Verdana" w:hAnsi="Verdana"/>
          <w:color w:val="auto"/>
          <w:sz w:val="20"/>
          <w:szCs w:val="20"/>
          <w:lang w:val="es-ES"/>
        </w:rPr>
        <w:t>, en particular,</w:t>
      </w:r>
      <w:r w:rsidRPr="00975C02">
        <w:rPr>
          <w:rFonts w:ascii="Verdana" w:hAnsi="Verdana"/>
          <w:color w:val="auto"/>
          <w:sz w:val="20"/>
          <w:szCs w:val="20"/>
          <w:lang w:val="es-ES"/>
        </w:rPr>
        <w:t xml:space="preserve"> casos de violencia sexual, distinto al vigente en la época de los hechos del presente caso</w:t>
      </w:r>
      <w:r w:rsidR="006854BF" w:rsidRPr="00975C02">
        <w:rPr>
          <w:rFonts w:ascii="Verdana" w:hAnsi="Verdana"/>
          <w:color w:val="auto"/>
          <w:sz w:val="20"/>
          <w:szCs w:val="20"/>
          <w:lang w:val="es-ES"/>
        </w:rPr>
        <w:t>. Dicha</w:t>
      </w:r>
      <w:r w:rsidRPr="00975C02">
        <w:rPr>
          <w:rFonts w:ascii="Verdana" w:hAnsi="Verdana"/>
          <w:color w:val="auto"/>
          <w:sz w:val="20"/>
          <w:szCs w:val="20"/>
          <w:lang w:val="es-ES"/>
        </w:rPr>
        <w:t xml:space="preserve"> ley dispone la creación de tribunales de primera y segunda instancia especializados en la materia</w:t>
      </w:r>
      <w:r w:rsidR="0033396D" w:rsidRPr="00975C02">
        <w:rPr>
          <w:rFonts w:ascii="Verdana" w:hAnsi="Verdana"/>
          <w:color w:val="auto"/>
          <w:sz w:val="20"/>
          <w:szCs w:val="20"/>
          <w:lang w:val="es-ES"/>
        </w:rPr>
        <w:t>,</w:t>
      </w:r>
      <w:r w:rsidRPr="00975C02">
        <w:rPr>
          <w:rFonts w:ascii="Verdana" w:hAnsi="Verdana"/>
          <w:color w:val="auto"/>
          <w:sz w:val="20"/>
          <w:szCs w:val="20"/>
          <w:lang w:val="es-ES"/>
        </w:rPr>
        <w:t xml:space="preserve"> integrados por una jueza o un juez técnico. Se excluye así la posibilidad de que un caso de violencia sexual contra mujeres,</w:t>
      </w:r>
      <w:r w:rsidR="0033396D" w:rsidRPr="00975C02">
        <w:rPr>
          <w:rFonts w:ascii="Verdana" w:hAnsi="Verdana"/>
          <w:color w:val="auto"/>
          <w:sz w:val="20"/>
          <w:szCs w:val="20"/>
          <w:lang w:val="es-ES"/>
        </w:rPr>
        <w:t xml:space="preserve"> niñas,</w:t>
      </w:r>
      <w:r w:rsidRPr="00975C02">
        <w:rPr>
          <w:rFonts w:ascii="Verdana" w:hAnsi="Verdana"/>
          <w:color w:val="auto"/>
          <w:sz w:val="20"/>
          <w:szCs w:val="20"/>
          <w:lang w:val="es-ES"/>
        </w:rPr>
        <w:t xml:space="preserve"> niños y </w:t>
      </w:r>
      <w:r w:rsidR="0033396D" w:rsidRPr="00975C02">
        <w:rPr>
          <w:rFonts w:ascii="Verdana" w:hAnsi="Verdana"/>
          <w:color w:val="auto"/>
          <w:sz w:val="20"/>
          <w:szCs w:val="20"/>
          <w:lang w:val="es-ES"/>
        </w:rPr>
        <w:t>adolescentes</w:t>
      </w:r>
      <w:r w:rsidRPr="00975C02">
        <w:rPr>
          <w:rFonts w:ascii="Verdana" w:hAnsi="Verdana"/>
          <w:color w:val="auto"/>
          <w:sz w:val="20"/>
          <w:szCs w:val="20"/>
          <w:lang w:val="es-ES"/>
        </w:rPr>
        <w:t xml:space="preserve"> sea juzgado por un jurado popular.</w:t>
      </w:r>
      <w:r w:rsidR="008E78EB" w:rsidRPr="00975C02">
        <w:rPr>
          <w:rFonts w:ascii="Verdana" w:hAnsi="Verdana"/>
          <w:color w:val="auto"/>
          <w:sz w:val="20"/>
          <w:szCs w:val="20"/>
          <w:lang w:val="es-ES"/>
        </w:rPr>
        <w:t xml:space="preserve"> </w:t>
      </w:r>
      <w:r w:rsidRPr="00975C02">
        <w:rPr>
          <w:rFonts w:ascii="Verdana" w:hAnsi="Verdana"/>
          <w:bCs/>
          <w:color w:val="auto"/>
          <w:sz w:val="20"/>
          <w:szCs w:val="20"/>
          <w:lang w:val="es-ES"/>
        </w:rPr>
        <w:t xml:space="preserve">De este modo, la Corte considera que no es necesario ordenar una medida de reparación adicional a este respecto, ya que con base en el cambio legislativo indicado, los delitos de violencia sexual, incluidos los de violación sexual </w:t>
      </w:r>
      <w:r w:rsidR="0033396D" w:rsidRPr="00975C02">
        <w:rPr>
          <w:rFonts w:ascii="Verdana" w:hAnsi="Verdana"/>
          <w:bCs/>
          <w:color w:val="auto"/>
          <w:sz w:val="20"/>
          <w:szCs w:val="20"/>
          <w:lang w:val="es-ES"/>
        </w:rPr>
        <w:t xml:space="preserve">cometidos </w:t>
      </w:r>
      <w:r w:rsidRPr="00975C02">
        <w:rPr>
          <w:rFonts w:ascii="Verdana" w:hAnsi="Verdana"/>
          <w:bCs/>
          <w:color w:val="auto"/>
          <w:sz w:val="20"/>
          <w:szCs w:val="20"/>
          <w:lang w:val="es-ES"/>
        </w:rPr>
        <w:t>en contra de mujeres, niñas</w:t>
      </w:r>
      <w:r w:rsidR="0033396D" w:rsidRPr="00975C02">
        <w:rPr>
          <w:rFonts w:ascii="Verdana" w:hAnsi="Verdana"/>
          <w:bCs/>
          <w:color w:val="auto"/>
          <w:sz w:val="20"/>
          <w:szCs w:val="20"/>
          <w:lang w:val="es-ES"/>
        </w:rPr>
        <w:t>, niños</w:t>
      </w:r>
      <w:r w:rsidRPr="00975C02">
        <w:rPr>
          <w:rFonts w:ascii="Verdana" w:hAnsi="Verdana"/>
          <w:bCs/>
          <w:color w:val="auto"/>
          <w:sz w:val="20"/>
          <w:szCs w:val="20"/>
          <w:lang w:val="es-ES"/>
        </w:rPr>
        <w:t xml:space="preserve"> y adolescentes, ya no son juzgados por un jurado popular, </w:t>
      </w:r>
      <w:r w:rsidR="008E78EB" w:rsidRPr="00975C02">
        <w:rPr>
          <w:rFonts w:ascii="Verdana" w:hAnsi="Verdana"/>
          <w:bCs/>
          <w:color w:val="auto"/>
          <w:sz w:val="20"/>
          <w:szCs w:val="20"/>
          <w:lang w:val="es-ES"/>
        </w:rPr>
        <w:t>sino por un juez especializado.</w:t>
      </w:r>
    </w:p>
    <w:p w14:paraId="3B9D48F9" w14:textId="77777777" w:rsidR="008E78EB" w:rsidRPr="00975C02" w:rsidRDefault="008E78EB" w:rsidP="008E78EB">
      <w:pPr>
        <w:pStyle w:val="Default"/>
        <w:tabs>
          <w:tab w:val="left" w:pos="567"/>
        </w:tabs>
        <w:jc w:val="both"/>
        <w:rPr>
          <w:rFonts w:ascii="Verdana" w:hAnsi="Verdana"/>
          <w:iCs/>
          <w:sz w:val="20"/>
          <w:szCs w:val="20"/>
          <w:lang w:val="es-ES"/>
        </w:rPr>
      </w:pPr>
    </w:p>
    <w:p w14:paraId="1C05439D" w14:textId="77777777" w:rsidR="00DE5B12" w:rsidRPr="00975C02" w:rsidRDefault="00DE5B12" w:rsidP="002C415B">
      <w:pPr>
        <w:numPr>
          <w:ilvl w:val="0"/>
          <w:numId w:val="13"/>
        </w:numPr>
        <w:spacing w:line="240" w:lineRule="auto"/>
        <w:rPr>
          <w:i/>
          <w:iCs/>
          <w:sz w:val="20"/>
          <w:szCs w:val="20"/>
          <w:lang w:val="es-ES"/>
        </w:rPr>
      </w:pPr>
      <w:r w:rsidRPr="00975C02">
        <w:rPr>
          <w:i/>
          <w:iCs/>
          <w:sz w:val="20"/>
          <w:szCs w:val="20"/>
          <w:lang w:val="es-ES"/>
        </w:rPr>
        <w:t>Otras medidas</w:t>
      </w:r>
    </w:p>
    <w:p w14:paraId="10FF98A2" w14:textId="77777777" w:rsidR="00DE5B12" w:rsidRPr="00975C02" w:rsidRDefault="00DE5B12" w:rsidP="009D661E">
      <w:pPr>
        <w:spacing w:line="240" w:lineRule="auto"/>
        <w:rPr>
          <w:iCs/>
          <w:sz w:val="20"/>
          <w:szCs w:val="20"/>
          <w:lang w:val="es-ES"/>
        </w:rPr>
      </w:pPr>
    </w:p>
    <w:p w14:paraId="388F33FA" w14:textId="13C3FAD2" w:rsidR="009D661E" w:rsidRPr="00975C02" w:rsidRDefault="009D661E" w:rsidP="009D661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iCs/>
          <w:sz w:val="20"/>
          <w:szCs w:val="20"/>
          <w:lang w:val="es-ES" w:bidi="en-US"/>
        </w:rPr>
        <w:t>Las</w:t>
      </w:r>
      <w:r w:rsidRPr="00975C02">
        <w:rPr>
          <w:rFonts w:eastAsia="MS Mincho"/>
          <w:i/>
          <w:sz w:val="20"/>
          <w:szCs w:val="20"/>
          <w:lang w:val="es-ES" w:bidi="en-US"/>
        </w:rPr>
        <w:t xml:space="preserve"> </w:t>
      </w:r>
      <w:r w:rsidRPr="00975C02">
        <w:rPr>
          <w:rFonts w:eastAsia="MS Mincho"/>
          <w:b/>
          <w:i/>
          <w:sz w:val="20"/>
          <w:szCs w:val="20"/>
          <w:lang w:val="es-ES" w:bidi="en-US"/>
        </w:rPr>
        <w:t>representantes</w:t>
      </w:r>
      <w:r w:rsidRPr="00975C02">
        <w:rPr>
          <w:rFonts w:eastAsia="MS Mincho"/>
          <w:sz w:val="20"/>
          <w:szCs w:val="20"/>
          <w:lang w:val="es-ES" w:bidi="en-US"/>
        </w:rPr>
        <w:t xml:space="preserve"> solicitaron adicionalmente a la Corte que ordenara al Estado de Nicaragua: i) proveer una vivienda adecuada, sin gastos adicionales y de manera gratuita, para que V.R.P., V.P.C. y N.R.P. pudieran vivir con dignidad en los Estados Unidos, ya que las víctimas se vieron </w:t>
      </w:r>
      <w:r w:rsidR="00120FF3" w:rsidRPr="00975C02">
        <w:rPr>
          <w:rFonts w:eastAsia="MS Mincho"/>
          <w:sz w:val="20"/>
          <w:szCs w:val="20"/>
          <w:lang w:val="es-ES" w:bidi="en-US"/>
        </w:rPr>
        <w:t xml:space="preserve">obligadas </w:t>
      </w:r>
      <w:r w:rsidRPr="00975C02">
        <w:rPr>
          <w:rFonts w:eastAsia="MS Mincho"/>
          <w:sz w:val="20"/>
          <w:szCs w:val="20"/>
          <w:lang w:val="es-ES" w:bidi="en-US"/>
        </w:rPr>
        <w:t>a salir de Nicaragua y dejar abandonada su casa, quedándose sin un lugar donde vivir. Por ello, solicitaron que el Estado les asigne un monto prudencial de US$</w:t>
      </w:r>
      <w:r w:rsidR="00120FF3" w:rsidRPr="00975C02">
        <w:rPr>
          <w:rFonts w:eastAsia="MS Mincho"/>
          <w:sz w:val="20"/>
          <w:szCs w:val="20"/>
          <w:lang w:val="es-ES" w:bidi="en-US"/>
        </w:rPr>
        <w:t xml:space="preserve"> </w:t>
      </w:r>
      <w:r w:rsidRPr="00975C02">
        <w:rPr>
          <w:rFonts w:eastAsia="MS Mincho"/>
          <w:sz w:val="20"/>
          <w:szCs w:val="20"/>
          <w:lang w:val="es-ES" w:bidi="en-US"/>
        </w:rPr>
        <w:t>200</w:t>
      </w:r>
      <w:r w:rsidR="00120FF3" w:rsidRPr="00975C02">
        <w:rPr>
          <w:rFonts w:eastAsia="MS Mincho"/>
          <w:sz w:val="20"/>
          <w:szCs w:val="20"/>
          <w:lang w:val="es-ES" w:bidi="en-US"/>
        </w:rPr>
        <w:t>.</w:t>
      </w:r>
      <w:r w:rsidRPr="00975C02">
        <w:rPr>
          <w:rFonts w:eastAsia="MS Mincho"/>
          <w:sz w:val="20"/>
          <w:szCs w:val="20"/>
          <w:lang w:val="es-ES" w:bidi="en-US"/>
        </w:rPr>
        <w:t>000</w:t>
      </w:r>
      <w:r w:rsidR="00120FF3" w:rsidRPr="00975C02">
        <w:rPr>
          <w:sz w:val="20"/>
          <w:szCs w:val="20"/>
          <w:lang w:val="es-ES"/>
        </w:rPr>
        <w:t>,</w:t>
      </w:r>
      <w:r w:rsidRPr="00975C02">
        <w:rPr>
          <w:sz w:val="20"/>
          <w:szCs w:val="20"/>
          <w:lang w:val="es-ES"/>
        </w:rPr>
        <w:t xml:space="preserve">00 </w:t>
      </w:r>
      <w:r w:rsidRPr="00975C02">
        <w:rPr>
          <w:rFonts w:eastAsia="MS Mincho"/>
          <w:sz w:val="20"/>
          <w:szCs w:val="20"/>
          <w:lang w:val="es-ES" w:bidi="en-US"/>
        </w:rPr>
        <w:t>a los fines de adquirir dicha vivienda; ii) emitir una comunicación a la Embajada de Estados Unidos solicitando la aprobación de visado de paseo en beneficio de H.J.R.P. y V.A.R.P., para que puedan viajar y reencontrarse con la familia</w:t>
      </w:r>
      <w:r w:rsidR="00120FF3" w:rsidRPr="00975C02">
        <w:rPr>
          <w:rFonts w:eastAsia="MS Mincho"/>
          <w:sz w:val="20"/>
          <w:szCs w:val="20"/>
          <w:lang w:val="es-ES" w:bidi="en-US"/>
        </w:rPr>
        <w:t>;</w:t>
      </w:r>
      <w:r w:rsidRPr="00975C02">
        <w:rPr>
          <w:rFonts w:eastAsia="MS Mincho"/>
          <w:sz w:val="20"/>
          <w:szCs w:val="20"/>
          <w:lang w:val="es-ES" w:bidi="en-US"/>
        </w:rPr>
        <w:t xml:space="preserve"> ello en razón de la desintegración familiar que se produjo por la salida de Nicaragua de V.P.C., V.R.P. y N.R.P y las consecuencias que esto acarreó pues las dos últimas no volvieron a ver a sus hermanos; iii) </w:t>
      </w:r>
      <w:r w:rsidRPr="00975C02">
        <w:rPr>
          <w:iCs/>
          <w:sz w:val="20"/>
          <w:szCs w:val="20"/>
          <w:lang w:val="es-ES"/>
        </w:rPr>
        <w:t xml:space="preserve">aprobar un proyecto de soporte para las víctimas de abusos sexuales, el cual debe ser puesto en funcionamiento en la ciudad de Jinotega, incluyendo la manutención del proyecto en cuanto a infraestructura, “transportación” y mantenimiento del </w:t>
      </w:r>
      <w:r w:rsidRPr="00975C02">
        <w:rPr>
          <w:iCs/>
          <w:sz w:val="20"/>
          <w:szCs w:val="20"/>
          <w:lang w:val="es-ES"/>
        </w:rPr>
        <w:lastRenderedPageBreak/>
        <w:t>mismo, y iv)</w:t>
      </w:r>
      <w:r w:rsidRPr="00975C02">
        <w:rPr>
          <w:sz w:val="20"/>
          <w:szCs w:val="20"/>
          <w:lang w:val="es-ES"/>
        </w:rPr>
        <w:t xml:space="preserve"> no interponer ninguna acción criminal, civil o de cualquier índole en contra de la “exponente” y sus familiares por haber recurrido ante la Comisión Interamericana de Derechos Humanos</w:t>
      </w:r>
      <w:r w:rsidR="001C0BD0" w:rsidRPr="00975C02">
        <w:rPr>
          <w:sz w:val="20"/>
          <w:szCs w:val="20"/>
          <w:lang w:val="es-ES"/>
        </w:rPr>
        <w:t>.</w:t>
      </w:r>
    </w:p>
    <w:p w14:paraId="68C9CF57"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21242E6C" w14:textId="63BB8D48"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MS Mincho"/>
          <w:sz w:val="20"/>
          <w:szCs w:val="20"/>
          <w:lang w:val="es-ES" w:bidi="en-US"/>
        </w:rPr>
        <w:t xml:space="preserve"> alegó lo siguiente: i) en cuanto a la solicitud de una vivienda, se opuso a la petición aduciendo que no se encontraba debidamente fundamentada y que V.P.C. seguía siendo propietaria de la casa habitación que poseía en Jinotega, la que se encontraba libre de gravámenes y podía ser vendida para adquirir otra vivienda; ii) el otorgamiento de la visa para H.J.R.P. y V.A.R.P., o de cualquier otra, era una potestad soberana de cada país y que cualquier ciudadano podía solicitarla ante el consulado de manera individual, cumpliendo con los requisitos que establece cada país. Agregó que el Estado no podía involucrarse en esta decisión soberana de los Estados Unidos, más aun cuando no existía impedimento para que V.A.R.P. y H.J.R.P. vean a sus hermanas V.R.P. y N.R.P. pues ellas podían entrar y salir libremente de Nicaragua, con plena garantía de no persecución, iii) en Nicaragua existían más de 6,000 ONGs legalmente constituidas e inscritas mediante regulaciones sencillas que no requerían establecer una medida de garantía especial, y cada una de ellas creaba y trabajaba con sus propias fuentes de financiamiento. Por esa razón, no le correspondía al Estado asumir los costos de infraestructura, transporte y mantenimiento del referido proyecto de soporte para las víctimas de abusos sexuales, pues ello implicaría la existencia de un centro de ayuda de víctimas con presupuesto del Estado y sujeto a fiscalización. Finalmente, precisó que sí podría trabajar de forma coordinada con otras ONGs de la misma naturaleza que la pretendida y que funcionan con sus propios medios de financiamiento, y iv) no existe indicio de persecución contra V.P.C. ni contra sus hijos que habitan en Nicaragua, tan es así que ella ha viajado y circulado libremente por territorio nicaragüense. El Estado agregó que se reafirmaba en su vocación de respeto irrestricto a los Derechos Humanos, en especial el de petición, vida, integridad física, moral, psicológica y seguridad jurídica.</w:t>
      </w:r>
    </w:p>
    <w:p w14:paraId="0415BBB5" w14:textId="77777777" w:rsidR="009D661E" w:rsidRPr="00975C02" w:rsidRDefault="009D661E" w:rsidP="009D661E">
      <w:pPr>
        <w:tabs>
          <w:tab w:val="left" w:pos="567"/>
        </w:tabs>
        <w:spacing w:line="240" w:lineRule="auto"/>
        <w:textAlignment w:val="auto"/>
        <w:rPr>
          <w:rFonts w:eastAsia="MS Mincho"/>
          <w:sz w:val="20"/>
          <w:szCs w:val="20"/>
          <w:lang w:val="es-ES" w:bidi="en-US"/>
        </w:rPr>
      </w:pPr>
    </w:p>
    <w:p w14:paraId="50CEB365" w14:textId="02DF64F5"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sz w:val="20"/>
          <w:szCs w:val="20"/>
          <w:lang w:val="es-ES" w:bidi="en-US"/>
        </w:rPr>
        <w:t xml:space="preserve">En relación con la solicitud de otorgamiento de vivienda, la Corte considera que, conforme </w:t>
      </w:r>
      <w:r w:rsidR="001B1AD5" w:rsidRPr="00975C02">
        <w:rPr>
          <w:sz w:val="20"/>
          <w:szCs w:val="20"/>
          <w:lang w:val="es-ES" w:bidi="en-US"/>
        </w:rPr>
        <w:t>con</w:t>
      </w:r>
      <w:r w:rsidRPr="00975C02">
        <w:rPr>
          <w:sz w:val="20"/>
          <w:szCs w:val="20"/>
          <w:lang w:val="es-ES" w:bidi="en-US"/>
        </w:rPr>
        <w:t xml:space="preserve"> lo señalado por el Estado, lo cual no ha sido controvertido por las representantes, la señora V.P.C. aun sería propietaria de un inmueble en Nicaragua, el que estaría libre de gravámenes. En este sentido, este Tribunal no considera procedente ordenar una medida a este respecto. En cuanto a la solicitud de reintegración familiar, el Tribunal advierte que la emisión de visas es</w:t>
      </w:r>
      <w:r w:rsidR="001B1AD5" w:rsidRPr="00975C02">
        <w:rPr>
          <w:sz w:val="20"/>
          <w:szCs w:val="20"/>
          <w:lang w:val="es-ES" w:bidi="en-US"/>
        </w:rPr>
        <w:t>,</w:t>
      </w:r>
      <w:r w:rsidRPr="00975C02">
        <w:rPr>
          <w:sz w:val="20"/>
          <w:szCs w:val="20"/>
          <w:lang w:val="es-ES" w:bidi="en-US"/>
        </w:rPr>
        <w:t xml:space="preserve"> efectivamente</w:t>
      </w:r>
      <w:r w:rsidR="001B1AD5" w:rsidRPr="00975C02">
        <w:rPr>
          <w:sz w:val="20"/>
          <w:szCs w:val="20"/>
          <w:lang w:val="es-ES" w:bidi="en-US"/>
        </w:rPr>
        <w:t>,</w:t>
      </w:r>
      <w:r w:rsidRPr="00975C02">
        <w:rPr>
          <w:sz w:val="20"/>
          <w:szCs w:val="20"/>
          <w:lang w:val="es-ES" w:bidi="en-US"/>
        </w:rPr>
        <w:t xml:space="preserve"> una potestad de cada país, </w:t>
      </w:r>
      <w:r w:rsidR="001B1AD5" w:rsidRPr="00975C02">
        <w:rPr>
          <w:sz w:val="20"/>
          <w:szCs w:val="20"/>
          <w:lang w:val="es-ES" w:bidi="en-US"/>
        </w:rPr>
        <w:t>y que el acceso a las mismas por parte de</w:t>
      </w:r>
      <w:r w:rsidRPr="00975C02">
        <w:rPr>
          <w:sz w:val="20"/>
          <w:szCs w:val="20"/>
          <w:lang w:val="es-ES" w:bidi="en-US"/>
        </w:rPr>
        <w:t xml:space="preserve"> los hijos de la señora V.P.C. no se encuentra impedido. Por otro lado, </w:t>
      </w:r>
      <w:r w:rsidR="004033BB" w:rsidRPr="00975C02">
        <w:rPr>
          <w:sz w:val="20"/>
          <w:szCs w:val="20"/>
          <w:lang w:val="es-ES" w:bidi="en-US"/>
        </w:rPr>
        <w:t xml:space="preserve">no se deduce </w:t>
      </w:r>
      <w:r w:rsidRPr="00975C02">
        <w:rPr>
          <w:sz w:val="20"/>
          <w:szCs w:val="20"/>
          <w:lang w:val="es-ES" w:bidi="en-US"/>
        </w:rPr>
        <w:t xml:space="preserve">de los alegatos en el presente caso </w:t>
      </w:r>
      <w:r w:rsidR="004033BB" w:rsidRPr="00975C02">
        <w:rPr>
          <w:sz w:val="20"/>
          <w:szCs w:val="20"/>
          <w:lang w:val="es-ES" w:bidi="en-US"/>
        </w:rPr>
        <w:t>ni</w:t>
      </w:r>
      <w:r w:rsidRPr="00975C02">
        <w:rPr>
          <w:sz w:val="20"/>
          <w:szCs w:val="20"/>
          <w:lang w:val="es-ES" w:bidi="en-US"/>
        </w:rPr>
        <w:t xml:space="preserve"> de la prueba aportada, que la señora V.P.C. </w:t>
      </w:r>
      <w:r w:rsidR="004033BB" w:rsidRPr="00975C02">
        <w:rPr>
          <w:sz w:val="20"/>
          <w:szCs w:val="20"/>
          <w:lang w:val="es-ES" w:bidi="en-US"/>
        </w:rPr>
        <w:t xml:space="preserve">y </w:t>
      </w:r>
      <w:r w:rsidRPr="00975C02">
        <w:rPr>
          <w:sz w:val="20"/>
          <w:szCs w:val="20"/>
          <w:lang w:val="es-ES" w:bidi="en-US"/>
        </w:rPr>
        <w:t>sus hijas se encuentr</w:t>
      </w:r>
      <w:r w:rsidR="004033BB" w:rsidRPr="00975C02">
        <w:rPr>
          <w:sz w:val="20"/>
          <w:szCs w:val="20"/>
          <w:lang w:val="es-ES" w:bidi="en-US"/>
        </w:rPr>
        <w:t>en</w:t>
      </w:r>
      <w:r w:rsidRPr="00975C02">
        <w:rPr>
          <w:sz w:val="20"/>
          <w:szCs w:val="20"/>
          <w:lang w:val="es-ES" w:bidi="en-US"/>
        </w:rPr>
        <w:t xml:space="preserve"> imposibilitadas de viajar a Nicaragua para reencontrase con sus seres queridos. Por ello, la Corte no considera procedente ordenar una medida </w:t>
      </w:r>
      <w:r w:rsidR="004033BB" w:rsidRPr="00975C02">
        <w:rPr>
          <w:sz w:val="20"/>
          <w:szCs w:val="20"/>
          <w:lang w:val="es-ES" w:bidi="en-US"/>
        </w:rPr>
        <w:t>en este sentido</w:t>
      </w:r>
      <w:r w:rsidRPr="00975C02">
        <w:rPr>
          <w:sz w:val="20"/>
          <w:szCs w:val="20"/>
          <w:lang w:val="es-ES" w:bidi="en-US"/>
        </w:rPr>
        <w:t>.</w:t>
      </w:r>
    </w:p>
    <w:p w14:paraId="24C4FCB7" w14:textId="77777777" w:rsidR="009D661E" w:rsidRPr="00975C02" w:rsidRDefault="009D661E" w:rsidP="009D661E">
      <w:pPr>
        <w:pStyle w:val="ListParagraph"/>
        <w:spacing w:line="240" w:lineRule="auto"/>
        <w:rPr>
          <w:sz w:val="20"/>
          <w:szCs w:val="20"/>
          <w:lang w:val="es-ES" w:bidi="en-US"/>
        </w:rPr>
      </w:pPr>
    </w:p>
    <w:p w14:paraId="341FB5D9" w14:textId="76A7A316"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sz w:val="20"/>
          <w:szCs w:val="20"/>
          <w:lang w:val="es-ES" w:bidi="en-US"/>
        </w:rPr>
        <w:t xml:space="preserve">En suma, la Corte estima que </w:t>
      </w:r>
      <w:r w:rsidR="001F2FE7" w:rsidRPr="00975C02">
        <w:rPr>
          <w:sz w:val="20"/>
          <w:szCs w:val="20"/>
          <w:lang w:val="es-ES" w:bidi="en-US"/>
        </w:rPr>
        <w:t xml:space="preserve">el dictado </w:t>
      </w:r>
      <w:r w:rsidRPr="00975C02">
        <w:rPr>
          <w:sz w:val="20"/>
          <w:szCs w:val="20"/>
          <w:lang w:val="es-ES" w:bidi="en-US"/>
        </w:rPr>
        <w:t xml:space="preserve">de la presente Sentencia y las reparaciones ordenadas en este capítulo resultan suficientes y adecuadas para </w:t>
      </w:r>
      <w:r w:rsidR="001F2FE7" w:rsidRPr="00975C02">
        <w:rPr>
          <w:sz w:val="20"/>
          <w:szCs w:val="20"/>
          <w:lang w:val="es-ES" w:bidi="en-US"/>
        </w:rPr>
        <w:t xml:space="preserve">compensar </w:t>
      </w:r>
      <w:r w:rsidRPr="00975C02">
        <w:rPr>
          <w:sz w:val="20"/>
          <w:szCs w:val="20"/>
          <w:lang w:val="es-ES" w:bidi="en-US"/>
        </w:rPr>
        <w:t>las violaciones sufridas por las víctimas y no estima necesario ordenar las demás medidas solicitadas.</w:t>
      </w:r>
      <w:r w:rsidRPr="00975C02">
        <w:rPr>
          <w:rFonts w:eastAsia="MS Mincho"/>
          <w:sz w:val="20"/>
          <w:szCs w:val="20"/>
          <w:lang w:val="es-ES" w:bidi="en-US"/>
        </w:rPr>
        <w:t xml:space="preserve"> Sin perjuicio de ello, la Corte reitera al Estado de Nicaragua que</w:t>
      </w:r>
      <w:r w:rsidR="001F2FE7" w:rsidRPr="00975C02">
        <w:rPr>
          <w:rFonts w:eastAsia="MS Mincho"/>
          <w:sz w:val="20"/>
          <w:szCs w:val="20"/>
          <w:lang w:val="es-ES" w:bidi="en-US"/>
        </w:rPr>
        <w:t>,</w:t>
      </w:r>
      <w:r w:rsidRPr="00975C02">
        <w:rPr>
          <w:rFonts w:eastAsia="MS Mincho"/>
          <w:sz w:val="20"/>
          <w:szCs w:val="20"/>
          <w:lang w:val="es-ES" w:bidi="en-US"/>
        </w:rPr>
        <w:t xml:space="preserve"> conforme a la Convención Americana, las víctimas tienen el derecho de presentar peticiones ante la Comisión Interamericana si así lo estiman pertinente y que</w:t>
      </w:r>
      <w:r w:rsidR="001F2FE7" w:rsidRPr="00975C02">
        <w:rPr>
          <w:rFonts w:eastAsia="MS Mincho"/>
          <w:sz w:val="20"/>
          <w:szCs w:val="20"/>
          <w:lang w:val="es-ES" w:bidi="en-US"/>
        </w:rPr>
        <w:t>,</w:t>
      </w:r>
      <w:r w:rsidRPr="00975C02">
        <w:rPr>
          <w:rFonts w:eastAsia="MS Mincho"/>
          <w:sz w:val="20"/>
          <w:szCs w:val="20"/>
          <w:lang w:val="es-ES" w:bidi="en-US"/>
        </w:rPr>
        <w:t xml:space="preserve"> de conformidad con el artículo 53 del Reglamento de la Corte, los Estados no podrán enjuiciar a las presuntas víctimas o a sus representantes o asesores legales ni ejercer represalias contra ellos a causa de sus declaraciones o su defensa legal ante la Corte.</w:t>
      </w:r>
    </w:p>
    <w:p w14:paraId="3F90169B" w14:textId="77777777" w:rsidR="009D661E" w:rsidRPr="00975C02" w:rsidRDefault="009D661E" w:rsidP="009D661E">
      <w:pPr>
        <w:autoSpaceDE w:val="0"/>
        <w:autoSpaceDN w:val="0"/>
        <w:spacing w:line="240" w:lineRule="auto"/>
        <w:rPr>
          <w:rFonts w:cs="Verdana"/>
          <w:sz w:val="20"/>
          <w:szCs w:val="20"/>
          <w:lang w:val="es-ES"/>
        </w:rPr>
      </w:pPr>
    </w:p>
    <w:p w14:paraId="15C00ACF"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83" w:name="_Toc495658701"/>
      <w:bookmarkStart w:id="184" w:name="_Toc476390741"/>
      <w:bookmarkStart w:id="185" w:name="_Toc514172669"/>
      <w:r w:rsidRPr="00975C02">
        <w:rPr>
          <w:rFonts w:eastAsia="MS Mincho"/>
          <w:b/>
          <w:bCs/>
          <w:i/>
          <w:sz w:val="20"/>
          <w:szCs w:val="20"/>
          <w:lang w:val="es-ES"/>
        </w:rPr>
        <w:t>Indemnizaciones compensatorias</w:t>
      </w:r>
      <w:bookmarkEnd w:id="183"/>
      <w:bookmarkEnd w:id="184"/>
      <w:bookmarkEnd w:id="185"/>
    </w:p>
    <w:p w14:paraId="036B5A28" w14:textId="77777777" w:rsidR="009D661E" w:rsidRPr="00975C02" w:rsidRDefault="009D661E" w:rsidP="009D661E">
      <w:pPr>
        <w:spacing w:line="240" w:lineRule="auto"/>
        <w:ind w:left="142"/>
        <w:rPr>
          <w:sz w:val="20"/>
          <w:szCs w:val="20"/>
          <w:lang w:val="es-ES"/>
        </w:rPr>
      </w:pPr>
    </w:p>
    <w:p w14:paraId="486E516D" w14:textId="30509ED1"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sz w:val="20"/>
          <w:szCs w:val="20"/>
          <w:lang w:val="es-ES"/>
        </w:rPr>
        <w:t xml:space="preserve">La </w:t>
      </w:r>
      <w:r w:rsidRPr="00975C02">
        <w:rPr>
          <w:b/>
          <w:i/>
          <w:sz w:val="20"/>
          <w:szCs w:val="20"/>
          <w:lang w:val="es-ES"/>
        </w:rPr>
        <w:t>Comisión</w:t>
      </w:r>
      <w:r w:rsidRPr="00975C02">
        <w:rPr>
          <w:sz w:val="20"/>
          <w:szCs w:val="20"/>
          <w:lang w:val="es-ES"/>
        </w:rPr>
        <w:t xml:space="preserve"> solicitó a la Corte, en términos generales, que ordenara al Estado reparar integralmente las violaciones de derechos humanos declaradas en su Informe de Fondo, tanto en el aspecto material como en el moral</w:t>
      </w:r>
      <w:r w:rsidR="001C0BD0" w:rsidRPr="00975C02">
        <w:rPr>
          <w:sz w:val="20"/>
          <w:szCs w:val="20"/>
          <w:lang w:val="es-ES"/>
        </w:rPr>
        <w:t>.</w:t>
      </w:r>
    </w:p>
    <w:p w14:paraId="4B369279" w14:textId="77777777" w:rsidR="009D661E" w:rsidRPr="00975C02" w:rsidRDefault="009D661E" w:rsidP="009D661E">
      <w:pPr>
        <w:tabs>
          <w:tab w:val="left" w:pos="567"/>
        </w:tabs>
        <w:spacing w:line="240" w:lineRule="auto"/>
        <w:rPr>
          <w:rFonts w:eastAsia="Calibri"/>
          <w:b/>
          <w:i/>
          <w:sz w:val="20"/>
          <w:szCs w:val="20"/>
          <w:lang w:val="es-ES"/>
        </w:rPr>
      </w:pPr>
    </w:p>
    <w:p w14:paraId="079DF790" w14:textId="2AEB17C0"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Verdana" w:cs="Verdana"/>
          <w:sz w:val="20"/>
          <w:szCs w:val="20"/>
          <w:lang w:val="es-ES"/>
        </w:rPr>
        <w:t xml:space="preserve"> alegó</w:t>
      </w:r>
      <w:r w:rsidR="002E2199" w:rsidRPr="00975C02">
        <w:rPr>
          <w:rFonts w:eastAsia="Verdana" w:cs="Verdana"/>
          <w:sz w:val="20"/>
          <w:szCs w:val="20"/>
          <w:lang w:val="es-ES"/>
        </w:rPr>
        <w:t>, en términos generales,</w:t>
      </w:r>
      <w:r w:rsidRPr="00975C02">
        <w:rPr>
          <w:rFonts w:eastAsia="Verdana" w:cs="Verdana"/>
          <w:sz w:val="20"/>
          <w:szCs w:val="20"/>
          <w:lang w:val="es-ES"/>
        </w:rPr>
        <w:t xml:space="preserve"> que las reparaciones solicitadas por las </w:t>
      </w:r>
      <w:r w:rsidRPr="00975C02">
        <w:rPr>
          <w:rFonts w:eastAsia="Verdana" w:cs="Verdana"/>
          <w:sz w:val="20"/>
          <w:szCs w:val="20"/>
          <w:lang w:val="es-ES"/>
        </w:rPr>
        <w:lastRenderedPageBreak/>
        <w:t>representantes eran muy elevadas y pretendían únicamente un enriquecimiento, más que una indemnización. En ese sentido, solicitó que la Corte</w:t>
      </w:r>
      <w:r w:rsidR="002E2199" w:rsidRPr="00975C02">
        <w:rPr>
          <w:rFonts w:eastAsia="Verdana" w:cs="Verdana"/>
          <w:sz w:val="20"/>
          <w:szCs w:val="20"/>
          <w:lang w:val="es-ES"/>
        </w:rPr>
        <w:t xml:space="preserve"> tomara</w:t>
      </w:r>
      <w:r w:rsidRPr="00975C02">
        <w:rPr>
          <w:rFonts w:eastAsia="Verdana" w:cs="Verdana"/>
          <w:sz w:val="20"/>
          <w:szCs w:val="20"/>
          <w:lang w:val="es-ES"/>
        </w:rPr>
        <w:t xml:space="preserve"> en cuenta la situación económica de Nicaragua</w:t>
      </w:r>
      <w:r w:rsidR="002E2199" w:rsidRPr="00975C02">
        <w:rPr>
          <w:rFonts w:eastAsia="Verdana" w:cs="Verdana"/>
          <w:sz w:val="20"/>
          <w:szCs w:val="20"/>
          <w:lang w:val="es-ES"/>
        </w:rPr>
        <w:t xml:space="preserve">. </w:t>
      </w:r>
      <w:r w:rsidRPr="00975C02">
        <w:rPr>
          <w:rFonts w:eastAsia="Verdana" w:cs="Verdana"/>
          <w:bCs/>
          <w:sz w:val="20"/>
          <w:szCs w:val="20"/>
          <w:lang w:val="es-ES"/>
        </w:rPr>
        <w:t>Agregó que el monto solicitado por las representantes no se cond</w:t>
      </w:r>
      <w:r w:rsidR="002E2199" w:rsidRPr="00975C02">
        <w:rPr>
          <w:rFonts w:eastAsia="Verdana" w:cs="Verdana"/>
          <w:bCs/>
          <w:sz w:val="20"/>
          <w:szCs w:val="20"/>
          <w:lang w:val="es-ES"/>
        </w:rPr>
        <w:t>ecía</w:t>
      </w:r>
      <w:r w:rsidRPr="00975C02">
        <w:rPr>
          <w:rFonts w:eastAsia="Verdana" w:cs="Verdana"/>
          <w:bCs/>
          <w:sz w:val="20"/>
          <w:szCs w:val="20"/>
          <w:lang w:val="es-ES"/>
        </w:rPr>
        <w:t xml:space="preserve"> con los montos fijados por la Corte en otros casos que </w:t>
      </w:r>
      <w:r w:rsidR="002E2199" w:rsidRPr="00975C02">
        <w:rPr>
          <w:rFonts w:eastAsia="Verdana" w:cs="Verdana"/>
          <w:bCs/>
          <w:sz w:val="20"/>
          <w:szCs w:val="20"/>
          <w:lang w:val="es-ES"/>
        </w:rPr>
        <w:t xml:space="preserve">revestían </w:t>
      </w:r>
      <w:r w:rsidRPr="00975C02">
        <w:rPr>
          <w:rFonts w:eastAsia="Verdana" w:cs="Verdana"/>
          <w:bCs/>
          <w:sz w:val="20"/>
          <w:szCs w:val="20"/>
          <w:lang w:val="es-ES"/>
        </w:rPr>
        <w:t>mayor gravedad</w:t>
      </w:r>
      <w:r w:rsidR="001C0BD0" w:rsidRPr="00975C02">
        <w:rPr>
          <w:rFonts w:eastAsia="Verdana" w:cs="Verdana"/>
          <w:bCs/>
          <w:sz w:val="20"/>
          <w:szCs w:val="20"/>
          <w:lang w:val="es-ES"/>
        </w:rPr>
        <w:t>.</w:t>
      </w:r>
    </w:p>
    <w:p w14:paraId="522F0D5A" w14:textId="77777777" w:rsidR="009D661E" w:rsidRPr="00975C02" w:rsidRDefault="009D661E" w:rsidP="009D661E">
      <w:pPr>
        <w:tabs>
          <w:tab w:val="left" w:pos="1200"/>
        </w:tabs>
        <w:spacing w:line="240" w:lineRule="auto"/>
        <w:ind w:left="142"/>
        <w:rPr>
          <w:sz w:val="20"/>
          <w:szCs w:val="20"/>
          <w:lang w:val="es-ES"/>
        </w:rPr>
      </w:pPr>
      <w:r w:rsidRPr="00975C02">
        <w:rPr>
          <w:sz w:val="20"/>
          <w:szCs w:val="20"/>
          <w:lang w:val="es-ES"/>
        </w:rPr>
        <w:tab/>
      </w:r>
    </w:p>
    <w:p w14:paraId="72201ED1" w14:textId="77777777" w:rsidR="009D661E" w:rsidRPr="00975C02" w:rsidRDefault="009D661E" w:rsidP="009D661E">
      <w:pPr>
        <w:pStyle w:val="Heading2"/>
        <w:tabs>
          <w:tab w:val="left" w:pos="1843"/>
        </w:tabs>
        <w:spacing w:before="0" w:line="240" w:lineRule="auto"/>
        <w:ind w:left="1134"/>
        <w:rPr>
          <w:rFonts w:ascii="Verdana" w:hAnsi="Verdana"/>
          <w:b w:val="0"/>
          <w:i/>
          <w:color w:val="auto"/>
          <w:sz w:val="20"/>
          <w:szCs w:val="20"/>
          <w:lang w:val="es-ES"/>
        </w:rPr>
      </w:pPr>
      <w:bookmarkStart w:id="186" w:name="_Toc495658702"/>
      <w:bookmarkStart w:id="187" w:name="_Toc476390742"/>
      <w:bookmarkStart w:id="188" w:name="_Toc514172670"/>
      <w:r w:rsidRPr="00975C02">
        <w:rPr>
          <w:rFonts w:ascii="Verdana" w:hAnsi="Verdana"/>
          <w:b w:val="0"/>
          <w:i/>
          <w:color w:val="auto"/>
          <w:sz w:val="20"/>
          <w:szCs w:val="20"/>
          <w:lang w:val="es-ES"/>
        </w:rPr>
        <w:t>D.1</w:t>
      </w:r>
      <w:r w:rsidRPr="00975C02">
        <w:rPr>
          <w:rFonts w:ascii="Verdana" w:hAnsi="Verdana"/>
          <w:b w:val="0"/>
          <w:i/>
          <w:color w:val="auto"/>
          <w:sz w:val="20"/>
          <w:szCs w:val="20"/>
          <w:lang w:val="es-ES"/>
        </w:rPr>
        <w:tab/>
        <w:t>Daño material</w:t>
      </w:r>
      <w:bookmarkEnd w:id="186"/>
      <w:bookmarkEnd w:id="187"/>
      <w:bookmarkEnd w:id="188"/>
    </w:p>
    <w:p w14:paraId="554B320F" w14:textId="77777777" w:rsidR="009D661E" w:rsidRPr="00975C02" w:rsidRDefault="009D661E" w:rsidP="009D661E">
      <w:pPr>
        <w:tabs>
          <w:tab w:val="left" w:pos="2330"/>
        </w:tabs>
        <w:autoSpaceDE w:val="0"/>
        <w:autoSpaceDN w:val="0"/>
        <w:spacing w:line="240" w:lineRule="auto"/>
        <w:outlineLvl w:val="2"/>
        <w:rPr>
          <w:rFonts w:eastAsia="Calibri"/>
          <w:b/>
          <w:i/>
          <w:sz w:val="20"/>
          <w:szCs w:val="20"/>
          <w:lang w:val="es-ES"/>
        </w:rPr>
      </w:pPr>
      <w:r w:rsidRPr="00975C02">
        <w:rPr>
          <w:rFonts w:eastAsia="Calibri"/>
          <w:b/>
          <w:i/>
          <w:sz w:val="20"/>
          <w:szCs w:val="20"/>
          <w:lang w:val="es-ES"/>
        </w:rPr>
        <w:tab/>
      </w:r>
    </w:p>
    <w:p w14:paraId="40CC4649"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bCs/>
          <w:sz w:val="20"/>
          <w:szCs w:val="20"/>
          <w:lang w:val="es-ES" w:bidi="en-US"/>
        </w:rPr>
      </w:pPr>
      <w:r w:rsidRPr="00975C02">
        <w:rPr>
          <w:rFonts w:cs="Verdana"/>
          <w:bCs/>
          <w:iCs/>
          <w:sz w:val="20"/>
          <w:szCs w:val="20"/>
          <w:lang w:val="es-ES"/>
        </w:rPr>
        <w:t xml:space="preserve">La </w:t>
      </w:r>
      <w:r w:rsidRPr="00975C02">
        <w:rPr>
          <w:rFonts w:eastAsia="Batang" w:cs="Verdana"/>
          <w:bCs/>
          <w:iCs/>
          <w:sz w:val="20"/>
          <w:szCs w:val="20"/>
          <w:lang w:val="es-ES"/>
        </w:rPr>
        <w:t>Corte</w:t>
      </w:r>
      <w:r w:rsidRPr="00975C02">
        <w:rPr>
          <w:rFonts w:cs="Verdana"/>
          <w:bCs/>
          <w:i/>
          <w:iCs/>
          <w:sz w:val="20"/>
          <w:szCs w:val="20"/>
          <w:lang w:val="es-ES"/>
        </w:rPr>
        <w:t xml:space="preserve"> </w:t>
      </w:r>
      <w:r w:rsidRPr="00975C02">
        <w:rPr>
          <w:rFonts w:cs="Verdana"/>
          <w:bCs/>
          <w:iCs/>
          <w:sz w:val="20"/>
          <w:szCs w:val="20"/>
          <w:lang w:val="es-ES"/>
        </w:rPr>
        <w:t>ha desarrollado en su jurisprudencia el concepto de daño material y ha establecido que éste supone la pérdida o detrimento de los ingresos de las víctimas, los gastos efectuados con motivo de los hechos y las consecuencias de carácter pecuniario que tengan un nexo causal con los hechos del caso</w:t>
      </w:r>
      <w:r w:rsidRPr="00975C02">
        <w:rPr>
          <w:rFonts w:eastAsia="MS Mincho"/>
          <w:bCs/>
          <w:sz w:val="20"/>
          <w:szCs w:val="20"/>
          <w:vertAlign w:val="superscript"/>
          <w:lang w:val="es-ES" w:bidi="en-US"/>
        </w:rPr>
        <w:footnoteReference w:id="448"/>
      </w:r>
      <w:r w:rsidRPr="00975C02">
        <w:rPr>
          <w:rFonts w:cs="Verdana"/>
          <w:bCs/>
          <w:iCs/>
          <w:sz w:val="20"/>
          <w:szCs w:val="20"/>
          <w:lang w:val="es-ES"/>
        </w:rPr>
        <w:t>.</w:t>
      </w:r>
    </w:p>
    <w:p w14:paraId="77B13A61" w14:textId="77777777" w:rsidR="009D661E" w:rsidRPr="00975C02" w:rsidRDefault="009D661E" w:rsidP="009D661E">
      <w:pPr>
        <w:tabs>
          <w:tab w:val="left" w:pos="567"/>
        </w:tabs>
        <w:autoSpaceDE w:val="0"/>
        <w:autoSpaceDN w:val="0"/>
        <w:spacing w:line="240" w:lineRule="auto"/>
        <w:outlineLvl w:val="2"/>
        <w:rPr>
          <w:rFonts w:eastAsia="Calibri"/>
          <w:b/>
          <w:i/>
          <w:sz w:val="20"/>
          <w:szCs w:val="20"/>
          <w:lang w:val="es-ES"/>
        </w:rPr>
      </w:pPr>
    </w:p>
    <w:p w14:paraId="65198F9A" w14:textId="77777777" w:rsidR="009D661E" w:rsidRPr="00975C02" w:rsidRDefault="009D661E" w:rsidP="009D661E">
      <w:pPr>
        <w:spacing w:line="240" w:lineRule="auto"/>
        <w:ind w:left="1985"/>
        <w:rPr>
          <w:i/>
          <w:iCs/>
          <w:sz w:val="20"/>
          <w:szCs w:val="20"/>
          <w:lang w:val="es-ES"/>
        </w:rPr>
      </w:pPr>
      <w:r w:rsidRPr="00975C02">
        <w:rPr>
          <w:i/>
          <w:iCs/>
          <w:sz w:val="20"/>
          <w:szCs w:val="20"/>
          <w:lang w:val="es-ES"/>
        </w:rPr>
        <w:t>a) Daño emergente</w:t>
      </w:r>
    </w:p>
    <w:p w14:paraId="20A6E43C" w14:textId="7FC91A5A" w:rsidR="009D661E" w:rsidRPr="00975C02" w:rsidRDefault="009D661E" w:rsidP="00252E46">
      <w:pPr>
        <w:spacing w:line="240" w:lineRule="auto"/>
        <w:rPr>
          <w:i/>
          <w:iCs/>
          <w:sz w:val="20"/>
          <w:szCs w:val="20"/>
          <w:lang w:val="es-ES"/>
        </w:rPr>
      </w:pPr>
    </w:p>
    <w:p w14:paraId="3D8E8ABE" w14:textId="6104DFD6"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Tahoma"/>
          <w:b/>
          <w:sz w:val="20"/>
          <w:szCs w:val="20"/>
          <w:lang w:val="es-ES"/>
        </w:rPr>
      </w:pPr>
      <w:r w:rsidRPr="00975C02">
        <w:rPr>
          <w:rFonts w:eastAsia="Verdana" w:cs="Verdana"/>
          <w:sz w:val="20"/>
          <w:szCs w:val="20"/>
          <w:lang w:val="es-ES"/>
        </w:rPr>
        <w:t xml:space="preserve">Las </w:t>
      </w:r>
      <w:r w:rsidRPr="00975C02">
        <w:rPr>
          <w:rFonts w:eastAsia="Verdana" w:cs="Verdana"/>
          <w:b/>
          <w:i/>
          <w:sz w:val="20"/>
          <w:szCs w:val="20"/>
          <w:lang w:val="es-ES"/>
        </w:rPr>
        <w:t>representantes</w:t>
      </w:r>
      <w:r w:rsidRPr="00975C02">
        <w:rPr>
          <w:rFonts w:eastAsia="Verdana" w:cs="Verdana"/>
          <w:sz w:val="20"/>
          <w:szCs w:val="20"/>
          <w:lang w:val="es-ES"/>
        </w:rPr>
        <w:t xml:space="preserve"> solicitaron que la Corte orden</w:t>
      </w:r>
      <w:r w:rsidR="002E2199" w:rsidRPr="00975C02">
        <w:rPr>
          <w:rFonts w:eastAsia="Verdana" w:cs="Verdana"/>
          <w:sz w:val="20"/>
          <w:szCs w:val="20"/>
          <w:lang w:val="es-ES"/>
        </w:rPr>
        <w:t>ara</w:t>
      </w:r>
      <w:r w:rsidRPr="00975C02">
        <w:rPr>
          <w:rFonts w:eastAsia="Verdana" w:cs="Verdana"/>
          <w:sz w:val="20"/>
          <w:szCs w:val="20"/>
          <w:lang w:val="es-ES"/>
        </w:rPr>
        <w:t xml:space="preserve"> al Estado pagar a la víctima o </w:t>
      </w:r>
      <w:r w:rsidR="002E2199" w:rsidRPr="00975C02">
        <w:rPr>
          <w:rFonts w:eastAsia="Verdana" w:cs="Verdana"/>
          <w:sz w:val="20"/>
          <w:szCs w:val="20"/>
          <w:lang w:val="es-ES"/>
        </w:rPr>
        <w:t xml:space="preserve">a </w:t>
      </w:r>
      <w:r w:rsidRPr="00975C02">
        <w:rPr>
          <w:rFonts w:eastAsia="Verdana" w:cs="Verdana"/>
          <w:sz w:val="20"/>
          <w:szCs w:val="20"/>
          <w:lang w:val="es-ES"/>
        </w:rPr>
        <w:t xml:space="preserve">sus representantes, por </w:t>
      </w:r>
      <w:r w:rsidRPr="00975C02">
        <w:rPr>
          <w:rFonts w:eastAsia="Calibri"/>
          <w:sz w:val="20"/>
          <w:szCs w:val="20"/>
          <w:lang w:val="es-ES"/>
        </w:rPr>
        <w:t>concepto</w:t>
      </w:r>
      <w:r w:rsidRPr="00975C02">
        <w:rPr>
          <w:rFonts w:eastAsia="Verdana" w:cs="Verdana"/>
          <w:sz w:val="20"/>
          <w:szCs w:val="20"/>
          <w:lang w:val="es-ES"/>
        </w:rPr>
        <w:t xml:space="preserve"> de daño emergente, todos los gastos directos e inmediatos que tuvieron que efectuar con ocasión del ilícito cometido, esto es, los gastos que realizó V.P.C., tanto en Nicaragua como en Estados Unidos, </w:t>
      </w:r>
      <w:r w:rsidR="002E2199" w:rsidRPr="00975C02">
        <w:rPr>
          <w:rFonts w:eastAsia="Verdana" w:cs="Verdana"/>
          <w:sz w:val="20"/>
          <w:szCs w:val="20"/>
          <w:lang w:val="es-ES"/>
        </w:rPr>
        <w:t xml:space="preserve">por </w:t>
      </w:r>
      <w:r w:rsidR="00B3107A" w:rsidRPr="00975C02">
        <w:rPr>
          <w:rFonts w:eastAsia="Verdana" w:cs="Verdana"/>
          <w:sz w:val="20"/>
          <w:szCs w:val="20"/>
          <w:lang w:val="es-ES"/>
        </w:rPr>
        <w:t xml:space="preserve">las </w:t>
      </w:r>
      <w:r w:rsidRPr="00975C02">
        <w:rPr>
          <w:rFonts w:eastAsia="Verdana" w:cs="Verdana"/>
          <w:sz w:val="20"/>
          <w:szCs w:val="20"/>
          <w:lang w:val="es-ES"/>
        </w:rPr>
        <w:t>atenciones médicas (gastos quirúrgicos, terapéuticos y farmacias)</w:t>
      </w:r>
      <w:r w:rsidR="002E2199" w:rsidRPr="00975C02">
        <w:rPr>
          <w:rFonts w:eastAsia="Verdana" w:cs="Verdana"/>
          <w:sz w:val="20"/>
          <w:szCs w:val="20"/>
          <w:lang w:val="es-ES"/>
        </w:rPr>
        <w:t>,</w:t>
      </w:r>
      <w:r w:rsidRPr="00975C02">
        <w:rPr>
          <w:rFonts w:eastAsia="Verdana" w:cs="Verdana"/>
          <w:sz w:val="20"/>
          <w:szCs w:val="20"/>
          <w:lang w:val="es-ES"/>
        </w:rPr>
        <w:t xml:space="preserve"> el daño físico y la enfermedad </w:t>
      </w:r>
      <w:r w:rsidR="002E2199" w:rsidRPr="00975C02">
        <w:rPr>
          <w:rFonts w:eastAsia="Verdana" w:cs="Verdana"/>
          <w:sz w:val="20"/>
          <w:szCs w:val="20"/>
          <w:lang w:val="es-ES"/>
        </w:rPr>
        <w:t>sufridos</w:t>
      </w:r>
      <w:r w:rsidRPr="00975C02">
        <w:rPr>
          <w:rFonts w:eastAsia="Verdana" w:cs="Verdana"/>
          <w:sz w:val="20"/>
          <w:szCs w:val="20"/>
          <w:lang w:val="es-ES"/>
        </w:rPr>
        <w:t xml:space="preserve"> </w:t>
      </w:r>
      <w:r w:rsidR="002E2199" w:rsidRPr="00975C02">
        <w:rPr>
          <w:rFonts w:eastAsia="Verdana" w:cs="Verdana"/>
          <w:sz w:val="20"/>
          <w:szCs w:val="20"/>
          <w:lang w:val="es-ES"/>
        </w:rPr>
        <w:t xml:space="preserve">por </w:t>
      </w:r>
      <w:r w:rsidRPr="00975C02">
        <w:rPr>
          <w:rFonts w:eastAsia="Verdana" w:cs="Verdana"/>
          <w:sz w:val="20"/>
          <w:szCs w:val="20"/>
          <w:lang w:val="es-ES"/>
        </w:rPr>
        <w:t xml:space="preserve">V.R.P., así como la afectación psíquica. </w:t>
      </w:r>
      <w:r w:rsidR="002E2199" w:rsidRPr="00975C02">
        <w:rPr>
          <w:rFonts w:eastAsia="Verdana" w:cs="Verdana"/>
          <w:sz w:val="20"/>
          <w:szCs w:val="20"/>
          <w:lang w:val="es-ES"/>
        </w:rPr>
        <w:t xml:space="preserve">Asimismo, incluyeron dentro de </w:t>
      </w:r>
      <w:r w:rsidRPr="00975C02">
        <w:rPr>
          <w:rFonts w:eastAsia="Verdana" w:cs="Verdana"/>
          <w:sz w:val="20"/>
          <w:szCs w:val="20"/>
          <w:lang w:val="es-ES"/>
        </w:rPr>
        <w:t xml:space="preserve">este rubro, los gastos judiciales efectuados en razón de la denuncia interpuesta contra la persona señalada por V.R.P. como su agresor, </w:t>
      </w:r>
      <w:r w:rsidR="002E2199" w:rsidRPr="00975C02">
        <w:rPr>
          <w:rFonts w:eastAsia="Verdana" w:cs="Verdana"/>
          <w:sz w:val="20"/>
          <w:szCs w:val="20"/>
          <w:lang w:val="es-ES"/>
        </w:rPr>
        <w:t xml:space="preserve">los cuales comprenden gastos por </w:t>
      </w:r>
      <w:r w:rsidRPr="00975C02">
        <w:rPr>
          <w:rFonts w:eastAsia="Verdana" w:cs="Verdana"/>
          <w:sz w:val="20"/>
          <w:szCs w:val="20"/>
          <w:lang w:val="es-ES"/>
        </w:rPr>
        <w:t>traslados, copias de documentos, pagos de impuestos judiciales y honorarios a nivel interno</w:t>
      </w:r>
      <w:r w:rsidR="002E2199" w:rsidRPr="00975C02">
        <w:rPr>
          <w:rFonts w:eastAsia="Verdana" w:cs="Verdana"/>
          <w:sz w:val="20"/>
          <w:szCs w:val="20"/>
          <w:lang w:val="es-ES"/>
        </w:rPr>
        <w:t>.</w:t>
      </w:r>
      <w:r w:rsidRPr="00975C02">
        <w:rPr>
          <w:rFonts w:eastAsia="Verdana" w:cs="Verdana"/>
          <w:sz w:val="20"/>
          <w:szCs w:val="20"/>
          <w:lang w:val="es-ES"/>
        </w:rPr>
        <w:t xml:space="preserve"> </w:t>
      </w:r>
      <w:r w:rsidR="002E2199" w:rsidRPr="00975C02">
        <w:rPr>
          <w:rFonts w:eastAsia="Verdana" w:cs="Verdana"/>
          <w:sz w:val="20"/>
          <w:szCs w:val="20"/>
          <w:lang w:val="es-ES"/>
        </w:rPr>
        <w:t>E</w:t>
      </w:r>
      <w:r w:rsidRPr="00975C02">
        <w:rPr>
          <w:rFonts w:eastAsia="Verdana" w:cs="Verdana"/>
          <w:sz w:val="20"/>
          <w:szCs w:val="20"/>
          <w:lang w:val="es-ES"/>
        </w:rPr>
        <w:t>s</w:t>
      </w:r>
      <w:r w:rsidR="002E2199" w:rsidRPr="00975C02">
        <w:rPr>
          <w:rFonts w:eastAsia="Verdana" w:cs="Verdana"/>
          <w:sz w:val="20"/>
          <w:szCs w:val="20"/>
          <w:lang w:val="es-ES"/>
        </w:rPr>
        <w:t>t</w:t>
      </w:r>
      <w:r w:rsidRPr="00975C02">
        <w:rPr>
          <w:rFonts w:eastAsia="Verdana" w:cs="Verdana"/>
          <w:sz w:val="20"/>
          <w:szCs w:val="20"/>
          <w:lang w:val="es-ES"/>
        </w:rPr>
        <w:t xml:space="preserve">os gastos se vieron incrementados por la necesidad de interponer acciones debido a las irregularidades del proceso, teniendo incluso que recurrir al sistema interamericano. Asimismo, </w:t>
      </w:r>
      <w:r w:rsidR="002E2199" w:rsidRPr="00975C02">
        <w:rPr>
          <w:rFonts w:eastAsia="Verdana" w:cs="Verdana"/>
          <w:sz w:val="20"/>
          <w:szCs w:val="20"/>
          <w:lang w:val="es-ES"/>
        </w:rPr>
        <w:t xml:space="preserve">las representantes </w:t>
      </w:r>
      <w:r w:rsidRPr="00975C02">
        <w:rPr>
          <w:rFonts w:eastAsia="Verdana" w:cs="Verdana"/>
          <w:sz w:val="20"/>
          <w:szCs w:val="20"/>
          <w:lang w:val="es-ES"/>
        </w:rPr>
        <w:t>señala</w:t>
      </w:r>
      <w:r w:rsidR="002E2199" w:rsidRPr="00975C02">
        <w:rPr>
          <w:rFonts w:eastAsia="Verdana" w:cs="Verdana"/>
          <w:sz w:val="20"/>
          <w:szCs w:val="20"/>
          <w:lang w:val="es-ES"/>
        </w:rPr>
        <w:t>ron que</w:t>
      </w:r>
      <w:r w:rsidRPr="00975C02">
        <w:rPr>
          <w:rFonts w:eastAsia="Verdana" w:cs="Verdana"/>
          <w:sz w:val="20"/>
          <w:szCs w:val="20"/>
          <w:lang w:val="es-ES"/>
        </w:rPr>
        <w:t xml:space="preserve"> V.P.C. </w:t>
      </w:r>
      <w:r w:rsidR="002E2199" w:rsidRPr="00975C02">
        <w:rPr>
          <w:rFonts w:eastAsia="Verdana" w:cs="Verdana"/>
          <w:sz w:val="20"/>
          <w:szCs w:val="20"/>
          <w:lang w:val="es-ES"/>
        </w:rPr>
        <w:t xml:space="preserve">debió </w:t>
      </w:r>
      <w:r w:rsidRPr="00975C02">
        <w:rPr>
          <w:rFonts w:eastAsia="Verdana" w:cs="Verdana"/>
          <w:sz w:val="20"/>
          <w:szCs w:val="20"/>
          <w:lang w:val="es-ES"/>
        </w:rPr>
        <w:t>cubrir los gastos de traslado a los Estados Unidos y los del proceso de exilio en ese país para sus dos hijas</w:t>
      </w:r>
      <w:r w:rsidR="00E90088" w:rsidRPr="00975C02">
        <w:rPr>
          <w:rFonts w:eastAsia="Verdana" w:cs="Verdana"/>
          <w:sz w:val="20"/>
          <w:szCs w:val="20"/>
          <w:lang w:val="es-ES"/>
        </w:rPr>
        <w:t xml:space="preserve"> y ella</w:t>
      </w:r>
      <w:r w:rsidRPr="00975C02">
        <w:rPr>
          <w:rFonts w:eastAsia="Verdana" w:cs="Verdana"/>
          <w:sz w:val="20"/>
          <w:szCs w:val="20"/>
          <w:lang w:val="es-ES"/>
        </w:rPr>
        <w:t xml:space="preserve">. </w:t>
      </w:r>
      <w:r w:rsidR="002E2199" w:rsidRPr="00975C02">
        <w:rPr>
          <w:rFonts w:eastAsia="Verdana" w:cs="Verdana"/>
          <w:sz w:val="20"/>
          <w:szCs w:val="20"/>
          <w:lang w:val="es-ES"/>
        </w:rPr>
        <w:t>Las representantes indicaron</w:t>
      </w:r>
      <w:r w:rsidRPr="00975C02">
        <w:rPr>
          <w:rFonts w:eastAsia="Verdana" w:cs="Verdana"/>
          <w:sz w:val="20"/>
          <w:szCs w:val="20"/>
          <w:lang w:val="es-ES"/>
        </w:rPr>
        <w:t xml:space="preserve"> que </w:t>
      </w:r>
      <w:r w:rsidR="002E2199" w:rsidRPr="00975C02">
        <w:rPr>
          <w:rFonts w:eastAsia="Verdana" w:cs="Verdana"/>
          <w:sz w:val="20"/>
          <w:szCs w:val="20"/>
          <w:lang w:val="es-ES"/>
        </w:rPr>
        <w:t>varios de los</w:t>
      </w:r>
      <w:r w:rsidRPr="00975C02">
        <w:rPr>
          <w:rFonts w:eastAsia="Verdana" w:cs="Verdana"/>
          <w:sz w:val="20"/>
          <w:szCs w:val="20"/>
          <w:lang w:val="es-ES"/>
        </w:rPr>
        <w:t xml:space="preserve"> gastos </w:t>
      </w:r>
      <w:r w:rsidR="002E2199" w:rsidRPr="00975C02">
        <w:rPr>
          <w:rFonts w:eastAsia="Verdana" w:cs="Verdana"/>
          <w:sz w:val="20"/>
          <w:szCs w:val="20"/>
          <w:lang w:val="es-ES"/>
        </w:rPr>
        <w:t xml:space="preserve">señalados </w:t>
      </w:r>
      <w:r w:rsidRPr="00975C02">
        <w:rPr>
          <w:rFonts w:eastAsia="Verdana" w:cs="Verdana"/>
          <w:sz w:val="20"/>
          <w:szCs w:val="20"/>
          <w:lang w:val="es-ES"/>
        </w:rPr>
        <w:t>se enc</w:t>
      </w:r>
      <w:r w:rsidR="002E2199" w:rsidRPr="00975C02">
        <w:rPr>
          <w:rFonts w:eastAsia="Verdana" w:cs="Verdana"/>
          <w:sz w:val="20"/>
          <w:szCs w:val="20"/>
          <w:lang w:val="es-ES"/>
        </w:rPr>
        <w:t>ontraban</w:t>
      </w:r>
      <w:r w:rsidRPr="00975C02">
        <w:rPr>
          <w:rFonts w:eastAsia="Verdana" w:cs="Verdana"/>
          <w:sz w:val="20"/>
          <w:szCs w:val="20"/>
          <w:lang w:val="es-ES"/>
        </w:rPr>
        <w:t xml:space="preserve"> sustentados en diversos documentos y facturas</w:t>
      </w:r>
      <w:r w:rsidR="002E2199" w:rsidRPr="00975C02">
        <w:rPr>
          <w:rFonts w:eastAsia="Verdana" w:cs="Verdana"/>
          <w:sz w:val="20"/>
          <w:szCs w:val="20"/>
          <w:lang w:val="es-ES"/>
        </w:rPr>
        <w:t>. En este sentido, aportaron documentación respecto a</w:t>
      </w:r>
      <w:r w:rsidRPr="00975C02">
        <w:rPr>
          <w:rFonts w:eastAsia="Verdana" w:cs="Verdana"/>
          <w:sz w:val="20"/>
          <w:szCs w:val="20"/>
          <w:lang w:val="es-ES"/>
        </w:rPr>
        <w:t xml:space="preserve"> </w:t>
      </w:r>
      <w:r w:rsidR="00E90088" w:rsidRPr="00975C02">
        <w:rPr>
          <w:rFonts w:eastAsia="Verdana" w:cs="Verdana"/>
          <w:sz w:val="20"/>
          <w:szCs w:val="20"/>
          <w:lang w:val="es-ES"/>
        </w:rPr>
        <w:t xml:space="preserve">los </w:t>
      </w:r>
      <w:r w:rsidRPr="00975C02">
        <w:rPr>
          <w:rFonts w:eastAsia="Verdana" w:cs="Verdana"/>
          <w:sz w:val="20"/>
          <w:szCs w:val="20"/>
          <w:lang w:val="es-ES"/>
        </w:rPr>
        <w:t>gastos hospitalario</w:t>
      </w:r>
      <w:r w:rsidR="002E2199" w:rsidRPr="00975C02">
        <w:rPr>
          <w:rFonts w:eastAsia="Verdana" w:cs="Verdana"/>
          <w:sz w:val="20"/>
          <w:szCs w:val="20"/>
          <w:lang w:val="es-ES"/>
        </w:rPr>
        <w:t>s por la suma</w:t>
      </w:r>
      <w:r w:rsidRPr="00975C02">
        <w:rPr>
          <w:rFonts w:eastAsia="Verdana" w:cs="Verdana"/>
          <w:sz w:val="20"/>
          <w:szCs w:val="20"/>
          <w:lang w:val="es-ES"/>
        </w:rPr>
        <w:t xml:space="preserve"> </w:t>
      </w:r>
      <w:r w:rsidR="002E2199" w:rsidRPr="00975C02">
        <w:rPr>
          <w:rFonts w:eastAsia="Verdana" w:cs="Verdana"/>
          <w:sz w:val="20"/>
          <w:szCs w:val="20"/>
          <w:lang w:val="es-ES"/>
        </w:rPr>
        <w:t>de</w:t>
      </w:r>
      <w:r w:rsidRPr="00975C02">
        <w:rPr>
          <w:rFonts w:eastAsia="Verdana" w:cs="Verdana"/>
          <w:sz w:val="20"/>
          <w:szCs w:val="20"/>
          <w:lang w:val="es-ES"/>
        </w:rPr>
        <w:t xml:space="preserve"> US$</w:t>
      </w:r>
      <w:r w:rsidR="00E90088" w:rsidRPr="00975C02">
        <w:rPr>
          <w:rFonts w:eastAsia="Verdana" w:cs="Verdana"/>
          <w:sz w:val="20"/>
          <w:szCs w:val="20"/>
          <w:lang w:val="es-ES"/>
        </w:rPr>
        <w:t xml:space="preserve"> </w:t>
      </w:r>
      <w:r w:rsidRPr="00975C02">
        <w:rPr>
          <w:rFonts w:eastAsia="Verdana" w:cs="Verdana"/>
          <w:sz w:val="20"/>
          <w:szCs w:val="20"/>
          <w:lang w:val="es-ES"/>
        </w:rPr>
        <w:t>2</w:t>
      </w:r>
      <w:r w:rsidR="00E90088" w:rsidRPr="00975C02">
        <w:rPr>
          <w:rFonts w:eastAsia="Verdana" w:cs="Verdana"/>
          <w:sz w:val="20"/>
          <w:szCs w:val="20"/>
          <w:lang w:val="es-ES"/>
        </w:rPr>
        <w:t>.</w:t>
      </w:r>
      <w:r w:rsidRPr="00975C02">
        <w:rPr>
          <w:rFonts w:eastAsia="Verdana" w:cs="Verdana"/>
          <w:sz w:val="20"/>
          <w:szCs w:val="20"/>
          <w:lang w:val="es-ES"/>
        </w:rPr>
        <w:t>023</w:t>
      </w:r>
      <w:r w:rsidR="00E90088" w:rsidRPr="00975C02">
        <w:rPr>
          <w:rFonts w:eastAsia="Verdana" w:cs="Verdana"/>
          <w:sz w:val="20"/>
          <w:szCs w:val="20"/>
          <w:lang w:val="es-ES"/>
        </w:rPr>
        <w:t>,</w:t>
      </w:r>
      <w:r w:rsidRPr="00975C02">
        <w:rPr>
          <w:rFonts w:eastAsia="Verdana" w:cs="Verdana"/>
          <w:sz w:val="20"/>
          <w:szCs w:val="20"/>
          <w:lang w:val="es-ES"/>
        </w:rPr>
        <w:t xml:space="preserve">94 y </w:t>
      </w:r>
      <w:r w:rsidR="00E90088" w:rsidRPr="00975C02">
        <w:rPr>
          <w:rFonts w:eastAsia="Verdana" w:cs="Verdana"/>
          <w:sz w:val="20"/>
          <w:szCs w:val="20"/>
          <w:lang w:val="es-ES"/>
        </w:rPr>
        <w:t xml:space="preserve">los </w:t>
      </w:r>
      <w:r w:rsidR="002E2199" w:rsidRPr="00975C02">
        <w:rPr>
          <w:rFonts w:eastAsia="Verdana" w:cs="Verdana"/>
          <w:sz w:val="20"/>
          <w:szCs w:val="20"/>
          <w:lang w:val="es-ES"/>
        </w:rPr>
        <w:t xml:space="preserve">gastos </w:t>
      </w:r>
      <w:r w:rsidRPr="00975C02">
        <w:rPr>
          <w:rFonts w:eastAsia="Verdana" w:cs="Verdana"/>
          <w:sz w:val="20"/>
          <w:szCs w:val="20"/>
          <w:lang w:val="es-ES"/>
        </w:rPr>
        <w:t xml:space="preserve">farmacéuticos </w:t>
      </w:r>
      <w:r w:rsidR="002E2199" w:rsidRPr="00975C02">
        <w:rPr>
          <w:rFonts w:eastAsia="Verdana" w:cs="Verdana"/>
          <w:sz w:val="20"/>
          <w:szCs w:val="20"/>
          <w:lang w:val="es-ES"/>
        </w:rPr>
        <w:t>por</w:t>
      </w:r>
      <w:r w:rsidR="00E90088" w:rsidRPr="00975C02">
        <w:rPr>
          <w:rFonts w:eastAsia="Verdana" w:cs="Verdana"/>
          <w:sz w:val="20"/>
          <w:szCs w:val="20"/>
          <w:lang w:val="es-ES"/>
        </w:rPr>
        <w:t xml:space="preserve"> la suma de</w:t>
      </w:r>
      <w:r w:rsidRPr="00975C02">
        <w:rPr>
          <w:rFonts w:eastAsia="Verdana" w:cs="Verdana"/>
          <w:sz w:val="20"/>
          <w:szCs w:val="20"/>
          <w:lang w:val="es-ES"/>
        </w:rPr>
        <w:t xml:space="preserve"> US$</w:t>
      </w:r>
      <w:r w:rsidR="00E90088" w:rsidRPr="00975C02">
        <w:rPr>
          <w:rFonts w:eastAsia="Verdana" w:cs="Verdana"/>
          <w:sz w:val="20"/>
          <w:szCs w:val="20"/>
          <w:lang w:val="es-ES"/>
        </w:rPr>
        <w:t xml:space="preserve"> </w:t>
      </w:r>
      <w:r w:rsidRPr="00975C02">
        <w:rPr>
          <w:rFonts w:eastAsia="Verdana" w:cs="Verdana"/>
          <w:sz w:val="20"/>
          <w:szCs w:val="20"/>
          <w:lang w:val="es-ES"/>
        </w:rPr>
        <w:t>281</w:t>
      </w:r>
      <w:r w:rsidR="00E90088" w:rsidRPr="00975C02">
        <w:rPr>
          <w:rFonts w:eastAsia="Verdana" w:cs="Verdana"/>
          <w:sz w:val="20"/>
          <w:szCs w:val="20"/>
          <w:lang w:val="es-ES"/>
        </w:rPr>
        <w:t>,</w:t>
      </w:r>
      <w:r w:rsidRPr="00975C02">
        <w:rPr>
          <w:rFonts w:eastAsia="Verdana" w:cs="Verdana"/>
          <w:sz w:val="20"/>
          <w:szCs w:val="20"/>
          <w:lang w:val="es-ES"/>
        </w:rPr>
        <w:t xml:space="preserve">50, </w:t>
      </w:r>
      <w:r w:rsidR="00E90088" w:rsidRPr="00975C02">
        <w:rPr>
          <w:rFonts w:eastAsia="Verdana" w:cs="Verdana"/>
          <w:sz w:val="20"/>
          <w:szCs w:val="20"/>
          <w:lang w:val="es-ES"/>
        </w:rPr>
        <w:t xml:space="preserve">lo que da </w:t>
      </w:r>
      <w:r w:rsidRPr="00975C02">
        <w:rPr>
          <w:rFonts w:eastAsia="Verdana" w:cs="Verdana"/>
          <w:sz w:val="20"/>
          <w:szCs w:val="20"/>
          <w:lang w:val="es-ES"/>
        </w:rPr>
        <w:t>un total de US$</w:t>
      </w:r>
      <w:r w:rsidR="00E90088" w:rsidRPr="00975C02">
        <w:rPr>
          <w:rFonts w:eastAsia="Verdana" w:cs="Verdana"/>
          <w:sz w:val="20"/>
          <w:szCs w:val="20"/>
          <w:lang w:val="es-ES"/>
        </w:rPr>
        <w:t xml:space="preserve"> </w:t>
      </w:r>
      <w:r w:rsidRPr="00975C02">
        <w:rPr>
          <w:rFonts w:eastAsia="Verdana" w:cs="Verdana"/>
          <w:sz w:val="20"/>
          <w:szCs w:val="20"/>
          <w:lang w:val="es-ES"/>
        </w:rPr>
        <w:t>2</w:t>
      </w:r>
      <w:r w:rsidR="00E90088" w:rsidRPr="00975C02">
        <w:rPr>
          <w:rFonts w:eastAsia="Verdana" w:cs="Verdana"/>
          <w:sz w:val="20"/>
          <w:szCs w:val="20"/>
          <w:lang w:val="es-ES"/>
        </w:rPr>
        <w:t>.</w:t>
      </w:r>
      <w:r w:rsidRPr="00975C02">
        <w:rPr>
          <w:rFonts w:eastAsia="Verdana" w:cs="Verdana"/>
          <w:sz w:val="20"/>
          <w:szCs w:val="20"/>
          <w:lang w:val="es-ES"/>
        </w:rPr>
        <w:t>305</w:t>
      </w:r>
      <w:r w:rsidR="00E90088" w:rsidRPr="00975C02">
        <w:rPr>
          <w:rFonts w:eastAsia="MS Mincho" w:cs="Tahoma"/>
          <w:sz w:val="20"/>
          <w:szCs w:val="20"/>
          <w:lang w:val="es-ES"/>
        </w:rPr>
        <w:t>,</w:t>
      </w:r>
      <w:r w:rsidRPr="00975C02">
        <w:rPr>
          <w:rFonts w:eastAsia="MS Mincho" w:cs="Tahoma"/>
          <w:sz w:val="20"/>
          <w:szCs w:val="20"/>
          <w:lang w:val="es-ES"/>
        </w:rPr>
        <w:t>44</w:t>
      </w:r>
      <w:r w:rsidR="001C0BD0" w:rsidRPr="00975C02">
        <w:rPr>
          <w:rFonts w:eastAsia="MS Mincho" w:cs="Tahoma"/>
          <w:sz w:val="20"/>
          <w:szCs w:val="20"/>
          <w:lang w:val="es-ES"/>
        </w:rPr>
        <w:t>.</w:t>
      </w:r>
    </w:p>
    <w:p w14:paraId="206D76AA" w14:textId="77777777" w:rsidR="009D661E" w:rsidRPr="00975C02" w:rsidRDefault="009D661E" w:rsidP="009D661E">
      <w:pPr>
        <w:tabs>
          <w:tab w:val="left" w:pos="567"/>
        </w:tabs>
        <w:spacing w:line="240" w:lineRule="auto"/>
        <w:textAlignment w:val="auto"/>
        <w:rPr>
          <w:rFonts w:eastAsia="MS Mincho" w:cs="Tahoma"/>
          <w:b/>
          <w:sz w:val="20"/>
          <w:szCs w:val="20"/>
          <w:lang w:val="es-ES"/>
        </w:rPr>
      </w:pPr>
    </w:p>
    <w:p w14:paraId="226E10DB" w14:textId="23289D5E" w:rsidR="009D661E" w:rsidRPr="00975C02" w:rsidRDefault="002E2199" w:rsidP="002E2199">
      <w:pPr>
        <w:numPr>
          <w:ilvl w:val="0"/>
          <w:numId w:val="2"/>
        </w:numPr>
        <w:tabs>
          <w:tab w:val="left" w:pos="567"/>
          <w:tab w:val="num" w:pos="5057"/>
        </w:tabs>
        <w:spacing w:line="240" w:lineRule="auto"/>
        <w:ind w:left="0" w:firstLine="0"/>
        <w:textAlignment w:val="auto"/>
        <w:rPr>
          <w:rFonts w:eastAsia="MS Mincho" w:cs="Tahoma"/>
          <w:b/>
          <w:sz w:val="20"/>
          <w:szCs w:val="20"/>
          <w:lang w:val="es-ES"/>
        </w:rPr>
      </w:pPr>
      <w:r w:rsidRPr="00975C02">
        <w:rPr>
          <w:rFonts w:eastAsia="Verdana" w:cs="Verdana"/>
          <w:sz w:val="20"/>
          <w:szCs w:val="20"/>
          <w:lang w:val="es-ES"/>
        </w:rPr>
        <w:t>Las representantes a</w:t>
      </w:r>
      <w:r w:rsidR="009D661E" w:rsidRPr="00975C02">
        <w:rPr>
          <w:rFonts w:eastAsia="Verdana" w:cs="Verdana"/>
          <w:sz w:val="20"/>
          <w:szCs w:val="20"/>
          <w:lang w:val="es-ES"/>
        </w:rPr>
        <w:t>gregaron que al monto señalado debía adicionarse aquellos gastos cuya cuantificación detallada resultaba imposible por el transcurso del tiempo y la informalidad</w:t>
      </w:r>
      <w:r w:rsidRPr="00975C02">
        <w:rPr>
          <w:rFonts w:eastAsia="Verdana" w:cs="Verdana"/>
          <w:sz w:val="20"/>
          <w:szCs w:val="20"/>
          <w:lang w:val="es-ES"/>
        </w:rPr>
        <w:t xml:space="preserve">. </w:t>
      </w:r>
      <w:r w:rsidR="009D661E" w:rsidRPr="00975C02">
        <w:rPr>
          <w:rFonts w:eastAsia="Verdana" w:cs="Verdana"/>
          <w:sz w:val="20"/>
          <w:szCs w:val="20"/>
          <w:lang w:val="es-ES"/>
        </w:rPr>
        <w:t>En ese sentido, las representantes adujeron que se efectuaron los siguientes desembolsos: a) US$</w:t>
      </w:r>
      <w:r w:rsidR="00670348" w:rsidRPr="00975C02">
        <w:rPr>
          <w:rFonts w:eastAsia="Verdana" w:cs="Verdana"/>
          <w:sz w:val="20"/>
          <w:szCs w:val="20"/>
          <w:lang w:val="es-ES"/>
        </w:rPr>
        <w:t xml:space="preserve"> </w:t>
      </w:r>
      <w:r w:rsidR="009D661E" w:rsidRPr="00975C02">
        <w:rPr>
          <w:rFonts w:eastAsia="Verdana" w:cs="Verdana"/>
          <w:sz w:val="20"/>
          <w:szCs w:val="20"/>
          <w:lang w:val="es-ES"/>
        </w:rPr>
        <w:t>7</w:t>
      </w:r>
      <w:r w:rsidR="00670348" w:rsidRPr="00975C02">
        <w:rPr>
          <w:rFonts w:eastAsia="Verdana" w:cs="Verdana"/>
          <w:sz w:val="20"/>
          <w:szCs w:val="20"/>
          <w:lang w:val="es-ES"/>
        </w:rPr>
        <w:t>.</w:t>
      </w:r>
      <w:r w:rsidR="009D661E" w:rsidRPr="00975C02">
        <w:rPr>
          <w:rFonts w:eastAsia="Verdana" w:cs="Verdana"/>
          <w:sz w:val="20"/>
          <w:szCs w:val="20"/>
          <w:lang w:val="es-ES"/>
        </w:rPr>
        <w:t>000</w:t>
      </w:r>
      <w:r w:rsidR="00670348" w:rsidRPr="00975C02">
        <w:rPr>
          <w:rFonts w:eastAsia="Verdana" w:cs="Verdana"/>
          <w:sz w:val="20"/>
          <w:szCs w:val="20"/>
          <w:lang w:val="es-ES"/>
        </w:rPr>
        <w:t>,</w:t>
      </w:r>
      <w:r w:rsidR="009D661E" w:rsidRPr="00975C02">
        <w:rPr>
          <w:rFonts w:eastAsia="Verdana" w:cs="Verdana"/>
          <w:sz w:val="20"/>
          <w:szCs w:val="20"/>
          <w:lang w:val="es-ES"/>
        </w:rPr>
        <w:t xml:space="preserve">00 por gastos médicos producto del estado físico y psicológico de la niña, que comprende su ingreso al Hospital Victoria de Jinotega, intervención quirúrgica, exámenes-biopsia, pago al ginecólogo y al pediatra, medicinas, consultas por </w:t>
      </w:r>
      <w:r w:rsidR="00D33DA4" w:rsidRPr="00975C02">
        <w:rPr>
          <w:rFonts w:eastAsia="Verdana" w:cs="Verdana"/>
          <w:sz w:val="20"/>
          <w:szCs w:val="20"/>
          <w:lang w:val="es-ES"/>
        </w:rPr>
        <w:t>cuidados</w:t>
      </w:r>
      <w:r w:rsidR="009D661E" w:rsidRPr="00975C02">
        <w:rPr>
          <w:rFonts w:eastAsia="Verdana" w:cs="Verdana"/>
          <w:sz w:val="20"/>
          <w:szCs w:val="20"/>
          <w:lang w:val="es-ES"/>
        </w:rPr>
        <w:t xml:space="preserve"> posteriores, gastos de psiquiatría, gastos de terapeuta, gastos de transportes, gastos de estadía, gastos médicos en los Estados Unidos, todos ellos sin soporte probatorio</w:t>
      </w:r>
      <w:r w:rsidRPr="00975C02">
        <w:rPr>
          <w:rFonts w:eastAsia="Verdana" w:cs="Verdana"/>
          <w:sz w:val="20"/>
          <w:szCs w:val="20"/>
          <w:lang w:val="es-ES"/>
        </w:rPr>
        <w:t>;</w:t>
      </w:r>
      <w:r w:rsidR="009D661E" w:rsidRPr="00975C02">
        <w:rPr>
          <w:rFonts w:eastAsia="Verdana" w:cs="Verdana"/>
          <w:sz w:val="20"/>
          <w:szCs w:val="20"/>
          <w:lang w:val="es-ES"/>
        </w:rPr>
        <w:t xml:space="preserve"> b) US$</w:t>
      </w:r>
      <w:r w:rsidR="00670348" w:rsidRPr="00975C02">
        <w:rPr>
          <w:rFonts w:eastAsia="Verdana" w:cs="Verdana"/>
          <w:sz w:val="20"/>
          <w:szCs w:val="20"/>
          <w:lang w:val="es-ES"/>
        </w:rPr>
        <w:t xml:space="preserve"> </w:t>
      </w:r>
      <w:r w:rsidR="009D661E" w:rsidRPr="00975C02">
        <w:rPr>
          <w:rFonts w:eastAsia="Verdana" w:cs="Verdana"/>
          <w:sz w:val="20"/>
          <w:szCs w:val="20"/>
          <w:lang w:val="es-ES"/>
        </w:rPr>
        <w:t>39</w:t>
      </w:r>
      <w:r w:rsidR="00670348" w:rsidRPr="00975C02">
        <w:rPr>
          <w:rFonts w:eastAsia="Verdana" w:cs="Verdana"/>
          <w:sz w:val="20"/>
          <w:szCs w:val="20"/>
          <w:lang w:val="es-ES"/>
        </w:rPr>
        <w:t>.</w:t>
      </w:r>
      <w:r w:rsidR="009D661E" w:rsidRPr="00975C02">
        <w:rPr>
          <w:rFonts w:eastAsia="Verdana" w:cs="Verdana"/>
          <w:sz w:val="20"/>
          <w:szCs w:val="20"/>
          <w:lang w:val="es-ES"/>
        </w:rPr>
        <w:t>024</w:t>
      </w:r>
      <w:r w:rsidR="00670348" w:rsidRPr="00975C02">
        <w:rPr>
          <w:rFonts w:eastAsia="Verdana" w:cs="Verdana"/>
          <w:sz w:val="20"/>
          <w:szCs w:val="20"/>
          <w:lang w:val="es-ES"/>
        </w:rPr>
        <w:t>,</w:t>
      </w:r>
      <w:r w:rsidR="009D661E" w:rsidRPr="00975C02">
        <w:rPr>
          <w:rFonts w:eastAsia="Verdana" w:cs="Verdana"/>
          <w:sz w:val="20"/>
          <w:szCs w:val="20"/>
          <w:lang w:val="es-ES"/>
        </w:rPr>
        <w:t>00 por gastos legales en Nicaragua, que comprende la formulación de la denuncia, el traslado de los testigos, gastos de copias,</w:t>
      </w:r>
      <w:r w:rsidR="00743301" w:rsidRPr="00975C02">
        <w:rPr>
          <w:rFonts w:eastAsia="Verdana" w:cs="Verdana"/>
          <w:sz w:val="20"/>
          <w:szCs w:val="20"/>
          <w:lang w:val="es-ES"/>
        </w:rPr>
        <w:t xml:space="preserve"> gastos por acusación criminal,</w:t>
      </w:r>
      <w:r w:rsidR="009D661E" w:rsidRPr="00975C02">
        <w:rPr>
          <w:rFonts w:eastAsia="Verdana" w:cs="Verdana"/>
          <w:sz w:val="20"/>
          <w:szCs w:val="20"/>
          <w:lang w:val="es-ES"/>
        </w:rPr>
        <w:t xml:space="preserve"> traslado a la inspección ocular, traslado de los médicos forenses, traslado a Matagalpa por apelación de auto de prisión, presentación de pruebas, traslado a programación del jurado, apelación de nulidad del veredicto, presentación de testificales, traslados por apertura a prueba del incidente, inspección, video, certificaciones, pagos de honorarios</w:t>
      </w:r>
      <w:r w:rsidRPr="00975C02">
        <w:rPr>
          <w:rFonts w:eastAsia="Verdana" w:cs="Verdana"/>
          <w:sz w:val="20"/>
          <w:szCs w:val="20"/>
          <w:lang w:val="es-ES"/>
        </w:rPr>
        <w:t>;</w:t>
      </w:r>
      <w:r w:rsidR="009D661E" w:rsidRPr="00975C02">
        <w:rPr>
          <w:rFonts w:eastAsia="Verdana" w:cs="Verdana"/>
          <w:sz w:val="20"/>
          <w:szCs w:val="20"/>
          <w:lang w:val="es-ES"/>
        </w:rPr>
        <w:t xml:space="preserve"> c) US$</w:t>
      </w:r>
      <w:r w:rsidR="00670348" w:rsidRPr="00975C02">
        <w:rPr>
          <w:rFonts w:eastAsia="Verdana" w:cs="Verdana"/>
          <w:sz w:val="20"/>
          <w:szCs w:val="20"/>
          <w:lang w:val="es-ES"/>
        </w:rPr>
        <w:t xml:space="preserve"> </w:t>
      </w:r>
      <w:r w:rsidR="007F63EB" w:rsidRPr="00975C02">
        <w:rPr>
          <w:rFonts w:eastAsia="Verdana" w:cs="Verdana"/>
          <w:sz w:val="20"/>
          <w:szCs w:val="20"/>
          <w:lang w:val="es-ES"/>
        </w:rPr>
        <w:t>5.</w:t>
      </w:r>
      <w:r w:rsidR="009D661E" w:rsidRPr="00975C02">
        <w:rPr>
          <w:rFonts w:eastAsia="Verdana" w:cs="Verdana"/>
          <w:sz w:val="20"/>
          <w:szCs w:val="20"/>
          <w:lang w:val="es-ES"/>
        </w:rPr>
        <w:t>700</w:t>
      </w:r>
      <w:r w:rsidR="00670348" w:rsidRPr="00975C02">
        <w:rPr>
          <w:rFonts w:eastAsia="Verdana" w:cs="Verdana"/>
          <w:sz w:val="20"/>
          <w:szCs w:val="20"/>
          <w:lang w:val="es-ES"/>
        </w:rPr>
        <w:t>,</w:t>
      </w:r>
      <w:r w:rsidR="009D661E" w:rsidRPr="00975C02">
        <w:rPr>
          <w:rFonts w:eastAsia="Verdana" w:cs="Verdana"/>
          <w:sz w:val="20"/>
          <w:szCs w:val="20"/>
          <w:lang w:val="es-ES"/>
        </w:rPr>
        <w:t xml:space="preserve">00 por gastos de diversas denuncias por irregularidades en el proceso, que comprende gastos </w:t>
      </w:r>
      <w:r w:rsidRPr="00975C02">
        <w:rPr>
          <w:rFonts w:eastAsia="Verdana" w:cs="Verdana"/>
          <w:sz w:val="20"/>
          <w:szCs w:val="20"/>
          <w:lang w:val="es-ES"/>
        </w:rPr>
        <w:t xml:space="preserve">por </w:t>
      </w:r>
      <w:r w:rsidR="009D661E" w:rsidRPr="00975C02">
        <w:rPr>
          <w:rFonts w:eastAsia="Verdana" w:cs="Verdana"/>
          <w:sz w:val="20"/>
          <w:szCs w:val="20"/>
          <w:lang w:val="es-ES"/>
        </w:rPr>
        <w:t>traslados y viajes de seguimiento por denuncia ante la Suprema Corte de Justicia</w:t>
      </w:r>
      <w:r w:rsidR="00586435" w:rsidRPr="00975C02">
        <w:rPr>
          <w:rFonts w:eastAsia="Verdana" w:cs="Verdana"/>
          <w:sz w:val="20"/>
          <w:szCs w:val="20"/>
          <w:lang w:val="es-ES"/>
        </w:rPr>
        <w:t>, la Procuraduría General de la República, la Fiscalía General de la República y</w:t>
      </w:r>
      <w:r w:rsidR="009D661E" w:rsidRPr="00975C02">
        <w:rPr>
          <w:rFonts w:eastAsia="Verdana" w:cs="Verdana"/>
          <w:sz w:val="20"/>
          <w:szCs w:val="20"/>
          <w:lang w:val="es-ES"/>
        </w:rPr>
        <w:t xml:space="preserve"> la Procuraduría Especial de la República para la Niñez y Adolescencia; d) US$</w:t>
      </w:r>
      <w:r w:rsidR="00670348" w:rsidRPr="00975C02">
        <w:rPr>
          <w:rFonts w:eastAsia="Verdana" w:cs="Verdana"/>
          <w:sz w:val="20"/>
          <w:szCs w:val="20"/>
          <w:lang w:val="es-ES"/>
        </w:rPr>
        <w:t xml:space="preserve"> </w:t>
      </w:r>
      <w:r w:rsidR="009D661E" w:rsidRPr="00975C02">
        <w:rPr>
          <w:rFonts w:eastAsia="Verdana" w:cs="Verdana"/>
          <w:sz w:val="20"/>
          <w:szCs w:val="20"/>
          <w:lang w:val="es-ES"/>
        </w:rPr>
        <w:t>15</w:t>
      </w:r>
      <w:r w:rsidR="00670348" w:rsidRPr="00975C02">
        <w:rPr>
          <w:rFonts w:eastAsia="Verdana" w:cs="Verdana"/>
          <w:sz w:val="20"/>
          <w:szCs w:val="20"/>
          <w:lang w:val="es-ES"/>
        </w:rPr>
        <w:t>.</w:t>
      </w:r>
      <w:r w:rsidR="00B913BA" w:rsidRPr="00975C02">
        <w:rPr>
          <w:rFonts w:eastAsia="Verdana" w:cs="Verdana"/>
          <w:sz w:val="20"/>
          <w:szCs w:val="20"/>
          <w:lang w:val="es-ES"/>
        </w:rPr>
        <w:t>25</w:t>
      </w:r>
      <w:r w:rsidR="009D661E" w:rsidRPr="00975C02">
        <w:rPr>
          <w:rFonts w:eastAsia="Verdana" w:cs="Verdana"/>
          <w:sz w:val="20"/>
          <w:szCs w:val="20"/>
          <w:lang w:val="es-ES"/>
        </w:rPr>
        <w:t>0</w:t>
      </w:r>
      <w:r w:rsidR="00670348" w:rsidRPr="00975C02">
        <w:rPr>
          <w:rFonts w:eastAsia="Verdana" w:cs="Verdana"/>
          <w:sz w:val="20"/>
          <w:szCs w:val="20"/>
          <w:lang w:val="es-ES"/>
        </w:rPr>
        <w:t>,</w:t>
      </w:r>
      <w:r w:rsidR="009D661E" w:rsidRPr="00975C02">
        <w:rPr>
          <w:rFonts w:eastAsia="Verdana" w:cs="Verdana"/>
          <w:sz w:val="20"/>
          <w:szCs w:val="20"/>
          <w:lang w:val="es-ES"/>
        </w:rPr>
        <w:t>00 por gastos relativos a la denuncia y seguimiento al caso ante la C</w:t>
      </w:r>
      <w:r w:rsidRPr="00975C02">
        <w:rPr>
          <w:rFonts w:eastAsia="Verdana" w:cs="Verdana"/>
          <w:sz w:val="20"/>
          <w:szCs w:val="20"/>
          <w:lang w:val="es-ES"/>
        </w:rPr>
        <w:t>omisión</w:t>
      </w:r>
      <w:r w:rsidR="009D661E" w:rsidRPr="00975C02">
        <w:rPr>
          <w:rFonts w:eastAsia="Verdana" w:cs="Verdana"/>
          <w:sz w:val="20"/>
          <w:szCs w:val="20"/>
          <w:lang w:val="es-ES"/>
        </w:rPr>
        <w:t>, lo cual abarca la localización, solicitud, copiado y remisión de expediente, gastos de abogado, FedEx-postal office; e) US$</w:t>
      </w:r>
      <w:r w:rsidR="00670348" w:rsidRPr="00975C02">
        <w:rPr>
          <w:rFonts w:eastAsia="Verdana" w:cs="Verdana"/>
          <w:sz w:val="20"/>
          <w:szCs w:val="20"/>
          <w:lang w:val="es-ES"/>
        </w:rPr>
        <w:t xml:space="preserve"> </w:t>
      </w:r>
      <w:r w:rsidR="009D661E" w:rsidRPr="00975C02">
        <w:rPr>
          <w:rFonts w:eastAsia="Verdana" w:cs="Verdana"/>
          <w:sz w:val="20"/>
          <w:szCs w:val="20"/>
          <w:lang w:val="es-ES"/>
        </w:rPr>
        <w:t>2</w:t>
      </w:r>
      <w:r w:rsidR="00670348" w:rsidRPr="00975C02">
        <w:rPr>
          <w:rFonts w:eastAsia="Verdana" w:cs="Verdana"/>
          <w:sz w:val="20"/>
          <w:szCs w:val="20"/>
          <w:lang w:val="es-ES"/>
        </w:rPr>
        <w:t>.</w:t>
      </w:r>
      <w:r w:rsidR="009D661E" w:rsidRPr="00975C02">
        <w:rPr>
          <w:rFonts w:eastAsia="Verdana" w:cs="Verdana"/>
          <w:sz w:val="20"/>
          <w:szCs w:val="20"/>
          <w:lang w:val="es-ES"/>
        </w:rPr>
        <w:t>500</w:t>
      </w:r>
      <w:r w:rsidR="00670348" w:rsidRPr="00975C02">
        <w:rPr>
          <w:rFonts w:eastAsia="Verdana" w:cs="Verdana"/>
          <w:sz w:val="20"/>
          <w:szCs w:val="20"/>
          <w:lang w:val="es-ES"/>
        </w:rPr>
        <w:t>,</w:t>
      </w:r>
      <w:r w:rsidR="009D661E" w:rsidRPr="00975C02">
        <w:rPr>
          <w:rFonts w:eastAsia="Verdana" w:cs="Verdana"/>
          <w:sz w:val="20"/>
          <w:szCs w:val="20"/>
          <w:lang w:val="es-ES"/>
        </w:rPr>
        <w:t xml:space="preserve">00 por gastos de salida de </w:t>
      </w:r>
      <w:r w:rsidR="009D661E" w:rsidRPr="00975C02">
        <w:rPr>
          <w:rFonts w:eastAsia="Verdana" w:cs="Verdana"/>
          <w:sz w:val="20"/>
          <w:szCs w:val="20"/>
          <w:lang w:val="es-ES"/>
        </w:rPr>
        <w:lastRenderedPageBreak/>
        <w:t>Nicaragua a Miami, que incluye tres pasajes, pasaporte, viaje a Managua y traslado en Miami; f) US$</w:t>
      </w:r>
      <w:r w:rsidR="00670348" w:rsidRPr="00975C02">
        <w:rPr>
          <w:rFonts w:eastAsia="Verdana" w:cs="Verdana"/>
          <w:sz w:val="20"/>
          <w:szCs w:val="20"/>
          <w:lang w:val="es-ES"/>
        </w:rPr>
        <w:t xml:space="preserve"> </w:t>
      </w:r>
      <w:r w:rsidR="009D661E" w:rsidRPr="00975C02">
        <w:rPr>
          <w:rFonts w:eastAsia="Verdana" w:cs="Verdana"/>
          <w:sz w:val="20"/>
          <w:szCs w:val="20"/>
          <w:lang w:val="es-ES"/>
        </w:rPr>
        <w:t>20</w:t>
      </w:r>
      <w:r w:rsidR="00670348" w:rsidRPr="00975C02">
        <w:rPr>
          <w:rFonts w:eastAsia="Verdana" w:cs="Verdana"/>
          <w:sz w:val="20"/>
          <w:szCs w:val="20"/>
          <w:lang w:val="es-ES"/>
        </w:rPr>
        <w:t>.</w:t>
      </w:r>
      <w:r w:rsidR="009D661E" w:rsidRPr="00975C02">
        <w:rPr>
          <w:rFonts w:eastAsia="Verdana" w:cs="Verdana"/>
          <w:sz w:val="20"/>
          <w:szCs w:val="20"/>
          <w:lang w:val="es-ES"/>
        </w:rPr>
        <w:t>100</w:t>
      </w:r>
      <w:r w:rsidR="00670348" w:rsidRPr="00975C02">
        <w:rPr>
          <w:rFonts w:eastAsia="Verdana" w:cs="Verdana"/>
          <w:sz w:val="20"/>
          <w:szCs w:val="20"/>
          <w:lang w:val="es-ES"/>
        </w:rPr>
        <w:t>,</w:t>
      </w:r>
      <w:r w:rsidR="009D661E" w:rsidRPr="00975C02">
        <w:rPr>
          <w:rFonts w:eastAsia="Verdana" w:cs="Verdana"/>
          <w:sz w:val="20"/>
          <w:szCs w:val="20"/>
          <w:lang w:val="es-ES"/>
        </w:rPr>
        <w:t>00 por gastos legales del proceso de exilio de V.P.C., V.R.P. y N.R.P., que comprende la “presentación de copias, FedEx y traslación de documentos para tres personas”</w:t>
      </w:r>
      <w:r w:rsidRPr="00975C02">
        <w:rPr>
          <w:rFonts w:eastAsia="Verdana" w:cs="Verdana"/>
          <w:sz w:val="20"/>
          <w:szCs w:val="20"/>
          <w:lang w:val="es-ES"/>
        </w:rPr>
        <w:t>,</w:t>
      </w:r>
      <w:r w:rsidR="009D661E" w:rsidRPr="00975C02">
        <w:rPr>
          <w:rFonts w:eastAsia="Verdana" w:cs="Verdana"/>
          <w:sz w:val="20"/>
          <w:szCs w:val="20"/>
          <w:lang w:val="es-ES"/>
        </w:rPr>
        <w:t xml:space="preserve"> y g) US$ 500</w:t>
      </w:r>
      <w:r w:rsidR="00670348" w:rsidRPr="00975C02">
        <w:rPr>
          <w:rFonts w:eastAsia="Verdana" w:cs="Verdana"/>
          <w:sz w:val="20"/>
          <w:szCs w:val="20"/>
          <w:lang w:val="es-ES"/>
        </w:rPr>
        <w:t>,</w:t>
      </w:r>
      <w:r w:rsidR="009D661E" w:rsidRPr="00975C02">
        <w:rPr>
          <w:rFonts w:eastAsia="Verdana" w:cs="Verdana"/>
          <w:sz w:val="20"/>
          <w:szCs w:val="20"/>
          <w:lang w:val="es-ES"/>
        </w:rPr>
        <w:t xml:space="preserve">00 por gastos del proceso ante la Corte Interamericana, que comprende la realización de declaración jurada, copias y envíos de documentos. </w:t>
      </w:r>
      <w:r w:rsidRPr="00975C02">
        <w:rPr>
          <w:rFonts w:eastAsia="Verdana" w:cs="Verdana"/>
          <w:sz w:val="20"/>
          <w:szCs w:val="20"/>
          <w:lang w:val="es-ES"/>
        </w:rPr>
        <w:t>Con</w:t>
      </w:r>
      <w:r w:rsidR="009D661E" w:rsidRPr="00975C02">
        <w:rPr>
          <w:rFonts w:eastAsia="Verdana" w:cs="Verdana"/>
          <w:sz w:val="20"/>
          <w:szCs w:val="20"/>
          <w:lang w:val="es-ES"/>
        </w:rPr>
        <w:t xml:space="preserve"> base </w:t>
      </w:r>
      <w:r w:rsidRPr="00975C02">
        <w:rPr>
          <w:rFonts w:eastAsia="Verdana" w:cs="Verdana"/>
          <w:sz w:val="20"/>
          <w:szCs w:val="20"/>
          <w:lang w:val="es-ES"/>
        </w:rPr>
        <w:t xml:space="preserve">en </w:t>
      </w:r>
      <w:r w:rsidR="009D661E" w:rsidRPr="00975C02">
        <w:rPr>
          <w:rFonts w:eastAsia="Verdana" w:cs="Verdana"/>
          <w:sz w:val="20"/>
          <w:szCs w:val="20"/>
          <w:lang w:val="es-ES"/>
        </w:rPr>
        <w:t>lo señalado, las representantes cuantificaron el daño emergente en la suma de US$</w:t>
      </w:r>
      <w:r w:rsidR="00670348" w:rsidRPr="00975C02">
        <w:rPr>
          <w:rFonts w:eastAsia="Verdana" w:cs="Verdana"/>
          <w:sz w:val="20"/>
          <w:szCs w:val="20"/>
          <w:lang w:val="es-ES"/>
        </w:rPr>
        <w:t xml:space="preserve"> </w:t>
      </w:r>
      <w:r w:rsidR="009D661E" w:rsidRPr="00975C02">
        <w:rPr>
          <w:rFonts w:eastAsia="Verdana" w:cs="Verdana"/>
          <w:sz w:val="20"/>
          <w:szCs w:val="20"/>
          <w:lang w:val="es-ES"/>
        </w:rPr>
        <w:t>92</w:t>
      </w:r>
      <w:r w:rsidR="00670348" w:rsidRPr="00975C02">
        <w:rPr>
          <w:rFonts w:eastAsia="Verdana" w:cs="Verdana"/>
          <w:sz w:val="20"/>
          <w:szCs w:val="20"/>
          <w:lang w:val="es-ES"/>
        </w:rPr>
        <w:t>.</w:t>
      </w:r>
      <w:r w:rsidR="009D661E" w:rsidRPr="00975C02">
        <w:rPr>
          <w:rFonts w:eastAsia="Verdana" w:cs="Verdana"/>
          <w:sz w:val="20"/>
          <w:szCs w:val="20"/>
          <w:lang w:val="es-ES"/>
        </w:rPr>
        <w:t>379</w:t>
      </w:r>
      <w:r w:rsidR="00670348" w:rsidRPr="00975C02">
        <w:rPr>
          <w:rFonts w:eastAsia="Verdana" w:cs="Verdana"/>
          <w:sz w:val="20"/>
          <w:szCs w:val="20"/>
          <w:lang w:val="es-ES"/>
        </w:rPr>
        <w:t>,</w:t>
      </w:r>
      <w:r w:rsidR="009D661E" w:rsidRPr="00975C02">
        <w:rPr>
          <w:rFonts w:eastAsia="Verdana" w:cs="Verdana"/>
          <w:sz w:val="20"/>
          <w:szCs w:val="20"/>
          <w:lang w:val="es-ES"/>
        </w:rPr>
        <w:t xml:space="preserve">44, </w:t>
      </w:r>
      <w:r w:rsidR="00237A68" w:rsidRPr="00975C02">
        <w:rPr>
          <w:rFonts w:eastAsia="Verdana" w:cs="Verdana"/>
          <w:sz w:val="20"/>
          <w:szCs w:val="20"/>
          <w:lang w:val="es-ES"/>
        </w:rPr>
        <w:t xml:space="preserve">y destacaron </w:t>
      </w:r>
      <w:r w:rsidR="009D661E" w:rsidRPr="00975C02">
        <w:rPr>
          <w:rFonts w:eastAsia="Verdana" w:cs="Verdana"/>
          <w:sz w:val="20"/>
          <w:szCs w:val="20"/>
          <w:lang w:val="es-ES"/>
        </w:rPr>
        <w:t>que tales gastos fueron solventados por V.P.C., quien era la responsable de proveer a la familia</w:t>
      </w:r>
      <w:r w:rsidR="001C0BD0" w:rsidRPr="00975C02">
        <w:rPr>
          <w:rFonts w:eastAsia="Verdana" w:cs="Verdana"/>
          <w:sz w:val="20"/>
          <w:szCs w:val="20"/>
          <w:lang w:val="es-ES"/>
        </w:rPr>
        <w:t>.</w:t>
      </w:r>
    </w:p>
    <w:p w14:paraId="738964C4" w14:textId="77777777" w:rsidR="002E2199" w:rsidRPr="00975C02" w:rsidRDefault="002E2199" w:rsidP="00DF3D71">
      <w:pPr>
        <w:tabs>
          <w:tab w:val="left" w:pos="567"/>
        </w:tabs>
        <w:spacing w:line="240" w:lineRule="auto"/>
        <w:textAlignment w:val="auto"/>
        <w:rPr>
          <w:rFonts w:eastAsia="MS Mincho" w:cs="Tahoma"/>
          <w:b/>
          <w:sz w:val="20"/>
          <w:szCs w:val="20"/>
          <w:lang w:val="es-ES"/>
        </w:rPr>
      </w:pPr>
    </w:p>
    <w:p w14:paraId="78EBB0C8" w14:textId="4D64C970"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 xml:space="preserve">Estado </w:t>
      </w:r>
      <w:r w:rsidRPr="00975C02">
        <w:rPr>
          <w:rFonts w:eastAsia="MS Mincho"/>
          <w:sz w:val="20"/>
          <w:szCs w:val="20"/>
          <w:lang w:val="es-ES" w:bidi="en-US"/>
        </w:rPr>
        <w:t xml:space="preserve">solicitó que la Corte fijara el daño emergente </w:t>
      </w:r>
      <w:r w:rsidR="002E2199" w:rsidRPr="00975C02">
        <w:rPr>
          <w:rFonts w:eastAsia="MS Mincho"/>
          <w:sz w:val="20"/>
          <w:szCs w:val="20"/>
          <w:lang w:val="es-ES" w:bidi="en-US"/>
        </w:rPr>
        <w:t xml:space="preserve">siempre que </w:t>
      </w:r>
      <w:r w:rsidRPr="00975C02">
        <w:rPr>
          <w:rFonts w:eastAsia="MS Mincho"/>
          <w:sz w:val="20"/>
          <w:szCs w:val="20"/>
          <w:lang w:val="es-ES" w:bidi="en-US"/>
        </w:rPr>
        <w:t>comprenda los gastos directos e inmediatos que debió cubrir la víctima</w:t>
      </w:r>
      <w:r w:rsidR="002E2199" w:rsidRPr="00975C02">
        <w:rPr>
          <w:rFonts w:eastAsia="MS Mincho"/>
          <w:sz w:val="20"/>
          <w:szCs w:val="20"/>
          <w:lang w:val="es-ES" w:bidi="en-US"/>
        </w:rPr>
        <w:t>.</w:t>
      </w:r>
      <w:r w:rsidRPr="00975C02">
        <w:rPr>
          <w:rFonts w:eastAsia="MS Mincho"/>
          <w:sz w:val="20"/>
          <w:szCs w:val="20"/>
          <w:lang w:val="es-ES" w:bidi="en-US"/>
        </w:rPr>
        <w:t xml:space="preserve"> </w:t>
      </w:r>
      <w:r w:rsidR="002E2199" w:rsidRPr="00975C02">
        <w:rPr>
          <w:rFonts w:eastAsia="MS Mincho"/>
          <w:sz w:val="20"/>
          <w:szCs w:val="20"/>
          <w:lang w:val="es-ES" w:bidi="en-US"/>
        </w:rPr>
        <w:t>A</w:t>
      </w:r>
      <w:r w:rsidRPr="00975C02">
        <w:rPr>
          <w:rFonts w:eastAsia="MS Mincho"/>
          <w:sz w:val="20"/>
          <w:szCs w:val="20"/>
          <w:lang w:val="es-ES" w:bidi="en-US"/>
        </w:rPr>
        <w:t xml:space="preserve">demás, </w:t>
      </w:r>
      <w:r w:rsidR="002E2199" w:rsidRPr="00975C02">
        <w:rPr>
          <w:rFonts w:eastAsia="MS Mincho"/>
          <w:sz w:val="20"/>
          <w:szCs w:val="20"/>
          <w:lang w:val="es-ES" w:bidi="en-US"/>
        </w:rPr>
        <w:t xml:space="preserve">requirió </w:t>
      </w:r>
      <w:r w:rsidRPr="00975C02">
        <w:rPr>
          <w:rFonts w:eastAsia="MS Mincho"/>
          <w:sz w:val="20"/>
          <w:szCs w:val="20"/>
          <w:lang w:val="es-ES" w:bidi="en-US"/>
        </w:rPr>
        <w:t xml:space="preserve">que los desembolsos alegados sean corroborados mediante documentos o facturas, rechazando los gastos médicos argüidos sin soporte probatorio. </w:t>
      </w:r>
      <w:r w:rsidR="002E2199" w:rsidRPr="00975C02">
        <w:rPr>
          <w:rFonts w:eastAsia="MS Mincho"/>
          <w:sz w:val="20"/>
          <w:szCs w:val="20"/>
          <w:lang w:val="es-ES" w:bidi="en-US"/>
        </w:rPr>
        <w:t>El Estado a</w:t>
      </w:r>
      <w:r w:rsidRPr="00975C02">
        <w:rPr>
          <w:rFonts w:eastAsia="MS Mincho"/>
          <w:sz w:val="20"/>
          <w:szCs w:val="20"/>
          <w:lang w:val="es-ES" w:bidi="en-US"/>
        </w:rPr>
        <w:t>dujo que si bien exist</w:t>
      </w:r>
      <w:r w:rsidR="002E2199" w:rsidRPr="00975C02">
        <w:rPr>
          <w:rFonts w:eastAsia="MS Mincho"/>
          <w:sz w:val="20"/>
          <w:szCs w:val="20"/>
          <w:lang w:val="es-ES" w:bidi="en-US"/>
        </w:rPr>
        <w:t>ía</w:t>
      </w:r>
      <w:r w:rsidRPr="00975C02">
        <w:rPr>
          <w:rFonts w:eastAsia="MS Mincho"/>
          <w:sz w:val="20"/>
          <w:szCs w:val="20"/>
          <w:lang w:val="es-ES" w:bidi="en-US"/>
        </w:rPr>
        <w:t xml:space="preserve"> jurisprudencia en la que se señaló que la falta de comprobante no p</w:t>
      </w:r>
      <w:r w:rsidR="002E2199" w:rsidRPr="00975C02">
        <w:rPr>
          <w:rFonts w:eastAsia="MS Mincho"/>
          <w:sz w:val="20"/>
          <w:szCs w:val="20"/>
          <w:lang w:val="es-ES" w:bidi="en-US"/>
        </w:rPr>
        <w:t>odía</w:t>
      </w:r>
      <w:r w:rsidRPr="00975C02">
        <w:rPr>
          <w:rFonts w:eastAsia="MS Mincho"/>
          <w:sz w:val="20"/>
          <w:szCs w:val="20"/>
          <w:lang w:val="es-ES" w:bidi="en-US"/>
        </w:rPr>
        <w:t xml:space="preserve"> ser causal de rechazo de un justo resarcimiento, ello se dio por razones excepcionales, por lo que pidió que esa excepción no se convierta en regla dado que la naturaleza de la Corte no es fijar indemnizaciones que sean impagables. Además, no consideró lógico que existan comprobantes o recibos de algunos gastos y de otros no, o que existan recibos de gastos realizados con mucho tiempo de anticipa</w:t>
      </w:r>
      <w:r w:rsidR="00252E46" w:rsidRPr="00975C02">
        <w:rPr>
          <w:rFonts w:eastAsia="MS Mincho"/>
          <w:sz w:val="20"/>
          <w:szCs w:val="20"/>
          <w:lang w:val="es-ES" w:bidi="en-US"/>
        </w:rPr>
        <w:t>ción y no de los más recientes.</w:t>
      </w:r>
    </w:p>
    <w:p w14:paraId="04E9D2FC" w14:textId="77777777" w:rsidR="009D661E" w:rsidRPr="00975C02" w:rsidRDefault="009D661E" w:rsidP="009D661E">
      <w:pPr>
        <w:pStyle w:val="ListParagraph"/>
        <w:spacing w:line="240" w:lineRule="auto"/>
        <w:rPr>
          <w:rFonts w:eastAsia="MS Mincho"/>
          <w:sz w:val="20"/>
          <w:szCs w:val="20"/>
          <w:lang w:val="es-ES" w:bidi="en-US"/>
        </w:rPr>
      </w:pPr>
    </w:p>
    <w:p w14:paraId="194FB76F" w14:textId="49C054FF" w:rsidR="002E2199" w:rsidRPr="00975C02" w:rsidRDefault="002E2199" w:rsidP="002E2199">
      <w:pPr>
        <w:numPr>
          <w:ilvl w:val="0"/>
          <w:numId w:val="2"/>
        </w:numPr>
        <w:tabs>
          <w:tab w:val="left" w:pos="567"/>
          <w:tab w:val="num" w:pos="5057"/>
        </w:tabs>
        <w:spacing w:line="240" w:lineRule="auto"/>
        <w:ind w:left="0" w:firstLine="0"/>
        <w:rPr>
          <w:rFonts w:eastAsia="MS Mincho" w:cs="Verdana"/>
          <w:sz w:val="20"/>
          <w:szCs w:val="20"/>
          <w:lang w:val="es-ES" w:bidi="en-US"/>
        </w:rPr>
      </w:pPr>
      <w:r w:rsidRPr="00975C02">
        <w:rPr>
          <w:rFonts w:eastAsia="Verdana" w:cs="Verdana"/>
          <w:sz w:val="20"/>
          <w:szCs w:val="20"/>
          <w:lang w:val="es-ES"/>
        </w:rPr>
        <w:t>En</w:t>
      </w:r>
      <w:r w:rsidRPr="00975C02">
        <w:rPr>
          <w:sz w:val="20"/>
          <w:lang w:val="es-ES"/>
        </w:rPr>
        <w:t xml:space="preserve"> </w:t>
      </w:r>
      <w:r w:rsidRPr="00975C02">
        <w:rPr>
          <w:rFonts w:eastAsia="Calibri"/>
          <w:spacing w:val="-2"/>
          <w:sz w:val="20"/>
          <w:szCs w:val="20"/>
          <w:lang w:val="es-ES"/>
        </w:rPr>
        <w:t>relación</w:t>
      </w:r>
      <w:r w:rsidRPr="00975C02">
        <w:rPr>
          <w:rFonts w:eastAsia="MS Mincho" w:cs="Arial"/>
          <w:sz w:val="20"/>
          <w:szCs w:val="20"/>
          <w:lang w:val="es-ES" w:bidi="en-US"/>
        </w:rPr>
        <w:t xml:space="preserve"> con el daño emergente, la Corte advierte que las representantes basaron el monto solicitado en</w:t>
      </w:r>
      <w:r w:rsidRPr="00975C02">
        <w:rPr>
          <w:rFonts w:eastAsia="MS Mincho" w:cs="Verdana"/>
          <w:sz w:val="20"/>
          <w:szCs w:val="20"/>
          <w:lang w:val="es-ES" w:bidi="en-US"/>
        </w:rPr>
        <w:t xml:space="preserve"> una serie de gastos desembolsados por la señora V.P.C., derivados de las violaciones de derechos humanos declaradas en la presente Sentencia. Entre estos se encuentran: </w:t>
      </w:r>
      <w:r w:rsidR="009D661E" w:rsidRPr="00975C02">
        <w:rPr>
          <w:rFonts w:eastAsia="MS Mincho"/>
          <w:sz w:val="20"/>
          <w:szCs w:val="20"/>
          <w:lang w:val="es-ES" w:bidi="en-US"/>
        </w:rPr>
        <w:t>a) gastos de atención médica por los daños físicos</w:t>
      </w:r>
      <w:r w:rsidRPr="00975C02">
        <w:rPr>
          <w:rFonts w:eastAsia="MS Mincho"/>
          <w:sz w:val="20"/>
          <w:szCs w:val="20"/>
          <w:lang w:val="es-ES" w:bidi="en-US"/>
        </w:rPr>
        <w:t xml:space="preserve"> y psicológicos, así como por las </w:t>
      </w:r>
      <w:r w:rsidR="009D661E" w:rsidRPr="00975C02">
        <w:rPr>
          <w:rFonts w:eastAsia="MS Mincho"/>
          <w:sz w:val="20"/>
          <w:szCs w:val="20"/>
          <w:lang w:val="es-ES" w:bidi="en-US"/>
        </w:rPr>
        <w:t>enfermedades sufridas por su hija V.R.P.; b) gastos derivados del proceso penal por violación sexual; c) gastos por las quejas y denuncias interpuestas contra los funcionarios y servidores públicos intervinientes que provocaron las diferentes irregularidades en el proceso penal</w:t>
      </w:r>
      <w:r w:rsidRPr="00975C02">
        <w:rPr>
          <w:rFonts w:eastAsia="MS Mincho"/>
          <w:sz w:val="20"/>
          <w:szCs w:val="20"/>
          <w:lang w:val="es-ES" w:bidi="en-US"/>
        </w:rPr>
        <w:t>;</w:t>
      </w:r>
      <w:r w:rsidR="009D661E" w:rsidRPr="00975C02">
        <w:rPr>
          <w:rFonts w:eastAsia="MS Mincho"/>
          <w:sz w:val="20"/>
          <w:szCs w:val="20"/>
          <w:lang w:val="es-ES" w:bidi="en-US"/>
        </w:rPr>
        <w:t xml:space="preserve"> d) gastos por la salida de Nicaragua y el establecimiento de su residencia y la de sus dos hijas en Estados Unidos</w:t>
      </w:r>
      <w:r w:rsidR="00237A68" w:rsidRPr="00975C02">
        <w:rPr>
          <w:rFonts w:eastAsia="MS Mincho"/>
          <w:sz w:val="20"/>
          <w:szCs w:val="20"/>
          <w:lang w:val="es-ES" w:bidi="en-US"/>
        </w:rPr>
        <w:t>, y</w:t>
      </w:r>
      <w:r w:rsidR="009D661E" w:rsidRPr="00975C02">
        <w:rPr>
          <w:rFonts w:eastAsia="MS Mincho"/>
          <w:sz w:val="20"/>
          <w:szCs w:val="20"/>
          <w:lang w:val="es-ES" w:bidi="en-US"/>
        </w:rPr>
        <w:t xml:space="preserve"> e) gastos derivados de la denuncia y el desarrollo del caso ante el sistema interamericano.</w:t>
      </w:r>
      <w:r w:rsidRPr="00975C02">
        <w:rPr>
          <w:rFonts w:eastAsia="MS Mincho" w:cs="Arial"/>
          <w:sz w:val="20"/>
          <w:szCs w:val="20"/>
          <w:lang w:val="es-ES" w:bidi="en-US"/>
        </w:rPr>
        <w:t xml:space="preserve"> La Corte considerará bajo el rubro de daño emergente los gastos </w:t>
      </w:r>
      <w:r w:rsidR="00CA0DA6" w:rsidRPr="00975C02">
        <w:rPr>
          <w:rFonts w:eastAsia="MS Mincho" w:cs="Arial"/>
          <w:sz w:val="20"/>
          <w:szCs w:val="20"/>
          <w:lang w:val="es-ES" w:bidi="en-US"/>
        </w:rPr>
        <w:t xml:space="preserve">incurridos por la señora V.P.C. que </w:t>
      </w:r>
      <w:r w:rsidR="00853A92" w:rsidRPr="00975C02">
        <w:rPr>
          <w:rFonts w:eastAsia="MS Mincho" w:cs="Arial"/>
          <w:sz w:val="20"/>
          <w:szCs w:val="20"/>
          <w:lang w:val="es-ES" w:bidi="en-US"/>
        </w:rPr>
        <w:t xml:space="preserve">no </w:t>
      </w:r>
      <w:r w:rsidR="00CA0DA6" w:rsidRPr="00975C02">
        <w:rPr>
          <w:rFonts w:eastAsia="MS Mincho" w:cs="Arial"/>
          <w:sz w:val="20"/>
          <w:szCs w:val="20"/>
          <w:lang w:val="es-ES" w:bidi="en-US"/>
        </w:rPr>
        <w:t xml:space="preserve">estén relacionados con </w:t>
      </w:r>
      <w:r w:rsidRPr="00975C02">
        <w:rPr>
          <w:rFonts w:eastAsia="MS Mincho" w:cs="Arial"/>
          <w:sz w:val="20"/>
          <w:szCs w:val="20"/>
          <w:lang w:val="es-ES" w:bidi="en-US"/>
        </w:rPr>
        <w:t>los gastos relativos a la tramitación del caso</w:t>
      </w:r>
      <w:r w:rsidR="00CA0DA6" w:rsidRPr="00975C02">
        <w:rPr>
          <w:rFonts w:eastAsia="MS Mincho" w:cs="Arial"/>
          <w:sz w:val="20"/>
          <w:szCs w:val="20"/>
          <w:lang w:val="es-ES" w:bidi="en-US"/>
        </w:rPr>
        <w:t>, los cuales</w:t>
      </w:r>
      <w:r w:rsidRPr="00975C02">
        <w:rPr>
          <w:rFonts w:eastAsia="MS Mincho" w:cs="Arial"/>
          <w:sz w:val="20"/>
          <w:szCs w:val="20"/>
          <w:lang w:val="es-ES" w:bidi="en-US"/>
        </w:rPr>
        <w:t xml:space="preserve"> serán analizados bajo el concepto de costas y gastos (</w:t>
      </w:r>
      <w:r w:rsidRPr="00975C02">
        <w:rPr>
          <w:rFonts w:eastAsia="MS Mincho" w:cs="Arial"/>
          <w:i/>
          <w:sz w:val="20"/>
          <w:szCs w:val="20"/>
          <w:lang w:val="es-ES" w:bidi="en-US"/>
        </w:rPr>
        <w:t>infra</w:t>
      </w:r>
      <w:r w:rsidR="00CA0DA6" w:rsidRPr="00975C02">
        <w:rPr>
          <w:rFonts w:eastAsia="MS Mincho" w:cs="Arial"/>
          <w:sz w:val="20"/>
          <w:szCs w:val="20"/>
          <w:lang w:val="es-ES" w:bidi="en-US"/>
        </w:rPr>
        <w:t xml:space="preserve"> párr. </w:t>
      </w:r>
      <w:r w:rsidR="00FC7260" w:rsidRPr="00975C02">
        <w:rPr>
          <w:rFonts w:eastAsia="MS Mincho" w:cs="Arial"/>
          <w:sz w:val="20"/>
          <w:szCs w:val="20"/>
          <w:lang w:val="es-ES" w:bidi="en-US"/>
        </w:rPr>
        <w:t>432</w:t>
      </w:r>
      <w:r w:rsidRPr="00975C02">
        <w:rPr>
          <w:rFonts w:eastAsia="MS Mincho" w:cs="Arial"/>
          <w:sz w:val="20"/>
          <w:szCs w:val="20"/>
          <w:lang w:val="es-ES" w:bidi="en-US"/>
        </w:rPr>
        <w:t>).</w:t>
      </w:r>
    </w:p>
    <w:p w14:paraId="223CE568" w14:textId="77777777" w:rsidR="00CA0DA6" w:rsidRPr="00975C02" w:rsidRDefault="00CA0DA6" w:rsidP="00DF3D71">
      <w:pPr>
        <w:tabs>
          <w:tab w:val="left" w:pos="567"/>
        </w:tabs>
        <w:spacing w:line="240" w:lineRule="auto"/>
        <w:rPr>
          <w:rFonts w:eastAsia="MS Mincho" w:cs="Verdana"/>
          <w:sz w:val="20"/>
          <w:szCs w:val="20"/>
          <w:lang w:val="es-ES" w:bidi="en-US"/>
        </w:rPr>
      </w:pPr>
    </w:p>
    <w:p w14:paraId="15399695" w14:textId="3C652732" w:rsidR="009D661E" w:rsidRPr="00975C02" w:rsidRDefault="009D661E" w:rsidP="00DF3D71">
      <w:pPr>
        <w:numPr>
          <w:ilvl w:val="0"/>
          <w:numId w:val="2"/>
        </w:numPr>
        <w:tabs>
          <w:tab w:val="left" w:pos="567"/>
          <w:tab w:val="num" w:pos="5057"/>
        </w:tabs>
        <w:spacing w:line="240" w:lineRule="auto"/>
        <w:ind w:left="0" w:firstLine="0"/>
        <w:textAlignment w:val="auto"/>
        <w:rPr>
          <w:b/>
          <w:bCs/>
          <w:sz w:val="20"/>
          <w:szCs w:val="20"/>
          <w:lang w:val="es-ES"/>
        </w:rPr>
      </w:pPr>
      <w:r w:rsidRPr="00975C02">
        <w:rPr>
          <w:rFonts w:eastAsia="MS Mincho"/>
          <w:sz w:val="20"/>
          <w:szCs w:val="20"/>
          <w:lang w:val="es-ES" w:bidi="en-US"/>
        </w:rPr>
        <w:t xml:space="preserve">En consecuencia, </w:t>
      </w:r>
      <w:r w:rsidR="00CA0DA6" w:rsidRPr="00975C02">
        <w:rPr>
          <w:rFonts w:eastAsia="MS Mincho"/>
          <w:sz w:val="20"/>
          <w:szCs w:val="20"/>
          <w:lang w:val="es-ES" w:bidi="en-US"/>
        </w:rPr>
        <w:t xml:space="preserve">si bien el monto comprobado </w:t>
      </w:r>
      <w:r w:rsidR="00CA0DA6" w:rsidRPr="00975C02">
        <w:rPr>
          <w:rFonts w:eastAsia="MS Mincho" w:cs="Verdana"/>
          <w:sz w:val="20"/>
          <w:szCs w:val="20"/>
          <w:lang w:val="es-ES" w:bidi="en-US"/>
        </w:rPr>
        <w:t>en el expediente ante esta Corte</w:t>
      </w:r>
      <w:r w:rsidR="00CA0DA6" w:rsidRPr="00975C02">
        <w:rPr>
          <w:rFonts w:eastAsia="Calibri"/>
          <w:sz w:val="20"/>
          <w:szCs w:val="20"/>
          <w:lang w:val="es-ES"/>
        </w:rPr>
        <w:t xml:space="preserve"> asciende a la suma de US$ 2</w:t>
      </w:r>
      <w:r w:rsidR="00237A68" w:rsidRPr="00975C02">
        <w:rPr>
          <w:rFonts w:eastAsia="Calibri"/>
          <w:sz w:val="20"/>
          <w:szCs w:val="20"/>
          <w:lang w:val="es-ES"/>
        </w:rPr>
        <w:t>.</w:t>
      </w:r>
      <w:r w:rsidR="005E0BD0" w:rsidRPr="00975C02">
        <w:rPr>
          <w:rFonts w:eastAsia="Calibri"/>
          <w:sz w:val="20"/>
          <w:szCs w:val="20"/>
          <w:lang w:val="es-ES"/>
        </w:rPr>
        <w:t>13</w:t>
      </w:r>
      <w:r w:rsidR="00C742FD" w:rsidRPr="00975C02">
        <w:rPr>
          <w:rFonts w:eastAsia="Calibri"/>
          <w:sz w:val="20"/>
          <w:szCs w:val="20"/>
          <w:lang w:val="es-ES"/>
        </w:rPr>
        <w:t>1</w:t>
      </w:r>
      <w:r w:rsidR="00237A68" w:rsidRPr="00975C02">
        <w:rPr>
          <w:rFonts w:eastAsia="Calibri"/>
          <w:sz w:val="20"/>
          <w:szCs w:val="20"/>
          <w:lang w:val="es-ES"/>
        </w:rPr>
        <w:t>,</w:t>
      </w:r>
      <w:r w:rsidR="005E0BD0" w:rsidRPr="00975C02">
        <w:rPr>
          <w:rFonts w:eastAsia="Calibri"/>
          <w:sz w:val="20"/>
          <w:szCs w:val="20"/>
          <w:lang w:val="es-ES"/>
        </w:rPr>
        <w:t>26</w:t>
      </w:r>
      <w:r w:rsidR="00C742FD" w:rsidRPr="00975C02">
        <w:rPr>
          <w:rFonts w:eastAsia="Calibri"/>
          <w:sz w:val="20"/>
          <w:szCs w:val="20"/>
          <w:lang w:val="es-ES"/>
        </w:rPr>
        <w:t xml:space="preserve"> (dos mil ciento treinta y uno con 26/100 dólares de los Estados Unidos de América)</w:t>
      </w:r>
      <w:r w:rsidR="00CA0DA6" w:rsidRPr="00975C02">
        <w:rPr>
          <w:rFonts w:eastAsia="Calibri"/>
          <w:sz w:val="20"/>
          <w:szCs w:val="20"/>
          <w:lang w:val="es-ES"/>
        </w:rPr>
        <w:t xml:space="preserve">, </w:t>
      </w:r>
      <w:r w:rsidRPr="00975C02">
        <w:rPr>
          <w:rFonts w:eastAsia="Calibri"/>
          <w:sz w:val="20"/>
          <w:szCs w:val="20"/>
          <w:lang w:val="es-ES"/>
        </w:rPr>
        <w:t>la Corte</w:t>
      </w:r>
      <w:r w:rsidR="00CA0DA6" w:rsidRPr="00975C02">
        <w:rPr>
          <w:rFonts w:eastAsia="Calibri"/>
          <w:sz w:val="20"/>
          <w:szCs w:val="20"/>
          <w:lang w:val="es-ES"/>
        </w:rPr>
        <w:t xml:space="preserve"> estima razonable presumir que la señora V.P.C. incurrió en gastos adicionales derivados de las violaciones de derechos humanos cometidas por el Estado en el presente caso. En este sentido, la Corte considera razonable ordenar el pago de la suma de </w:t>
      </w:r>
      <w:r w:rsidRPr="00975C02">
        <w:rPr>
          <w:rFonts w:eastAsia="Calibri"/>
          <w:sz w:val="20"/>
          <w:szCs w:val="20"/>
          <w:lang w:val="es-ES"/>
        </w:rPr>
        <w:t>US$</w:t>
      </w:r>
      <w:r w:rsidR="00237A68" w:rsidRPr="00975C02">
        <w:rPr>
          <w:rFonts w:eastAsia="Calibri"/>
          <w:sz w:val="20"/>
          <w:szCs w:val="20"/>
          <w:lang w:val="es-ES"/>
        </w:rPr>
        <w:t xml:space="preserve"> </w:t>
      </w:r>
      <w:r w:rsidR="00C56643" w:rsidRPr="00975C02">
        <w:rPr>
          <w:rFonts w:eastAsia="Calibri"/>
          <w:sz w:val="20"/>
          <w:szCs w:val="20"/>
          <w:lang w:val="es-ES"/>
        </w:rPr>
        <w:t>7</w:t>
      </w:r>
      <w:r w:rsidR="00237A68" w:rsidRPr="00975C02">
        <w:rPr>
          <w:rFonts w:eastAsia="Calibri"/>
          <w:sz w:val="20"/>
          <w:szCs w:val="20"/>
          <w:lang w:val="es-ES"/>
        </w:rPr>
        <w:t>.</w:t>
      </w:r>
      <w:r w:rsidR="00CA0DA6" w:rsidRPr="00975C02">
        <w:rPr>
          <w:rFonts w:eastAsia="Calibri"/>
          <w:sz w:val="20"/>
          <w:szCs w:val="20"/>
          <w:lang w:val="es-ES"/>
        </w:rPr>
        <w:t>000</w:t>
      </w:r>
      <w:r w:rsidR="00237A68" w:rsidRPr="00975C02">
        <w:rPr>
          <w:rFonts w:eastAsia="Calibri"/>
          <w:sz w:val="20"/>
          <w:szCs w:val="20"/>
          <w:lang w:val="es-ES"/>
        </w:rPr>
        <w:t>,00</w:t>
      </w:r>
      <w:r w:rsidRPr="00975C02">
        <w:rPr>
          <w:rFonts w:eastAsia="Calibri"/>
          <w:sz w:val="20"/>
          <w:szCs w:val="20"/>
          <w:lang w:val="es-ES"/>
        </w:rPr>
        <w:t xml:space="preserve"> (</w:t>
      </w:r>
      <w:r w:rsidR="00C56643" w:rsidRPr="00975C02">
        <w:rPr>
          <w:rFonts w:eastAsia="Calibri"/>
          <w:sz w:val="20"/>
          <w:szCs w:val="20"/>
          <w:lang w:val="es-ES"/>
        </w:rPr>
        <w:t>siete</w:t>
      </w:r>
      <w:r w:rsidR="00CA0DA6" w:rsidRPr="00975C02">
        <w:rPr>
          <w:rFonts w:eastAsia="Calibri"/>
          <w:sz w:val="20"/>
          <w:szCs w:val="20"/>
          <w:lang w:val="es-ES"/>
        </w:rPr>
        <w:t xml:space="preserve"> mil</w:t>
      </w:r>
      <w:r w:rsidRPr="00975C02">
        <w:rPr>
          <w:rFonts w:eastAsia="Calibri"/>
          <w:sz w:val="20"/>
          <w:szCs w:val="20"/>
          <w:lang w:val="es-ES"/>
        </w:rPr>
        <w:t xml:space="preserve"> dólares de los Estados Unidos de América)</w:t>
      </w:r>
      <w:r w:rsidR="00CA0DA6" w:rsidRPr="00975C02">
        <w:rPr>
          <w:bCs/>
          <w:sz w:val="20"/>
          <w:szCs w:val="20"/>
          <w:lang w:val="es-ES"/>
        </w:rPr>
        <w:t xml:space="preserve">, por </w:t>
      </w:r>
      <w:r w:rsidR="00CA0DA6" w:rsidRPr="00975C02">
        <w:rPr>
          <w:rFonts w:eastAsia="MS Mincho"/>
          <w:bCs/>
          <w:sz w:val="20"/>
          <w:szCs w:val="20"/>
          <w:lang w:val="es-ES" w:eastAsia="en-US" w:bidi="en-US"/>
        </w:rPr>
        <w:t xml:space="preserve">concepto de daño emergente, </w:t>
      </w:r>
      <w:r w:rsidR="00FB3DFF" w:rsidRPr="00975C02">
        <w:rPr>
          <w:sz w:val="20"/>
          <w:lang w:val="es-ES"/>
        </w:rPr>
        <w:t>el</w:t>
      </w:r>
      <w:r w:rsidR="00CA0DA6" w:rsidRPr="00975C02">
        <w:rPr>
          <w:sz w:val="20"/>
          <w:lang w:val="es-ES"/>
        </w:rPr>
        <w:t xml:space="preserve"> que deberá ser </w:t>
      </w:r>
      <w:r w:rsidR="00FB3DFF" w:rsidRPr="00975C02">
        <w:rPr>
          <w:sz w:val="20"/>
          <w:lang w:val="es-ES"/>
        </w:rPr>
        <w:t>pagado</w:t>
      </w:r>
      <w:r w:rsidR="00CA0DA6" w:rsidRPr="00975C02">
        <w:rPr>
          <w:sz w:val="20"/>
          <w:lang w:val="es-ES"/>
        </w:rPr>
        <w:t xml:space="preserve"> a </w:t>
      </w:r>
      <w:r w:rsidR="00C56643" w:rsidRPr="00975C02">
        <w:rPr>
          <w:sz w:val="20"/>
          <w:lang w:val="es-ES"/>
        </w:rPr>
        <w:t xml:space="preserve">favor de </w:t>
      </w:r>
      <w:r w:rsidR="00CA0DA6" w:rsidRPr="00975C02">
        <w:rPr>
          <w:sz w:val="20"/>
          <w:lang w:val="es-ES"/>
        </w:rPr>
        <w:t xml:space="preserve">la señora V.P.C. </w:t>
      </w:r>
    </w:p>
    <w:p w14:paraId="5D5296C3" w14:textId="77777777" w:rsidR="009D661E" w:rsidRPr="00975C02" w:rsidRDefault="009D661E" w:rsidP="009D661E">
      <w:pPr>
        <w:tabs>
          <w:tab w:val="left" w:pos="567"/>
        </w:tabs>
        <w:autoSpaceDE w:val="0"/>
        <w:autoSpaceDN w:val="0"/>
        <w:spacing w:line="240" w:lineRule="auto"/>
        <w:outlineLvl w:val="2"/>
        <w:rPr>
          <w:rFonts w:eastAsia="Calibri"/>
          <w:b/>
          <w:i/>
          <w:sz w:val="20"/>
          <w:szCs w:val="20"/>
          <w:lang w:val="es-ES"/>
        </w:rPr>
      </w:pPr>
    </w:p>
    <w:p w14:paraId="446E9F5D" w14:textId="77777777" w:rsidR="009D661E" w:rsidRPr="00975C02" w:rsidRDefault="009D661E" w:rsidP="002C415B">
      <w:pPr>
        <w:numPr>
          <w:ilvl w:val="0"/>
          <w:numId w:val="12"/>
        </w:numPr>
        <w:spacing w:line="240" w:lineRule="auto"/>
        <w:rPr>
          <w:i/>
          <w:iCs/>
          <w:sz w:val="20"/>
          <w:szCs w:val="20"/>
          <w:lang w:val="es-ES"/>
        </w:rPr>
      </w:pPr>
      <w:r w:rsidRPr="00975C02">
        <w:rPr>
          <w:i/>
          <w:iCs/>
          <w:sz w:val="20"/>
          <w:szCs w:val="20"/>
          <w:lang w:val="es-ES"/>
        </w:rPr>
        <w:t>Pérdida de ingresos</w:t>
      </w:r>
    </w:p>
    <w:p w14:paraId="62E49B88" w14:textId="77777777" w:rsidR="009D661E" w:rsidRPr="00975C02" w:rsidRDefault="009D661E" w:rsidP="009D661E">
      <w:pPr>
        <w:tabs>
          <w:tab w:val="left" w:pos="0"/>
          <w:tab w:val="num" w:pos="12305"/>
        </w:tabs>
        <w:spacing w:line="240" w:lineRule="auto"/>
        <w:ind w:right="-90"/>
        <w:rPr>
          <w:rFonts w:eastAsia="Calibri"/>
          <w:b/>
          <w:i/>
          <w:sz w:val="20"/>
          <w:szCs w:val="20"/>
          <w:lang w:val="es-ES"/>
        </w:rPr>
      </w:pPr>
    </w:p>
    <w:p w14:paraId="772FAE0F" w14:textId="15BF9B28"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Verdana" w:cs="Verdana"/>
          <w:sz w:val="20"/>
          <w:szCs w:val="20"/>
          <w:lang w:val="es-ES"/>
        </w:rPr>
        <w:t xml:space="preserve">Las </w:t>
      </w:r>
      <w:r w:rsidRPr="00975C02">
        <w:rPr>
          <w:rFonts w:eastAsia="Verdana" w:cs="Verdana"/>
          <w:b/>
          <w:i/>
          <w:sz w:val="20"/>
          <w:szCs w:val="20"/>
          <w:lang w:val="es-ES"/>
        </w:rPr>
        <w:t>representantes</w:t>
      </w:r>
      <w:r w:rsidRPr="00975C02">
        <w:rPr>
          <w:rFonts w:eastAsia="Verdana" w:cs="Verdana"/>
          <w:sz w:val="20"/>
          <w:szCs w:val="20"/>
          <w:lang w:val="es-ES"/>
        </w:rPr>
        <w:t xml:space="preserve"> solicitaron a la Corte que orden</w:t>
      </w:r>
      <w:r w:rsidR="000155F6" w:rsidRPr="00975C02">
        <w:rPr>
          <w:rFonts w:eastAsia="Verdana" w:cs="Verdana"/>
          <w:sz w:val="20"/>
          <w:szCs w:val="20"/>
          <w:lang w:val="es-ES"/>
        </w:rPr>
        <w:t>ara</w:t>
      </w:r>
      <w:r w:rsidRPr="00975C02">
        <w:rPr>
          <w:rFonts w:eastAsia="Verdana" w:cs="Verdana"/>
          <w:sz w:val="20"/>
          <w:szCs w:val="20"/>
          <w:lang w:val="es-ES"/>
        </w:rPr>
        <w:t xml:space="preserve"> al Estado pagar a la peticionaria V.P.C., en un plazo </w:t>
      </w:r>
      <w:r w:rsidR="000155F6" w:rsidRPr="00975C02">
        <w:rPr>
          <w:rFonts w:eastAsia="Verdana" w:cs="Verdana"/>
          <w:sz w:val="20"/>
          <w:szCs w:val="20"/>
          <w:lang w:val="es-ES"/>
        </w:rPr>
        <w:t xml:space="preserve">de </w:t>
      </w:r>
      <w:r w:rsidRPr="00975C02">
        <w:rPr>
          <w:rFonts w:eastAsia="Verdana" w:cs="Verdana"/>
          <w:sz w:val="20"/>
          <w:szCs w:val="20"/>
          <w:lang w:val="es-ES"/>
        </w:rPr>
        <w:t>seis meses a partir de la notificación de la sentencia, la suma de US$ 34</w:t>
      </w:r>
      <w:r w:rsidR="000155F6" w:rsidRPr="00975C02">
        <w:rPr>
          <w:rFonts w:eastAsia="Verdana" w:cs="Verdana"/>
          <w:sz w:val="20"/>
          <w:szCs w:val="20"/>
          <w:lang w:val="es-ES"/>
        </w:rPr>
        <w:t>.</w:t>
      </w:r>
      <w:r w:rsidRPr="00975C02">
        <w:rPr>
          <w:rFonts w:eastAsia="Verdana" w:cs="Verdana"/>
          <w:sz w:val="20"/>
          <w:szCs w:val="20"/>
          <w:lang w:val="es-ES"/>
        </w:rPr>
        <w:t>183</w:t>
      </w:r>
      <w:r w:rsidR="000155F6" w:rsidRPr="00975C02">
        <w:rPr>
          <w:rFonts w:eastAsia="Verdana" w:cs="Verdana"/>
          <w:sz w:val="20"/>
          <w:szCs w:val="20"/>
          <w:lang w:val="es-ES"/>
        </w:rPr>
        <w:t>,</w:t>
      </w:r>
      <w:r w:rsidRPr="00975C02">
        <w:rPr>
          <w:rFonts w:eastAsia="Verdana" w:cs="Verdana"/>
          <w:sz w:val="20"/>
          <w:szCs w:val="20"/>
          <w:lang w:val="es-ES"/>
        </w:rPr>
        <w:t>09 por “concepto de daño material por lucro cesante”</w:t>
      </w:r>
      <w:r w:rsidR="001C0BD0" w:rsidRPr="00975C02">
        <w:rPr>
          <w:rFonts w:eastAsia="Verdana" w:cs="Verdana"/>
          <w:sz w:val="20"/>
          <w:szCs w:val="20"/>
          <w:lang w:val="es-ES"/>
        </w:rPr>
        <w:t>.</w:t>
      </w:r>
      <w:r w:rsidRPr="00975C02">
        <w:rPr>
          <w:rFonts w:eastAsia="Verdana" w:cs="Verdana"/>
          <w:sz w:val="20"/>
          <w:szCs w:val="20"/>
          <w:lang w:val="es-ES"/>
        </w:rPr>
        <w:t xml:space="preserve"> Adujeron que V.P.C. percibía una renta mensual ascendente a US$</w:t>
      </w:r>
      <w:r w:rsidR="000155F6" w:rsidRPr="00975C02">
        <w:rPr>
          <w:rFonts w:eastAsia="Verdana" w:cs="Verdana"/>
          <w:sz w:val="20"/>
          <w:szCs w:val="20"/>
          <w:lang w:val="es-ES"/>
        </w:rPr>
        <w:t xml:space="preserve"> </w:t>
      </w:r>
      <w:r w:rsidRPr="00975C02">
        <w:rPr>
          <w:rFonts w:eastAsia="Verdana" w:cs="Verdana"/>
          <w:sz w:val="20"/>
          <w:szCs w:val="20"/>
          <w:lang w:val="es-ES"/>
        </w:rPr>
        <w:t>600</w:t>
      </w:r>
      <w:r w:rsidR="000155F6" w:rsidRPr="00975C02">
        <w:rPr>
          <w:rFonts w:eastAsia="Verdana" w:cs="Verdana"/>
          <w:sz w:val="20"/>
          <w:szCs w:val="20"/>
          <w:lang w:val="es-ES"/>
        </w:rPr>
        <w:t>,</w:t>
      </w:r>
      <w:r w:rsidRPr="00975C02">
        <w:rPr>
          <w:rFonts w:eastAsia="Verdana" w:cs="Verdana"/>
          <w:sz w:val="20"/>
          <w:szCs w:val="20"/>
          <w:lang w:val="es-ES"/>
        </w:rPr>
        <w:t>00, más un salario por vacaciones y uno por aguinaldo, a lo que deb</w:t>
      </w:r>
      <w:r w:rsidR="00DD2713" w:rsidRPr="00975C02">
        <w:rPr>
          <w:rFonts w:eastAsia="Verdana" w:cs="Verdana"/>
          <w:sz w:val="20"/>
          <w:szCs w:val="20"/>
          <w:lang w:val="es-ES"/>
        </w:rPr>
        <w:t>i</w:t>
      </w:r>
      <w:r w:rsidRPr="00975C02">
        <w:rPr>
          <w:rFonts w:eastAsia="Verdana" w:cs="Verdana"/>
          <w:sz w:val="20"/>
          <w:szCs w:val="20"/>
          <w:lang w:val="es-ES"/>
        </w:rPr>
        <w:t>e</w:t>
      </w:r>
      <w:r w:rsidR="00DD2713" w:rsidRPr="00975C02">
        <w:rPr>
          <w:rFonts w:eastAsia="Verdana" w:cs="Verdana"/>
          <w:sz w:val="20"/>
          <w:szCs w:val="20"/>
          <w:lang w:val="es-ES"/>
        </w:rPr>
        <w:t>ra</w:t>
      </w:r>
      <w:r w:rsidRPr="00975C02">
        <w:rPr>
          <w:rFonts w:eastAsia="Verdana" w:cs="Verdana"/>
          <w:sz w:val="20"/>
          <w:szCs w:val="20"/>
          <w:lang w:val="es-ES"/>
        </w:rPr>
        <w:t xml:space="preserve"> agregarse un aproximado de US$</w:t>
      </w:r>
      <w:r w:rsidR="000155F6" w:rsidRPr="00975C02">
        <w:rPr>
          <w:rFonts w:eastAsia="Verdana" w:cs="Verdana"/>
          <w:sz w:val="20"/>
          <w:szCs w:val="20"/>
          <w:lang w:val="es-ES"/>
        </w:rPr>
        <w:t xml:space="preserve"> </w:t>
      </w:r>
      <w:r w:rsidRPr="00975C02">
        <w:rPr>
          <w:rFonts w:eastAsia="Verdana" w:cs="Verdana"/>
          <w:sz w:val="20"/>
          <w:szCs w:val="20"/>
          <w:lang w:val="es-ES"/>
        </w:rPr>
        <w:t>200</w:t>
      </w:r>
      <w:r w:rsidR="000155F6" w:rsidRPr="00975C02">
        <w:rPr>
          <w:rFonts w:eastAsia="Verdana" w:cs="Verdana"/>
          <w:sz w:val="20"/>
          <w:szCs w:val="20"/>
          <w:lang w:val="es-ES"/>
        </w:rPr>
        <w:t>,</w:t>
      </w:r>
      <w:r w:rsidRPr="00975C02">
        <w:rPr>
          <w:rFonts w:eastAsia="Verdana" w:cs="Verdana"/>
          <w:sz w:val="20"/>
          <w:szCs w:val="20"/>
          <w:lang w:val="es-ES"/>
        </w:rPr>
        <w:t>00 que recibía de manera informal de clientes para hacer diligencias judiciales; por ello pidieron que se tome como referencia para el cálculo del lucro cesante la suma de US$</w:t>
      </w:r>
      <w:r w:rsidR="000155F6" w:rsidRPr="00975C02">
        <w:rPr>
          <w:rFonts w:eastAsia="Verdana" w:cs="Verdana"/>
          <w:sz w:val="20"/>
          <w:szCs w:val="20"/>
          <w:lang w:val="es-ES"/>
        </w:rPr>
        <w:t xml:space="preserve"> </w:t>
      </w:r>
      <w:r w:rsidRPr="00975C02">
        <w:rPr>
          <w:rFonts w:eastAsia="Verdana" w:cs="Verdana"/>
          <w:sz w:val="20"/>
          <w:szCs w:val="20"/>
          <w:lang w:val="es-ES"/>
        </w:rPr>
        <w:t>800</w:t>
      </w:r>
      <w:r w:rsidR="000155F6" w:rsidRPr="00975C02">
        <w:rPr>
          <w:rFonts w:eastAsia="Verdana" w:cs="Verdana"/>
          <w:sz w:val="20"/>
          <w:szCs w:val="20"/>
          <w:lang w:val="es-ES"/>
        </w:rPr>
        <w:t>,</w:t>
      </w:r>
      <w:r w:rsidRPr="00975C02">
        <w:rPr>
          <w:rFonts w:eastAsia="Verdana" w:cs="Verdana"/>
          <w:sz w:val="20"/>
          <w:szCs w:val="20"/>
          <w:lang w:val="es-ES"/>
        </w:rPr>
        <w:t>00. Agregaron que la peticionaria se vio obligada a dejar su trabajo</w:t>
      </w:r>
      <w:r w:rsidR="00DD2713" w:rsidRPr="00975C02">
        <w:rPr>
          <w:rFonts w:eastAsia="Verdana" w:cs="Verdana"/>
          <w:sz w:val="20"/>
          <w:szCs w:val="20"/>
          <w:lang w:val="es-ES"/>
        </w:rPr>
        <w:t xml:space="preserve"> en</w:t>
      </w:r>
      <w:r w:rsidRPr="00975C02">
        <w:rPr>
          <w:rFonts w:eastAsia="Verdana" w:cs="Verdana"/>
          <w:sz w:val="20"/>
          <w:szCs w:val="20"/>
          <w:lang w:val="es-ES"/>
        </w:rPr>
        <w:t xml:space="preserve"> el mes de octubre de 2001, cuando se agravó la salud de V.R.P.</w:t>
      </w:r>
      <w:r w:rsidR="00DD2713" w:rsidRPr="00975C02">
        <w:rPr>
          <w:rFonts w:eastAsia="Verdana" w:cs="Verdana"/>
          <w:sz w:val="20"/>
          <w:szCs w:val="20"/>
          <w:lang w:val="es-ES"/>
        </w:rPr>
        <w:t xml:space="preserve"> Dicha</w:t>
      </w:r>
      <w:r w:rsidRPr="00975C02">
        <w:rPr>
          <w:rFonts w:eastAsia="Verdana" w:cs="Verdana"/>
          <w:sz w:val="20"/>
          <w:szCs w:val="20"/>
          <w:lang w:val="es-ES"/>
        </w:rPr>
        <w:t xml:space="preserve"> situación de desempleo que se extendió hasta el mes de diciembre de 2002, cuando salió de Nicaragua</w:t>
      </w:r>
      <w:r w:rsidR="00DD2713" w:rsidRPr="00975C02">
        <w:rPr>
          <w:rFonts w:eastAsia="Verdana" w:cs="Verdana"/>
          <w:sz w:val="20"/>
          <w:szCs w:val="20"/>
          <w:lang w:val="es-ES"/>
        </w:rPr>
        <w:t>. E</w:t>
      </w:r>
      <w:r w:rsidRPr="00975C02">
        <w:rPr>
          <w:rFonts w:eastAsia="Verdana" w:cs="Verdana"/>
          <w:sz w:val="20"/>
          <w:szCs w:val="20"/>
          <w:lang w:val="es-ES"/>
        </w:rPr>
        <w:t>n los Estados Unidos</w:t>
      </w:r>
      <w:r w:rsidR="00DD2713" w:rsidRPr="00975C02">
        <w:rPr>
          <w:rFonts w:eastAsia="Verdana" w:cs="Verdana"/>
          <w:sz w:val="20"/>
          <w:szCs w:val="20"/>
          <w:lang w:val="es-ES"/>
        </w:rPr>
        <w:t xml:space="preserve"> permaneció sin empleo</w:t>
      </w:r>
      <w:r w:rsidRPr="00975C02">
        <w:rPr>
          <w:rFonts w:eastAsia="Verdana" w:cs="Verdana"/>
          <w:sz w:val="20"/>
          <w:szCs w:val="20"/>
          <w:lang w:val="es-ES"/>
        </w:rPr>
        <w:t xml:space="preserve"> hasta el mes de octubre de 2004</w:t>
      </w:r>
      <w:r w:rsidR="001C0BD0" w:rsidRPr="00975C02">
        <w:rPr>
          <w:rFonts w:eastAsia="Verdana" w:cs="Verdana"/>
          <w:sz w:val="20"/>
          <w:szCs w:val="20"/>
          <w:lang w:val="es-ES"/>
        </w:rPr>
        <w:t>.</w:t>
      </w:r>
    </w:p>
    <w:p w14:paraId="5C86E7D4" w14:textId="77777777" w:rsidR="009D661E" w:rsidRPr="00975C02" w:rsidRDefault="009D661E" w:rsidP="009D661E">
      <w:pPr>
        <w:tabs>
          <w:tab w:val="left" w:pos="567"/>
        </w:tabs>
        <w:spacing w:line="240" w:lineRule="auto"/>
        <w:rPr>
          <w:rFonts w:eastAsia="Calibri"/>
          <w:sz w:val="20"/>
          <w:szCs w:val="20"/>
          <w:lang w:val="es-ES"/>
        </w:rPr>
      </w:pPr>
    </w:p>
    <w:p w14:paraId="3E788762" w14:textId="2E909D56"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Verdana" w:cs="Verdana"/>
          <w:bCs/>
          <w:sz w:val="20"/>
          <w:szCs w:val="20"/>
          <w:lang w:val="es-ES"/>
        </w:rPr>
        <w:t>El</w:t>
      </w:r>
      <w:r w:rsidRPr="00975C02">
        <w:rPr>
          <w:rFonts w:eastAsia="Verdana" w:cs="Verdana"/>
          <w:b/>
          <w:bCs/>
          <w:sz w:val="20"/>
          <w:szCs w:val="20"/>
          <w:lang w:val="es-ES"/>
        </w:rPr>
        <w:t xml:space="preserve"> </w:t>
      </w:r>
      <w:r w:rsidRPr="00975C02">
        <w:rPr>
          <w:rFonts w:eastAsia="Verdana" w:cs="Verdana"/>
          <w:b/>
          <w:bCs/>
          <w:i/>
          <w:sz w:val="20"/>
          <w:szCs w:val="20"/>
          <w:lang w:val="es-ES"/>
        </w:rPr>
        <w:t xml:space="preserve">Estado </w:t>
      </w:r>
      <w:r w:rsidRPr="00975C02">
        <w:rPr>
          <w:rFonts w:eastAsia="Verdana" w:cs="Verdana"/>
          <w:bCs/>
          <w:sz w:val="20"/>
          <w:szCs w:val="20"/>
          <w:lang w:val="es-ES"/>
        </w:rPr>
        <w:t xml:space="preserve">señaló que los datos presentados para calcular el monto solicitado carecen de </w:t>
      </w:r>
      <w:r w:rsidRPr="00975C02">
        <w:rPr>
          <w:rFonts w:eastAsia="Verdana" w:cs="Verdana"/>
          <w:bCs/>
          <w:sz w:val="20"/>
          <w:szCs w:val="20"/>
          <w:lang w:val="es-ES"/>
        </w:rPr>
        <w:lastRenderedPageBreak/>
        <w:t>sustento probatorio porque se acompaña una “constancia de un salario supuestamente percibido” y porque el monto indicado no es acorde al salario que una gestora o asistente de despacho percibía en la época, pues es superior al salario que percibían “los jueces o fiscales con 10 - 20 años aproximados de experiencia”</w:t>
      </w:r>
      <w:r w:rsidR="001C0BD0" w:rsidRPr="00975C02">
        <w:rPr>
          <w:rFonts w:eastAsia="Verdana" w:cs="Verdana"/>
          <w:bCs/>
          <w:sz w:val="20"/>
          <w:szCs w:val="20"/>
          <w:lang w:val="es-ES"/>
        </w:rPr>
        <w:t>.</w:t>
      </w:r>
      <w:r w:rsidRPr="00975C02">
        <w:rPr>
          <w:rFonts w:eastAsia="Verdana" w:cs="Verdana"/>
          <w:bCs/>
          <w:sz w:val="20"/>
          <w:szCs w:val="20"/>
          <w:lang w:val="es-ES"/>
        </w:rPr>
        <w:t xml:space="preserve"> Agregó que</w:t>
      </w:r>
      <w:r w:rsidR="00DD2713" w:rsidRPr="00975C02">
        <w:rPr>
          <w:rFonts w:eastAsia="Verdana" w:cs="Verdana"/>
          <w:bCs/>
          <w:sz w:val="20"/>
          <w:szCs w:val="20"/>
          <w:lang w:val="es-ES"/>
        </w:rPr>
        <w:t xml:space="preserve"> se</w:t>
      </w:r>
      <w:r w:rsidRPr="00975C02">
        <w:rPr>
          <w:rFonts w:eastAsia="Verdana" w:cs="Verdana"/>
          <w:bCs/>
          <w:sz w:val="20"/>
          <w:szCs w:val="20"/>
          <w:lang w:val="es-ES"/>
        </w:rPr>
        <w:t xml:space="preserve"> incluyó un adicional que no constituye salario y un “catorceavo que tampoco demostró con alguna colilla”</w:t>
      </w:r>
      <w:r w:rsidR="001C0BD0" w:rsidRPr="00975C02">
        <w:rPr>
          <w:rFonts w:eastAsia="Verdana" w:cs="Verdana"/>
          <w:bCs/>
          <w:sz w:val="20"/>
          <w:szCs w:val="20"/>
          <w:lang w:val="es-ES"/>
        </w:rPr>
        <w:t>.</w:t>
      </w:r>
    </w:p>
    <w:p w14:paraId="30EE8C80" w14:textId="77777777" w:rsidR="009D661E" w:rsidRPr="00975C02" w:rsidRDefault="009D661E" w:rsidP="009D661E">
      <w:pPr>
        <w:tabs>
          <w:tab w:val="left" w:pos="567"/>
        </w:tabs>
        <w:spacing w:line="240" w:lineRule="auto"/>
        <w:textAlignment w:val="auto"/>
        <w:rPr>
          <w:rFonts w:eastAsia="Calibri"/>
          <w:b/>
          <w:i/>
          <w:sz w:val="20"/>
          <w:szCs w:val="20"/>
          <w:lang w:val="es-ES"/>
        </w:rPr>
      </w:pPr>
    </w:p>
    <w:p w14:paraId="4A90D26E" w14:textId="4DC5729F"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Verdana" w:cs="Verdana"/>
          <w:bCs/>
          <w:sz w:val="20"/>
          <w:szCs w:val="20"/>
          <w:lang w:val="es-ES"/>
        </w:rPr>
        <w:t>Precisó, además, que en un caso anterior la Corte consideró, para la proyección de reparación, únicamente el 50% del salario de un profesional</w:t>
      </w:r>
      <w:r w:rsidR="00DD2713" w:rsidRPr="00975C02">
        <w:rPr>
          <w:rFonts w:eastAsia="Verdana" w:cs="Verdana"/>
          <w:bCs/>
          <w:sz w:val="20"/>
          <w:szCs w:val="20"/>
          <w:lang w:val="es-ES"/>
        </w:rPr>
        <w:t>.</w:t>
      </w:r>
      <w:r w:rsidRPr="00975C02">
        <w:rPr>
          <w:rFonts w:eastAsia="Verdana" w:cs="Verdana"/>
          <w:bCs/>
          <w:sz w:val="20"/>
          <w:szCs w:val="20"/>
          <w:lang w:val="es-ES"/>
        </w:rPr>
        <w:t xml:space="preserve"> </w:t>
      </w:r>
      <w:r w:rsidR="00DD2713" w:rsidRPr="00975C02">
        <w:rPr>
          <w:rFonts w:eastAsia="Verdana" w:cs="Verdana"/>
          <w:bCs/>
          <w:sz w:val="20"/>
          <w:szCs w:val="20"/>
          <w:lang w:val="es-ES"/>
        </w:rPr>
        <w:t>P</w:t>
      </w:r>
      <w:r w:rsidRPr="00975C02">
        <w:rPr>
          <w:rFonts w:eastAsia="Verdana" w:cs="Verdana"/>
          <w:bCs/>
          <w:sz w:val="20"/>
          <w:szCs w:val="20"/>
          <w:lang w:val="es-ES"/>
        </w:rPr>
        <w:t>or ello</w:t>
      </w:r>
      <w:r w:rsidR="00DD2713" w:rsidRPr="00975C02">
        <w:rPr>
          <w:rFonts w:eastAsia="Verdana" w:cs="Verdana"/>
          <w:bCs/>
          <w:sz w:val="20"/>
          <w:szCs w:val="20"/>
          <w:lang w:val="es-ES"/>
        </w:rPr>
        <w:t>,</w:t>
      </w:r>
      <w:r w:rsidRPr="00975C02">
        <w:rPr>
          <w:rFonts w:eastAsia="Verdana" w:cs="Verdana"/>
          <w:bCs/>
          <w:sz w:val="20"/>
          <w:szCs w:val="20"/>
          <w:lang w:val="es-ES"/>
        </w:rPr>
        <w:t xml:space="preserve"> solicitó que en el presente caso se realice el mismo ejercicio, es decir, se proyecte</w:t>
      </w:r>
      <w:r w:rsidR="00DD2713" w:rsidRPr="00975C02">
        <w:rPr>
          <w:rFonts w:eastAsia="Verdana" w:cs="Verdana"/>
          <w:bCs/>
          <w:sz w:val="20"/>
          <w:szCs w:val="20"/>
          <w:lang w:val="es-ES"/>
        </w:rPr>
        <w:t>n</w:t>
      </w:r>
      <w:r w:rsidRPr="00975C02">
        <w:rPr>
          <w:rFonts w:eastAsia="Verdana" w:cs="Verdana"/>
          <w:bCs/>
          <w:sz w:val="20"/>
          <w:szCs w:val="20"/>
          <w:lang w:val="es-ES"/>
        </w:rPr>
        <w:t xml:space="preserve"> las reparaciones a favor de V.P.C. como probable oficinista, sin título </w:t>
      </w:r>
      <w:r w:rsidR="006B4385" w:rsidRPr="00975C02">
        <w:rPr>
          <w:rFonts w:eastAsia="Verdana" w:cs="Verdana"/>
          <w:bCs/>
          <w:sz w:val="20"/>
          <w:szCs w:val="20"/>
          <w:lang w:val="es-ES"/>
        </w:rPr>
        <w:t>profesional, ni especialidad, con</w:t>
      </w:r>
      <w:r w:rsidRPr="00975C02">
        <w:rPr>
          <w:rFonts w:eastAsia="Verdana" w:cs="Verdana"/>
          <w:bCs/>
          <w:sz w:val="20"/>
          <w:szCs w:val="20"/>
          <w:lang w:val="es-ES"/>
        </w:rPr>
        <w:t xml:space="preserve"> base </w:t>
      </w:r>
      <w:r w:rsidR="006B4385" w:rsidRPr="00975C02">
        <w:rPr>
          <w:rFonts w:eastAsia="Verdana" w:cs="Verdana"/>
          <w:bCs/>
          <w:sz w:val="20"/>
          <w:szCs w:val="20"/>
          <w:lang w:val="es-ES"/>
        </w:rPr>
        <w:t>en</w:t>
      </w:r>
      <w:r w:rsidRPr="00975C02">
        <w:rPr>
          <w:rFonts w:eastAsia="Verdana" w:cs="Verdana"/>
          <w:bCs/>
          <w:sz w:val="20"/>
          <w:szCs w:val="20"/>
          <w:lang w:val="es-ES"/>
        </w:rPr>
        <w:t xml:space="preserve"> la suma de US$</w:t>
      </w:r>
      <w:r w:rsidR="00DD2713" w:rsidRPr="00975C02">
        <w:rPr>
          <w:rFonts w:eastAsia="Verdana" w:cs="Verdana"/>
          <w:bCs/>
          <w:sz w:val="20"/>
          <w:szCs w:val="20"/>
          <w:lang w:val="es-ES"/>
        </w:rPr>
        <w:t xml:space="preserve"> </w:t>
      </w:r>
      <w:r w:rsidRPr="00975C02">
        <w:rPr>
          <w:rFonts w:eastAsia="Verdana" w:cs="Verdana"/>
          <w:bCs/>
          <w:sz w:val="20"/>
          <w:szCs w:val="20"/>
          <w:lang w:val="es-ES"/>
        </w:rPr>
        <w:t>30</w:t>
      </w:r>
      <w:r w:rsidR="00DD2713" w:rsidRPr="00975C02">
        <w:rPr>
          <w:rFonts w:eastAsia="Verdana" w:cs="Verdana"/>
          <w:bCs/>
          <w:sz w:val="20"/>
          <w:szCs w:val="20"/>
          <w:lang w:val="es-ES"/>
        </w:rPr>
        <w:t>0,</w:t>
      </w:r>
      <w:r w:rsidRPr="00975C02">
        <w:rPr>
          <w:rFonts w:eastAsia="Verdana" w:cs="Verdana"/>
          <w:bCs/>
          <w:sz w:val="20"/>
          <w:szCs w:val="20"/>
          <w:lang w:val="es-ES"/>
        </w:rPr>
        <w:t xml:space="preserve">00, que equivale al 50% del monto indicado por las representantes de las presuntas víctimas como el salario básico que percibió la peticionante. Adujo, además, que según la legislación laboral de Nicaragua, todo trabajador tiene derecho a que el empleador le pague </w:t>
      </w:r>
      <w:r w:rsidR="005B592B" w:rsidRPr="00975C02">
        <w:rPr>
          <w:rFonts w:eastAsia="Verdana" w:cs="Verdana"/>
          <w:bCs/>
          <w:sz w:val="20"/>
          <w:szCs w:val="20"/>
          <w:lang w:val="es-ES"/>
        </w:rPr>
        <w:t>un</w:t>
      </w:r>
      <w:r w:rsidRPr="00975C02">
        <w:rPr>
          <w:rFonts w:eastAsia="Verdana" w:cs="Verdana"/>
          <w:bCs/>
          <w:sz w:val="20"/>
          <w:szCs w:val="20"/>
          <w:lang w:val="es-ES"/>
        </w:rPr>
        <w:t xml:space="preserve"> mes de salario adicional después de </w:t>
      </w:r>
      <w:r w:rsidR="005B592B" w:rsidRPr="00975C02">
        <w:rPr>
          <w:rFonts w:eastAsia="Verdana" w:cs="Verdana"/>
          <w:bCs/>
          <w:sz w:val="20"/>
          <w:szCs w:val="20"/>
          <w:lang w:val="es-ES"/>
        </w:rPr>
        <w:t>un</w:t>
      </w:r>
      <w:r w:rsidRPr="00975C02">
        <w:rPr>
          <w:rFonts w:eastAsia="Verdana" w:cs="Verdana"/>
          <w:bCs/>
          <w:sz w:val="20"/>
          <w:szCs w:val="20"/>
          <w:lang w:val="es-ES"/>
        </w:rPr>
        <w:t xml:space="preserve"> año de trabajo continuo o la parte proporcional que corresponde al periodo trabajado</w:t>
      </w:r>
      <w:r w:rsidR="005B592B" w:rsidRPr="00975C02">
        <w:rPr>
          <w:rFonts w:eastAsia="Verdana" w:cs="Verdana"/>
          <w:bCs/>
          <w:sz w:val="20"/>
          <w:szCs w:val="20"/>
          <w:lang w:val="es-ES"/>
        </w:rPr>
        <w:t>. P</w:t>
      </w:r>
      <w:r w:rsidRPr="00975C02">
        <w:rPr>
          <w:rFonts w:eastAsia="Verdana" w:cs="Verdana"/>
          <w:bCs/>
          <w:sz w:val="20"/>
          <w:szCs w:val="20"/>
          <w:lang w:val="es-ES"/>
        </w:rPr>
        <w:t>or ello</w:t>
      </w:r>
      <w:r w:rsidR="005B592B" w:rsidRPr="00975C02">
        <w:rPr>
          <w:rFonts w:eastAsia="Verdana" w:cs="Verdana"/>
          <w:bCs/>
          <w:sz w:val="20"/>
          <w:szCs w:val="20"/>
          <w:lang w:val="es-ES"/>
        </w:rPr>
        <w:t>,</w:t>
      </w:r>
      <w:r w:rsidRPr="00975C02">
        <w:rPr>
          <w:rFonts w:eastAsia="Verdana" w:cs="Verdana"/>
          <w:bCs/>
          <w:sz w:val="20"/>
          <w:szCs w:val="20"/>
          <w:lang w:val="es-ES"/>
        </w:rPr>
        <w:t xml:space="preserve"> V.P.C. habría tenido derecho a percibir un salario completo por este concepto por los años 2002 y 2003, en tanto que el año 2001 sólo habría percibido la parte proporcional correspondiente a los meses de octubre, noviembre y diciembre, y en el año 2004, la parte proporcional correspondiente a los meses de enero a septiembre. Con base en lo señalado</w:t>
      </w:r>
      <w:r w:rsidR="005B592B" w:rsidRPr="00975C02">
        <w:rPr>
          <w:rFonts w:eastAsia="Verdana" w:cs="Verdana"/>
          <w:bCs/>
          <w:sz w:val="20"/>
          <w:szCs w:val="20"/>
          <w:lang w:val="es-ES"/>
        </w:rPr>
        <w:t>,</w:t>
      </w:r>
      <w:r w:rsidRPr="00975C02">
        <w:rPr>
          <w:rFonts w:eastAsia="Verdana" w:cs="Verdana"/>
          <w:bCs/>
          <w:sz w:val="20"/>
          <w:szCs w:val="20"/>
          <w:lang w:val="es-ES"/>
        </w:rPr>
        <w:t xml:space="preserve"> estimó que la suma a pagarse por la pérdida de ingresos debía ser fijada en US$ 12</w:t>
      </w:r>
      <w:r w:rsidR="00DD2713" w:rsidRPr="00975C02">
        <w:rPr>
          <w:rFonts w:eastAsia="Verdana" w:cs="Verdana"/>
          <w:bCs/>
          <w:sz w:val="20"/>
          <w:szCs w:val="20"/>
          <w:lang w:val="es-ES"/>
        </w:rPr>
        <w:t>.</w:t>
      </w:r>
      <w:r w:rsidRPr="00975C02">
        <w:rPr>
          <w:rFonts w:eastAsia="Verdana" w:cs="Verdana"/>
          <w:bCs/>
          <w:sz w:val="20"/>
          <w:szCs w:val="20"/>
          <w:lang w:val="es-ES"/>
        </w:rPr>
        <w:t>575</w:t>
      </w:r>
      <w:r w:rsidR="00DD2713" w:rsidRPr="00975C02">
        <w:rPr>
          <w:rFonts w:eastAsia="Verdana" w:cs="Verdana"/>
          <w:bCs/>
          <w:sz w:val="20"/>
          <w:szCs w:val="20"/>
          <w:lang w:val="es-ES"/>
        </w:rPr>
        <w:t>,</w:t>
      </w:r>
      <w:r w:rsidRPr="00975C02">
        <w:rPr>
          <w:rFonts w:eastAsia="Verdana" w:cs="Verdana"/>
          <w:bCs/>
          <w:sz w:val="20"/>
          <w:szCs w:val="20"/>
          <w:lang w:val="es-ES"/>
        </w:rPr>
        <w:t>00</w:t>
      </w:r>
      <w:r w:rsidR="001C0BD0" w:rsidRPr="00975C02">
        <w:rPr>
          <w:rFonts w:eastAsia="Verdana" w:cs="Verdana"/>
          <w:bCs/>
          <w:sz w:val="20"/>
          <w:szCs w:val="20"/>
          <w:lang w:val="es-ES"/>
        </w:rPr>
        <w:t>.</w:t>
      </w:r>
    </w:p>
    <w:p w14:paraId="30E5AE30" w14:textId="77777777" w:rsidR="009D661E" w:rsidRPr="00975C02" w:rsidRDefault="009D661E" w:rsidP="009D661E">
      <w:pPr>
        <w:tabs>
          <w:tab w:val="left" w:pos="567"/>
        </w:tabs>
        <w:spacing w:line="240" w:lineRule="auto"/>
        <w:textAlignment w:val="auto"/>
        <w:rPr>
          <w:rFonts w:eastAsia="Calibri"/>
          <w:b/>
          <w:i/>
          <w:sz w:val="20"/>
          <w:szCs w:val="20"/>
          <w:lang w:val="es-ES"/>
        </w:rPr>
      </w:pPr>
    </w:p>
    <w:p w14:paraId="76583450" w14:textId="4299F45F" w:rsidR="009D661E" w:rsidRPr="00975C02" w:rsidRDefault="009D661E" w:rsidP="009D661E">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Verdana" w:cs="Verdana"/>
          <w:bCs/>
          <w:sz w:val="20"/>
          <w:szCs w:val="20"/>
          <w:lang w:val="es-ES"/>
        </w:rPr>
        <w:t>Agregó que</w:t>
      </w:r>
      <w:r w:rsidR="005B592B" w:rsidRPr="00975C02">
        <w:rPr>
          <w:rFonts w:eastAsia="Verdana" w:cs="Verdana"/>
          <w:bCs/>
          <w:sz w:val="20"/>
          <w:szCs w:val="20"/>
          <w:lang w:val="es-ES"/>
        </w:rPr>
        <w:t>,</w:t>
      </w:r>
      <w:r w:rsidRPr="00975C02">
        <w:rPr>
          <w:rFonts w:eastAsia="Verdana" w:cs="Verdana"/>
          <w:bCs/>
          <w:sz w:val="20"/>
          <w:szCs w:val="20"/>
          <w:lang w:val="es-ES"/>
        </w:rPr>
        <w:t xml:space="preserve"> según el Ministerio de Trabajo y el Banco Central de Nicaragua, el salario mínimo en Nicaragua correspondiente al sector servicios, en el que se encontraba ubicada V.P.C., osciló entre 1</w:t>
      </w:r>
      <w:r w:rsidR="005B592B" w:rsidRPr="00975C02">
        <w:rPr>
          <w:rFonts w:eastAsia="Verdana" w:cs="Verdana"/>
          <w:bCs/>
          <w:sz w:val="20"/>
          <w:szCs w:val="20"/>
          <w:lang w:val="es-ES"/>
        </w:rPr>
        <w:t>.</w:t>
      </w:r>
      <w:r w:rsidR="005E0BD0" w:rsidRPr="00975C02">
        <w:rPr>
          <w:rFonts w:eastAsia="Verdana" w:cs="Verdana"/>
          <w:bCs/>
          <w:sz w:val="20"/>
          <w:szCs w:val="20"/>
          <w:lang w:val="es-ES"/>
        </w:rPr>
        <w:t>1</w:t>
      </w:r>
      <w:r w:rsidRPr="00975C02">
        <w:rPr>
          <w:rFonts w:eastAsia="Verdana" w:cs="Verdana"/>
          <w:bCs/>
          <w:sz w:val="20"/>
          <w:szCs w:val="20"/>
          <w:lang w:val="es-ES"/>
        </w:rPr>
        <w:t>10</w:t>
      </w:r>
      <w:r w:rsidR="005B592B" w:rsidRPr="00975C02">
        <w:rPr>
          <w:rFonts w:eastAsia="Verdana" w:cs="Verdana"/>
          <w:bCs/>
          <w:sz w:val="20"/>
          <w:szCs w:val="20"/>
          <w:lang w:val="es-ES"/>
        </w:rPr>
        <w:t>,</w:t>
      </w:r>
      <w:r w:rsidRPr="00975C02">
        <w:rPr>
          <w:rFonts w:eastAsia="Verdana" w:cs="Verdana"/>
          <w:bCs/>
          <w:sz w:val="20"/>
          <w:szCs w:val="20"/>
          <w:lang w:val="es-ES"/>
        </w:rPr>
        <w:t>00 córdo</w:t>
      </w:r>
      <w:r w:rsidR="005E0BD0" w:rsidRPr="00975C02">
        <w:rPr>
          <w:rFonts w:eastAsia="Verdana" w:cs="Verdana"/>
          <w:bCs/>
          <w:sz w:val="20"/>
          <w:szCs w:val="20"/>
          <w:lang w:val="es-ES"/>
        </w:rPr>
        <w:t>b</w:t>
      </w:r>
      <w:r w:rsidRPr="00975C02">
        <w:rPr>
          <w:rFonts w:eastAsia="Verdana" w:cs="Verdana"/>
          <w:bCs/>
          <w:sz w:val="20"/>
          <w:szCs w:val="20"/>
          <w:lang w:val="es-ES"/>
        </w:rPr>
        <w:t>as y 1</w:t>
      </w:r>
      <w:r w:rsidR="005B592B" w:rsidRPr="00975C02">
        <w:rPr>
          <w:rFonts w:eastAsia="Verdana" w:cs="Verdana"/>
          <w:bCs/>
          <w:sz w:val="20"/>
          <w:szCs w:val="20"/>
          <w:lang w:val="es-ES"/>
        </w:rPr>
        <w:t>.</w:t>
      </w:r>
      <w:r w:rsidRPr="00975C02">
        <w:rPr>
          <w:rFonts w:eastAsia="Verdana" w:cs="Verdana"/>
          <w:bCs/>
          <w:sz w:val="20"/>
          <w:szCs w:val="20"/>
          <w:lang w:val="es-ES"/>
        </w:rPr>
        <w:t>752</w:t>
      </w:r>
      <w:r w:rsidR="005B592B" w:rsidRPr="00975C02">
        <w:rPr>
          <w:rFonts w:eastAsia="Verdana" w:cs="Verdana"/>
          <w:bCs/>
          <w:sz w:val="20"/>
          <w:szCs w:val="20"/>
          <w:lang w:val="es-ES"/>
        </w:rPr>
        <w:t>,</w:t>
      </w:r>
      <w:r w:rsidRPr="00975C02">
        <w:rPr>
          <w:rFonts w:eastAsia="Verdana" w:cs="Verdana"/>
          <w:bCs/>
          <w:sz w:val="20"/>
          <w:szCs w:val="20"/>
          <w:lang w:val="es-ES"/>
        </w:rPr>
        <w:t>00 córdo</w:t>
      </w:r>
      <w:r w:rsidR="005E0BD0" w:rsidRPr="00975C02">
        <w:rPr>
          <w:rFonts w:eastAsia="Verdana" w:cs="Verdana"/>
          <w:bCs/>
          <w:sz w:val="20"/>
          <w:szCs w:val="20"/>
          <w:lang w:val="es-ES"/>
        </w:rPr>
        <w:t>b</w:t>
      </w:r>
      <w:r w:rsidRPr="00975C02">
        <w:rPr>
          <w:rFonts w:eastAsia="Verdana" w:cs="Verdana"/>
          <w:bCs/>
          <w:sz w:val="20"/>
          <w:szCs w:val="20"/>
          <w:lang w:val="es-ES"/>
        </w:rPr>
        <w:t xml:space="preserve">as, montos equivalente a </w:t>
      </w:r>
      <w:r w:rsidR="005B592B" w:rsidRPr="00975C02">
        <w:rPr>
          <w:rFonts w:eastAsia="Verdana" w:cs="Verdana"/>
          <w:bCs/>
          <w:sz w:val="20"/>
          <w:szCs w:val="20"/>
          <w:lang w:val="es-ES"/>
        </w:rPr>
        <w:t>US</w:t>
      </w:r>
      <w:r w:rsidRPr="00975C02">
        <w:rPr>
          <w:rFonts w:eastAsia="Verdana" w:cs="Verdana"/>
          <w:bCs/>
          <w:sz w:val="20"/>
          <w:szCs w:val="20"/>
          <w:lang w:val="es-ES"/>
        </w:rPr>
        <w:t>$</w:t>
      </w:r>
      <w:r w:rsidR="005B592B" w:rsidRPr="00975C02">
        <w:rPr>
          <w:rFonts w:eastAsia="Verdana" w:cs="Verdana"/>
          <w:bCs/>
          <w:sz w:val="20"/>
          <w:szCs w:val="20"/>
          <w:lang w:val="es-ES"/>
        </w:rPr>
        <w:t xml:space="preserve"> </w:t>
      </w:r>
      <w:r w:rsidRPr="00975C02">
        <w:rPr>
          <w:rFonts w:eastAsia="Verdana" w:cs="Verdana"/>
          <w:bCs/>
          <w:sz w:val="20"/>
          <w:szCs w:val="20"/>
          <w:lang w:val="es-ES"/>
        </w:rPr>
        <w:t>82</w:t>
      </w:r>
      <w:r w:rsidR="005B592B" w:rsidRPr="00975C02">
        <w:rPr>
          <w:rFonts w:eastAsia="Verdana" w:cs="Verdana"/>
          <w:bCs/>
          <w:sz w:val="20"/>
          <w:szCs w:val="20"/>
          <w:lang w:val="es-ES"/>
        </w:rPr>
        <w:t>,</w:t>
      </w:r>
      <w:r w:rsidRPr="00975C02">
        <w:rPr>
          <w:rFonts w:eastAsia="Verdana" w:cs="Verdana"/>
          <w:bCs/>
          <w:sz w:val="20"/>
          <w:szCs w:val="20"/>
          <w:lang w:val="es-ES"/>
        </w:rPr>
        <w:t>56 y 130</w:t>
      </w:r>
      <w:r w:rsidR="005B592B" w:rsidRPr="00975C02">
        <w:rPr>
          <w:rFonts w:eastAsia="Verdana" w:cs="Verdana"/>
          <w:bCs/>
          <w:sz w:val="20"/>
          <w:szCs w:val="20"/>
          <w:lang w:val="es-ES"/>
        </w:rPr>
        <w:t>,</w:t>
      </w:r>
      <w:r w:rsidRPr="00975C02">
        <w:rPr>
          <w:rFonts w:eastAsia="Verdana" w:cs="Verdana"/>
          <w:bCs/>
          <w:sz w:val="20"/>
          <w:szCs w:val="20"/>
          <w:lang w:val="es-ES"/>
        </w:rPr>
        <w:t xml:space="preserve">32 en el 2001, en el 2002 a </w:t>
      </w:r>
      <w:r w:rsidR="005B592B" w:rsidRPr="00975C02">
        <w:rPr>
          <w:rFonts w:eastAsia="Verdana" w:cs="Verdana"/>
          <w:bCs/>
          <w:sz w:val="20"/>
          <w:szCs w:val="20"/>
          <w:lang w:val="es-ES"/>
        </w:rPr>
        <w:t>US</w:t>
      </w:r>
      <w:r w:rsidRPr="00975C02">
        <w:rPr>
          <w:rFonts w:eastAsia="Verdana" w:cs="Verdana"/>
          <w:bCs/>
          <w:sz w:val="20"/>
          <w:szCs w:val="20"/>
          <w:lang w:val="es-ES"/>
        </w:rPr>
        <w:t>$</w:t>
      </w:r>
      <w:r w:rsidR="005B592B" w:rsidRPr="00975C02">
        <w:rPr>
          <w:rFonts w:eastAsia="Verdana" w:cs="Verdana"/>
          <w:bCs/>
          <w:sz w:val="20"/>
          <w:szCs w:val="20"/>
          <w:lang w:val="es-ES"/>
        </w:rPr>
        <w:t xml:space="preserve"> </w:t>
      </w:r>
      <w:r w:rsidRPr="00975C02">
        <w:rPr>
          <w:rFonts w:eastAsia="Verdana" w:cs="Verdana"/>
          <w:bCs/>
          <w:sz w:val="20"/>
          <w:szCs w:val="20"/>
          <w:lang w:val="es-ES"/>
        </w:rPr>
        <w:t>77</w:t>
      </w:r>
      <w:r w:rsidR="005B592B" w:rsidRPr="00975C02">
        <w:rPr>
          <w:rFonts w:eastAsia="Verdana" w:cs="Verdana"/>
          <w:bCs/>
          <w:sz w:val="20"/>
          <w:szCs w:val="20"/>
          <w:lang w:val="es-ES"/>
        </w:rPr>
        <w:t>,</w:t>
      </w:r>
      <w:r w:rsidRPr="00975C02">
        <w:rPr>
          <w:rFonts w:eastAsia="Verdana" w:cs="Verdana"/>
          <w:bCs/>
          <w:sz w:val="20"/>
          <w:szCs w:val="20"/>
          <w:lang w:val="es-ES"/>
        </w:rPr>
        <w:t>88 y 122</w:t>
      </w:r>
      <w:r w:rsidR="005B592B" w:rsidRPr="00975C02">
        <w:rPr>
          <w:rFonts w:eastAsia="Verdana" w:cs="Verdana"/>
          <w:bCs/>
          <w:sz w:val="20"/>
          <w:szCs w:val="20"/>
          <w:lang w:val="es-ES"/>
        </w:rPr>
        <w:t>,</w:t>
      </w:r>
      <w:r w:rsidRPr="00975C02">
        <w:rPr>
          <w:rFonts w:eastAsia="Verdana" w:cs="Verdana"/>
          <w:bCs/>
          <w:sz w:val="20"/>
          <w:szCs w:val="20"/>
          <w:lang w:val="es-ES"/>
        </w:rPr>
        <w:t xml:space="preserve">93, en el año 2003 a </w:t>
      </w:r>
      <w:r w:rsidR="005B592B" w:rsidRPr="00975C02">
        <w:rPr>
          <w:rFonts w:eastAsia="Verdana" w:cs="Verdana"/>
          <w:bCs/>
          <w:sz w:val="20"/>
          <w:szCs w:val="20"/>
          <w:lang w:val="es-ES"/>
        </w:rPr>
        <w:t>US</w:t>
      </w:r>
      <w:r w:rsidRPr="00975C02">
        <w:rPr>
          <w:rFonts w:eastAsia="Verdana" w:cs="Verdana"/>
          <w:bCs/>
          <w:sz w:val="20"/>
          <w:szCs w:val="20"/>
          <w:lang w:val="es-ES"/>
        </w:rPr>
        <w:t>$</w:t>
      </w:r>
      <w:r w:rsidR="005B592B" w:rsidRPr="00975C02">
        <w:rPr>
          <w:rFonts w:eastAsia="Verdana" w:cs="Verdana"/>
          <w:bCs/>
          <w:sz w:val="20"/>
          <w:szCs w:val="20"/>
          <w:lang w:val="es-ES"/>
        </w:rPr>
        <w:t xml:space="preserve"> </w:t>
      </w:r>
      <w:r w:rsidRPr="00975C02">
        <w:rPr>
          <w:rFonts w:eastAsia="Verdana" w:cs="Verdana"/>
          <w:bCs/>
          <w:sz w:val="20"/>
          <w:szCs w:val="20"/>
          <w:lang w:val="es-ES"/>
        </w:rPr>
        <w:t>73</w:t>
      </w:r>
      <w:r w:rsidR="005B592B" w:rsidRPr="00975C02">
        <w:rPr>
          <w:rFonts w:eastAsia="Verdana" w:cs="Verdana"/>
          <w:bCs/>
          <w:sz w:val="20"/>
          <w:szCs w:val="20"/>
          <w:lang w:val="es-ES"/>
        </w:rPr>
        <w:t>,</w:t>
      </w:r>
      <w:r w:rsidRPr="00975C02">
        <w:rPr>
          <w:rFonts w:eastAsia="Verdana" w:cs="Verdana"/>
          <w:bCs/>
          <w:sz w:val="20"/>
          <w:szCs w:val="20"/>
          <w:lang w:val="es-ES"/>
        </w:rPr>
        <w:t>47 y 115</w:t>
      </w:r>
      <w:r w:rsidR="005B592B" w:rsidRPr="00975C02">
        <w:rPr>
          <w:rFonts w:eastAsia="Verdana" w:cs="Verdana"/>
          <w:bCs/>
          <w:sz w:val="20"/>
          <w:szCs w:val="20"/>
          <w:lang w:val="es-ES"/>
        </w:rPr>
        <w:t>,</w:t>
      </w:r>
      <w:r w:rsidRPr="00975C02">
        <w:rPr>
          <w:rFonts w:eastAsia="Verdana" w:cs="Verdana"/>
          <w:bCs/>
          <w:sz w:val="20"/>
          <w:szCs w:val="20"/>
          <w:lang w:val="es-ES"/>
        </w:rPr>
        <w:t xml:space="preserve">97, y en el año 2004 a </w:t>
      </w:r>
      <w:r w:rsidR="005B592B" w:rsidRPr="00975C02">
        <w:rPr>
          <w:rFonts w:eastAsia="Verdana" w:cs="Verdana"/>
          <w:bCs/>
          <w:sz w:val="20"/>
          <w:szCs w:val="20"/>
          <w:lang w:val="es-ES"/>
        </w:rPr>
        <w:t>US</w:t>
      </w:r>
      <w:r w:rsidRPr="00975C02">
        <w:rPr>
          <w:rFonts w:eastAsia="Verdana" w:cs="Verdana"/>
          <w:bCs/>
          <w:sz w:val="20"/>
          <w:szCs w:val="20"/>
          <w:lang w:val="es-ES"/>
        </w:rPr>
        <w:t>$</w:t>
      </w:r>
      <w:r w:rsidR="005B592B" w:rsidRPr="00975C02">
        <w:rPr>
          <w:rFonts w:eastAsia="Verdana" w:cs="Verdana"/>
          <w:bCs/>
          <w:sz w:val="20"/>
          <w:szCs w:val="20"/>
          <w:lang w:val="es-ES"/>
        </w:rPr>
        <w:t xml:space="preserve"> </w:t>
      </w:r>
      <w:r w:rsidRPr="00975C02">
        <w:rPr>
          <w:rFonts w:eastAsia="Verdana" w:cs="Verdana"/>
          <w:bCs/>
          <w:sz w:val="20"/>
          <w:szCs w:val="20"/>
          <w:lang w:val="es-ES"/>
        </w:rPr>
        <w:t>69</w:t>
      </w:r>
      <w:r w:rsidR="005B592B" w:rsidRPr="00975C02">
        <w:rPr>
          <w:rFonts w:eastAsia="Verdana" w:cs="Verdana"/>
          <w:bCs/>
          <w:sz w:val="20"/>
          <w:szCs w:val="20"/>
          <w:lang w:val="es-ES"/>
        </w:rPr>
        <w:t>,</w:t>
      </w:r>
      <w:r w:rsidRPr="00975C02">
        <w:rPr>
          <w:rFonts w:eastAsia="Verdana" w:cs="Verdana"/>
          <w:bCs/>
          <w:sz w:val="20"/>
          <w:szCs w:val="20"/>
          <w:lang w:val="es-ES"/>
        </w:rPr>
        <w:t>64 y 109</w:t>
      </w:r>
      <w:r w:rsidR="005B592B" w:rsidRPr="00975C02">
        <w:rPr>
          <w:rFonts w:eastAsia="Verdana" w:cs="Verdana"/>
          <w:bCs/>
          <w:sz w:val="20"/>
          <w:szCs w:val="20"/>
          <w:lang w:val="es-ES"/>
        </w:rPr>
        <w:t>,</w:t>
      </w:r>
      <w:r w:rsidRPr="00975C02">
        <w:rPr>
          <w:rFonts w:eastAsia="Verdana" w:cs="Verdana"/>
          <w:bCs/>
          <w:sz w:val="20"/>
          <w:szCs w:val="20"/>
          <w:lang w:val="es-ES"/>
        </w:rPr>
        <w:t>93</w:t>
      </w:r>
      <w:r w:rsidR="001C0BD0" w:rsidRPr="00975C02">
        <w:rPr>
          <w:rFonts w:eastAsia="Verdana" w:cs="Verdana"/>
          <w:bCs/>
          <w:sz w:val="20"/>
          <w:szCs w:val="20"/>
          <w:lang w:val="es-ES"/>
        </w:rPr>
        <w:t>.</w:t>
      </w:r>
    </w:p>
    <w:p w14:paraId="30DBC8D7" w14:textId="77777777" w:rsidR="009D661E" w:rsidRPr="00975C02" w:rsidRDefault="009D661E" w:rsidP="009D661E">
      <w:pPr>
        <w:pStyle w:val="ListParagraph"/>
        <w:spacing w:line="240" w:lineRule="auto"/>
        <w:rPr>
          <w:rFonts w:eastAsia="Calibri"/>
          <w:sz w:val="20"/>
          <w:szCs w:val="20"/>
          <w:lang w:val="es-ES"/>
        </w:rPr>
      </w:pPr>
    </w:p>
    <w:p w14:paraId="7AB4A99B" w14:textId="1C7DB13C" w:rsidR="009D661E" w:rsidRPr="00975C02" w:rsidRDefault="009D661E" w:rsidP="006015B2">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Calibri"/>
          <w:sz w:val="20"/>
          <w:szCs w:val="20"/>
          <w:lang w:val="es-ES"/>
        </w:rPr>
        <w:t>La Corte sostuvo que la señora V.P.C. sufrió una vulneración de sus derechos a la integridad personal</w:t>
      </w:r>
      <w:r w:rsidR="008247AD" w:rsidRPr="00975C02">
        <w:rPr>
          <w:rFonts w:eastAsia="Calibri"/>
          <w:sz w:val="20"/>
          <w:szCs w:val="20"/>
          <w:lang w:val="es-ES"/>
        </w:rPr>
        <w:t xml:space="preserve">, </w:t>
      </w:r>
      <w:r w:rsidR="00FF39CA" w:rsidRPr="00975C02">
        <w:rPr>
          <w:rFonts w:eastAsia="Calibri"/>
          <w:sz w:val="20"/>
          <w:szCs w:val="20"/>
          <w:lang w:val="es-ES"/>
        </w:rPr>
        <w:t xml:space="preserve">a la vida privada y familiar, </w:t>
      </w:r>
      <w:r w:rsidR="008247AD" w:rsidRPr="00975C02">
        <w:rPr>
          <w:rFonts w:eastAsia="Calibri"/>
          <w:sz w:val="20"/>
          <w:szCs w:val="20"/>
          <w:lang w:val="es-ES"/>
        </w:rPr>
        <w:t xml:space="preserve">a las garantías judiciales, a la protección judicial, al derecho de residencia, </w:t>
      </w:r>
      <w:r w:rsidRPr="00975C02">
        <w:rPr>
          <w:rFonts w:eastAsia="Calibri"/>
          <w:sz w:val="20"/>
          <w:szCs w:val="20"/>
          <w:lang w:val="es-ES"/>
        </w:rPr>
        <w:t>a la protección de la familia</w:t>
      </w:r>
      <w:r w:rsidR="00FF39CA" w:rsidRPr="00975C02">
        <w:rPr>
          <w:rFonts w:eastAsia="Calibri"/>
          <w:sz w:val="20"/>
          <w:szCs w:val="20"/>
          <w:lang w:val="es-ES"/>
        </w:rPr>
        <w:t xml:space="preserve"> y a las medidas especiales de protección,</w:t>
      </w:r>
      <w:r w:rsidRPr="00975C02">
        <w:rPr>
          <w:rFonts w:eastAsia="Calibri"/>
          <w:sz w:val="20"/>
          <w:szCs w:val="20"/>
          <w:lang w:val="es-ES"/>
        </w:rPr>
        <w:t xml:space="preserve"> con motivo de los actos de revictimización y violencia institucional sufridos por su hija V.R.P., lo que condujo a su salida de Nicaragua. Esta situación provocó dificultades socioeconómicas en los miembros de la familia debido a que la señora V.P.C. era el sostén económico familiar y debió </w:t>
      </w:r>
      <w:r w:rsidR="00515318" w:rsidRPr="00975C02">
        <w:rPr>
          <w:rFonts w:eastAsia="Calibri"/>
          <w:sz w:val="20"/>
          <w:szCs w:val="20"/>
          <w:lang w:val="es-ES"/>
        </w:rPr>
        <w:t xml:space="preserve">dejar </w:t>
      </w:r>
      <w:r w:rsidRPr="00975C02">
        <w:rPr>
          <w:rFonts w:eastAsia="Calibri"/>
          <w:sz w:val="20"/>
          <w:szCs w:val="20"/>
          <w:lang w:val="es-ES"/>
        </w:rPr>
        <w:t xml:space="preserve">su puesto de trabajo para atender </w:t>
      </w:r>
      <w:r w:rsidR="00FF39CA" w:rsidRPr="00975C02">
        <w:rPr>
          <w:rFonts w:eastAsia="Calibri"/>
          <w:sz w:val="20"/>
          <w:szCs w:val="20"/>
          <w:lang w:val="es-ES"/>
        </w:rPr>
        <w:t>la situación</w:t>
      </w:r>
      <w:r w:rsidRPr="00975C02">
        <w:rPr>
          <w:rFonts w:eastAsia="Calibri"/>
          <w:sz w:val="20"/>
          <w:szCs w:val="20"/>
          <w:lang w:val="es-ES"/>
        </w:rPr>
        <w:t xml:space="preserve"> de su hija y</w:t>
      </w:r>
      <w:r w:rsidR="00FF39CA" w:rsidRPr="00975C02">
        <w:rPr>
          <w:rFonts w:eastAsia="Calibri"/>
          <w:sz w:val="20"/>
          <w:szCs w:val="20"/>
          <w:lang w:val="es-ES"/>
        </w:rPr>
        <w:t>,</w:t>
      </w:r>
      <w:r w:rsidRPr="00975C02">
        <w:rPr>
          <w:rFonts w:eastAsia="Calibri"/>
          <w:sz w:val="20"/>
          <w:szCs w:val="20"/>
          <w:lang w:val="es-ES"/>
        </w:rPr>
        <w:t xml:space="preserve"> posteriormente</w:t>
      </w:r>
      <w:r w:rsidR="00FF39CA" w:rsidRPr="00975C02">
        <w:rPr>
          <w:rFonts w:eastAsia="Calibri"/>
          <w:sz w:val="20"/>
          <w:szCs w:val="20"/>
          <w:lang w:val="es-ES"/>
        </w:rPr>
        <w:t>,</w:t>
      </w:r>
      <w:r w:rsidRPr="00975C02">
        <w:rPr>
          <w:rFonts w:eastAsia="Calibri"/>
          <w:sz w:val="20"/>
          <w:szCs w:val="20"/>
          <w:lang w:val="es-ES"/>
        </w:rPr>
        <w:t xml:space="preserve"> reclamar administrativa y judicialmente por las irregularidades cometidas en el proceso. Una vez en Estados Unidos, la señora V.P.C. fue contratada en el mes de octubre de 2004</w:t>
      </w:r>
      <w:r w:rsidRPr="00975C02">
        <w:rPr>
          <w:rStyle w:val="FootnoteReference"/>
          <w:rFonts w:eastAsia="Calibri"/>
          <w:sz w:val="20"/>
          <w:szCs w:val="20"/>
          <w:lang w:val="es-ES"/>
        </w:rPr>
        <w:footnoteReference w:id="449"/>
      </w:r>
      <w:r w:rsidRPr="00975C02">
        <w:rPr>
          <w:rFonts w:eastAsia="Calibri"/>
          <w:sz w:val="20"/>
          <w:szCs w:val="20"/>
          <w:lang w:val="es-ES"/>
        </w:rPr>
        <w:t>. De este modo, el Tribunal considera que existe un nexo causal entre las violaciones declaradas en el presente caso y l</w:t>
      </w:r>
      <w:r w:rsidR="006015B2" w:rsidRPr="00975C02">
        <w:rPr>
          <w:rFonts w:eastAsia="Calibri"/>
          <w:sz w:val="20"/>
          <w:szCs w:val="20"/>
          <w:lang w:val="es-ES"/>
        </w:rPr>
        <w:t>o</w:t>
      </w:r>
      <w:r w:rsidRPr="00975C02">
        <w:rPr>
          <w:rFonts w:eastAsia="Calibri"/>
          <w:sz w:val="20"/>
          <w:szCs w:val="20"/>
          <w:lang w:val="es-ES"/>
        </w:rPr>
        <w:t xml:space="preserve">s daños económicos por concepto de </w:t>
      </w:r>
      <w:r w:rsidR="00195F9B" w:rsidRPr="00975C02">
        <w:rPr>
          <w:rFonts w:eastAsia="Calibri"/>
          <w:sz w:val="20"/>
          <w:szCs w:val="20"/>
          <w:lang w:val="es-ES"/>
        </w:rPr>
        <w:t>pérdida de ingresos</w:t>
      </w:r>
      <w:r w:rsidRPr="00975C02">
        <w:rPr>
          <w:rFonts w:eastAsia="Calibri"/>
          <w:sz w:val="20"/>
          <w:szCs w:val="20"/>
          <w:lang w:val="es-ES"/>
        </w:rPr>
        <w:t>.</w:t>
      </w:r>
    </w:p>
    <w:p w14:paraId="7FDBA6C6" w14:textId="77777777" w:rsidR="009D661E" w:rsidRPr="00975C02" w:rsidRDefault="009D661E" w:rsidP="006015B2">
      <w:pPr>
        <w:pStyle w:val="ListParagraph"/>
        <w:spacing w:line="240" w:lineRule="auto"/>
        <w:rPr>
          <w:rFonts w:eastAsia="Calibri"/>
          <w:b/>
          <w:i/>
          <w:sz w:val="20"/>
          <w:szCs w:val="20"/>
          <w:lang w:val="es-ES"/>
        </w:rPr>
      </w:pPr>
    </w:p>
    <w:p w14:paraId="289A09B8" w14:textId="1D0518CD" w:rsidR="006015B2" w:rsidRPr="00975C02" w:rsidRDefault="009D661E" w:rsidP="00DF3D71">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rFonts w:eastAsia="Calibri"/>
          <w:sz w:val="20"/>
          <w:szCs w:val="20"/>
          <w:lang w:val="es-ES"/>
        </w:rPr>
        <w:t>L</w:t>
      </w:r>
      <w:r w:rsidR="006015B2" w:rsidRPr="00975C02">
        <w:rPr>
          <w:rFonts w:eastAsia="Calibri"/>
          <w:sz w:val="20"/>
          <w:szCs w:val="20"/>
          <w:lang w:val="es-ES"/>
        </w:rPr>
        <w:t>a Corte nota que</w:t>
      </w:r>
      <w:r w:rsidR="00FF39CA" w:rsidRPr="00975C02">
        <w:rPr>
          <w:rFonts w:eastAsia="Calibri"/>
          <w:sz w:val="20"/>
          <w:szCs w:val="20"/>
          <w:lang w:val="es-ES"/>
        </w:rPr>
        <w:t>,</w:t>
      </w:r>
      <w:r w:rsidR="006015B2" w:rsidRPr="00975C02">
        <w:rPr>
          <w:rFonts w:eastAsia="Calibri"/>
          <w:sz w:val="20"/>
          <w:szCs w:val="20"/>
          <w:lang w:val="es-ES"/>
        </w:rPr>
        <w:t xml:space="preserve"> conforme a la prueba aportada en el expediente, existe </w:t>
      </w:r>
      <w:r w:rsidRPr="00975C02">
        <w:rPr>
          <w:rFonts w:eastAsia="Calibri"/>
          <w:sz w:val="20"/>
          <w:szCs w:val="20"/>
          <w:lang w:val="es-ES"/>
        </w:rPr>
        <w:t>una constancia de las actividades laborales que desempeñaba V.P.C.</w:t>
      </w:r>
      <w:r w:rsidR="006015B2" w:rsidRPr="00975C02">
        <w:rPr>
          <w:rFonts w:eastAsia="Calibri"/>
          <w:sz w:val="20"/>
          <w:szCs w:val="20"/>
          <w:lang w:val="es-ES"/>
        </w:rPr>
        <w:t xml:space="preserve"> </w:t>
      </w:r>
      <w:r w:rsidRPr="00975C02">
        <w:rPr>
          <w:rFonts w:eastAsia="Calibri"/>
          <w:sz w:val="20"/>
          <w:szCs w:val="20"/>
          <w:lang w:val="es-ES"/>
        </w:rPr>
        <w:t>en Nicaragua como asistente jurídica, percibiendo un salario de US$</w:t>
      </w:r>
      <w:r w:rsidR="00515318" w:rsidRPr="00975C02">
        <w:rPr>
          <w:rFonts w:eastAsia="Calibri"/>
          <w:sz w:val="20"/>
          <w:szCs w:val="20"/>
          <w:lang w:val="es-ES"/>
        </w:rPr>
        <w:t xml:space="preserve"> </w:t>
      </w:r>
      <w:r w:rsidRPr="00975C02">
        <w:rPr>
          <w:rFonts w:eastAsia="Calibri"/>
          <w:sz w:val="20"/>
          <w:szCs w:val="20"/>
          <w:lang w:val="es-ES"/>
        </w:rPr>
        <w:t>600</w:t>
      </w:r>
      <w:r w:rsidR="00515318" w:rsidRPr="00975C02">
        <w:rPr>
          <w:rFonts w:eastAsia="Calibri"/>
          <w:sz w:val="20"/>
          <w:szCs w:val="20"/>
          <w:lang w:val="es-ES"/>
        </w:rPr>
        <w:t>,00</w:t>
      </w:r>
      <w:r w:rsidRPr="00975C02">
        <w:rPr>
          <w:rFonts w:eastAsia="Calibri"/>
          <w:sz w:val="20"/>
          <w:szCs w:val="20"/>
          <w:lang w:val="es-ES"/>
        </w:rPr>
        <w:t xml:space="preserve"> (seiscientos dólares de los Estados Unidos de América)</w:t>
      </w:r>
      <w:r w:rsidRPr="00975C02">
        <w:rPr>
          <w:rStyle w:val="FootnoteReference"/>
          <w:rFonts w:eastAsia="Calibri"/>
          <w:sz w:val="20"/>
          <w:szCs w:val="20"/>
          <w:lang w:val="es-ES"/>
        </w:rPr>
        <w:footnoteReference w:id="450"/>
      </w:r>
      <w:r w:rsidRPr="00975C02">
        <w:rPr>
          <w:rFonts w:eastAsia="Calibri"/>
          <w:sz w:val="20"/>
          <w:szCs w:val="20"/>
          <w:lang w:val="es-ES"/>
        </w:rPr>
        <w:t xml:space="preserve">. </w:t>
      </w:r>
      <w:r w:rsidR="006015B2" w:rsidRPr="00975C02">
        <w:rPr>
          <w:rFonts w:eastAsia="Calibri"/>
          <w:sz w:val="20"/>
          <w:szCs w:val="20"/>
          <w:lang w:val="es-ES"/>
        </w:rPr>
        <w:t xml:space="preserve">Sin embargo, la Corte no cuenta con elementos probatorios que permitan comprobar el ingreso </w:t>
      </w:r>
      <w:r w:rsidR="00192F16" w:rsidRPr="00975C02">
        <w:rPr>
          <w:rFonts w:eastAsia="Calibri"/>
          <w:sz w:val="20"/>
          <w:szCs w:val="20"/>
          <w:lang w:val="es-ES"/>
        </w:rPr>
        <w:t>por</w:t>
      </w:r>
      <w:r w:rsidR="006015B2" w:rsidRPr="00975C02">
        <w:rPr>
          <w:rFonts w:eastAsia="Calibri"/>
          <w:sz w:val="20"/>
          <w:szCs w:val="20"/>
          <w:lang w:val="es-ES"/>
        </w:rPr>
        <w:t xml:space="preserve"> la suma de US$</w:t>
      </w:r>
      <w:r w:rsidR="00515318" w:rsidRPr="00975C02">
        <w:rPr>
          <w:rFonts w:eastAsia="Calibri"/>
          <w:sz w:val="20"/>
          <w:szCs w:val="20"/>
          <w:lang w:val="es-ES"/>
        </w:rPr>
        <w:t xml:space="preserve"> </w:t>
      </w:r>
      <w:r w:rsidR="006015B2" w:rsidRPr="00975C02">
        <w:rPr>
          <w:rFonts w:eastAsia="Calibri"/>
          <w:sz w:val="20"/>
          <w:szCs w:val="20"/>
          <w:lang w:val="es-ES"/>
        </w:rPr>
        <w:t>200</w:t>
      </w:r>
      <w:r w:rsidR="00515318" w:rsidRPr="00975C02">
        <w:rPr>
          <w:rFonts w:eastAsia="Calibri"/>
          <w:sz w:val="20"/>
          <w:szCs w:val="20"/>
          <w:lang w:val="es-ES"/>
        </w:rPr>
        <w:t>,00</w:t>
      </w:r>
      <w:r w:rsidR="006015B2" w:rsidRPr="00975C02">
        <w:rPr>
          <w:rFonts w:eastAsia="Calibri"/>
          <w:sz w:val="20"/>
          <w:szCs w:val="20"/>
          <w:lang w:val="es-ES"/>
        </w:rPr>
        <w:t xml:space="preserve"> (doscientos dólares de los Estados Unidos de América) que</w:t>
      </w:r>
      <w:r w:rsidR="00515318" w:rsidRPr="00975C02">
        <w:rPr>
          <w:rFonts w:eastAsia="Calibri"/>
          <w:sz w:val="20"/>
          <w:szCs w:val="20"/>
          <w:lang w:val="es-ES"/>
        </w:rPr>
        <w:t>,</w:t>
      </w:r>
      <w:r w:rsidR="006015B2" w:rsidRPr="00975C02">
        <w:rPr>
          <w:rFonts w:eastAsia="Calibri"/>
          <w:sz w:val="20"/>
          <w:szCs w:val="20"/>
          <w:lang w:val="es-ES"/>
        </w:rPr>
        <w:t xml:space="preserve"> según las representantes, la señora V.P.C. también habría recibido como un devengado informal que haría parte de su salario. </w:t>
      </w:r>
      <w:r w:rsidRPr="00975C02">
        <w:rPr>
          <w:rFonts w:eastAsia="Calibri"/>
          <w:sz w:val="20"/>
          <w:szCs w:val="20"/>
          <w:lang w:val="es-ES"/>
        </w:rPr>
        <w:t xml:space="preserve">Por otro lado, </w:t>
      </w:r>
      <w:r w:rsidR="006015B2" w:rsidRPr="00975C02">
        <w:rPr>
          <w:rFonts w:eastAsia="Calibri"/>
          <w:sz w:val="20"/>
          <w:szCs w:val="20"/>
          <w:lang w:val="es-ES"/>
        </w:rPr>
        <w:t>el Tribunal constata que</w:t>
      </w:r>
      <w:r w:rsidR="00515318" w:rsidRPr="00975C02">
        <w:rPr>
          <w:rFonts w:eastAsia="Calibri"/>
          <w:sz w:val="20"/>
          <w:szCs w:val="20"/>
          <w:lang w:val="es-ES"/>
        </w:rPr>
        <w:t>,</w:t>
      </w:r>
      <w:r w:rsidR="006015B2" w:rsidRPr="00975C02">
        <w:rPr>
          <w:rFonts w:eastAsia="Calibri"/>
          <w:sz w:val="20"/>
          <w:szCs w:val="20"/>
          <w:lang w:val="es-ES"/>
        </w:rPr>
        <w:t xml:space="preserve"> conforme fue aclarado por el Estado, en Nicaragua se recibe un salario adicional al año por concepto de aguinaldo.</w:t>
      </w:r>
    </w:p>
    <w:p w14:paraId="3873A133" w14:textId="77777777" w:rsidR="006015B2" w:rsidRPr="00975C02" w:rsidRDefault="006015B2" w:rsidP="00DF3D71">
      <w:pPr>
        <w:pStyle w:val="ListParagraph"/>
        <w:spacing w:line="240" w:lineRule="auto"/>
        <w:rPr>
          <w:rFonts w:eastAsia="Calibri"/>
          <w:b/>
          <w:i/>
          <w:sz w:val="20"/>
          <w:szCs w:val="20"/>
          <w:lang w:val="es-ES"/>
        </w:rPr>
      </w:pPr>
    </w:p>
    <w:p w14:paraId="46FBF4B3" w14:textId="67952751" w:rsidR="006015B2" w:rsidRPr="00975C02" w:rsidRDefault="006015B2" w:rsidP="00DF3D71">
      <w:pPr>
        <w:numPr>
          <w:ilvl w:val="0"/>
          <w:numId w:val="2"/>
        </w:numPr>
        <w:tabs>
          <w:tab w:val="left" w:pos="567"/>
          <w:tab w:val="num" w:pos="5057"/>
        </w:tabs>
        <w:spacing w:line="240" w:lineRule="auto"/>
        <w:ind w:left="0" w:firstLine="0"/>
        <w:textAlignment w:val="auto"/>
        <w:rPr>
          <w:rFonts w:eastAsia="Calibri"/>
          <w:sz w:val="20"/>
          <w:szCs w:val="20"/>
          <w:lang w:val="es-ES"/>
        </w:rPr>
      </w:pPr>
      <w:r w:rsidRPr="00975C02">
        <w:rPr>
          <w:rFonts w:eastAsia="Calibri"/>
          <w:sz w:val="20"/>
          <w:szCs w:val="20"/>
          <w:lang w:val="es-ES"/>
        </w:rPr>
        <w:t>De igual forma, tomando en consideración lo s</w:t>
      </w:r>
      <w:r w:rsidR="00195F9B" w:rsidRPr="00975C02">
        <w:rPr>
          <w:rFonts w:eastAsia="Calibri"/>
          <w:sz w:val="20"/>
          <w:szCs w:val="20"/>
          <w:lang w:val="es-ES"/>
        </w:rPr>
        <w:t xml:space="preserve">eñalado por la señora V.P.C., que </w:t>
      </w:r>
      <w:r w:rsidRPr="00975C02">
        <w:rPr>
          <w:rFonts w:eastAsia="Calibri"/>
          <w:sz w:val="20"/>
          <w:szCs w:val="20"/>
          <w:lang w:val="es-ES"/>
        </w:rPr>
        <w:t>no</w:t>
      </w:r>
      <w:r w:rsidR="00195F9B" w:rsidRPr="00975C02">
        <w:rPr>
          <w:rFonts w:eastAsia="Calibri"/>
          <w:sz w:val="20"/>
          <w:szCs w:val="20"/>
          <w:lang w:val="es-ES"/>
        </w:rPr>
        <w:t xml:space="preserve"> fue</w:t>
      </w:r>
      <w:r w:rsidRPr="00975C02">
        <w:rPr>
          <w:rFonts w:eastAsia="Calibri"/>
          <w:sz w:val="20"/>
          <w:szCs w:val="20"/>
          <w:lang w:val="es-ES"/>
        </w:rPr>
        <w:t xml:space="preserve"> </w:t>
      </w:r>
      <w:r w:rsidRPr="00975C02">
        <w:rPr>
          <w:rFonts w:eastAsia="Calibri"/>
          <w:sz w:val="20"/>
          <w:szCs w:val="20"/>
          <w:lang w:val="es-ES"/>
        </w:rPr>
        <w:lastRenderedPageBreak/>
        <w:t>controvertido por el Estado, este Tribunal estima que la madre de V.R.P. se vio obligada a renunciar a sus labores como asistente jurídica desde el mes de octubre de 2001, debido a la violación sexual de la que fue víctima su hija, seguida de la falta de protección y respuesta estatal, la cual la llevó</w:t>
      </w:r>
      <w:r w:rsidR="00515318" w:rsidRPr="00975C02">
        <w:rPr>
          <w:rFonts w:eastAsia="Calibri"/>
          <w:sz w:val="20"/>
          <w:szCs w:val="20"/>
          <w:lang w:val="es-ES"/>
        </w:rPr>
        <w:t>,</w:t>
      </w:r>
      <w:r w:rsidRPr="00975C02">
        <w:rPr>
          <w:rFonts w:eastAsia="Calibri"/>
          <w:sz w:val="20"/>
          <w:szCs w:val="20"/>
          <w:lang w:val="es-ES"/>
        </w:rPr>
        <w:t xml:space="preserve"> finalmente</w:t>
      </w:r>
      <w:r w:rsidR="00515318" w:rsidRPr="00975C02">
        <w:rPr>
          <w:rFonts w:eastAsia="Calibri"/>
          <w:sz w:val="20"/>
          <w:szCs w:val="20"/>
          <w:lang w:val="es-ES"/>
        </w:rPr>
        <w:t>,</w:t>
      </w:r>
      <w:r w:rsidRPr="00975C02">
        <w:rPr>
          <w:rFonts w:eastAsia="Calibri"/>
          <w:sz w:val="20"/>
          <w:szCs w:val="20"/>
          <w:lang w:val="es-ES"/>
        </w:rPr>
        <w:t xml:space="preserve"> a </w:t>
      </w:r>
      <w:r w:rsidR="00515318" w:rsidRPr="00975C02">
        <w:rPr>
          <w:rFonts w:eastAsia="Calibri"/>
          <w:sz w:val="20"/>
          <w:szCs w:val="20"/>
          <w:lang w:val="es-ES"/>
        </w:rPr>
        <w:t xml:space="preserve">salir de </w:t>
      </w:r>
      <w:r w:rsidRPr="00975C02">
        <w:rPr>
          <w:rFonts w:eastAsia="Calibri"/>
          <w:sz w:val="20"/>
          <w:szCs w:val="20"/>
          <w:lang w:val="es-ES"/>
        </w:rPr>
        <w:t>Nicaragua. De igual forma, la señora V.P.C. habría reanudado sus actividades laborales en los Estados Unidos en el mes de octubre de 2004.</w:t>
      </w:r>
    </w:p>
    <w:p w14:paraId="4AE74254" w14:textId="77777777" w:rsidR="006015B2" w:rsidRPr="00975C02" w:rsidRDefault="006015B2" w:rsidP="00DF3D71">
      <w:pPr>
        <w:pStyle w:val="ListParagraph"/>
        <w:spacing w:line="240" w:lineRule="auto"/>
        <w:rPr>
          <w:rFonts w:eastAsia="Calibri"/>
          <w:sz w:val="20"/>
          <w:szCs w:val="20"/>
          <w:lang w:val="es-ES"/>
        </w:rPr>
      </w:pPr>
    </w:p>
    <w:p w14:paraId="24E87F69" w14:textId="6A7DC1ED" w:rsidR="006015B2" w:rsidRPr="00975C02" w:rsidRDefault="006015B2" w:rsidP="00DF3D71">
      <w:pPr>
        <w:numPr>
          <w:ilvl w:val="0"/>
          <w:numId w:val="2"/>
        </w:numPr>
        <w:tabs>
          <w:tab w:val="left" w:pos="567"/>
          <w:tab w:val="num" w:pos="5057"/>
        </w:tabs>
        <w:spacing w:line="240" w:lineRule="auto"/>
        <w:ind w:left="0" w:firstLine="0"/>
        <w:textAlignment w:val="auto"/>
        <w:rPr>
          <w:rFonts w:eastAsia="Calibri"/>
          <w:sz w:val="20"/>
          <w:szCs w:val="20"/>
          <w:lang w:val="es-ES"/>
        </w:rPr>
      </w:pPr>
      <w:r w:rsidRPr="00975C02">
        <w:rPr>
          <w:rFonts w:eastAsia="Calibri"/>
          <w:sz w:val="20"/>
          <w:szCs w:val="20"/>
          <w:lang w:val="es-ES"/>
        </w:rPr>
        <w:t>Con base en lo expuesto, la Corte considera que</w:t>
      </w:r>
      <w:r w:rsidR="007E57A3" w:rsidRPr="00975C02">
        <w:rPr>
          <w:rFonts w:eastAsia="Calibri"/>
          <w:sz w:val="20"/>
          <w:szCs w:val="20"/>
          <w:lang w:val="es-ES"/>
        </w:rPr>
        <w:t>,</w:t>
      </w:r>
      <w:r w:rsidRPr="00975C02">
        <w:rPr>
          <w:rFonts w:eastAsia="Calibri"/>
          <w:sz w:val="20"/>
          <w:szCs w:val="20"/>
          <w:lang w:val="es-ES"/>
        </w:rPr>
        <w:t xml:space="preserve"> debido a las violaciones reconocidas en esta Sentencia, la señora V.P.C. sufrió una pérdida de ingresos desde octubre de 2001 hasta octubre de 2004, </w:t>
      </w:r>
      <w:r w:rsidR="007E57A3" w:rsidRPr="00975C02">
        <w:rPr>
          <w:rFonts w:eastAsia="Calibri"/>
          <w:sz w:val="20"/>
          <w:szCs w:val="20"/>
          <w:lang w:val="es-ES"/>
        </w:rPr>
        <w:t>que</w:t>
      </w:r>
      <w:r w:rsidR="00C72DE4" w:rsidRPr="00975C02">
        <w:rPr>
          <w:rFonts w:eastAsia="Calibri"/>
          <w:sz w:val="20"/>
          <w:szCs w:val="20"/>
          <w:lang w:val="es-ES"/>
        </w:rPr>
        <w:t>,</w:t>
      </w:r>
      <w:r w:rsidRPr="00975C02">
        <w:rPr>
          <w:rFonts w:eastAsia="Calibri"/>
          <w:sz w:val="20"/>
          <w:szCs w:val="20"/>
          <w:lang w:val="es-ES"/>
        </w:rPr>
        <w:t xml:space="preserve"> luego de </w:t>
      </w:r>
      <w:r w:rsidR="00195F9B" w:rsidRPr="00975C02">
        <w:rPr>
          <w:rFonts w:eastAsia="Calibri"/>
          <w:sz w:val="20"/>
          <w:szCs w:val="20"/>
          <w:lang w:val="es-ES"/>
        </w:rPr>
        <w:t>considerar los salarios que dejó de devengar durante el tiempo citado, asciende a la suma de US$</w:t>
      </w:r>
      <w:r w:rsidR="007E57A3" w:rsidRPr="00975C02">
        <w:rPr>
          <w:rFonts w:eastAsia="Calibri"/>
          <w:sz w:val="20"/>
          <w:szCs w:val="20"/>
          <w:lang w:val="es-ES"/>
        </w:rPr>
        <w:t xml:space="preserve"> </w:t>
      </w:r>
      <w:r w:rsidR="00195F9B" w:rsidRPr="00975C02">
        <w:rPr>
          <w:rFonts w:eastAsia="Calibri"/>
          <w:sz w:val="20"/>
          <w:szCs w:val="20"/>
          <w:lang w:val="es-ES"/>
        </w:rPr>
        <w:t>23</w:t>
      </w:r>
      <w:r w:rsidR="007E57A3" w:rsidRPr="00975C02">
        <w:rPr>
          <w:rFonts w:eastAsia="Calibri"/>
          <w:sz w:val="20"/>
          <w:szCs w:val="20"/>
          <w:lang w:val="es-ES"/>
        </w:rPr>
        <w:t>.</w:t>
      </w:r>
      <w:r w:rsidR="00195F9B" w:rsidRPr="00975C02">
        <w:rPr>
          <w:rFonts w:eastAsia="Calibri"/>
          <w:sz w:val="20"/>
          <w:szCs w:val="20"/>
          <w:lang w:val="es-ES"/>
        </w:rPr>
        <w:t>400</w:t>
      </w:r>
      <w:r w:rsidR="007E57A3" w:rsidRPr="00975C02">
        <w:rPr>
          <w:rFonts w:eastAsia="Calibri"/>
          <w:sz w:val="20"/>
          <w:szCs w:val="20"/>
          <w:lang w:val="es-ES"/>
        </w:rPr>
        <w:t>,</w:t>
      </w:r>
      <w:r w:rsidR="00195F9B" w:rsidRPr="00975C02">
        <w:rPr>
          <w:rFonts w:eastAsia="Calibri"/>
          <w:sz w:val="20"/>
          <w:szCs w:val="20"/>
          <w:lang w:val="es-ES"/>
        </w:rPr>
        <w:t>00 (veintitrés mil cuatrocientos dólares de los Estados Unidos de América). Dicho monto deber</w:t>
      </w:r>
      <w:r w:rsidR="00C72DE4" w:rsidRPr="00975C02">
        <w:rPr>
          <w:rFonts w:eastAsia="Calibri"/>
          <w:sz w:val="20"/>
          <w:szCs w:val="20"/>
          <w:lang w:val="es-ES"/>
        </w:rPr>
        <w:t>á</w:t>
      </w:r>
      <w:r w:rsidR="00195F9B" w:rsidRPr="00975C02">
        <w:rPr>
          <w:rFonts w:eastAsia="Calibri"/>
          <w:sz w:val="20"/>
          <w:szCs w:val="20"/>
          <w:lang w:val="es-ES"/>
        </w:rPr>
        <w:t xml:space="preserve"> ser pagado </w:t>
      </w:r>
      <w:r w:rsidR="00C72DE4" w:rsidRPr="00975C02">
        <w:rPr>
          <w:rFonts w:eastAsia="Calibri"/>
          <w:sz w:val="20"/>
          <w:szCs w:val="20"/>
          <w:lang w:val="es-ES"/>
        </w:rPr>
        <w:t xml:space="preserve">por el Estado a </w:t>
      </w:r>
      <w:r w:rsidR="00195F9B" w:rsidRPr="00975C02">
        <w:rPr>
          <w:rFonts w:eastAsia="Calibri"/>
          <w:sz w:val="20"/>
          <w:szCs w:val="20"/>
          <w:lang w:val="es-ES"/>
        </w:rPr>
        <w:t>la señora V.P.C.</w:t>
      </w:r>
    </w:p>
    <w:p w14:paraId="066CB265" w14:textId="77777777" w:rsidR="009D661E" w:rsidRPr="00975C02" w:rsidRDefault="009D661E" w:rsidP="00195F9B">
      <w:pPr>
        <w:tabs>
          <w:tab w:val="left" w:pos="567"/>
        </w:tabs>
        <w:spacing w:line="240" w:lineRule="auto"/>
        <w:rPr>
          <w:rFonts w:eastAsia="Calibri"/>
          <w:sz w:val="20"/>
          <w:szCs w:val="20"/>
          <w:lang w:val="es-ES"/>
        </w:rPr>
      </w:pPr>
    </w:p>
    <w:p w14:paraId="1304789A" w14:textId="77777777" w:rsidR="009D661E" w:rsidRPr="00975C02" w:rsidRDefault="009D661E" w:rsidP="000063E6">
      <w:pPr>
        <w:pStyle w:val="Heading2"/>
        <w:tabs>
          <w:tab w:val="left" w:pos="1843"/>
        </w:tabs>
        <w:spacing w:before="0" w:line="240" w:lineRule="auto"/>
        <w:ind w:left="1134"/>
        <w:rPr>
          <w:rFonts w:ascii="Verdana" w:hAnsi="Verdana"/>
          <w:b w:val="0"/>
          <w:i/>
          <w:color w:val="auto"/>
          <w:sz w:val="20"/>
          <w:szCs w:val="20"/>
          <w:lang w:val="es-ES"/>
        </w:rPr>
      </w:pPr>
      <w:bookmarkStart w:id="189" w:name="_Toc495658703"/>
      <w:bookmarkStart w:id="190" w:name="_Toc476390744"/>
      <w:bookmarkStart w:id="191" w:name="_Toc514172671"/>
      <w:r w:rsidRPr="00975C02">
        <w:rPr>
          <w:rFonts w:ascii="Verdana" w:hAnsi="Verdana"/>
          <w:b w:val="0"/>
          <w:i/>
          <w:color w:val="auto"/>
          <w:sz w:val="20"/>
          <w:szCs w:val="20"/>
          <w:lang w:val="es-ES"/>
        </w:rPr>
        <w:t>D.2</w:t>
      </w:r>
      <w:r w:rsidRPr="00975C02">
        <w:rPr>
          <w:rFonts w:ascii="Verdana" w:hAnsi="Verdana"/>
          <w:b w:val="0"/>
          <w:i/>
          <w:color w:val="auto"/>
          <w:sz w:val="20"/>
          <w:szCs w:val="20"/>
          <w:lang w:val="es-ES"/>
        </w:rPr>
        <w:tab/>
        <w:t>Daño inmaterial</w:t>
      </w:r>
      <w:bookmarkEnd w:id="189"/>
      <w:bookmarkEnd w:id="190"/>
      <w:bookmarkEnd w:id="191"/>
    </w:p>
    <w:p w14:paraId="2D93705B" w14:textId="77777777" w:rsidR="009D661E" w:rsidRPr="00975C02" w:rsidRDefault="009D661E" w:rsidP="000063E6">
      <w:pPr>
        <w:spacing w:line="240" w:lineRule="auto"/>
        <w:rPr>
          <w:sz w:val="20"/>
          <w:szCs w:val="20"/>
          <w:lang w:val="es-ES"/>
        </w:rPr>
      </w:pPr>
    </w:p>
    <w:p w14:paraId="0C4A26AF" w14:textId="399D1BB9" w:rsidR="00493B4F" w:rsidRPr="00975C02" w:rsidRDefault="00493B4F" w:rsidP="00493B4F">
      <w:pPr>
        <w:numPr>
          <w:ilvl w:val="0"/>
          <w:numId w:val="2"/>
        </w:numPr>
        <w:tabs>
          <w:tab w:val="left" w:pos="567"/>
          <w:tab w:val="num" w:pos="5057"/>
        </w:tabs>
        <w:spacing w:line="240" w:lineRule="auto"/>
        <w:ind w:left="0" w:firstLine="0"/>
        <w:textAlignment w:val="auto"/>
        <w:rPr>
          <w:rFonts w:eastAsia="MS Mincho" w:cs="Tahoma"/>
          <w:sz w:val="20"/>
          <w:szCs w:val="20"/>
          <w:lang w:val="es-ES"/>
        </w:rPr>
      </w:pPr>
      <w:r w:rsidRPr="00975C02">
        <w:rPr>
          <w:rFonts w:eastAsia="Calibri"/>
          <w:sz w:val="20"/>
          <w:szCs w:val="20"/>
          <w:lang w:val="es-ES"/>
        </w:rPr>
        <w:t>La</w:t>
      </w:r>
      <w:r w:rsidRPr="00975C02">
        <w:rPr>
          <w:rFonts w:eastAsia="MS Mincho" w:cs="Tahoma"/>
          <w:sz w:val="20"/>
          <w:szCs w:val="20"/>
          <w:lang w:val="es-ES"/>
        </w:rPr>
        <w:t xml:space="preserve"> </w:t>
      </w:r>
      <w:r w:rsidRPr="00975C02">
        <w:rPr>
          <w:rFonts w:eastAsia="MS Mincho" w:cs="Tahoma"/>
          <w:b/>
          <w:i/>
          <w:sz w:val="20"/>
          <w:szCs w:val="20"/>
          <w:lang w:val="es-ES"/>
        </w:rPr>
        <w:t xml:space="preserve">Comisión </w:t>
      </w:r>
      <w:r w:rsidRPr="00975C02">
        <w:rPr>
          <w:rFonts w:eastAsia="MS Mincho" w:cs="Tahoma"/>
          <w:sz w:val="20"/>
          <w:szCs w:val="20"/>
          <w:lang w:val="es-ES"/>
        </w:rPr>
        <w:t>afirmó que los hechos causaron un severo impacto en el proyecto de vida de V.R.P., su madre V.P.C. y sus hermanos y hermana, ya que la grave omisión del Estado en reconocer la condición de víctima de V</w:t>
      </w:r>
      <w:r w:rsidR="007F2C0D" w:rsidRPr="00975C02">
        <w:rPr>
          <w:rFonts w:eastAsia="MS Mincho" w:cs="Tahoma"/>
          <w:sz w:val="20"/>
          <w:szCs w:val="20"/>
          <w:lang w:val="es-ES"/>
        </w:rPr>
        <w:t>.</w:t>
      </w:r>
      <w:r w:rsidRPr="00975C02">
        <w:rPr>
          <w:rFonts w:eastAsia="MS Mincho" w:cs="Tahoma"/>
          <w:sz w:val="20"/>
          <w:szCs w:val="20"/>
          <w:lang w:val="es-ES"/>
        </w:rPr>
        <w:t>R</w:t>
      </w:r>
      <w:r w:rsidR="007F2C0D" w:rsidRPr="00975C02">
        <w:rPr>
          <w:rFonts w:eastAsia="MS Mincho" w:cs="Tahoma"/>
          <w:sz w:val="20"/>
          <w:szCs w:val="20"/>
          <w:lang w:val="es-ES"/>
        </w:rPr>
        <w:t>.</w:t>
      </w:r>
      <w:r w:rsidRPr="00975C02">
        <w:rPr>
          <w:rFonts w:eastAsia="MS Mincho" w:cs="Tahoma"/>
          <w:sz w:val="20"/>
          <w:szCs w:val="20"/>
          <w:lang w:val="es-ES"/>
        </w:rPr>
        <w:t>P</w:t>
      </w:r>
      <w:r w:rsidR="007F2C0D" w:rsidRPr="00975C02">
        <w:rPr>
          <w:rFonts w:eastAsia="MS Mincho" w:cs="Tahoma"/>
          <w:sz w:val="20"/>
          <w:szCs w:val="20"/>
          <w:lang w:val="es-ES"/>
        </w:rPr>
        <w:t>.</w:t>
      </w:r>
      <w:r w:rsidRPr="00975C02">
        <w:rPr>
          <w:rFonts w:eastAsia="MS Mincho" w:cs="Tahoma"/>
          <w:sz w:val="20"/>
          <w:szCs w:val="20"/>
          <w:lang w:val="es-ES"/>
        </w:rPr>
        <w:t xml:space="preserve"> a su corta edad y la severa violencia que sufrió de parte de las autoridades estatales anuló las posibilidades de recuperación y reintegración de la víctima. Consideró que el deber de acompañamiento y protección integral del Estado hacia la víctima sigue pendiente, frente a lo que no se puede permitir que se oponga la salida del país de las víctimas para evadir su obligación de reparación integral, en particular teniendo en cuenta que dicha salida obedeció precisamente a la actuación estatal frente a las denuncias</w:t>
      </w:r>
      <w:r w:rsidR="001C0BD0" w:rsidRPr="00975C02">
        <w:rPr>
          <w:rFonts w:eastAsia="MS Mincho" w:cs="Tahoma"/>
          <w:sz w:val="20"/>
          <w:szCs w:val="20"/>
          <w:lang w:val="es-ES"/>
        </w:rPr>
        <w:t>.</w:t>
      </w:r>
    </w:p>
    <w:p w14:paraId="13BAAFF7" w14:textId="77777777" w:rsidR="00493B4F" w:rsidRPr="00975C02" w:rsidRDefault="00493B4F" w:rsidP="000063E6">
      <w:pPr>
        <w:spacing w:line="240" w:lineRule="auto"/>
        <w:rPr>
          <w:sz w:val="20"/>
          <w:szCs w:val="20"/>
          <w:lang w:val="es-ES"/>
        </w:rPr>
      </w:pPr>
    </w:p>
    <w:p w14:paraId="7BFD4688" w14:textId="5085E7A3" w:rsidR="009D661E" w:rsidRPr="00975C02" w:rsidRDefault="009D661E" w:rsidP="000063E6">
      <w:pPr>
        <w:numPr>
          <w:ilvl w:val="0"/>
          <w:numId w:val="2"/>
        </w:numPr>
        <w:tabs>
          <w:tab w:val="left" w:pos="567"/>
          <w:tab w:val="num" w:pos="5057"/>
        </w:tabs>
        <w:spacing w:line="240" w:lineRule="auto"/>
        <w:ind w:left="0" w:firstLine="0"/>
        <w:textAlignment w:val="auto"/>
        <w:rPr>
          <w:sz w:val="20"/>
          <w:szCs w:val="20"/>
          <w:lang w:val="es-ES"/>
        </w:rPr>
      </w:pPr>
      <w:r w:rsidRPr="00975C02">
        <w:rPr>
          <w:rFonts w:eastAsia="Calibri"/>
          <w:sz w:val="20"/>
          <w:szCs w:val="20"/>
          <w:lang w:val="es-ES"/>
        </w:rPr>
        <w:t>Las</w:t>
      </w:r>
      <w:r w:rsidRPr="00975C02">
        <w:rPr>
          <w:sz w:val="20"/>
          <w:szCs w:val="20"/>
          <w:lang w:val="es-ES"/>
        </w:rPr>
        <w:t xml:space="preserve"> </w:t>
      </w:r>
      <w:r w:rsidRPr="00975C02">
        <w:rPr>
          <w:b/>
          <w:i/>
          <w:sz w:val="20"/>
          <w:szCs w:val="20"/>
          <w:lang w:val="es-ES"/>
        </w:rPr>
        <w:t xml:space="preserve">representantes </w:t>
      </w:r>
      <w:r w:rsidRPr="00975C02">
        <w:rPr>
          <w:sz w:val="20"/>
          <w:szCs w:val="20"/>
          <w:lang w:val="es-ES"/>
        </w:rPr>
        <w:t xml:space="preserve">señalaron que el daño sufrido por V.R.P. en manos de un tercero comprometió la responsabilidad </w:t>
      </w:r>
      <w:r w:rsidR="007F2C0D" w:rsidRPr="00975C02">
        <w:rPr>
          <w:sz w:val="20"/>
          <w:szCs w:val="20"/>
          <w:lang w:val="es-ES"/>
        </w:rPr>
        <w:t>d</w:t>
      </w:r>
      <w:r w:rsidRPr="00975C02">
        <w:rPr>
          <w:sz w:val="20"/>
          <w:szCs w:val="20"/>
          <w:lang w:val="es-ES"/>
        </w:rPr>
        <w:t>el Estado por no haber garantizado efectivamente sus derechos y no haber realizado una investigación efectiva que conllevara la sanción del responsable</w:t>
      </w:r>
      <w:r w:rsidR="00621658" w:rsidRPr="00975C02">
        <w:rPr>
          <w:sz w:val="20"/>
          <w:szCs w:val="20"/>
          <w:lang w:val="es-ES"/>
        </w:rPr>
        <w:t xml:space="preserve">. Asimismo, indicaron que </w:t>
      </w:r>
      <w:r w:rsidRPr="00975C02">
        <w:rPr>
          <w:sz w:val="20"/>
          <w:szCs w:val="20"/>
          <w:lang w:val="es-ES"/>
        </w:rPr>
        <w:t>la violencia institucional y la revictimización sufrida por la niña</w:t>
      </w:r>
      <w:r w:rsidR="00751137">
        <w:rPr>
          <w:sz w:val="20"/>
          <w:szCs w:val="20"/>
          <w:lang w:val="es-ES"/>
        </w:rPr>
        <w:t>,</w:t>
      </w:r>
      <w:r w:rsidRPr="00975C02">
        <w:rPr>
          <w:sz w:val="20"/>
          <w:szCs w:val="20"/>
          <w:lang w:val="es-ES"/>
        </w:rPr>
        <w:t xml:space="preserve"> debido a la actuación de personas que </w:t>
      </w:r>
      <w:r w:rsidR="00751137">
        <w:rPr>
          <w:sz w:val="20"/>
          <w:szCs w:val="20"/>
          <w:lang w:val="es-ES"/>
        </w:rPr>
        <w:t>se desempeñaron</w:t>
      </w:r>
      <w:r w:rsidRPr="00975C02">
        <w:rPr>
          <w:sz w:val="20"/>
          <w:szCs w:val="20"/>
          <w:lang w:val="es-ES"/>
        </w:rPr>
        <w:t xml:space="preserve"> en el marco de sus funciones públicas</w:t>
      </w:r>
      <w:r w:rsidR="00751137">
        <w:rPr>
          <w:sz w:val="20"/>
          <w:szCs w:val="20"/>
          <w:lang w:val="es-ES"/>
        </w:rPr>
        <w:t>,</w:t>
      </w:r>
      <w:r w:rsidRPr="00975C02">
        <w:rPr>
          <w:sz w:val="20"/>
          <w:szCs w:val="20"/>
          <w:lang w:val="es-ES"/>
        </w:rPr>
        <w:t xml:space="preserve"> </w:t>
      </w:r>
      <w:r w:rsidR="00621658" w:rsidRPr="00975C02">
        <w:rPr>
          <w:sz w:val="20"/>
          <w:szCs w:val="20"/>
          <w:lang w:val="es-ES"/>
        </w:rPr>
        <w:t>le causaron un daño. Las representantes a</w:t>
      </w:r>
      <w:r w:rsidRPr="00975C02">
        <w:rPr>
          <w:sz w:val="20"/>
          <w:szCs w:val="20"/>
          <w:lang w:val="es-ES"/>
        </w:rPr>
        <w:t>legaron que todo ello afectó tanto a V.R.P. como a su entorno familiar, ocasion</w:t>
      </w:r>
      <w:r w:rsidR="00621658" w:rsidRPr="00975C02">
        <w:rPr>
          <w:sz w:val="20"/>
          <w:szCs w:val="20"/>
          <w:lang w:val="es-ES"/>
        </w:rPr>
        <w:t>ándoles un</w:t>
      </w:r>
      <w:r w:rsidRPr="00975C02">
        <w:rPr>
          <w:sz w:val="20"/>
          <w:szCs w:val="20"/>
          <w:lang w:val="es-ES"/>
        </w:rPr>
        <w:t xml:space="preserve"> daño psíquico y moral, </w:t>
      </w:r>
      <w:r w:rsidR="00621658" w:rsidRPr="00975C02">
        <w:rPr>
          <w:sz w:val="20"/>
          <w:szCs w:val="20"/>
          <w:lang w:val="es-ES"/>
        </w:rPr>
        <w:t>ya que</w:t>
      </w:r>
      <w:r w:rsidRPr="00975C02">
        <w:rPr>
          <w:sz w:val="20"/>
          <w:szCs w:val="20"/>
          <w:lang w:val="es-ES"/>
        </w:rPr>
        <w:t xml:space="preserve"> se vieron estigmatizados y tuvieron que cargar con el dolor </w:t>
      </w:r>
      <w:r w:rsidR="00621658" w:rsidRPr="00975C02">
        <w:rPr>
          <w:sz w:val="20"/>
          <w:szCs w:val="20"/>
          <w:lang w:val="es-ES"/>
        </w:rPr>
        <w:t>sufrido por V.R.P.</w:t>
      </w:r>
      <w:r w:rsidRPr="00975C02">
        <w:rPr>
          <w:sz w:val="20"/>
          <w:szCs w:val="20"/>
          <w:lang w:val="es-ES"/>
        </w:rPr>
        <w:t xml:space="preserve">, además de sentir la impotencia de no recibir respuesta del Estado, lo que condujo </w:t>
      </w:r>
      <w:r w:rsidR="00621658" w:rsidRPr="00975C02">
        <w:rPr>
          <w:sz w:val="20"/>
          <w:szCs w:val="20"/>
          <w:lang w:val="es-ES"/>
        </w:rPr>
        <w:t xml:space="preserve">finalmente </w:t>
      </w:r>
      <w:r w:rsidRPr="00975C02">
        <w:rPr>
          <w:sz w:val="20"/>
          <w:szCs w:val="20"/>
          <w:lang w:val="es-ES"/>
        </w:rPr>
        <w:t>a la desintegración familiar</w:t>
      </w:r>
      <w:r w:rsidR="00621658" w:rsidRPr="00975C02">
        <w:rPr>
          <w:sz w:val="20"/>
          <w:szCs w:val="20"/>
          <w:lang w:val="es-ES"/>
        </w:rPr>
        <w:t xml:space="preserve">. </w:t>
      </w:r>
      <w:r w:rsidRPr="00975C02">
        <w:rPr>
          <w:sz w:val="20"/>
          <w:szCs w:val="20"/>
          <w:lang w:val="es-ES"/>
        </w:rPr>
        <w:t>Por ello</w:t>
      </w:r>
      <w:r w:rsidR="00B33D5C">
        <w:rPr>
          <w:sz w:val="20"/>
          <w:szCs w:val="20"/>
          <w:lang w:val="es-ES"/>
        </w:rPr>
        <w:t>,</w:t>
      </w:r>
      <w:r w:rsidRPr="00975C02">
        <w:rPr>
          <w:sz w:val="20"/>
          <w:szCs w:val="20"/>
          <w:lang w:val="es-ES"/>
        </w:rPr>
        <w:t xml:space="preserve"> solicitaron que se orden</w:t>
      </w:r>
      <w:r w:rsidR="00621658" w:rsidRPr="00975C02">
        <w:rPr>
          <w:sz w:val="20"/>
          <w:szCs w:val="20"/>
          <w:lang w:val="es-ES"/>
        </w:rPr>
        <w:t>ara</w:t>
      </w:r>
      <w:r w:rsidRPr="00975C02">
        <w:rPr>
          <w:sz w:val="20"/>
          <w:szCs w:val="20"/>
          <w:lang w:val="es-ES"/>
        </w:rPr>
        <w:t xml:space="preserve"> el pago de US$</w:t>
      </w:r>
      <w:r w:rsidR="007F2C0D" w:rsidRPr="00975C02">
        <w:rPr>
          <w:sz w:val="20"/>
          <w:szCs w:val="20"/>
          <w:lang w:val="es-ES"/>
        </w:rPr>
        <w:t xml:space="preserve"> </w:t>
      </w:r>
      <w:r w:rsidRPr="00975C02">
        <w:rPr>
          <w:sz w:val="20"/>
          <w:szCs w:val="20"/>
          <w:lang w:val="es-ES"/>
        </w:rPr>
        <w:t>250</w:t>
      </w:r>
      <w:r w:rsidR="007F2C0D" w:rsidRPr="00975C02">
        <w:rPr>
          <w:sz w:val="20"/>
          <w:szCs w:val="20"/>
          <w:lang w:val="es-ES"/>
        </w:rPr>
        <w:t>.</w:t>
      </w:r>
      <w:r w:rsidRPr="00975C02">
        <w:rPr>
          <w:sz w:val="20"/>
          <w:szCs w:val="20"/>
          <w:lang w:val="es-ES"/>
        </w:rPr>
        <w:t>000</w:t>
      </w:r>
      <w:r w:rsidR="007F2C0D" w:rsidRPr="00975C02">
        <w:rPr>
          <w:sz w:val="20"/>
          <w:szCs w:val="20"/>
          <w:lang w:val="es-ES"/>
        </w:rPr>
        <w:t>,</w:t>
      </w:r>
      <w:r w:rsidRPr="00975C02">
        <w:rPr>
          <w:sz w:val="20"/>
          <w:szCs w:val="20"/>
          <w:lang w:val="es-ES"/>
        </w:rPr>
        <w:t>00 a favor de V.R.P., US$ 150</w:t>
      </w:r>
      <w:r w:rsidR="007F2C0D" w:rsidRPr="00975C02">
        <w:rPr>
          <w:sz w:val="20"/>
          <w:szCs w:val="20"/>
          <w:lang w:val="es-ES"/>
        </w:rPr>
        <w:t>.</w:t>
      </w:r>
      <w:r w:rsidRPr="00975C02">
        <w:rPr>
          <w:sz w:val="20"/>
          <w:szCs w:val="20"/>
          <w:lang w:val="es-ES"/>
        </w:rPr>
        <w:t>000</w:t>
      </w:r>
      <w:r w:rsidR="007F2C0D" w:rsidRPr="00975C02">
        <w:rPr>
          <w:sz w:val="20"/>
          <w:szCs w:val="20"/>
          <w:lang w:val="es-ES"/>
        </w:rPr>
        <w:t>,</w:t>
      </w:r>
      <w:r w:rsidRPr="00975C02">
        <w:rPr>
          <w:sz w:val="20"/>
          <w:szCs w:val="20"/>
          <w:lang w:val="es-ES"/>
        </w:rPr>
        <w:t xml:space="preserve">00 a favor </w:t>
      </w:r>
      <w:r w:rsidR="00B33D5C">
        <w:rPr>
          <w:sz w:val="20"/>
          <w:szCs w:val="20"/>
          <w:lang w:val="es-ES"/>
        </w:rPr>
        <w:t xml:space="preserve">de </w:t>
      </w:r>
      <w:r w:rsidRPr="00975C02">
        <w:rPr>
          <w:sz w:val="20"/>
          <w:szCs w:val="20"/>
          <w:lang w:val="es-ES"/>
        </w:rPr>
        <w:t xml:space="preserve">V.P.C., </w:t>
      </w:r>
      <w:r w:rsidR="00B33D5C">
        <w:rPr>
          <w:sz w:val="20"/>
          <w:szCs w:val="20"/>
          <w:lang w:val="es-ES"/>
        </w:rPr>
        <w:t xml:space="preserve">y </w:t>
      </w:r>
      <w:r w:rsidR="007F2C0D" w:rsidRPr="00975C02">
        <w:rPr>
          <w:sz w:val="20"/>
          <w:szCs w:val="20"/>
          <w:lang w:val="es-ES"/>
        </w:rPr>
        <w:t xml:space="preserve">US$ 50.000,00 </w:t>
      </w:r>
      <w:r w:rsidR="00B33D5C">
        <w:rPr>
          <w:sz w:val="20"/>
          <w:szCs w:val="20"/>
          <w:lang w:val="es-ES"/>
        </w:rPr>
        <w:t>a favor de cada uno de los hermanos</w:t>
      </w:r>
      <w:r w:rsidRPr="00975C02">
        <w:rPr>
          <w:sz w:val="20"/>
          <w:szCs w:val="20"/>
          <w:lang w:val="es-ES"/>
        </w:rPr>
        <w:t>. E</w:t>
      </w:r>
      <w:r w:rsidR="007F2C0D" w:rsidRPr="00975C02">
        <w:rPr>
          <w:sz w:val="20"/>
          <w:szCs w:val="20"/>
          <w:lang w:val="es-ES"/>
        </w:rPr>
        <w:t>n consecuencia, e</w:t>
      </w:r>
      <w:r w:rsidRPr="00975C02">
        <w:rPr>
          <w:sz w:val="20"/>
          <w:szCs w:val="20"/>
          <w:lang w:val="es-ES"/>
        </w:rPr>
        <w:t>l monto total solicitado por concepto de daño inmaterial asciende a US$ 550.000,00</w:t>
      </w:r>
      <w:r w:rsidR="001C0BD0" w:rsidRPr="00975C02">
        <w:rPr>
          <w:sz w:val="20"/>
          <w:szCs w:val="20"/>
          <w:lang w:val="es-ES"/>
        </w:rPr>
        <w:t>.</w:t>
      </w:r>
    </w:p>
    <w:p w14:paraId="3E87CB43" w14:textId="77777777" w:rsidR="009D661E" w:rsidRPr="00975C02" w:rsidRDefault="009D661E" w:rsidP="009D661E">
      <w:pPr>
        <w:tabs>
          <w:tab w:val="left" w:pos="567"/>
        </w:tabs>
        <w:spacing w:line="240" w:lineRule="auto"/>
        <w:rPr>
          <w:sz w:val="20"/>
          <w:szCs w:val="20"/>
          <w:lang w:val="es-ES"/>
        </w:rPr>
      </w:pPr>
    </w:p>
    <w:p w14:paraId="7A8DACEB" w14:textId="6007923D" w:rsidR="00493B4F" w:rsidRPr="00975C02" w:rsidRDefault="00493B4F" w:rsidP="00493B4F">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Verdana" w:cs="Verdana"/>
          <w:sz w:val="20"/>
          <w:szCs w:val="20"/>
          <w:lang w:val="es-ES"/>
        </w:rPr>
        <w:t xml:space="preserve">Las </w:t>
      </w:r>
      <w:r w:rsidRPr="00975C02">
        <w:rPr>
          <w:rFonts w:eastAsia="Verdana" w:cs="Verdana"/>
          <w:b/>
          <w:i/>
          <w:sz w:val="20"/>
          <w:szCs w:val="20"/>
          <w:lang w:val="es-ES"/>
        </w:rPr>
        <w:t>representantes</w:t>
      </w:r>
      <w:r w:rsidRPr="00975C02">
        <w:rPr>
          <w:rFonts w:eastAsia="Verdana" w:cs="Verdana"/>
          <w:sz w:val="20"/>
          <w:szCs w:val="20"/>
          <w:lang w:val="es-ES"/>
        </w:rPr>
        <w:t xml:space="preserve"> adujeron, </w:t>
      </w:r>
      <w:r w:rsidR="007F2C0D" w:rsidRPr="00975C02">
        <w:rPr>
          <w:rFonts w:eastAsia="Verdana" w:cs="Verdana"/>
          <w:sz w:val="20"/>
          <w:szCs w:val="20"/>
          <w:lang w:val="es-ES"/>
        </w:rPr>
        <w:t>co</w:t>
      </w:r>
      <w:r w:rsidRPr="00975C02">
        <w:rPr>
          <w:rFonts w:eastAsia="Verdana" w:cs="Verdana"/>
          <w:sz w:val="20"/>
          <w:szCs w:val="20"/>
          <w:lang w:val="es-ES"/>
        </w:rPr>
        <w:t>n relación a V.R.P., que sus expectativas de desarrollo personal, sano y normal, le fueron truncadas desde el momento en que fue agredida sexualmente, pues dejó de ser una niña alegre, se negó a asistir a la escuela y desatendió sus cuidados personales, lo que se agravó cuando su agresor fue puesto en libertad. Su proyecto de vida se vio igualmente afectado cuando tuvo que retirarse de su entorno y su familia y se vio impedida de disfrutar de las relaciones afectivas de las personas que amaba. Respecto a V.P.C. adujeron que tuvo que dejar de trabajar para atender tanto la delicada situación de su hija como el proceso judicial instaurado, tuvo que dejar a su familia para ir a un país extraño, tuvo que dejar su casa para verse en la calle sin tener donde dormir, gastó sus fuerzas y su salud buscando la recuperación de su hija y la justicia que no llegó. Todo ello no formó parte de sus planes antes de interponer la denuncia contra el agresor de su hija</w:t>
      </w:r>
      <w:r w:rsidR="001C0BD0" w:rsidRPr="00975C02">
        <w:rPr>
          <w:rFonts w:eastAsia="Verdana" w:cs="Verdana"/>
          <w:sz w:val="20"/>
          <w:szCs w:val="20"/>
          <w:lang w:val="es-ES"/>
        </w:rPr>
        <w:t>.</w:t>
      </w:r>
      <w:r w:rsidRPr="00975C02">
        <w:rPr>
          <w:rFonts w:eastAsia="Verdana" w:cs="Verdana"/>
          <w:sz w:val="20"/>
          <w:szCs w:val="20"/>
          <w:lang w:val="es-ES"/>
        </w:rPr>
        <w:t xml:space="preserve"> </w:t>
      </w:r>
      <w:r w:rsidR="001C0BD0" w:rsidRPr="00975C02">
        <w:rPr>
          <w:rFonts w:eastAsia="Verdana" w:cs="Verdana"/>
          <w:sz w:val="20"/>
          <w:szCs w:val="20"/>
          <w:lang w:val="es-ES"/>
        </w:rPr>
        <w:t>Con</w:t>
      </w:r>
      <w:r w:rsidRPr="00975C02">
        <w:rPr>
          <w:rFonts w:eastAsia="Verdana" w:cs="Verdana"/>
          <w:sz w:val="20"/>
          <w:szCs w:val="20"/>
          <w:lang w:val="es-ES"/>
        </w:rPr>
        <w:t xml:space="preserve"> relación a N.R.P. arguyeron que su proyecto de vida se vio afectado cuando se le cerraron las posibilidades de desarrollarse en su carrera debido al rechazo social por lo acontecido en su familia y cuando tuvo que salir de su país para ser soporte de su madre y hermanita, dejando su carrera y sus sueños para dedicarse a trabajos menores que le permitieran ayudarlas</w:t>
      </w:r>
      <w:r w:rsidR="001C0BD0" w:rsidRPr="00975C02">
        <w:rPr>
          <w:rFonts w:eastAsia="Verdana" w:cs="Verdana"/>
          <w:sz w:val="20"/>
          <w:szCs w:val="20"/>
          <w:lang w:val="es-ES"/>
        </w:rPr>
        <w:t>.</w:t>
      </w:r>
      <w:r w:rsidRPr="00975C02">
        <w:rPr>
          <w:rFonts w:eastAsia="Verdana" w:cs="Verdana"/>
          <w:sz w:val="20"/>
          <w:szCs w:val="20"/>
          <w:lang w:val="es-ES"/>
        </w:rPr>
        <w:t xml:space="preserve"> </w:t>
      </w:r>
      <w:r w:rsidR="00EA3818" w:rsidRPr="00975C02">
        <w:rPr>
          <w:rFonts w:eastAsia="Verdana" w:cs="Verdana"/>
          <w:sz w:val="20"/>
          <w:szCs w:val="20"/>
          <w:lang w:val="es-ES"/>
        </w:rPr>
        <w:t xml:space="preserve">Con </w:t>
      </w:r>
      <w:r w:rsidRPr="00975C02">
        <w:rPr>
          <w:rFonts w:eastAsia="Verdana" w:cs="Verdana"/>
          <w:sz w:val="20"/>
          <w:szCs w:val="20"/>
          <w:lang w:val="es-ES"/>
        </w:rPr>
        <w:t>relación a H.J.R.P. y V.A.R.P.</w:t>
      </w:r>
      <w:r w:rsidR="00B522B9">
        <w:rPr>
          <w:rFonts w:eastAsia="Verdana" w:cs="Verdana"/>
          <w:sz w:val="20"/>
          <w:szCs w:val="20"/>
          <w:lang w:val="es-ES"/>
        </w:rPr>
        <w:t>,</w:t>
      </w:r>
      <w:r w:rsidRPr="00975C02">
        <w:rPr>
          <w:rFonts w:eastAsia="Verdana" w:cs="Verdana"/>
          <w:sz w:val="20"/>
          <w:szCs w:val="20"/>
          <w:lang w:val="es-ES"/>
        </w:rPr>
        <w:t xml:space="preserve"> afirmaron </w:t>
      </w:r>
      <w:r w:rsidR="00B522B9">
        <w:rPr>
          <w:rFonts w:eastAsia="Verdana" w:cs="Verdana"/>
          <w:sz w:val="20"/>
          <w:szCs w:val="20"/>
          <w:lang w:val="es-ES"/>
        </w:rPr>
        <w:t xml:space="preserve">que </w:t>
      </w:r>
      <w:r w:rsidRPr="00975C02">
        <w:rPr>
          <w:rFonts w:eastAsia="Verdana" w:cs="Verdana"/>
          <w:sz w:val="20"/>
          <w:szCs w:val="20"/>
          <w:lang w:val="es-ES"/>
        </w:rPr>
        <w:t xml:space="preserve">ellos no pudieron desarrollarse a nivel laboral ni académico por la falta de oportunidades ante el rechazo de la comunidad y la estigmatización que sufrieron. </w:t>
      </w:r>
      <w:r w:rsidR="00B522B9">
        <w:rPr>
          <w:rFonts w:eastAsia="Verdana" w:cs="Verdana"/>
          <w:sz w:val="20"/>
          <w:szCs w:val="20"/>
          <w:lang w:val="es-ES"/>
        </w:rPr>
        <w:t xml:space="preserve">Concretamente, señalaron que </w:t>
      </w:r>
      <w:r w:rsidRPr="00975C02">
        <w:rPr>
          <w:rFonts w:eastAsia="Verdana" w:cs="Verdana"/>
          <w:sz w:val="20"/>
          <w:szCs w:val="20"/>
          <w:lang w:val="es-ES"/>
        </w:rPr>
        <w:lastRenderedPageBreak/>
        <w:t>H.</w:t>
      </w:r>
      <w:r w:rsidR="007F2C0D" w:rsidRPr="00975C02">
        <w:rPr>
          <w:rFonts w:eastAsia="Verdana" w:cs="Verdana"/>
          <w:sz w:val="20"/>
          <w:szCs w:val="20"/>
          <w:lang w:val="es-ES"/>
        </w:rPr>
        <w:t>J.</w:t>
      </w:r>
      <w:r w:rsidRPr="00975C02">
        <w:rPr>
          <w:rFonts w:eastAsia="Verdana" w:cs="Verdana"/>
          <w:sz w:val="20"/>
          <w:szCs w:val="20"/>
          <w:lang w:val="es-ES"/>
        </w:rPr>
        <w:t>R.P. no pudo desarrollarse en su carrera y V.A.R.P. no pudo estudiar porque, además, le faltó el respaldo económico de su madre, quien tuvo que salir de Nicaragua</w:t>
      </w:r>
      <w:r w:rsidR="001C0BD0" w:rsidRPr="00975C02">
        <w:rPr>
          <w:rFonts w:eastAsia="Verdana" w:cs="Verdana"/>
          <w:sz w:val="20"/>
          <w:szCs w:val="20"/>
          <w:lang w:val="es-ES"/>
        </w:rPr>
        <w:t>.</w:t>
      </w:r>
    </w:p>
    <w:p w14:paraId="282F9C92" w14:textId="77777777" w:rsidR="00493B4F" w:rsidRPr="00975C02" w:rsidRDefault="00493B4F" w:rsidP="009D661E">
      <w:pPr>
        <w:tabs>
          <w:tab w:val="left" w:pos="567"/>
        </w:tabs>
        <w:spacing w:line="240" w:lineRule="auto"/>
        <w:rPr>
          <w:sz w:val="20"/>
          <w:szCs w:val="20"/>
          <w:lang w:val="es-ES"/>
        </w:rPr>
      </w:pPr>
    </w:p>
    <w:p w14:paraId="459667C7" w14:textId="17B338F7" w:rsidR="00842A2B" w:rsidRPr="00975C02" w:rsidRDefault="009D661E" w:rsidP="00842A2B">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b/>
          <w:i/>
          <w:sz w:val="20"/>
          <w:szCs w:val="20"/>
          <w:lang w:val="es-ES" w:bidi="en-US"/>
        </w:rPr>
        <w:t>Estado</w:t>
      </w:r>
      <w:r w:rsidRPr="00975C02">
        <w:rPr>
          <w:rFonts w:eastAsia="Verdana" w:cs="Verdana"/>
          <w:sz w:val="20"/>
          <w:szCs w:val="20"/>
          <w:lang w:val="es-ES"/>
        </w:rPr>
        <w:t xml:space="preserve"> señaló que</w:t>
      </w:r>
      <w:r w:rsidR="00BE2490" w:rsidRPr="00975C02">
        <w:rPr>
          <w:rFonts w:eastAsia="Verdana" w:cs="Verdana"/>
          <w:sz w:val="20"/>
          <w:szCs w:val="20"/>
          <w:lang w:val="es-ES"/>
        </w:rPr>
        <w:t>,</w:t>
      </w:r>
      <w:r w:rsidRPr="00975C02">
        <w:rPr>
          <w:rFonts w:eastAsia="Verdana" w:cs="Verdana"/>
          <w:sz w:val="20"/>
          <w:szCs w:val="20"/>
          <w:lang w:val="es-ES"/>
        </w:rPr>
        <w:t xml:space="preserve"> </w:t>
      </w:r>
      <w:r w:rsidR="008F7074" w:rsidRPr="00975C02">
        <w:rPr>
          <w:rFonts w:eastAsia="Verdana" w:cs="Verdana"/>
          <w:sz w:val="20"/>
          <w:szCs w:val="20"/>
          <w:lang w:val="es-ES"/>
        </w:rPr>
        <w:t>si bien</w:t>
      </w:r>
      <w:r w:rsidRPr="00975C02">
        <w:rPr>
          <w:rFonts w:eastAsia="Verdana" w:cs="Verdana"/>
          <w:sz w:val="20"/>
          <w:szCs w:val="20"/>
          <w:lang w:val="es-ES"/>
        </w:rPr>
        <w:t xml:space="preserve"> el daño inmaterial p</w:t>
      </w:r>
      <w:r w:rsidR="00621658" w:rsidRPr="00975C02">
        <w:rPr>
          <w:rFonts w:eastAsia="Verdana" w:cs="Verdana"/>
          <w:sz w:val="20"/>
          <w:szCs w:val="20"/>
          <w:lang w:val="es-ES"/>
        </w:rPr>
        <w:t>odía</w:t>
      </w:r>
      <w:r w:rsidRPr="00975C02">
        <w:rPr>
          <w:rFonts w:eastAsia="Verdana" w:cs="Verdana"/>
          <w:sz w:val="20"/>
          <w:szCs w:val="20"/>
          <w:lang w:val="es-ES"/>
        </w:rPr>
        <w:t xml:space="preserve"> comprender tanto los sufrimientos y las aflicciones causadas a las víctimas directas como a sus allegados que de forma directa hayan sufrido el menoscabo de valores muy significativos para las personas, y no e</w:t>
      </w:r>
      <w:r w:rsidR="00621658" w:rsidRPr="00975C02">
        <w:rPr>
          <w:rFonts w:eastAsia="Verdana" w:cs="Verdana"/>
          <w:sz w:val="20"/>
          <w:szCs w:val="20"/>
          <w:lang w:val="es-ES"/>
        </w:rPr>
        <w:t>ra</w:t>
      </w:r>
      <w:r w:rsidRPr="00975C02">
        <w:rPr>
          <w:rFonts w:eastAsia="Verdana" w:cs="Verdana"/>
          <w:sz w:val="20"/>
          <w:szCs w:val="20"/>
          <w:lang w:val="es-ES"/>
        </w:rPr>
        <w:t xml:space="preserve"> posible asignar o fijar al daño un precio equivalente en dinero para los fines de reparación</w:t>
      </w:r>
      <w:r w:rsidR="00621658" w:rsidRPr="00975C02">
        <w:rPr>
          <w:rFonts w:eastAsia="Verdana" w:cs="Verdana"/>
          <w:sz w:val="20"/>
          <w:szCs w:val="20"/>
          <w:lang w:val="es-ES"/>
        </w:rPr>
        <w:t xml:space="preserve">, </w:t>
      </w:r>
      <w:r w:rsidRPr="00975C02">
        <w:rPr>
          <w:rFonts w:eastAsia="Verdana" w:cs="Verdana"/>
          <w:sz w:val="20"/>
          <w:szCs w:val="20"/>
          <w:lang w:val="es-ES"/>
        </w:rPr>
        <w:t>la suma pretendida por las representantes como compensación por el daño inmaterial, ascendente a US$ 550</w:t>
      </w:r>
      <w:r w:rsidR="008F7074" w:rsidRPr="00975C02">
        <w:rPr>
          <w:rFonts w:eastAsia="Verdana" w:cs="Verdana"/>
          <w:sz w:val="20"/>
          <w:szCs w:val="20"/>
          <w:lang w:val="es-ES"/>
        </w:rPr>
        <w:t>.</w:t>
      </w:r>
      <w:r w:rsidRPr="00975C02">
        <w:rPr>
          <w:rFonts w:eastAsia="Verdana" w:cs="Verdana"/>
          <w:sz w:val="20"/>
          <w:szCs w:val="20"/>
          <w:lang w:val="es-ES"/>
        </w:rPr>
        <w:t>000</w:t>
      </w:r>
      <w:r w:rsidR="008F7074" w:rsidRPr="00975C02">
        <w:rPr>
          <w:rFonts w:eastAsia="Verdana" w:cs="Verdana"/>
          <w:sz w:val="20"/>
          <w:szCs w:val="20"/>
          <w:lang w:val="es-ES"/>
        </w:rPr>
        <w:t>,</w:t>
      </w:r>
      <w:r w:rsidRPr="00975C02">
        <w:rPr>
          <w:rFonts w:eastAsia="Verdana" w:cs="Verdana"/>
          <w:sz w:val="20"/>
          <w:szCs w:val="20"/>
          <w:lang w:val="es-ES"/>
        </w:rPr>
        <w:t>00, supera</w:t>
      </w:r>
      <w:r w:rsidR="00621658" w:rsidRPr="00975C02">
        <w:rPr>
          <w:rFonts w:eastAsia="Verdana" w:cs="Verdana"/>
          <w:sz w:val="20"/>
          <w:szCs w:val="20"/>
          <w:lang w:val="es-ES"/>
        </w:rPr>
        <w:t>ba</w:t>
      </w:r>
      <w:r w:rsidRPr="00975C02">
        <w:rPr>
          <w:rFonts w:eastAsia="Verdana" w:cs="Verdana"/>
          <w:sz w:val="20"/>
          <w:szCs w:val="20"/>
          <w:lang w:val="es-ES"/>
        </w:rPr>
        <w:t xml:space="preserve"> la realidad de un país en desarrollo como Nicaragua</w:t>
      </w:r>
      <w:r w:rsidR="008F7074" w:rsidRPr="00975C02">
        <w:rPr>
          <w:rFonts w:eastAsia="Verdana" w:cs="Verdana"/>
          <w:sz w:val="20"/>
          <w:szCs w:val="20"/>
          <w:lang w:val="es-ES"/>
        </w:rPr>
        <w:t>. En esta línea</w:t>
      </w:r>
      <w:r w:rsidRPr="00975C02">
        <w:rPr>
          <w:rFonts w:eastAsia="Verdana" w:cs="Verdana"/>
          <w:sz w:val="20"/>
          <w:szCs w:val="20"/>
          <w:lang w:val="es-ES"/>
        </w:rPr>
        <w:t xml:space="preserve">, </w:t>
      </w:r>
      <w:r w:rsidR="008F7074" w:rsidRPr="00975C02">
        <w:rPr>
          <w:rFonts w:eastAsia="Verdana" w:cs="Verdana"/>
          <w:sz w:val="20"/>
          <w:szCs w:val="20"/>
          <w:lang w:val="es-ES"/>
        </w:rPr>
        <w:t xml:space="preserve">solicitó </w:t>
      </w:r>
      <w:r w:rsidRPr="00975C02">
        <w:rPr>
          <w:rFonts w:eastAsia="Verdana" w:cs="Verdana"/>
          <w:sz w:val="20"/>
          <w:szCs w:val="20"/>
          <w:lang w:val="es-ES"/>
        </w:rPr>
        <w:t xml:space="preserve">a la Corte </w:t>
      </w:r>
      <w:r w:rsidR="008F7074" w:rsidRPr="00975C02">
        <w:rPr>
          <w:rFonts w:eastAsia="Verdana" w:cs="Verdana"/>
          <w:sz w:val="20"/>
          <w:szCs w:val="20"/>
          <w:lang w:val="es-ES"/>
        </w:rPr>
        <w:t xml:space="preserve">que tuviera </w:t>
      </w:r>
      <w:r w:rsidRPr="00975C02">
        <w:rPr>
          <w:rFonts w:eastAsia="Verdana" w:cs="Verdana"/>
          <w:sz w:val="20"/>
          <w:szCs w:val="20"/>
          <w:lang w:val="es-ES"/>
        </w:rPr>
        <w:t>en cuenta que</w:t>
      </w:r>
      <w:r w:rsidR="008F7074" w:rsidRPr="00975C02">
        <w:rPr>
          <w:rFonts w:eastAsia="Verdana" w:cs="Verdana"/>
          <w:sz w:val="20"/>
          <w:szCs w:val="20"/>
          <w:lang w:val="es-ES"/>
        </w:rPr>
        <w:t>,</w:t>
      </w:r>
      <w:r w:rsidRPr="00975C02">
        <w:rPr>
          <w:rFonts w:eastAsia="Verdana" w:cs="Verdana"/>
          <w:sz w:val="20"/>
          <w:szCs w:val="20"/>
          <w:lang w:val="es-ES"/>
        </w:rPr>
        <w:t xml:space="preserve"> según su jurisprudencia</w:t>
      </w:r>
      <w:r w:rsidR="008F7074" w:rsidRPr="00975C02">
        <w:rPr>
          <w:rFonts w:eastAsia="Verdana" w:cs="Verdana"/>
          <w:sz w:val="20"/>
          <w:szCs w:val="20"/>
          <w:lang w:val="es-ES"/>
        </w:rPr>
        <w:t>,</w:t>
      </w:r>
      <w:r w:rsidRPr="00975C02">
        <w:rPr>
          <w:rFonts w:eastAsia="Verdana" w:cs="Verdana"/>
          <w:sz w:val="20"/>
          <w:szCs w:val="20"/>
          <w:lang w:val="es-ES"/>
        </w:rPr>
        <w:t xml:space="preserve"> “la sentencia puede constituir </w:t>
      </w:r>
      <w:r w:rsidRPr="00975C02">
        <w:rPr>
          <w:rFonts w:eastAsia="Verdana" w:cs="Verdana"/>
          <w:i/>
          <w:sz w:val="20"/>
          <w:szCs w:val="20"/>
          <w:lang w:val="es-ES"/>
        </w:rPr>
        <w:t>per se</w:t>
      </w:r>
      <w:r w:rsidRPr="00975C02">
        <w:rPr>
          <w:rFonts w:eastAsia="Verdana" w:cs="Verdana"/>
          <w:sz w:val="20"/>
          <w:szCs w:val="20"/>
          <w:lang w:val="es-ES"/>
        </w:rPr>
        <w:t xml:space="preserve"> una forma de reparación”</w:t>
      </w:r>
      <w:r w:rsidR="00621658" w:rsidRPr="00975C02">
        <w:rPr>
          <w:rFonts w:eastAsia="Verdana" w:cs="Verdana"/>
          <w:sz w:val="20"/>
          <w:szCs w:val="20"/>
          <w:lang w:val="es-ES"/>
        </w:rPr>
        <w:t>.</w:t>
      </w:r>
      <w:r w:rsidRPr="00975C02">
        <w:rPr>
          <w:rFonts w:eastAsia="Verdana" w:cs="Verdana"/>
          <w:sz w:val="20"/>
          <w:szCs w:val="20"/>
          <w:lang w:val="es-ES"/>
        </w:rPr>
        <w:t xml:space="preserve"> </w:t>
      </w:r>
      <w:r w:rsidR="00842A2B" w:rsidRPr="00975C02">
        <w:rPr>
          <w:rFonts w:eastAsia="MS Mincho"/>
          <w:sz w:val="20"/>
          <w:szCs w:val="20"/>
          <w:lang w:val="es-ES" w:bidi="en-US"/>
        </w:rPr>
        <w:t xml:space="preserve">El Estado consideró elevada la suma solicitada como compensación por la afectación al proyecto de vida alegado, aun cuando las representantes no precisaron suma específica, y se opuso a considerar a los hermanos de V.R.P. </w:t>
      </w:r>
      <w:r w:rsidR="008F7074" w:rsidRPr="00975C02">
        <w:rPr>
          <w:rFonts w:eastAsia="MS Mincho"/>
          <w:sz w:val="20"/>
          <w:szCs w:val="20"/>
          <w:lang w:val="es-ES" w:bidi="en-US"/>
        </w:rPr>
        <w:t xml:space="preserve">como beneficiarios dado que </w:t>
      </w:r>
      <w:r w:rsidR="00842A2B" w:rsidRPr="00975C02">
        <w:rPr>
          <w:rFonts w:eastAsia="MS Mincho"/>
          <w:sz w:val="20"/>
          <w:szCs w:val="20"/>
          <w:lang w:val="es-ES" w:bidi="en-US"/>
        </w:rPr>
        <w:t>no hab</w:t>
      </w:r>
      <w:r w:rsidR="008F7074" w:rsidRPr="00975C02">
        <w:rPr>
          <w:rFonts w:eastAsia="MS Mincho"/>
          <w:sz w:val="20"/>
          <w:szCs w:val="20"/>
          <w:lang w:val="es-ES" w:bidi="en-US"/>
        </w:rPr>
        <w:t>rían</w:t>
      </w:r>
      <w:r w:rsidR="00842A2B" w:rsidRPr="00975C02">
        <w:rPr>
          <w:rFonts w:eastAsia="MS Mincho"/>
          <w:sz w:val="20"/>
          <w:szCs w:val="20"/>
          <w:lang w:val="es-ES" w:bidi="en-US"/>
        </w:rPr>
        <w:t xml:space="preserve"> sido acreditados como víctimas por la Comisión. Además, invocando lo señalado en la jurisprudencia de la Corte sobre el proyecto de vida, solicitó que en esta sentencia se consider</w:t>
      </w:r>
      <w:r w:rsidR="008F7074" w:rsidRPr="00975C02">
        <w:rPr>
          <w:rFonts w:eastAsia="MS Mincho"/>
          <w:sz w:val="20"/>
          <w:szCs w:val="20"/>
          <w:lang w:val="es-ES" w:bidi="en-US"/>
        </w:rPr>
        <w:t>aran</w:t>
      </w:r>
      <w:r w:rsidR="00842A2B" w:rsidRPr="00975C02">
        <w:rPr>
          <w:rFonts w:eastAsia="MS Mincho"/>
          <w:sz w:val="20"/>
          <w:szCs w:val="20"/>
          <w:lang w:val="es-ES" w:bidi="en-US"/>
        </w:rPr>
        <w:t xml:space="preserve"> las proyecciones realizadas por el Estado en relación </w:t>
      </w:r>
      <w:r w:rsidR="008F7074" w:rsidRPr="00975C02">
        <w:rPr>
          <w:rFonts w:eastAsia="MS Mincho"/>
          <w:sz w:val="20"/>
          <w:szCs w:val="20"/>
          <w:lang w:val="es-ES" w:bidi="en-US"/>
        </w:rPr>
        <w:t>con e</w:t>
      </w:r>
      <w:r w:rsidR="00842A2B" w:rsidRPr="00975C02">
        <w:rPr>
          <w:rFonts w:eastAsia="MS Mincho"/>
          <w:sz w:val="20"/>
          <w:szCs w:val="20"/>
          <w:lang w:val="es-ES" w:bidi="en-US"/>
        </w:rPr>
        <w:t>l daño material presuntamente causado.</w:t>
      </w:r>
    </w:p>
    <w:p w14:paraId="361815DC" w14:textId="77777777" w:rsidR="009D661E" w:rsidRPr="00975C02" w:rsidRDefault="009D661E" w:rsidP="004002B2">
      <w:pPr>
        <w:tabs>
          <w:tab w:val="left" w:pos="567"/>
        </w:tabs>
        <w:spacing w:line="240" w:lineRule="auto"/>
        <w:textAlignment w:val="auto"/>
        <w:rPr>
          <w:rFonts w:eastAsia="Calibri"/>
          <w:b/>
          <w:i/>
          <w:sz w:val="20"/>
          <w:szCs w:val="20"/>
          <w:lang w:val="es-ES"/>
        </w:rPr>
      </w:pPr>
    </w:p>
    <w:p w14:paraId="550B6739" w14:textId="1B47A701" w:rsidR="009D661E" w:rsidRPr="00975C02" w:rsidRDefault="009D661E" w:rsidP="00DF3D71">
      <w:pPr>
        <w:numPr>
          <w:ilvl w:val="0"/>
          <w:numId w:val="2"/>
        </w:numPr>
        <w:tabs>
          <w:tab w:val="left" w:pos="567"/>
          <w:tab w:val="num" w:pos="5057"/>
        </w:tabs>
        <w:spacing w:line="240" w:lineRule="auto"/>
        <w:ind w:left="0" w:firstLine="0"/>
        <w:textAlignment w:val="auto"/>
        <w:rPr>
          <w:rFonts w:eastAsia="Calibri"/>
          <w:b/>
          <w:i/>
          <w:sz w:val="20"/>
          <w:szCs w:val="20"/>
          <w:lang w:val="es-ES"/>
        </w:rPr>
      </w:pPr>
      <w:r w:rsidRPr="00975C02">
        <w:rPr>
          <w:sz w:val="20"/>
          <w:szCs w:val="20"/>
          <w:lang w:val="es-ES"/>
        </w:rPr>
        <w:t>La Corte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00BE67B2" w:rsidRPr="00975C02">
        <w:rPr>
          <w:rStyle w:val="FootnoteReference"/>
          <w:sz w:val="20"/>
          <w:szCs w:val="20"/>
          <w:lang w:val="es-ES"/>
        </w:rPr>
        <w:footnoteReference w:id="451"/>
      </w:r>
      <w:r w:rsidRPr="00975C02">
        <w:rPr>
          <w:sz w:val="20"/>
          <w:szCs w:val="20"/>
          <w:lang w:val="es-ES"/>
        </w:rPr>
        <w:t>.</w:t>
      </w:r>
    </w:p>
    <w:p w14:paraId="3183C86E" w14:textId="77777777" w:rsidR="009D661E" w:rsidRPr="00975C02" w:rsidRDefault="009D661E">
      <w:pPr>
        <w:pStyle w:val="ListParagraph"/>
        <w:spacing w:line="240" w:lineRule="auto"/>
        <w:rPr>
          <w:rFonts w:eastAsia="Calibri"/>
          <w:b/>
          <w:i/>
          <w:sz w:val="20"/>
          <w:szCs w:val="20"/>
          <w:lang w:val="es-ES"/>
        </w:rPr>
      </w:pPr>
    </w:p>
    <w:p w14:paraId="27ACEBD2" w14:textId="77777777" w:rsidR="004317CE" w:rsidRPr="00975C02" w:rsidRDefault="004317CE" w:rsidP="004002B2">
      <w:pPr>
        <w:numPr>
          <w:ilvl w:val="0"/>
          <w:numId w:val="2"/>
        </w:numPr>
        <w:tabs>
          <w:tab w:val="left" w:pos="567"/>
          <w:tab w:val="num" w:pos="5057"/>
          <w:tab w:val="num" w:pos="12305"/>
        </w:tabs>
        <w:spacing w:line="240" w:lineRule="auto"/>
        <w:ind w:left="0" w:firstLine="0"/>
        <w:rPr>
          <w:rFonts w:eastAsia="MS Mincho" w:cs="Verdana"/>
          <w:sz w:val="20"/>
          <w:szCs w:val="20"/>
          <w:lang w:val="es-ES" w:bidi="en-US"/>
        </w:rPr>
      </w:pPr>
      <w:r w:rsidRPr="00975C02">
        <w:rPr>
          <w:rFonts w:eastAsia="MS Mincho"/>
          <w:sz w:val="20"/>
          <w:szCs w:val="20"/>
          <w:lang w:val="es-ES" w:bidi="en-US"/>
        </w:rPr>
        <w:t>En consideración de las circunstancias del presente caso, las violaciones cometidas, los sufrimientos ocasionados y experimentados en diferentes grados, así como el cambio en las condiciones de vida de V.R.P. y sus familiares, las comprobadas afectaciones a la integridad personal y las restantes consecuencias de orden inmaterial que sufrieron, el Tribunal pasa a fijar en equidad las indemnizaciones por daño inmaterial a favor de las víctimas, las cuales deberán ser pagadas directamente a cada una de ellas.</w:t>
      </w:r>
    </w:p>
    <w:p w14:paraId="2FDF922F" w14:textId="77777777" w:rsidR="004317CE" w:rsidRPr="00975C02" w:rsidRDefault="004317CE">
      <w:pPr>
        <w:pStyle w:val="ListParagraph"/>
        <w:spacing w:line="240" w:lineRule="auto"/>
        <w:rPr>
          <w:rFonts w:eastAsia="MS Mincho" w:cs="Verdana"/>
          <w:sz w:val="20"/>
          <w:szCs w:val="20"/>
          <w:lang w:val="es-ES" w:bidi="en-US"/>
        </w:rPr>
      </w:pPr>
    </w:p>
    <w:p w14:paraId="2EF7E613" w14:textId="77777777" w:rsidR="004317CE" w:rsidRPr="00975C02" w:rsidRDefault="004317CE" w:rsidP="00DF3D71">
      <w:pPr>
        <w:numPr>
          <w:ilvl w:val="0"/>
          <w:numId w:val="2"/>
        </w:numPr>
        <w:tabs>
          <w:tab w:val="left" w:pos="567"/>
          <w:tab w:val="num" w:pos="5057"/>
          <w:tab w:val="num" w:pos="12305"/>
        </w:tabs>
        <w:spacing w:line="240" w:lineRule="auto"/>
        <w:ind w:left="0" w:firstLine="0"/>
        <w:rPr>
          <w:rFonts w:cs="Verdana"/>
          <w:sz w:val="20"/>
          <w:szCs w:val="20"/>
          <w:lang w:val="es-ES"/>
        </w:rPr>
      </w:pPr>
      <w:r w:rsidRPr="00975C02">
        <w:rPr>
          <w:rFonts w:cs="Verdana"/>
          <w:sz w:val="20"/>
          <w:szCs w:val="20"/>
          <w:lang w:val="es-ES"/>
        </w:rPr>
        <w:t xml:space="preserve">En virtud de ello, la Corte ordena, en equidad, el pago de la suma de US$ 65.000,00 (sesenta y cinco mil dólares de los Estados Unidos de América) por concepto de </w:t>
      </w:r>
      <w:r w:rsidRPr="00975C02">
        <w:rPr>
          <w:rFonts w:eastAsia="MS Mincho"/>
          <w:sz w:val="20"/>
          <w:szCs w:val="20"/>
          <w:lang w:val="es-ES" w:bidi="en-US"/>
        </w:rPr>
        <w:t>daño</w:t>
      </w:r>
      <w:r w:rsidRPr="00975C02">
        <w:rPr>
          <w:rFonts w:cs="Verdana"/>
          <w:sz w:val="20"/>
          <w:szCs w:val="20"/>
          <w:lang w:val="es-ES"/>
        </w:rPr>
        <w:t xml:space="preserve"> inmaterial</w:t>
      </w:r>
      <w:r w:rsidR="00674F6E" w:rsidRPr="00975C02">
        <w:rPr>
          <w:rFonts w:cs="Verdana"/>
          <w:sz w:val="20"/>
          <w:szCs w:val="20"/>
          <w:lang w:val="es-ES"/>
        </w:rPr>
        <w:t xml:space="preserve"> a favor de V.R.P.</w:t>
      </w:r>
      <w:r w:rsidRPr="00975C02">
        <w:rPr>
          <w:rFonts w:cs="Verdana"/>
          <w:sz w:val="20"/>
          <w:szCs w:val="20"/>
          <w:lang w:val="es-ES"/>
        </w:rPr>
        <w:t xml:space="preserve"> </w:t>
      </w:r>
      <w:r w:rsidR="00674F6E" w:rsidRPr="00975C02">
        <w:rPr>
          <w:rFonts w:cs="Verdana"/>
          <w:sz w:val="20"/>
          <w:szCs w:val="20"/>
          <w:lang w:val="es-ES"/>
        </w:rPr>
        <w:t xml:space="preserve">Asimismo, </w:t>
      </w:r>
      <w:r w:rsidRPr="00975C02">
        <w:rPr>
          <w:rFonts w:cs="Verdana"/>
          <w:sz w:val="20"/>
          <w:szCs w:val="20"/>
          <w:lang w:val="es-ES"/>
        </w:rPr>
        <w:t>la Corte fija</w:t>
      </w:r>
      <w:r w:rsidRPr="00975C02">
        <w:rPr>
          <w:sz w:val="20"/>
          <w:szCs w:val="20"/>
          <w:lang w:val="es-ES"/>
        </w:rPr>
        <w:t xml:space="preserve"> </w:t>
      </w:r>
      <w:r w:rsidRPr="00975C02">
        <w:rPr>
          <w:rFonts w:cs="Verdana"/>
          <w:sz w:val="20"/>
          <w:szCs w:val="20"/>
          <w:lang w:val="es-ES"/>
        </w:rPr>
        <w:t>en equidad la suma</w:t>
      </w:r>
      <w:r w:rsidR="00674F6E" w:rsidRPr="00975C02">
        <w:rPr>
          <w:rFonts w:cs="Verdana"/>
          <w:sz w:val="20"/>
          <w:szCs w:val="20"/>
          <w:lang w:val="es-ES"/>
        </w:rPr>
        <w:t xml:space="preserve"> de US$ 45</w:t>
      </w:r>
      <w:r w:rsidRPr="00975C02">
        <w:rPr>
          <w:rFonts w:cs="Verdana"/>
          <w:sz w:val="20"/>
          <w:szCs w:val="20"/>
          <w:lang w:val="es-ES"/>
        </w:rPr>
        <w:t>.000,00</w:t>
      </w:r>
      <w:r w:rsidR="00674F6E" w:rsidRPr="00975C02">
        <w:rPr>
          <w:rFonts w:cs="Verdana"/>
          <w:sz w:val="20"/>
          <w:szCs w:val="20"/>
          <w:lang w:val="es-ES"/>
        </w:rPr>
        <w:t xml:space="preserve"> (cuarenta</w:t>
      </w:r>
      <w:r w:rsidRPr="00975C02">
        <w:rPr>
          <w:rFonts w:cs="Verdana"/>
          <w:sz w:val="20"/>
          <w:szCs w:val="20"/>
          <w:lang w:val="es-ES"/>
        </w:rPr>
        <w:t xml:space="preserve"> y cinco mil dólares de los Estados Unidos de América) </w:t>
      </w:r>
      <w:r w:rsidR="00674F6E" w:rsidRPr="00975C02">
        <w:rPr>
          <w:rFonts w:cs="Verdana"/>
          <w:sz w:val="20"/>
          <w:szCs w:val="20"/>
          <w:lang w:val="es-ES"/>
        </w:rPr>
        <w:t xml:space="preserve">por concepto de </w:t>
      </w:r>
      <w:r w:rsidR="00674F6E" w:rsidRPr="00975C02">
        <w:rPr>
          <w:rFonts w:eastAsia="MS Mincho"/>
          <w:sz w:val="20"/>
          <w:szCs w:val="20"/>
          <w:lang w:val="es-ES" w:bidi="en-US"/>
        </w:rPr>
        <w:t>daño</w:t>
      </w:r>
      <w:r w:rsidR="00674F6E" w:rsidRPr="00975C02">
        <w:rPr>
          <w:rFonts w:cs="Verdana"/>
          <w:sz w:val="20"/>
          <w:szCs w:val="20"/>
          <w:lang w:val="es-ES"/>
        </w:rPr>
        <w:t xml:space="preserve"> inmaterial a favor de su madre, la señora V.P.C. Finalmente, la Corte fija</w:t>
      </w:r>
      <w:r w:rsidR="00674F6E" w:rsidRPr="00975C02">
        <w:rPr>
          <w:sz w:val="20"/>
          <w:szCs w:val="20"/>
          <w:lang w:val="es-ES"/>
        </w:rPr>
        <w:t xml:space="preserve"> </w:t>
      </w:r>
      <w:r w:rsidR="00674F6E" w:rsidRPr="00975C02">
        <w:rPr>
          <w:rFonts w:cs="Verdana"/>
          <w:sz w:val="20"/>
          <w:szCs w:val="20"/>
          <w:lang w:val="es-ES"/>
        </w:rPr>
        <w:t xml:space="preserve">en equidad la suma de US$ 20.000,00 (veinte mil dólares de los Estados Unidos de América) por concepto de </w:t>
      </w:r>
      <w:r w:rsidR="00674F6E" w:rsidRPr="00975C02">
        <w:rPr>
          <w:rFonts w:eastAsia="MS Mincho"/>
          <w:sz w:val="20"/>
          <w:szCs w:val="20"/>
          <w:lang w:val="es-ES" w:bidi="en-US"/>
        </w:rPr>
        <w:t>daño</w:t>
      </w:r>
      <w:r w:rsidR="00674F6E" w:rsidRPr="00975C02">
        <w:rPr>
          <w:rFonts w:cs="Verdana"/>
          <w:sz w:val="20"/>
          <w:szCs w:val="20"/>
          <w:lang w:val="es-ES"/>
        </w:rPr>
        <w:t xml:space="preserve"> inmaterial a favor de la hermana de V.R.P., la señora N.R.P., así como la suma de US$ 15.000,00 (quince mil dólares de los Estados Unidos de América) por concepto de </w:t>
      </w:r>
      <w:r w:rsidR="00674F6E" w:rsidRPr="00975C02">
        <w:rPr>
          <w:rFonts w:eastAsia="MS Mincho"/>
          <w:sz w:val="20"/>
          <w:szCs w:val="20"/>
          <w:lang w:val="es-ES" w:bidi="en-US"/>
        </w:rPr>
        <w:t>daño</w:t>
      </w:r>
      <w:r w:rsidR="00674F6E" w:rsidRPr="00975C02">
        <w:rPr>
          <w:rFonts w:cs="Verdana"/>
          <w:sz w:val="20"/>
          <w:szCs w:val="20"/>
          <w:lang w:val="es-ES"/>
        </w:rPr>
        <w:t xml:space="preserve"> inmaterial </w:t>
      </w:r>
      <w:r w:rsidRPr="00975C02">
        <w:rPr>
          <w:rFonts w:cs="Verdana"/>
          <w:sz w:val="20"/>
          <w:szCs w:val="20"/>
          <w:lang w:val="es-ES"/>
        </w:rPr>
        <w:t>a favor de</w:t>
      </w:r>
      <w:r w:rsidR="00674F6E" w:rsidRPr="00975C02">
        <w:rPr>
          <w:rFonts w:cs="Verdana"/>
          <w:sz w:val="20"/>
          <w:szCs w:val="20"/>
          <w:lang w:val="es-ES"/>
        </w:rPr>
        <w:t xml:space="preserve"> cada uno de sus hermanos, los señores</w:t>
      </w:r>
      <w:r w:rsidRPr="00975C02">
        <w:rPr>
          <w:rFonts w:cs="Verdana"/>
          <w:sz w:val="20"/>
          <w:szCs w:val="20"/>
          <w:lang w:val="es-ES"/>
        </w:rPr>
        <w:t xml:space="preserve"> </w:t>
      </w:r>
      <w:r w:rsidR="00674F6E" w:rsidRPr="00975C02">
        <w:rPr>
          <w:rFonts w:cs="Verdana"/>
          <w:sz w:val="20"/>
          <w:szCs w:val="20"/>
          <w:lang w:val="es-ES"/>
        </w:rPr>
        <w:t>H.J.R.P. y V.A.R.P.</w:t>
      </w:r>
    </w:p>
    <w:p w14:paraId="774227F0" w14:textId="77777777" w:rsidR="009D661E" w:rsidRPr="00975C02" w:rsidRDefault="009D661E" w:rsidP="00493B4F">
      <w:pPr>
        <w:spacing w:line="240" w:lineRule="auto"/>
        <w:rPr>
          <w:rFonts w:eastAsia="MS Mincho"/>
          <w:sz w:val="20"/>
          <w:szCs w:val="20"/>
          <w:lang w:val="es-ES" w:bidi="en-US"/>
        </w:rPr>
      </w:pPr>
    </w:p>
    <w:p w14:paraId="40031581" w14:textId="77777777" w:rsidR="0031175A" w:rsidRPr="00975C02" w:rsidRDefault="009D661E" w:rsidP="008E169A">
      <w:pPr>
        <w:numPr>
          <w:ilvl w:val="0"/>
          <w:numId w:val="2"/>
        </w:numPr>
        <w:tabs>
          <w:tab w:val="left" w:pos="567"/>
          <w:tab w:val="num" w:pos="5057"/>
          <w:tab w:val="num" w:pos="12305"/>
        </w:tabs>
        <w:spacing w:line="240" w:lineRule="auto"/>
        <w:ind w:left="0" w:firstLine="0"/>
        <w:rPr>
          <w:rFonts w:eastAsia="MS Mincho"/>
          <w:sz w:val="20"/>
          <w:szCs w:val="20"/>
          <w:lang w:val="es-ES" w:bidi="en-US"/>
        </w:rPr>
      </w:pPr>
      <w:r w:rsidRPr="00975C02">
        <w:rPr>
          <w:rFonts w:eastAsia="MS Mincho"/>
          <w:sz w:val="20"/>
          <w:szCs w:val="20"/>
          <w:lang w:val="es-ES" w:bidi="en-US"/>
        </w:rPr>
        <w:t>La Corte reconoce que las violaciones de derechos humanos provocadas contra V.R.P., V.P.C., N.R.P., H.</w:t>
      </w:r>
      <w:r w:rsidR="00D50E9A" w:rsidRPr="00975C02">
        <w:rPr>
          <w:rFonts w:eastAsia="MS Mincho"/>
          <w:sz w:val="20"/>
          <w:szCs w:val="20"/>
          <w:lang w:val="es-ES" w:bidi="en-US"/>
        </w:rPr>
        <w:t>J.</w:t>
      </w:r>
      <w:r w:rsidRPr="00975C02">
        <w:rPr>
          <w:rFonts w:eastAsia="MS Mincho"/>
          <w:sz w:val="20"/>
          <w:szCs w:val="20"/>
          <w:lang w:val="es-ES" w:bidi="en-US"/>
        </w:rPr>
        <w:t>R.P. y V.A.R.P., produjeron una afectación de su desarrollo personal y de su vida familiar, así como también una alteración de sus relaciones sociales</w:t>
      </w:r>
      <w:r w:rsidR="00D50E9A" w:rsidRPr="00975C02">
        <w:rPr>
          <w:rFonts w:eastAsia="MS Mincho"/>
          <w:sz w:val="20"/>
          <w:szCs w:val="20"/>
          <w:lang w:val="es-ES" w:bidi="en-US"/>
        </w:rPr>
        <w:t>, es decir un daño a su proyecto de vida.</w:t>
      </w:r>
      <w:r w:rsidRPr="00975C02">
        <w:rPr>
          <w:rFonts w:eastAsia="MS Mincho"/>
          <w:sz w:val="20"/>
          <w:szCs w:val="20"/>
          <w:lang w:val="es-ES" w:bidi="en-US"/>
        </w:rPr>
        <w:t xml:space="preserve"> No obstante, el Tribunal considera que tales perjuicios se encuentran comprendidos dentro del daño inmaterial</w:t>
      </w:r>
      <w:r w:rsidR="00D50E9A" w:rsidRPr="00975C02">
        <w:rPr>
          <w:rFonts w:eastAsia="MS Mincho"/>
          <w:sz w:val="20"/>
          <w:szCs w:val="20"/>
          <w:lang w:val="es-ES" w:bidi="en-US"/>
        </w:rPr>
        <w:t xml:space="preserve">, así como dentro de otras medidas de reparación </w:t>
      </w:r>
      <w:r w:rsidR="0031175A" w:rsidRPr="00975C02">
        <w:rPr>
          <w:rFonts w:eastAsia="MS Mincho"/>
          <w:sz w:val="20"/>
          <w:szCs w:val="20"/>
          <w:lang w:val="es-ES" w:bidi="en-US"/>
        </w:rPr>
        <w:t xml:space="preserve">ya ordenadas en la presente Sentencia, como las </w:t>
      </w:r>
      <w:r w:rsidR="00D50E9A" w:rsidRPr="00975C02">
        <w:rPr>
          <w:rFonts w:eastAsia="MS Mincho"/>
          <w:sz w:val="20"/>
          <w:szCs w:val="20"/>
          <w:lang w:val="es-ES" w:bidi="en-US"/>
        </w:rPr>
        <w:t xml:space="preserve">becas de estudio y </w:t>
      </w:r>
      <w:r w:rsidR="0031175A" w:rsidRPr="00975C02">
        <w:rPr>
          <w:rFonts w:eastAsia="MS Mincho"/>
          <w:sz w:val="20"/>
          <w:szCs w:val="20"/>
          <w:lang w:val="es-ES" w:bidi="en-US"/>
        </w:rPr>
        <w:t xml:space="preserve">las medidas </w:t>
      </w:r>
      <w:r w:rsidR="00D50E9A" w:rsidRPr="00975C02">
        <w:rPr>
          <w:rFonts w:eastAsia="MS Mincho"/>
          <w:sz w:val="20"/>
          <w:szCs w:val="20"/>
          <w:lang w:val="es-ES" w:bidi="en-US"/>
        </w:rPr>
        <w:t>rehabilitaci</w:t>
      </w:r>
      <w:r w:rsidR="0031175A" w:rsidRPr="00975C02">
        <w:rPr>
          <w:rFonts w:eastAsia="MS Mincho"/>
          <w:sz w:val="20"/>
          <w:szCs w:val="20"/>
          <w:lang w:val="es-ES" w:bidi="en-US"/>
        </w:rPr>
        <w:t>ón</w:t>
      </w:r>
      <w:r w:rsidR="00D50E9A" w:rsidRPr="00975C02">
        <w:rPr>
          <w:rFonts w:eastAsia="MS Mincho"/>
          <w:sz w:val="20"/>
          <w:szCs w:val="20"/>
          <w:lang w:val="es-ES" w:bidi="en-US"/>
        </w:rPr>
        <w:t xml:space="preserve">. </w:t>
      </w:r>
    </w:p>
    <w:p w14:paraId="515CBE51" w14:textId="77777777" w:rsidR="009D661E" w:rsidRPr="00975C02" w:rsidRDefault="009D661E" w:rsidP="0031175A">
      <w:pPr>
        <w:tabs>
          <w:tab w:val="left" w:pos="567"/>
        </w:tabs>
        <w:spacing w:line="240" w:lineRule="auto"/>
        <w:textAlignment w:val="auto"/>
        <w:rPr>
          <w:rFonts w:eastAsia="MS Mincho"/>
          <w:sz w:val="20"/>
          <w:szCs w:val="20"/>
          <w:lang w:val="es-ES" w:bidi="en-US"/>
        </w:rPr>
      </w:pPr>
    </w:p>
    <w:p w14:paraId="6DFE1C10"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92" w:name="_Toc495658704"/>
      <w:bookmarkStart w:id="193" w:name="_Toc476390746"/>
      <w:bookmarkStart w:id="194" w:name="_Toc514172672"/>
      <w:r w:rsidRPr="00975C02">
        <w:rPr>
          <w:rFonts w:eastAsia="MS Mincho"/>
          <w:b/>
          <w:bCs/>
          <w:i/>
          <w:sz w:val="20"/>
          <w:szCs w:val="20"/>
          <w:lang w:val="es-ES"/>
        </w:rPr>
        <w:t>Costas y Gastos</w:t>
      </w:r>
      <w:bookmarkEnd w:id="192"/>
      <w:bookmarkEnd w:id="193"/>
      <w:bookmarkEnd w:id="194"/>
    </w:p>
    <w:p w14:paraId="48878E91" w14:textId="77777777" w:rsidR="009D661E" w:rsidRPr="00975C02" w:rsidRDefault="009D661E" w:rsidP="004F5ECE">
      <w:pPr>
        <w:tabs>
          <w:tab w:val="left" w:pos="1995"/>
        </w:tabs>
        <w:spacing w:line="240" w:lineRule="auto"/>
        <w:ind w:left="142"/>
        <w:rPr>
          <w:sz w:val="20"/>
          <w:szCs w:val="20"/>
          <w:lang w:val="es-ES"/>
        </w:rPr>
      </w:pPr>
    </w:p>
    <w:p w14:paraId="13753B27" w14:textId="519D0BD5" w:rsidR="009D661E" w:rsidRPr="00975C02" w:rsidRDefault="009D661E" w:rsidP="004F5ECE">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Las </w:t>
      </w:r>
      <w:r w:rsidRPr="00975C02">
        <w:rPr>
          <w:rFonts w:eastAsia="MS Mincho"/>
          <w:b/>
          <w:i/>
          <w:sz w:val="20"/>
          <w:szCs w:val="20"/>
          <w:lang w:val="es-ES" w:bidi="en-US"/>
        </w:rPr>
        <w:t>representantes</w:t>
      </w:r>
      <w:r w:rsidRPr="00975C02">
        <w:rPr>
          <w:rFonts w:eastAsia="MS Mincho"/>
          <w:sz w:val="20"/>
          <w:szCs w:val="20"/>
          <w:lang w:val="es-ES" w:bidi="en-US"/>
        </w:rPr>
        <w:t xml:space="preserve"> </w:t>
      </w:r>
      <w:r w:rsidRPr="00975C02">
        <w:rPr>
          <w:sz w:val="20"/>
          <w:szCs w:val="20"/>
          <w:lang w:val="es-ES"/>
        </w:rPr>
        <w:t>s</w:t>
      </w:r>
      <w:r w:rsidRPr="00975C02">
        <w:rPr>
          <w:rFonts w:eastAsia="Verdana" w:cs="Verdana"/>
          <w:sz w:val="20"/>
          <w:szCs w:val="20"/>
          <w:lang w:val="es-ES"/>
        </w:rPr>
        <w:t>olicitaron a la Corte que ordenara al Estado el pago de las costas y gastos que se hayan originado y originen en la tramitación del caso, tanto en el ámbito interno como ante el sistema interamericano.</w:t>
      </w:r>
    </w:p>
    <w:p w14:paraId="136AFEEB" w14:textId="77777777" w:rsidR="009D661E" w:rsidRPr="00975C02" w:rsidRDefault="009D661E" w:rsidP="004F5ECE">
      <w:pPr>
        <w:tabs>
          <w:tab w:val="left" w:pos="567"/>
        </w:tabs>
        <w:spacing w:line="240" w:lineRule="auto"/>
        <w:textAlignment w:val="auto"/>
        <w:rPr>
          <w:sz w:val="20"/>
          <w:szCs w:val="20"/>
          <w:lang w:val="es-ES"/>
        </w:rPr>
      </w:pPr>
    </w:p>
    <w:p w14:paraId="0AC2363F" w14:textId="77777777" w:rsidR="009D661E" w:rsidRPr="00975C02" w:rsidRDefault="009D661E" w:rsidP="00B26781">
      <w:pPr>
        <w:numPr>
          <w:ilvl w:val="0"/>
          <w:numId w:val="2"/>
        </w:numPr>
        <w:tabs>
          <w:tab w:val="left" w:pos="567"/>
          <w:tab w:val="num" w:pos="5057"/>
        </w:tabs>
        <w:spacing w:line="240" w:lineRule="auto"/>
        <w:ind w:left="0" w:firstLine="0"/>
        <w:textAlignment w:val="auto"/>
        <w:rPr>
          <w:sz w:val="20"/>
          <w:szCs w:val="20"/>
          <w:lang w:val="es-ES"/>
        </w:rPr>
      </w:pPr>
      <w:r w:rsidRPr="00975C02">
        <w:rPr>
          <w:rFonts w:eastAsia="MS Mincho"/>
          <w:sz w:val="20"/>
          <w:szCs w:val="20"/>
          <w:lang w:val="es-ES" w:bidi="en-US"/>
        </w:rPr>
        <w:t xml:space="preserve">Ni el </w:t>
      </w:r>
      <w:r w:rsidRPr="00975C02">
        <w:rPr>
          <w:rFonts w:eastAsia="MS Mincho"/>
          <w:b/>
          <w:i/>
          <w:sz w:val="20"/>
          <w:szCs w:val="20"/>
          <w:lang w:val="es-ES" w:bidi="en-US"/>
        </w:rPr>
        <w:t xml:space="preserve">Estado </w:t>
      </w:r>
      <w:r w:rsidRPr="00975C02">
        <w:rPr>
          <w:rFonts w:eastAsia="MS Mincho"/>
          <w:sz w:val="20"/>
          <w:szCs w:val="20"/>
          <w:lang w:val="es-ES" w:bidi="en-US"/>
        </w:rPr>
        <w:t>ni la</w:t>
      </w:r>
      <w:r w:rsidRPr="00975C02">
        <w:rPr>
          <w:rFonts w:eastAsia="MS Mincho"/>
          <w:b/>
          <w:i/>
          <w:sz w:val="20"/>
          <w:szCs w:val="20"/>
          <w:lang w:val="es-ES" w:bidi="en-US"/>
        </w:rPr>
        <w:t xml:space="preserve"> Comisión</w:t>
      </w:r>
      <w:r w:rsidRPr="00975C02">
        <w:rPr>
          <w:rFonts w:eastAsia="MS Mincho"/>
          <w:b/>
          <w:sz w:val="20"/>
          <w:szCs w:val="20"/>
          <w:lang w:val="es-ES" w:bidi="en-US"/>
        </w:rPr>
        <w:t xml:space="preserve"> </w:t>
      </w:r>
      <w:r w:rsidRPr="00975C02">
        <w:rPr>
          <w:rFonts w:eastAsia="MS Mincho"/>
          <w:sz w:val="20"/>
          <w:szCs w:val="20"/>
          <w:lang w:val="es-ES" w:bidi="en-US"/>
        </w:rPr>
        <w:t>presentaron alegatos específicos sobre este punto.</w:t>
      </w:r>
    </w:p>
    <w:p w14:paraId="57A7BD31" w14:textId="77777777" w:rsidR="009D661E" w:rsidRPr="00975C02" w:rsidRDefault="009D661E" w:rsidP="00B26781">
      <w:pPr>
        <w:pStyle w:val="ListParagraph"/>
        <w:spacing w:line="240" w:lineRule="auto"/>
        <w:rPr>
          <w:sz w:val="20"/>
          <w:szCs w:val="20"/>
          <w:lang w:val="es-ES"/>
        </w:rPr>
      </w:pPr>
    </w:p>
    <w:p w14:paraId="5911E461" w14:textId="77777777" w:rsidR="009D661E" w:rsidRPr="00975C02" w:rsidRDefault="009D661E" w:rsidP="00B26781">
      <w:pPr>
        <w:numPr>
          <w:ilvl w:val="0"/>
          <w:numId w:val="2"/>
        </w:numPr>
        <w:tabs>
          <w:tab w:val="left" w:pos="567"/>
          <w:tab w:val="num" w:pos="5057"/>
        </w:tabs>
        <w:spacing w:line="240" w:lineRule="auto"/>
        <w:ind w:left="0" w:firstLine="0"/>
        <w:textAlignment w:val="auto"/>
        <w:rPr>
          <w:sz w:val="20"/>
          <w:szCs w:val="20"/>
          <w:lang w:val="es-ES"/>
        </w:rPr>
      </w:pPr>
      <w:r w:rsidRPr="00975C02">
        <w:rPr>
          <w:rFonts w:cs="Verdana"/>
          <w:bCs/>
          <w:iCs/>
          <w:sz w:val="20"/>
          <w:szCs w:val="20"/>
          <w:lang w:val="es-ES"/>
        </w:rPr>
        <w:t>La Corte reitera que, conforme a su jurisprudencia</w:t>
      </w:r>
      <w:r w:rsidRPr="00975C02">
        <w:rPr>
          <w:rFonts w:cs="Verdana"/>
          <w:bCs/>
          <w:iCs/>
          <w:sz w:val="20"/>
          <w:szCs w:val="20"/>
          <w:vertAlign w:val="superscript"/>
          <w:lang w:val="es-ES"/>
        </w:rPr>
        <w:footnoteReference w:id="452"/>
      </w:r>
      <w:r w:rsidRPr="00975C02">
        <w:rPr>
          <w:rFonts w:cs="Verdana"/>
          <w:bCs/>
          <w:iCs/>
          <w:sz w:val="20"/>
          <w:szCs w:val="20"/>
          <w:lang w:val="es-ES"/>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975C02">
        <w:rPr>
          <w:rFonts w:cs="Verdana"/>
          <w:bCs/>
          <w:i/>
          <w:iCs/>
          <w:sz w:val="20"/>
          <w:szCs w:val="20"/>
          <w:lang w:val="es-ES"/>
        </w:rPr>
        <w:t xml:space="preserve">quantum </w:t>
      </w:r>
      <w:r w:rsidRPr="00975C02">
        <w:rPr>
          <w:rFonts w:cs="Verdana"/>
          <w:bCs/>
          <w:iCs/>
          <w:sz w:val="20"/>
          <w:szCs w:val="20"/>
          <w:lang w:val="es-ES"/>
        </w:rPr>
        <w:t>sea razonable</w:t>
      </w:r>
      <w:r w:rsidRPr="00975C02">
        <w:rPr>
          <w:rFonts w:cs="Verdana"/>
          <w:bCs/>
          <w:iCs/>
          <w:sz w:val="20"/>
          <w:szCs w:val="20"/>
          <w:vertAlign w:val="superscript"/>
          <w:lang w:val="es-ES"/>
        </w:rPr>
        <w:footnoteReference w:id="453"/>
      </w:r>
      <w:r w:rsidRPr="00975C02">
        <w:rPr>
          <w:rFonts w:cs="Verdana"/>
          <w:bCs/>
          <w:iCs/>
          <w:sz w:val="20"/>
          <w:szCs w:val="20"/>
          <w:lang w:val="es-ES"/>
        </w:rPr>
        <w:t>.</w:t>
      </w:r>
    </w:p>
    <w:p w14:paraId="1E734671" w14:textId="77777777" w:rsidR="002E0836" w:rsidRPr="00975C02" w:rsidRDefault="002E0836" w:rsidP="00DF3D71">
      <w:pPr>
        <w:pStyle w:val="ListParagraph"/>
        <w:spacing w:line="240" w:lineRule="auto"/>
        <w:rPr>
          <w:sz w:val="20"/>
          <w:szCs w:val="20"/>
          <w:lang w:val="es-ES"/>
        </w:rPr>
      </w:pPr>
    </w:p>
    <w:p w14:paraId="4762116D" w14:textId="77777777" w:rsidR="002E0836" w:rsidRPr="00975C02" w:rsidRDefault="002E0836" w:rsidP="002E0836">
      <w:pPr>
        <w:numPr>
          <w:ilvl w:val="0"/>
          <w:numId w:val="2"/>
        </w:numPr>
        <w:tabs>
          <w:tab w:val="left" w:pos="567"/>
          <w:tab w:val="num" w:pos="5057"/>
        </w:tabs>
        <w:spacing w:line="240" w:lineRule="auto"/>
        <w:ind w:left="0" w:firstLine="0"/>
        <w:rPr>
          <w:rFonts w:eastAsia="MS Mincho"/>
          <w:sz w:val="20"/>
          <w:szCs w:val="20"/>
          <w:lang w:val="es-ES" w:bidi="en-US"/>
        </w:rPr>
      </w:pPr>
      <w:r w:rsidRPr="00975C02">
        <w:rPr>
          <w:rFonts w:eastAsia="MS Mincho"/>
          <w:sz w:val="20"/>
          <w:szCs w:val="20"/>
          <w:lang w:val="es-ES" w:bidi="en-US"/>
        </w:rPr>
        <w:t>El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975C02">
        <w:rPr>
          <w:rFonts w:eastAsia="MS Mincho"/>
          <w:sz w:val="20"/>
          <w:szCs w:val="20"/>
          <w:vertAlign w:val="superscript"/>
          <w:lang w:val="es-ES" w:bidi="en-US"/>
        </w:rPr>
        <w:footnoteReference w:id="454"/>
      </w:r>
      <w:r w:rsidRPr="00975C02">
        <w:rPr>
          <w:rFonts w:eastAsia="MS Mincho"/>
          <w:sz w:val="20"/>
          <w:szCs w:val="20"/>
          <w:lang w:val="es-ES" w:bidi="en-US"/>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975C02">
        <w:rPr>
          <w:rFonts w:eastAsia="MS Mincho"/>
          <w:sz w:val="20"/>
          <w:szCs w:val="20"/>
          <w:vertAlign w:val="superscript"/>
          <w:lang w:val="es-ES" w:bidi="en-US"/>
        </w:rPr>
        <w:footnoteReference w:id="455"/>
      </w:r>
      <w:r w:rsidRPr="00975C02">
        <w:rPr>
          <w:rFonts w:eastAsia="MS Mincho"/>
          <w:sz w:val="20"/>
          <w:szCs w:val="20"/>
          <w:lang w:val="es-ES" w:bidi="en-US"/>
        </w:rPr>
        <w:t>.</w:t>
      </w:r>
    </w:p>
    <w:p w14:paraId="18435B2A" w14:textId="77777777" w:rsidR="002E0836" w:rsidRPr="00975C02" w:rsidRDefault="002E0836" w:rsidP="00044A68">
      <w:pPr>
        <w:tabs>
          <w:tab w:val="left" w:pos="720"/>
        </w:tabs>
        <w:spacing w:line="240" w:lineRule="auto"/>
        <w:rPr>
          <w:rFonts w:eastAsia="Times"/>
          <w:sz w:val="20"/>
          <w:szCs w:val="20"/>
          <w:lang w:val="es-ES"/>
        </w:rPr>
      </w:pPr>
    </w:p>
    <w:p w14:paraId="6B0D288E" w14:textId="10DFDA0B" w:rsidR="002E0836" w:rsidRPr="00975C02" w:rsidRDefault="002E0836" w:rsidP="00DF3D71">
      <w:pPr>
        <w:numPr>
          <w:ilvl w:val="0"/>
          <w:numId w:val="2"/>
        </w:numPr>
        <w:tabs>
          <w:tab w:val="left" w:pos="567"/>
          <w:tab w:val="num" w:pos="5057"/>
        </w:tabs>
        <w:spacing w:line="240" w:lineRule="auto"/>
        <w:ind w:left="0" w:firstLine="0"/>
        <w:rPr>
          <w:rFonts w:eastAsia="Batang"/>
          <w:sz w:val="20"/>
          <w:szCs w:val="20"/>
          <w:lang w:val="es-ES"/>
        </w:rPr>
      </w:pPr>
      <w:r w:rsidRPr="00975C02">
        <w:rPr>
          <w:sz w:val="20"/>
          <w:szCs w:val="20"/>
          <w:lang w:val="es-ES"/>
        </w:rPr>
        <w:t xml:space="preserve">La Corte nota que </w:t>
      </w:r>
      <w:r w:rsidRPr="00975C02">
        <w:rPr>
          <w:rFonts w:eastAsia="MS Mincho" w:cs="Arial"/>
          <w:sz w:val="20"/>
          <w:szCs w:val="20"/>
          <w:lang w:val="es-ES" w:bidi="en-US"/>
        </w:rPr>
        <w:t xml:space="preserve">no fueron </w:t>
      </w:r>
      <w:r w:rsidR="00044A68" w:rsidRPr="00975C02">
        <w:rPr>
          <w:rFonts w:eastAsia="MS Mincho" w:cs="Arial"/>
          <w:sz w:val="20"/>
          <w:szCs w:val="20"/>
          <w:lang w:val="es-ES" w:bidi="en-US"/>
        </w:rPr>
        <w:t xml:space="preserve">aportados comprobantes de los gastos derivados de la búsqueda de justicia a nivel interno por la violación sexual de V.R.P., de diversos gastos legales por la interposición de quejas y denuncias contra distintas autoridades, de gastos legales por el proceso de asilo iniciado por V.P.C. </w:t>
      </w:r>
      <w:r w:rsidR="006A6D9B" w:rsidRPr="00975C02">
        <w:rPr>
          <w:rFonts w:eastAsia="MS Mincho" w:cs="Arial"/>
          <w:sz w:val="20"/>
          <w:szCs w:val="20"/>
          <w:lang w:val="es-ES" w:bidi="en-US"/>
        </w:rPr>
        <w:t xml:space="preserve">y sus hijas en los Estados Unidos, </w:t>
      </w:r>
      <w:r w:rsidR="00044A68" w:rsidRPr="00975C02">
        <w:rPr>
          <w:rFonts w:eastAsia="MS Mincho" w:cs="Arial"/>
          <w:sz w:val="20"/>
          <w:szCs w:val="20"/>
          <w:lang w:val="es-ES" w:bidi="en-US"/>
        </w:rPr>
        <w:t xml:space="preserve">ni de aquellos que las representantes alegaron incurrir ante la Comisión. Sin perjuicio de ello, la Corte considera que </w:t>
      </w:r>
      <w:r w:rsidRPr="00975C02">
        <w:rPr>
          <w:rFonts w:eastAsia="MS Mincho" w:cs="Arial"/>
          <w:sz w:val="20"/>
          <w:szCs w:val="20"/>
          <w:lang w:val="es-ES" w:bidi="en-US"/>
        </w:rPr>
        <w:t xml:space="preserve">es de presumir que </w:t>
      </w:r>
      <w:r w:rsidR="00044A68" w:rsidRPr="00975C02">
        <w:rPr>
          <w:rFonts w:eastAsia="MS Mincho" w:cs="Arial"/>
          <w:sz w:val="20"/>
          <w:szCs w:val="20"/>
          <w:lang w:val="es-ES" w:bidi="en-US"/>
        </w:rPr>
        <w:t>V.P.C. incurrió</w:t>
      </w:r>
      <w:r w:rsidRPr="00975C02">
        <w:rPr>
          <w:rFonts w:eastAsia="MS Mincho" w:cs="Arial"/>
          <w:sz w:val="20"/>
          <w:szCs w:val="20"/>
          <w:lang w:val="es-ES" w:bidi="en-US"/>
        </w:rPr>
        <w:t xml:space="preserve"> en gastos adicionales </w:t>
      </w:r>
      <w:r w:rsidR="006A6D9B" w:rsidRPr="00975C02">
        <w:rPr>
          <w:rFonts w:eastAsia="MS Mincho" w:cs="Arial"/>
          <w:sz w:val="20"/>
          <w:szCs w:val="20"/>
          <w:lang w:val="es-ES" w:bidi="en-US"/>
        </w:rPr>
        <w:t>con base en</w:t>
      </w:r>
      <w:r w:rsidRPr="00975C02">
        <w:rPr>
          <w:rFonts w:eastAsia="MS Mincho" w:cs="Arial"/>
          <w:sz w:val="20"/>
          <w:szCs w:val="20"/>
          <w:lang w:val="es-ES" w:bidi="en-US"/>
        </w:rPr>
        <w:t xml:space="preserve"> la búsqueda de justicia a nivel interno y ante el sistema interamericano</w:t>
      </w:r>
      <w:r w:rsidR="00044A68" w:rsidRPr="00975C02">
        <w:rPr>
          <w:rFonts w:eastAsia="MS Mincho" w:cs="Arial"/>
          <w:sz w:val="20"/>
          <w:szCs w:val="20"/>
          <w:lang w:val="es-ES" w:bidi="en-US"/>
        </w:rPr>
        <w:t xml:space="preserve">, en particular </w:t>
      </w:r>
      <w:r w:rsidR="00357211" w:rsidRPr="00975C02">
        <w:rPr>
          <w:rFonts w:eastAsia="MS Mincho" w:cs="Arial"/>
          <w:sz w:val="20"/>
          <w:szCs w:val="20"/>
          <w:lang w:val="es-ES" w:bidi="en-US"/>
        </w:rPr>
        <w:t xml:space="preserve">en el trámite ante </w:t>
      </w:r>
      <w:r w:rsidR="00044A68" w:rsidRPr="00975C02">
        <w:rPr>
          <w:rFonts w:eastAsia="MS Mincho" w:cs="Arial"/>
          <w:sz w:val="20"/>
          <w:szCs w:val="20"/>
          <w:lang w:val="es-ES" w:bidi="en-US"/>
        </w:rPr>
        <w:t>la Comisión Interamericana.</w:t>
      </w:r>
      <w:r w:rsidRPr="00975C02">
        <w:rPr>
          <w:rFonts w:eastAsia="MS Mincho" w:cs="Arial"/>
          <w:sz w:val="20"/>
          <w:szCs w:val="20"/>
          <w:lang w:val="es-ES" w:bidi="en-US"/>
        </w:rPr>
        <w:t xml:space="preserve"> </w:t>
      </w:r>
      <w:r w:rsidR="00192F16" w:rsidRPr="00975C02">
        <w:rPr>
          <w:sz w:val="20"/>
          <w:lang w:val="es-ES"/>
        </w:rPr>
        <w:t xml:space="preserve">La Corte considera preciso indicar que dicho monto no incluye el pago por concepto de gastos incurridos </w:t>
      </w:r>
      <w:r w:rsidR="00FC7260" w:rsidRPr="00975C02">
        <w:rPr>
          <w:sz w:val="20"/>
          <w:lang w:val="es-ES"/>
        </w:rPr>
        <w:t>a raíz</w:t>
      </w:r>
      <w:r w:rsidR="00192F16" w:rsidRPr="00975C02">
        <w:rPr>
          <w:sz w:val="20"/>
          <w:lang w:val="es-ES"/>
        </w:rPr>
        <w:t xml:space="preserve"> </w:t>
      </w:r>
      <w:r w:rsidR="00FC7260" w:rsidRPr="00975C02">
        <w:rPr>
          <w:sz w:val="20"/>
          <w:lang w:val="es-ES"/>
        </w:rPr>
        <w:t>d</w:t>
      </w:r>
      <w:r w:rsidR="00192F16" w:rsidRPr="00975C02">
        <w:rPr>
          <w:sz w:val="20"/>
          <w:lang w:val="es-ES"/>
        </w:rPr>
        <w:t>el proceso ante esta Corte, los cuales fueron cubiertos por el Fondo de Asistencia Legal de Víctimas (</w:t>
      </w:r>
      <w:r w:rsidR="00192F16" w:rsidRPr="00975C02">
        <w:rPr>
          <w:i/>
          <w:sz w:val="20"/>
          <w:lang w:val="es-ES"/>
        </w:rPr>
        <w:t>infra</w:t>
      </w:r>
      <w:r w:rsidR="00FC7260" w:rsidRPr="00975C02">
        <w:rPr>
          <w:sz w:val="20"/>
          <w:lang w:val="es-ES"/>
        </w:rPr>
        <w:t xml:space="preserve"> párr. 434).</w:t>
      </w:r>
    </w:p>
    <w:p w14:paraId="72D9C8AB" w14:textId="77777777" w:rsidR="00044A68" w:rsidRPr="00975C02" w:rsidRDefault="00044A68" w:rsidP="00044A68">
      <w:pPr>
        <w:tabs>
          <w:tab w:val="left" w:pos="567"/>
        </w:tabs>
        <w:spacing w:line="240" w:lineRule="auto"/>
        <w:rPr>
          <w:rFonts w:eastAsia="Batang"/>
          <w:sz w:val="20"/>
          <w:szCs w:val="20"/>
          <w:lang w:val="es-ES"/>
        </w:rPr>
      </w:pPr>
    </w:p>
    <w:p w14:paraId="27F43658" w14:textId="454129A6" w:rsidR="009D661E" w:rsidRPr="00975C02" w:rsidRDefault="002E0836" w:rsidP="00DF3D71">
      <w:pPr>
        <w:numPr>
          <w:ilvl w:val="0"/>
          <w:numId w:val="2"/>
        </w:numPr>
        <w:tabs>
          <w:tab w:val="left" w:pos="567"/>
          <w:tab w:val="num" w:pos="5057"/>
          <w:tab w:val="num" w:pos="11028"/>
        </w:tabs>
        <w:spacing w:line="240" w:lineRule="auto"/>
        <w:ind w:left="0" w:right="-90" w:firstLine="0"/>
        <w:rPr>
          <w:sz w:val="20"/>
          <w:szCs w:val="20"/>
          <w:lang w:val="es-ES"/>
        </w:rPr>
      </w:pPr>
      <w:bookmarkStart w:id="195" w:name="_Ref455680884"/>
      <w:r w:rsidRPr="00975C02">
        <w:rPr>
          <w:rFonts w:eastAsia="MS Mincho"/>
          <w:sz w:val="20"/>
          <w:szCs w:val="20"/>
          <w:lang w:val="es-ES" w:bidi="en-US"/>
        </w:rPr>
        <w:t>En consecuencia, la Corte decide fijar</w:t>
      </w:r>
      <w:r w:rsidR="00044A68" w:rsidRPr="00975C02">
        <w:rPr>
          <w:rFonts w:eastAsia="MS Mincho"/>
          <w:sz w:val="20"/>
          <w:szCs w:val="20"/>
          <w:lang w:val="es-ES" w:bidi="en-US"/>
        </w:rPr>
        <w:t xml:space="preserve"> </w:t>
      </w:r>
      <w:r w:rsidRPr="00975C02">
        <w:rPr>
          <w:rFonts w:eastAsia="MS Mincho" w:cs="Verdana"/>
          <w:sz w:val="20"/>
          <w:szCs w:val="20"/>
          <w:lang w:val="es-ES" w:bidi="en-US"/>
        </w:rPr>
        <w:t xml:space="preserve">el pago de un monto total </w:t>
      </w:r>
      <w:r w:rsidR="00044A68" w:rsidRPr="00975C02">
        <w:rPr>
          <w:rFonts w:eastAsia="MS Mincho" w:cs="Verdana"/>
          <w:sz w:val="20"/>
          <w:szCs w:val="20"/>
          <w:lang w:val="es-ES" w:bidi="en-US"/>
        </w:rPr>
        <w:t xml:space="preserve">razonable </w:t>
      </w:r>
      <w:r w:rsidRPr="00975C02">
        <w:rPr>
          <w:rFonts w:eastAsia="MS Mincho" w:cs="Verdana"/>
          <w:sz w:val="20"/>
          <w:szCs w:val="20"/>
          <w:lang w:val="es-ES" w:bidi="en-US"/>
        </w:rPr>
        <w:t xml:space="preserve">de </w:t>
      </w:r>
      <w:r w:rsidRPr="00975C02">
        <w:rPr>
          <w:sz w:val="20"/>
          <w:szCs w:val="20"/>
          <w:lang w:val="es-ES"/>
        </w:rPr>
        <w:t xml:space="preserve">US$ </w:t>
      </w:r>
      <w:r w:rsidR="00D4268B" w:rsidRPr="00975C02">
        <w:rPr>
          <w:rFonts w:cs="Verdana"/>
          <w:sz w:val="20"/>
          <w:szCs w:val="20"/>
          <w:lang w:val="es-ES"/>
        </w:rPr>
        <w:t>15</w:t>
      </w:r>
      <w:r w:rsidRPr="00975C02">
        <w:rPr>
          <w:rFonts w:cs="Verdana"/>
          <w:sz w:val="20"/>
          <w:szCs w:val="20"/>
          <w:lang w:val="es-ES"/>
        </w:rPr>
        <w:t>.000,00</w:t>
      </w:r>
      <w:r w:rsidR="00044A68" w:rsidRPr="00975C02">
        <w:rPr>
          <w:rFonts w:cs="Verdana"/>
          <w:sz w:val="20"/>
          <w:szCs w:val="20"/>
          <w:lang w:val="es-ES"/>
        </w:rPr>
        <w:t xml:space="preserve"> (</w:t>
      </w:r>
      <w:r w:rsidR="00D4268B" w:rsidRPr="00975C02">
        <w:rPr>
          <w:rFonts w:cs="Verdana"/>
          <w:sz w:val="20"/>
          <w:szCs w:val="20"/>
          <w:lang w:val="es-ES"/>
        </w:rPr>
        <w:t>quince</w:t>
      </w:r>
      <w:r w:rsidRPr="00975C02">
        <w:rPr>
          <w:rFonts w:cs="Verdana"/>
          <w:sz w:val="20"/>
          <w:szCs w:val="20"/>
          <w:lang w:val="es-ES"/>
        </w:rPr>
        <w:t xml:space="preserve"> mil dólares de los Estados Unidos de América)</w:t>
      </w:r>
      <w:r w:rsidRPr="00975C02">
        <w:rPr>
          <w:rFonts w:eastAsia="MS Mincho" w:cs="Verdana"/>
          <w:sz w:val="20"/>
          <w:szCs w:val="20"/>
          <w:lang w:val="es-ES" w:bidi="en-US"/>
        </w:rPr>
        <w:t xml:space="preserve"> por</w:t>
      </w:r>
      <w:r w:rsidRPr="00975C02">
        <w:rPr>
          <w:rFonts w:eastAsia="MS Mincho"/>
          <w:bCs/>
          <w:sz w:val="20"/>
          <w:szCs w:val="20"/>
          <w:lang w:val="es-ES" w:eastAsia="en-US" w:bidi="en-US"/>
        </w:rPr>
        <w:t xml:space="preserve"> concepto de costas y gastos. </w:t>
      </w:r>
      <w:r w:rsidRPr="00975C02">
        <w:rPr>
          <w:rFonts w:eastAsia="MS Mincho" w:cs="Verdana"/>
          <w:sz w:val="20"/>
          <w:szCs w:val="20"/>
          <w:lang w:val="es-ES" w:bidi="en-US"/>
        </w:rPr>
        <w:t xml:space="preserve">Dicha </w:t>
      </w:r>
      <w:r w:rsidRPr="00975C02">
        <w:rPr>
          <w:rFonts w:eastAsia="MS Mincho" w:cs="Verdana"/>
          <w:sz w:val="20"/>
          <w:szCs w:val="20"/>
          <w:lang w:val="es-ES" w:bidi="en-US"/>
        </w:rPr>
        <w:lastRenderedPageBreak/>
        <w:t xml:space="preserve">cantidad será entregada </w:t>
      </w:r>
      <w:r w:rsidR="00044A68" w:rsidRPr="00975C02">
        <w:rPr>
          <w:rFonts w:eastAsia="MS Mincho" w:cs="Verdana"/>
          <w:sz w:val="20"/>
          <w:szCs w:val="20"/>
          <w:lang w:val="es-ES" w:bidi="en-US"/>
        </w:rPr>
        <w:t xml:space="preserve">a la señora V.P.C. </w:t>
      </w:r>
      <w:r w:rsidRPr="00975C02">
        <w:rPr>
          <w:sz w:val="20"/>
          <w:szCs w:val="20"/>
          <w:lang w:val="es-ES"/>
        </w:rPr>
        <w:t>En el procedimiento de supervisión de cumplimiento de la presente Sentencia, el Tribunal podrá disponer el reembolso por parte del Estado a las víctimas o sus representantes de los gastos razonables debidamente comprobados en dicha etapa procesal</w:t>
      </w:r>
      <w:bookmarkEnd w:id="195"/>
      <w:r w:rsidR="009D661E" w:rsidRPr="00975C02">
        <w:rPr>
          <w:rStyle w:val="FootnoteReference"/>
          <w:sz w:val="20"/>
          <w:szCs w:val="20"/>
          <w:lang w:val="es-ES"/>
        </w:rPr>
        <w:footnoteReference w:id="456"/>
      </w:r>
      <w:r w:rsidR="009D661E" w:rsidRPr="00975C02">
        <w:rPr>
          <w:sz w:val="20"/>
          <w:szCs w:val="20"/>
          <w:lang w:val="es-ES"/>
        </w:rPr>
        <w:t>.</w:t>
      </w:r>
    </w:p>
    <w:p w14:paraId="5ED588F0" w14:textId="77777777" w:rsidR="00553F0D" w:rsidRPr="00975C02" w:rsidRDefault="00553F0D" w:rsidP="00044A68">
      <w:pPr>
        <w:tabs>
          <w:tab w:val="left" w:pos="567"/>
        </w:tabs>
        <w:spacing w:line="240" w:lineRule="auto"/>
        <w:textAlignment w:val="auto"/>
        <w:rPr>
          <w:sz w:val="20"/>
          <w:szCs w:val="20"/>
          <w:lang w:val="es-ES"/>
        </w:rPr>
      </w:pPr>
    </w:p>
    <w:p w14:paraId="40F33727"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96" w:name="_Toc495658705"/>
      <w:bookmarkStart w:id="197" w:name="_Toc476390747"/>
      <w:bookmarkStart w:id="198" w:name="_Toc514172673"/>
      <w:r w:rsidRPr="00975C02">
        <w:rPr>
          <w:rFonts w:eastAsia="MS Mincho"/>
          <w:b/>
          <w:bCs/>
          <w:i/>
          <w:sz w:val="20"/>
          <w:szCs w:val="20"/>
          <w:lang w:val="es-ES"/>
        </w:rPr>
        <w:t>Reintegro de los gastos al Fondo de Asistencia Legal de Víctimas</w:t>
      </w:r>
      <w:bookmarkEnd w:id="196"/>
      <w:bookmarkEnd w:id="197"/>
      <w:bookmarkEnd w:id="198"/>
    </w:p>
    <w:p w14:paraId="4D97B673" w14:textId="77777777" w:rsidR="009D661E" w:rsidRPr="00975C02" w:rsidRDefault="009D661E" w:rsidP="00044A68">
      <w:pPr>
        <w:tabs>
          <w:tab w:val="left" w:pos="720"/>
        </w:tabs>
        <w:spacing w:line="240" w:lineRule="auto"/>
        <w:ind w:left="142"/>
        <w:rPr>
          <w:sz w:val="20"/>
          <w:szCs w:val="20"/>
          <w:lang w:val="es-ES" w:bidi="en-US"/>
        </w:rPr>
      </w:pPr>
    </w:p>
    <w:p w14:paraId="503F271A" w14:textId="4186305D" w:rsidR="009D661E" w:rsidRPr="00975C02" w:rsidRDefault="009D661E" w:rsidP="00044A68">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cs="Verdana"/>
          <w:snapToGrid w:val="0"/>
          <w:sz w:val="20"/>
          <w:szCs w:val="20"/>
          <w:lang w:val="es-ES" w:eastAsia="es-ES" w:bidi="en-US"/>
        </w:rPr>
        <w:t xml:space="preserve">En el 2008 la Asamblea General de la Organización de Estados Americanos creó el Fondo de </w:t>
      </w:r>
      <w:r w:rsidRPr="00975C02">
        <w:rPr>
          <w:rFonts w:eastAsia="MS Mincho"/>
          <w:sz w:val="20"/>
          <w:szCs w:val="20"/>
          <w:lang w:val="es-ES" w:bidi="en-US"/>
        </w:rPr>
        <w:t>Asistencia</w:t>
      </w:r>
      <w:r w:rsidRPr="00975C02">
        <w:rPr>
          <w:rFonts w:eastAsia="MS Mincho" w:cs="Verdana"/>
          <w:snapToGrid w:val="0"/>
          <w:sz w:val="20"/>
          <w:szCs w:val="20"/>
          <w:lang w:val="es-ES" w:eastAsia="es-ES" w:bidi="en-US"/>
        </w:rPr>
        <w:t xml:space="preserve"> Legal del Sistema Interamericano de Derechos Humanos, con el “objeto [de] facilitar acceso al sistema interamericano de derechos humanos a aquellas personas que actualmente no tienen los recursos necesarios para llevar su caso al sistema”</w:t>
      </w:r>
      <w:r w:rsidRPr="00975C02">
        <w:rPr>
          <w:rFonts w:eastAsia="MS Mincho" w:cs="Verdana"/>
          <w:snapToGrid w:val="0"/>
          <w:sz w:val="20"/>
          <w:szCs w:val="20"/>
          <w:vertAlign w:val="superscript"/>
          <w:lang w:val="es-ES" w:eastAsia="es-ES" w:bidi="en-US"/>
        </w:rPr>
        <w:footnoteReference w:id="457"/>
      </w:r>
      <w:r w:rsidRPr="00975C02">
        <w:rPr>
          <w:rFonts w:eastAsia="MS Mincho" w:cs="Verdana"/>
          <w:snapToGrid w:val="0"/>
          <w:sz w:val="20"/>
          <w:szCs w:val="20"/>
          <w:lang w:val="es-ES" w:eastAsia="es-ES" w:bidi="en-US"/>
        </w:rPr>
        <w:t>. En el presente caso, mediante Resolución del Presidente de 21 de septiembre de 2017</w:t>
      </w:r>
      <w:r w:rsidRPr="00975C02">
        <w:rPr>
          <w:rStyle w:val="FootnoteReference"/>
          <w:rFonts w:eastAsia="MS Mincho" w:cs="Verdana"/>
          <w:snapToGrid w:val="0"/>
          <w:sz w:val="20"/>
          <w:szCs w:val="20"/>
          <w:lang w:val="es-ES" w:eastAsia="es-ES" w:bidi="en-US"/>
        </w:rPr>
        <w:footnoteReference w:id="458"/>
      </w:r>
      <w:r w:rsidRPr="00975C02">
        <w:rPr>
          <w:rFonts w:eastAsia="MS Mincho" w:cs="Verdana"/>
          <w:snapToGrid w:val="0"/>
          <w:sz w:val="20"/>
          <w:szCs w:val="20"/>
          <w:lang w:val="es-ES" w:eastAsia="es-ES" w:bidi="en-US"/>
        </w:rPr>
        <w:t xml:space="preserve"> se otorgó, con cargo a dicho Fondo, la asistencia económica necesaria para cubrir </w:t>
      </w:r>
      <w:r w:rsidRPr="00975C02">
        <w:rPr>
          <w:rFonts w:eastAsia="MS Mincho" w:cs="Verdana"/>
          <w:sz w:val="20"/>
          <w:szCs w:val="20"/>
          <w:lang w:val="es-ES" w:bidi="en-US"/>
        </w:rPr>
        <w:t>los gastos de: i) viaje</w:t>
      </w:r>
      <w:r w:rsidR="00357211" w:rsidRPr="00975C02">
        <w:rPr>
          <w:rFonts w:eastAsia="MS Mincho" w:cs="Verdana"/>
          <w:sz w:val="20"/>
          <w:szCs w:val="20"/>
          <w:lang w:val="es-ES" w:bidi="en-US"/>
        </w:rPr>
        <w:t>, traslados</w:t>
      </w:r>
      <w:r w:rsidRPr="00975C02">
        <w:rPr>
          <w:rFonts w:eastAsia="MS Mincho" w:cs="Verdana"/>
          <w:sz w:val="20"/>
          <w:szCs w:val="20"/>
          <w:lang w:val="es-ES" w:bidi="en-US"/>
        </w:rPr>
        <w:t xml:space="preserve"> y estadía necesarios para que las dos defensoras interamericanas pudieran asistir a la audiencia pública a ejercer sus labores de representación de las presuntas víctimas; ii) viaje</w:t>
      </w:r>
      <w:r w:rsidR="00357211" w:rsidRPr="00975C02">
        <w:rPr>
          <w:rFonts w:eastAsia="MS Mincho" w:cs="Verdana"/>
          <w:sz w:val="20"/>
          <w:szCs w:val="20"/>
          <w:lang w:val="es-ES" w:bidi="en-US"/>
        </w:rPr>
        <w:t>, traslados</w:t>
      </w:r>
      <w:r w:rsidRPr="00975C02">
        <w:rPr>
          <w:rFonts w:eastAsia="MS Mincho" w:cs="Verdana"/>
          <w:sz w:val="20"/>
          <w:szCs w:val="20"/>
          <w:lang w:val="es-ES" w:bidi="en-US"/>
        </w:rPr>
        <w:t xml:space="preserve"> y estadía necesarios para que las señoras V.R.P. y V.P.C. y el señor Enrique Oscar Stola comparecieran en dicha audiencia a rendir su</w:t>
      </w:r>
      <w:r w:rsidR="00357211" w:rsidRPr="00975C02">
        <w:rPr>
          <w:rFonts w:eastAsia="MS Mincho" w:cs="Verdana"/>
          <w:sz w:val="20"/>
          <w:szCs w:val="20"/>
          <w:lang w:val="es-ES" w:bidi="en-US"/>
        </w:rPr>
        <w:t>s</w:t>
      </w:r>
      <w:r w:rsidRPr="00975C02">
        <w:rPr>
          <w:rFonts w:eastAsia="MS Mincho" w:cs="Verdana"/>
          <w:sz w:val="20"/>
          <w:szCs w:val="20"/>
          <w:lang w:val="es-ES" w:bidi="en-US"/>
        </w:rPr>
        <w:t xml:space="preserve"> declaraci</w:t>
      </w:r>
      <w:r w:rsidR="00357211" w:rsidRPr="00975C02">
        <w:rPr>
          <w:rFonts w:eastAsia="MS Mincho" w:cs="Verdana"/>
          <w:sz w:val="20"/>
          <w:szCs w:val="20"/>
          <w:lang w:val="es-ES" w:bidi="en-US"/>
        </w:rPr>
        <w:t>o</w:t>
      </w:r>
      <w:r w:rsidRPr="00975C02">
        <w:rPr>
          <w:rFonts w:eastAsia="MS Mincho" w:cs="Verdana"/>
          <w:sz w:val="20"/>
          <w:szCs w:val="20"/>
          <w:lang w:val="es-ES" w:bidi="en-US"/>
        </w:rPr>
        <w:t>n</w:t>
      </w:r>
      <w:r w:rsidR="00357211" w:rsidRPr="00975C02">
        <w:rPr>
          <w:rFonts w:eastAsia="MS Mincho" w:cs="Verdana"/>
          <w:sz w:val="20"/>
          <w:szCs w:val="20"/>
          <w:lang w:val="es-ES" w:bidi="en-US"/>
        </w:rPr>
        <w:t>es</w:t>
      </w:r>
      <w:r w:rsidRPr="00975C02">
        <w:rPr>
          <w:rFonts w:eastAsia="MS Mincho" w:cs="Verdana"/>
          <w:sz w:val="20"/>
          <w:szCs w:val="20"/>
          <w:lang w:val="es-ES" w:bidi="en-US"/>
        </w:rPr>
        <w:t xml:space="preserve"> y dictamen pericial, respectivamente; iii) los costos que irrogue la declaración por affidávit de </w:t>
      </w:r>
      <w:r w:rsidR="00EA3818" w:rsidRPr="00975C02">
        <w:rPr>
          <w:rFonts w:eastAsia="MS Mincho" w:cs="Verdana"/>
          <w:sz w:val="20"/>
          <w:szCs w:val="20"/>
          <w:lang w:val="es-ES" w:bidi="en-US"/>
        </w:rPr>
        <w:t xml:space="preserve">N.R.P., </w:t>
      </w:r>
      <w:r w:rsidRPr="00975C02">
        <w:rPr>
          <w:rFonts w:eastAsia="MS Mincho" w:cs="Verdana"/>
          <w:sz w:val="20"/>
          <w:szCs w:val="20"/>
          <w:lang w:val="es-ES" w:bidi="en-US"/>
        </w:rPr>
        <w:t>H.J.R.P. y V.A.R.P.</w:t>
      </w:r>
      <w:r w:rsidR="00116D6D" w:rsidRPr="00975C02">
        <w:rPr>
          <w:rFonts w:eastAsia="MS Mincho" w:cs="Verdana"/>
          <w:sz w:val="20"/>
          <w:szCs w:val="20"/>
          <w:lang w:val="es-ES" w:bidi="en-US"/>
        </w:rPr>
        <w:t>,</w:t>
      </w:r>
      <w:r w:rsidRPr="00975C02">
        <w:rPr>
          <w:rFonts w:eastAsia="MS Mincho" w:cs="Verdana"/>
          <w:sz w:val="20"/>
          <w:szCs w:val="20"/>
          <w:lang w:val="es-ES" w:bidi="en-US"/>
        </w:rPr>
        <w:t xml:space="preserve"> y iv) los demás gastos razonables y necesarios en que hayan incurrido o puedan incurrir las defensoras interamericanas, para lo cual debían remitir al Tribunal tanto la justificación de tales gastos como sus comprobantes.</w:t>
      </w:r>
    </w:p>
    <w:p w14:paraId="21CBFBAB" w14:textId="77777777" w:rsidR="009D661E" w:rsidRPr="00975C02" w:rsidRDefault="009D661E" w:rsidP="009D661E">
      <w:pPr>
        <w:tabs>
          <w:tab w:val="left" w:pos="567"/>
        </w:tabs>
        <w:spacing w:line="240" w:lineRule="auto"/>
        <w:textAlignment w:val="auto"/>
        <w:rPr>
          <w:rFonts w:eastAsia="MS Mincho" w:cs="Verdana"/>
          <w:snapToGrid w:val="0"/>
          <w:sz w:val="20"/>
          <w:szCs w:val="20"/>
          <w:lang w:val="es-ES" w:eastAsia="es-ES" w:bidi="en-US"/>
        </w:rPr>
      </w:pPr>
    </w:p>
    <w:p w14:paraId="2982A631" w14:textId="69426236"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cs="Verdana"/>
          <w:snapToGrid w:val="0"/>
          <w:sz w:val="20"/>
          <w:szCs w:val="20"/>
          <w:lang w:val="es-ES" w:eastAsia="es-ES"/>
        </w:rPr>
        <w:t xml:space="preserve">El Estado tuvo la oportunidad de presentar sus observaciones sobre las erogaciones realizadas en el presente caso, las cuales ascendieron a la suma de </w:t>
      </w:r>
      <w:r w:rsidRPr="00975C02">
        <w:rPr>
          <w:rFonts w:eastAsia="MS Mincho" w:cs="Verdana"/>
          <w:snapToGrid w:val="0"/>
          <w:sz w:val="20"/>
          <w:szCs w:val="20"/>
          <w:lang w:val="es-ES" w:eastAsia="es-ES" w:bidi="en-US"/>
        </w:rPr>
        <w:t>US$</w:t>
      </w:r>
      <w:r w:rsidR="00116D6D" w:rsidRPr="00975C02">
        <w:rPr>
          <w:rFonts w:eastAsia="MS Mincho" w:cs="Verdana"/>
          <w:snapToGrid w:val="0"/>
          <w:sz w:val="20"/>
          <w:szCs w:val="20"/>
          <w:lang w:val="es-ES" w:eastAsia="es-ES" w:bidi="en-US"/>
        </w:rPr>
        <w:t xml:space="preserve"> 13.862,51</w:t>
      </w:r>
      <w:r w:rsidRPr="00975C02">
        <w:rPr>
          <w:rFonts w:eastAsia="MS Mincho" w:cs="Verdana"/>
          <w:snapToGrid w:val="0"/>
          <w:sz w:val="20"/>
          <w:szCs w:val="20"/>
          <w:lang w:val="es-ES" w:eastAsia="es-ES" w:bidi="en-US"/>
        </w:rPr>
        <w:t xml:space="preserve"> (</w:t>
      </w:r>
      <w:r w:rsidR="00116D6D" w:rsidRPr="00975C02">
        <w:rPr>
          <w:rFonts w:eastAsia="MS Mincho" w:cs="Verdana"/>
          <w:snapToGrid w:val="0"/>
          <w:sz w:val="20"/>
          <w:szCs w:val="20"/>
          <w:lang w:val="es-ES" w:eastAsia="es-ES" w:bidi="en-US"/>
        </w:rPr>
        <w:t xml:space="preserve">trece mil ochocientos </w:t>
      </w:r>
      <w:r w:rsidR="00357211" w:rsidRPr="00975C02">
        <w:rPr>
          <w:rFonts w:eastAsia="MS Mincho" w:cs="Verdana"/>
          <w:snapToGrid w:val="0"/>
          <w:sz w:val="20"/>
          <w:szCs w:val="20"/>
          <w:lang w:val="es-ES" w:eastAsia="es-ES" w:bidi="en-US"/>
        </w:rPr>
        <w:t xml:space="preserve">sesenta </w:t>
      </w:r>
      <w:r w:rsidR="00116D6D" w:rsidRPr="00975C02">
        <w:rPr>
          <w:rFonts w:eastAsia="MS Mincho" w:cs="Verdana"/>
          <w:snapToGrid w:val="0"/>
          <w:sz w:val="20"/>
          <w:szCs w:val="20"/>
          <w:lang w:val="es-ES" w:eastAsia="es-ES" w:bidi="en-US"/>
        </w:rPr>
        <w:t>y dos con 51/100</w:t>
      </w:r>
      <w:r w:rsidRPr="00975C02">
        <w:rPr>
          <w:rFonts w:eastAsia="MS Mincho" w:cs="Verdana"/>
          <w:snapToGrid w:val="0"/>
          <w:sz w:val="20"/>
          <w:szCs w:val="20"/>
          <w:lang w:val="es-ES" w:eastAsia="es-ES" w:bidi="en-US"/>
        </w:rPr>
        <w:t xml:space="preserve"> dólares de los Estados Unidos de América</w:t>
      </w:r>
      <w:r w:rsidRPr="00975C02">
        <w:rPr>
          <w:rFonts w:cs="Verdana"/>
          <w:snapToGrid w:val="0"/>
          <w:sz w:val="20"/>
          <w:szCs w:val="20"/>
          <w:lang w:val="es-ES" w:eastAsia="es-ES"/>
        </w:rPr>
        <w:t xml:space="preserve">). El </w:t>
      </w:r>
      <w:r w:rsidRPr="00975C02">
        <w:rPr>
          <w:rFonts w:eastAsia="MS Mincho" w:cs="Verdana"/>
          <w:snapToGrid w:val="0"/>
          <w:sz w:val="20"/>
          <w:szCs w:val="20"/>
          <w:lang w:val="es-ES" w:eastAsia="es-ES" w:bidi="en-US"/>
        </w:rPr>
        <w:t>Estado</w:t>
      </w:r>
      <w:r w:rsidRPr="00975C02">
        <w:rPr>
          <w:rFonts w:cs="Verdana"/>
          <w:snapToGrid w:val="0"/>
          <w:sz w:val="20"/>
          <w:szCs w:val="20"/>
          <w:lang w:val="es-ES" w:eastAsia="es-ES"/>
        </w:rPr>
        <w:t xml:space="preserve"> manifestó en su escrito de 21 de diciembre de 2017 que, s</w:t>
      </w:r>
      <w:r w:rsidRPr="00975C02">
        <w:rPr>
          <w:sz w:val="20"/>
          <w:szCs w:val="20"/>
          <w:lang w:val="es-ES"/>
        </w:rPr>
        <w:t>i bien en el informe de la Secretaría de la Corte se adjuntó una tabla de cálculos “</w:t>
      </w:r>
      <w:r w:rsidRPr="00975C02">
        <w:rPr>
          <w:i/>
          <w:sz w:val="20"/>
          <w:szCs w:val="20"/>
          <w:lang w:val="es-ES"/>
        </w:rPr>
        <w:t>per diem</w:t>
      </w:r>
      <w:r w:rsidRPr="00975C02">
        <w:rPr>
          <w:sz w:val="20"/>
          <w:szCs w:val="20"/>
          <w:lang w:val="es-ES"/>
        </w:rPr>
        <w:t xml:space="preserve">” asignados en Panamá, no se apreciaba de dicho informe ninguna rendición de cuentas </w:t>
      </w:r>
      <w:r w:rsidR="00357211" w:rsidRPr="00975C02">
        <w:rPr>
          <w:sz w:val="20"/>
          <w:szCs w:val="20"/>
          <w:lang w:val="es-ES"/>
        </w:rPr>
        <w:t xml:space="preserve">por </w:t>
      </w:r>
      <w:r w:rsidRPr="00975C02">
        <w:rPr>
          <w:sz w:val="20"/>
          <w:szCs w:val="20"/>
          <w:lang w:val="es-ES"/>
        </w:rPr>
        <w:t>parte de los beneficiarios de dichas erogaciones. El Estado señaló que el informe tampoco contaba con la firma ni el visto bueno de la contabilidad de la Corte, ya que las normas contables en Nicaragua exigían evidencias competentes y suficientes para justificar el uso de los fondos utilizados para este tipo de actividades. Por ello, señaló que ante la falta de soportes, facturas o recibos de la totalidad de los gastos efectuados por los beneficiarios, el Estado no contaba con respaldo probatorio para determinar el monto de los gastos realizados, por lo que solicitó que se provean soportes que justifiquen el uso de los fondos para la alimentación y hospedaje, y en caso que exista dinero no utilizado para dichos fines sea reembolsado al fondo de asistencia legal de víctimas.</w:t>
      </w:r>
    </w:p>
    <w:p w14:paraId="142E5BD4" w14:textId="77777777" w:rsidR="009D661E" w:rsidRPr="00975C02" w:rsidRDefault="009D661E" w:rsidP="009D661E">
      <w:pPr>
        <w:tabs>
          <w:tab w:val="left" w:pos="567"/>
        </w:tabs>
        <w:spacing w:line="240" w:lineRule="auto"/>
        <w:textAlignment w:val="auto"/>
        <w:rPr>
          <w:rFonts w:eastAsia="MS Mincho" w:cs="Verdana"/>
          <w:snapToGrid w:val="0"/>
          <w:sz w:val="20"/>
          <w:szCs w:val="20"/>
          <w:lang w:val="es-ES" w:eastAsia="es-ES" w:bidi="en-US"/>
        </w:rPr>
      </w:pPr>
    </w:p>
    <w:p w14:paraId="51858611"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sz w:val="20"/>
          <w:szCs w:val="20"/>
          <w:lang w:val="es-ES"/>
        </w:rPr>
        <w:t>De igual forma, el Estado alegó que el pago de honorarios del perito Enrique Oscar Stola, si bien fue autorizado mediante firma del Secretario de la Corte, dicho pago no se autorizó de conformidad con el artículo 4 del Reglamento del Fondo de Víctimas ni con los párrafos 43 a 46 de la Resolución del Presidente de 21 de septiembre de 2017. El Estado señaló que en ninguno de los párrafos de dicha resolución el Presidente resolvió realizar pagos por concepto de honorarios al perito en mención. Asimismo, indicó que de conformidad con el artículo 4 del citado Reglamento, las erogaciones al Fondo deben realizarse conforme a parámetros autorizados por la Presidencia, lo cual no ocurrió en el presente caso. Por ello, el Estado indicó que no podía ni debía pagar esa erogación, ascendente a más de cinco mil dólares.</w:t>
      </w:r>
    </w:p>
    <w:p w14:paraId="0A7520E8" w14:textId="77777777" w:rsidR="009D661E" w:rsidRPr="00975C02" w:rsidRDefault="009D661E" w:rsidP="009D661E">
      <w:pPr>
        <w:autoSpaceDE w:val="0"/>
        <w:autoSpaceDN w:val="0"/>
        <w:spacing w:line="240" w:lineRule="auto"/>
        <w:rPr>
          <w:sz w:val="20"/>
          <w:szCs w:val="20"/>
          <w:lang w:val="es-ES"/>
        </w:rPr>
      </w:pPr>
    </w:p>
    <w:p w14:paraId="4A7C18E1" w14:textId="52048109"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sz w:val="20"/>
          <w:szCs w:val="20"/>
          <w:lang w:val="es-ES"/>
        </w:rPr>
        <w:t>En cuanto a las objeciones del Estado respecto a la falta de documentación que sustente los montos erogados por concepto de viáticos y gastos de transporte, la Corte recuerda que, de conformidad con el artículo 6 del Reglamento de la Corte sobre el Funcionamiento del Fondo de Asistencia Legal de Víctimas, “a falta de disposición en [dicho] Reglamento, o en caso de duda sobre su interpretación, la Corte decidirá”. Al respecto, desde que comenzó a funcionar el Fondo</w:t>
      </w:r>
      <w:r w:rsidRPr="00975C02">
        <w:rPr>
          <w:rStyle w:val="FootnoteReference"/>
          <w:rFonts w:eastAsia="MS Mincho"/>
          <w:sz w:val="20"/>
          <w:szCs w:val="20"/>
          <w:lang w:val="es-ES"/>
        </w:rPr>
        <w:footnoteReference w:id="459"/>
      </w:r>
      <w:r w:rsidRPr="00975C02">
        <w:rPr>
          <w:rFonts w:eastAsia="MS Mincho"/>
          <w:sz w:val="20"/>
          <w:szCs w:val="20"/>
          <w:lang w:val="es-ES"/>
        </w:rPr>
        <w:t xml:space="preserve">, este Tribunal ha establecido como política entregar a las personas cubiertas por </w:t>
      </w:r>
      <w:r w:rsidR="00357211" w:rsidRPr="00975C02">
        <w:rPr>
          <w:rFonts w:eastAsia="MS Mincho"/>
          <w:sz w:val="20"/>
          <w:szCs w:val="20"/>
          <w:lang w:val="es-ES"/>
        </w:rPr>
        <w:t>éste</w:t>
      </w:r>
      <w:r w:rsidRPr="00975C02">
        <w:rPr>
          <w:rFonts w:eastAsia="MS Mincho"/>
          <w:sz w:val="20"/>
          <w:szCs w:val="20"/>
          <w:lang w:val="es-ES"/>
        </w:rPr>
        <w:t xml:space="preserve">, un monto fijo de viáticos, lo cual incluye hospedaje y alimentación, tomando como base de referencia la tabla de viáticos vigente de la OEA aplicable a la ciudad de Panamá, </w:t>
      </w:r>
      <w:r w:rsidR="0063322E">
        <w:rPr>
          <w:rFonts w:eastAsia="MS Mincho"/>
          <w:sz w:val="20"/>
          <w:szCs w:val="20"/>
          <w:lang w:val="es-ES"/>
        </w:rPr>
        <w:t xml:space="preserve">República de </w:t>
      </w:r>
      <w:r w:rsidRPr="00975C02">
        <w:rPr>
          <w:rFonts w:eastAsia="MS Mincho"/>
          <w:sz w:val="20"/>
          <w:szCs w:val="20"/>
          <w:lang w:val="es-ES"/>
        </w:rPr>
        <w:t xml:space="preserve">Panamá, sin necesidad de que presenten facturas que demuestren los gastos efectuados. Lo anterior, dado que esta tabla refleja el monto que, según la OEA, razonablemente desembolsaría una persona en hospedaje y alimentación en dicha ciudad. Asimismo, el procedimiento de </w:t>
      </w:r>
      <w:r w:rsidR="00357211" w:rsidRPr="00975C02">
        <w:rPr>
          <w:rFonts w:eastAsia="MS Mincho"/>
          <w:sz w:val="20"/>
          <w:szCs w:val="20"/>
          <w:lang w:val="es-ES"/>
        </w:rPr>
        <w:t xml:space="preserve">requerir </w:t>
      </w:r>
      <w:r w:rsidRPr="00975C02">
        <w:rPr>
          <w:rFonts w:eastAsia="MS Mincho"/>
          <w:sz w:val="20"/>
          <w:szCs w:val="20"/>
          <w:lang w:val="es-ES"/>
        </w:rPr>
        <w:t xml:space="preserve">facturas a los beneficiarios del Fondo de Asistencia por los viáticos recibidos presentaría serios obstáculos para la correcta y expedita administración del </w:t>
      </w:r>
      <w:r w:rsidR="00DE6ECA">
        <w:rPr>
          <w:rFonts w:eastAsia="MS Mincho"/>
          <w:sz w:val="20"/>
          <w:szCs w:val="20"/>
          <w:lang w:val="es-ES"/>
        </w:rPr>
        <w:t>mismo</w:t>
      </w:r>
      <w:r w:rsidRPr="00975C02">
        <w:rPr>
          <w:rFonts w:eastAsia="MS Mincho"/>
          <w:sz w:val="20"/>
          <w:szCs w:val="20"/>
          <w:lang w:val="es-ES"/>
        </w:rPr>
        <w:t>. También</w:t>
      </w:r>
      <w:r w:rsidR="00357211" w:rsidRPr="00975C02">
        <w:rPr>
          <w:rFonts w:eastAsia="MS Mincho"/>
          <w:sz w:val="20"/>
          <w:szCs w:val="20"/>
          <w:lang w:val="es-ES"/>
        </w:rPr>
        <w:t>,</w:t>
      </w:r>
      <w:r w:rsidRPr="00975C02">
        <w:rPr>
          <w:rFonts w:eastAsia="MS Mincho"/>
          <w:sz w:val="20"/>
          <w:szCs w:val="20"/>
          <w:lang w:val="es-ES"/>
        </w:rPr>
        <w:t xml:space="preserve"> por esta razón es que, en cuanto a los gastos terminales, es decir, los gastos por tra</w:t>
      </w:r>
      <w:r w:rsidR="00357211" w:rsidRPr="00975C02">
        <w:rPr>
          <w:rFonts w:eastAsia="MS Mincho"/>
          <w:sz w:val="20"/>
          <w:szCs w:val="20"/>
          <w:lang w:val="es-ES"/>
        </w:rPr>
        <w:t>n</w:t>
      </w:r>
      <w:r w:rsidRPr="00975C02">
        <w:rPr>
          <w:rFonts w:eastAsia="MS Mincho"/>
          <w:sz w:val="20"/>
          <w:szCs w:val="20"/>
          <w:lang w:val="es-ES"/>
        </w:rPr>
        <w:t>sporte para el traslado hacia y desde la estación terminal y otros gastos incidentales, el Tribunal únicamente requiere que se comprueben aquellos gastos realizados desde el punto de origen hasta la sede donde se llevará a cabo la audiencia, siendo razonable que el mismo monto sea desembolsado en el viaje de retorno de la persona correspondiente. Por tanto, la Corte desestima las objeciones del Estado</w:t>
      </w:r>
      <w:r w:rsidRPr="00975C02">
        <w:rPr>
          <w:rStyle w:val="FootnoteReference"/>
          <w:rFonts w:eastAsia="MS Mincho"/>
          <w:sz w:val="20"/>
          <w:szCs w:val="20"/>
          <w:lang w:val="es-ES"/>
        </w:rPr>
        <w:footnoteReference w:id="460"/>
      </w:r>
      <w:r w:rsidR="004F4CFC" w:rsidRPr="00975C02">
        <w:rPr>
          <w:rFonts w:eastAsia="MS Mincho"/>
          <w:sz w:val="20"/>
          <w:szCs w:val="20"/>
          <w:lang w:val="es-ES"/>
        </w:rPr>
        <w:t>.</w:t>
      </w:r>
    </w:p>
    <w:p w14:paraId="15D35D36" w14:textId="77777777" w:rsidR="009D661E" w:rsidRPr="00975C02" w:rsidRDefault="009D661E" w:rsidP="009D661E">
      <w:pPr>
        <w:tabs>
          <w:tab w:val="left" w:pos="567"/>
        </w:tabs>
        <w:spacing w:line="240" w:lineRule="auto"/>
        <w:textAlignment w:val="auto"/>
        <w:rPr>
          <w:rFonts w:eastAsia="MS Mincho" w:cs="Verdana"/>
          <w:snapToGrid w:val="0"/>
          <w:sz w:val="20"/>
          <w:szCs w:val="20"/>
          <w:lang w:val="es-ES" w:eastAsia="es-ES" w:bidi="en-US"/>
        </w:rPr>
      </w:pPr>
    </w:p>
    <w:p w14:paraId="68ABA28D" w14:textId="4033093A"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sz w:val="20"/>
          <w:szCs w:val="20"/>
          <w:lang w:val="es-ES"/>
        </w:rPr>
        <w:t>En cuanto a las objeciones del Estado respecto al pago de honorarios del perito Enrique Oscar Stola, la Corte resalta que</w:t>
      </w:r>
      <w:r w:rsidR="00C95AD2" w:rsidRPr="00975C02">
        <w:rPr>
          <w:rFonts w:eastAsia="MS Mincho"/>
          <w:sz w:val="20"/>
          <w:szCs w:val="20"/>
          <w:lang w:val="es-ES"/>
        </w:rPr>
        <w:t>,</w:t>
      </w:r>
      <w:r w:rsidRPr="00975C02">
        <w:rPr>
          <w:rFonts w:eastAsia="MS Mincho"/>
          <w:sz w:val="20"/>
          <w:szCs w:val="20"/>
          <w:lang w:val="es-ES"/>
        </w:rPr>
        <w:t xml:space="preserve"> de conformidad con el considerando 42 de la Resolución del Presidente de 21 de septiembre de 2017</w:t>
      </w:r>
      <w:r w:rsidR="00C95AD2" w:rsidRPr="00975C02">
        <w:rPr>
          <w:rFonts w:eastAsia="MS Mincho"/>
          <w:sz w:val="20"/>
          <w:szCs w:val="20"/>
          <w:lang w:val="es-ES"/>
        </w:rPr>
        <w:t>,</w:t>
      </w:r>
      <w:r w:rsidRPr="00975C02">
        <w:rPr>
          <w:rFonts w:eastAsia="MS Mincho"/>
          <w:sz w:val="20"/>
          <w:szCs w:val="20"/>
          <w:lang w:val="es-ES"/>
        </w:rPr>
        <w:t xml:space="preserve"> </w:t>
      </w:r>
      <w:r w:rsidRPr="00975C02">
        <w:rPr>
          <w:rFonts w:eastAsia="MS Mincho" w:cs="Verdana"/>
          <w:snapToGrid w:val="0"/>
          <w:sz w:val="20"/>
          <w:szCs w:val="20"/>
          <w:lang w:val="es-ES" w:eastAsia="es-ES" w:bidi="en-US"/>
        </w:rPr>
        <w:t>“</w:t>
      </w:r>
      <w:r w:rsidRPr="00975C02">
        <w:rPr>
          <w:sz w:val="20"/>
          <w:szCs w:val="20"/>
          <w:lang w:val="es-ES"/>
        </w:rPr>
        <w:t xml:space="preserve">en casos en que la representación sea asumida gratuitamente por un defensor interamericano en los términos del artículo 37 del </w:t>
      </w:r>
      <w:r w:rsidRPr="00975C02">
        <w:rPr>
          <w:rFonts w:cs="Century Gothic"/>
          <w:sz w:val="20"/>
          <w:szCs w:val="20"/>
          <w:lang w:val="es-ES"/>
        </w:rPr>
        <w:t>Reglamento</w:t>
      </w:r>
      <w:r w:rsidRPr="00975C02">
        <w:rPr>
          <w:sz w:val="20"/>
          <w:szCs w:val="20"/>
          <w:lang w:val="es-ES"/>
        </w:rPr>
        <w:t xml:space="preserve"> de la Corte Interamericana</w:t>
      </w:r>
      <w:r w:rsidRPr="00975C02">
        <w:rPr>
          <w:rStyle w:val="FootnoteReference"/>
          <w:rFonts w:cs="Times"/>
          <w:sz w:val="20"/>
          <w:szCs w:val="20"/>
          <w:lang w:val="es-ES"/>
        </w:rPr>
        <w:footnoteReference w:id="461"/>
      </w:r>
      <w:r w:rsidRPr="00975C02">
        <w:rPr>
          <w:sz w:val="20"/>
          <w:szCs w:val="20"/>
          <w:lang w:val="es-ES"/>
        </w:rPr>
        <w:t>, se brindará ayuda a través del Fondo de Asistencia Legal de Víctimas para sufragar, en la medida de lo posible, los gastos razonables y necesarios que origine tal representación. Es decir, la aplicación del Fondo en estas situaciones se rige por lo establecido en el artículo 4 del Acuerdo de Entendimiento entre la Corte Interamericana y la Asociación Interamericana de Defensoría Públicas, de modo que el defensor interamericano designado “deberá presentar ante la Corte todos los comprobantes necesarios que acrediten los gastos en que se ha incurrido con motivo de la tramitación del caso ante ésta”. Lo anterior también fue expresamente señalado al notificar el sometimiento del presente caso.</w:t>
      </w:r>
    </w:p>
    <w:p w14:paraId="1B87F56F" w14:textId="77777777" w:rsidR="009D661E" w:rsidRPr="00975C02" w:rsidRDefault="009D661E" w:rsidP="009D661E">
      <w:pPr>
        <w:pStyle w:val="ListParagraph"/>
        <w:spacing w:line="240" w:lineRule="auto"/>
        <w:rPr>
          <w:rFonts w:eastAsia="MS Mincho" w:cs="Verdana"/>
          <w:snapToGrid w:val="0"/>
          <w:sz w:val="20"/>
          <w:szCs w:val="20"/>
          <w:lang w:val="es-ES" w:eastAsia="es-ES" w:bidi="en-US"/>
        </w:rPr>
      </w:pPr>
    </w:p>
    <w:p w14:paraId="49DF609E" w14:textId="71EF314C"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cs="Verdana"/>
          <w:snapToGrid w:val="0"/>
          <w:sz w:val="20"/>
          <w:szCs w:val="20"/>
          <w:lang w:val="es-ES" w:eastAsia="es-ES" w:bidi="en-US"/>
        </w:rPr>
        <w:t xml:space="preserve">Con base en </w:t>
      </w:r>
      <w:r w:rsidR="00C95AD2" w:rsidRPr="00975C02">
        <w:rPr>
          <w:rFonts w:eastAsia="MS Mincho" w:cs="Verdana"/>
          <w:snapToGrid w:val="0"/>
          <w:sz w:val="20"/>
          <w:szCs w:val="20"/>
          <w:lang w:val="es-ES" w:eastAsia="es-ES" w:bidi="en-US"/>
        </w:rPr>
        <w:t>lo anterior</w:t>
      </w:r>
      <w:r w:rsidRPr="00975C02">
        <w:rPr>
          <w:rFonts w:eastAsia="MS Mincho" w:cs="Verdana"/>
          <w:snapToGrid w:val="0"/>
          <w:sz w:val="20"/>
          <w:szCs w:val="20"/>
          <w:lang w:val="es-ES" w:eastAsia="es-ES" w:bidi="en-US"/>
        </w:rPr>
        <w:t xml:space="preserve">, </w:t>
      </w:r>
      <w:r w:rsidR="00116D6D" w:rsidRPr="00975C02">
        <w:rPr>
          <w:rFonts w:eastAsia="MS Mincho"/>
          <w:sz w:val="20"/>
          <w:szCs w:val="20"/>
          <w:lang w:val="es-ES"/>
        </w:rPr>
        <w:t xml:space="preserve">en </w:t>
      </w:r>
      <w:r w:rsidRPr="00975C02">
        <w:rPr>
          <w:rFonts w:eastAsia="MS Mincho"/>
          <w:sz w:val="20"/>
          <w:szCs w:val="20"/>
          <w:lang w:val="es-ES"/>
        </w:rPr>
        <w:t>el considerando 43 de dicha Resolución, estableció que</w:t>
      </w:r>
      <w:r w:rsidRPr="00975C02">
        <w:rPr>
          <w:rFonts w:eastAsia="MS Mincho" w:cs="Verdana"/>
          <w:snapToGrid w:val="0"/>
          <w:sz w:val="20"/>
          <w:szCs w:val="20"/>
          <w:lang w:val="es-ES" w:eastAsia="es-ES" w:bidi="en-US"/>
        </w:rPr>
        <w:t xml:space="preserve"> “</w:t>
      </w:r>
      <w:r w:rsidRPr="00975C02">
        <w:rPr>
          <w:sz w:val="20"/>
          <w:szCs w:val="20"/>
          <w:lang w:val="es-ES"/>
        </w:rPr>
        <w:t>la asistencia económica será asignada para cubrir los gastos de:</w:t>
      </w:r>
      <w:r w:rsidR="00C95AD2" w:rsidRPr="00975C02">
        <w:rPr>
          <w:sz w:val="20"/>
          <w:szCs w:val="20"/>
          <w:lang w:val="es-ES"/>
        </w:rPr>
        <w:t xml:space="preserve"> […]</w:t>
      </w:r>
      <w:r w:rsidRPr="00975C02">
        <w:rPr>
          <w:sz w:val="20"/>
          <w:szCs w:val="20"/>
          <w:lang w:val="es-ES"/>
        </w:rPr>
        <w:t xml:space="preserve"> iv) </w:t>
      </w:r>
      <w:r w:rsidRPr="00975C02">
        <w:rPr>
          <w:rFonts w:eastAsia="MS Mincho" w:cs="Verdana"/>
          <w:sz w:val="20"/>
          <w:szCs w:val="20"/>
          <w:lang w:val="es-ES" w:bidi="en-US"/>
        </w:rPr>
        <w:t>los demás gastos razonables y necesarios en que hayan incurrido o puedan incurrir las defensoras interamericanas, para lo cual deb</w:t>
      </w:r>
      <w:r w:rsidR="00C95AD2" w:rsidRPr="00975C02">
        <w:rPr>
          <w:rFonts w:eastAsia="MS Mincho" w:cs="Verdana"/>
          <w:sz w:val="20"/>
          <w:szCs w:val="20"/>
          <w:lang w:val="es-ES" w:bidi="en-US"/>
        </w:rPr>
        <w:t>[</w:t>
      </w:r>
      <w:r w:rsidRPr="00975C02">
        <w:rPr>
          <w:rFonts w:eastAsia="MS Mincho" w:cs="Verdana"/>
          <w:sz w:val="20"/>
          <w:szCs w:val="20"/>
          <w:lang w:val="es-ES" w:bidi="en-US"/>
        </w:rPr>
        <w:t>ían</w:t>
      </w:r>
      <w:r w:rsidR="00C95AD2" w:rsidRPr="00975C02">
        <w:rPr>
          <w:rFonts w:eastAsia="MS Mincho" w:cs="Verdana"/>
          <w:sz w:val="20"/>
          <w:szCs w:val="20"/>
          <w:lang w:val="es-ES" w:bidi="en-US"/>
        </w:rPr>
        <w:t>]</w:t>
      </w:r>
      <w:r w:rsidRPr="00975C02">
        <w:rPr>
          <w:rFonts w:eastAsia="MS Mincho" w:cs="Verdana"/>
          <w:sz w:val="20"/>
          <w:szCs w:val="20"/>
          <w:lang w:val="es-ES" w:bidi="en-US"/>
        </w:rPr>
        <w:t xml:space="preserve"> remitir al Tribunal tanto la justificación de tales gastos como sus comprobantes”.</w:t>
      </w:r>
    </w:p>
    <w:p w14:paraId="198A5735" w14:textId="77777777" w:rsidR="009D661E" w:rsidRPr="00975C02" w:rsidRDefault="009D661E" w:rsidP="009D661E">
      <w:pPr>
        <w:pStyle w:val="ListParagraph"/>
        <w:spacing w:line="240" w:lineRule="auto"/>
        <w:rPr>
          <w:rFonts w:eastAsia="MS Mincho" w:cs="Verdana"/>
          <w:snapToGrid w:val="0"/>
          <w:sz w:val="20"/>
          <w:szCs w:val="20"/>
          <w:lang w:val="es-ES" w:eastAsia="es-ES" w:bidi="en-US"/>
        </w:rPr>
      </w:pPr>
    </w:p>
    <w:p w14:paraId="6B403C81"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cs="Verdana"/>
          <w:snapToGrid w:val="0"/>
          <w:sz w:val="20"/>
          <w:szCs w:val="20"/>
          <w:lang w:val="es-ES" w:eastAsia="es-ES" w:bidi="en-US"/>
        </w:rPr>
        <w:t>Por ello, la Corte estima que el pago por honorarios del perito Enrique Oscar Stola se encuentra bajo el rubro “demás gastos razonables y necesarios en que hayan incurrido las defensoras”, el cual fue debidamente autorizado por el Presidente, conforme a lo señalado precedentemente.</w:t>
      </w:r>
    </w:p>
    <w:p w14:paraId="1A5E202B" w14:textId="77777777" w:rsidR="009D661E" w:rsidRPr="00975C02" w:rsidRDefault="009D661E" w:rsidP="009D661E">
      <w:pPr>
        <w:tabs>
          <w:tab w:val="left" w:pos="567"/>
        </w:tabs>
        <w:spacing w:line="240" w:lineRule="auto"/>
        <w:textAlignment w:val="auto"/>
        <w:rPr>
          <w:rFonts w:eastAsia="MS Mincho" w:cs="Verdana"/>
          <w:snapToGrid w:val="0"/>
          <w:sz w:val="20"/>
          <w:szCs w:val="20"/>
          <w:lang w:val="es-ES" w:eastAsia="es-ES" w:bidi="en-US"/>
        </w:rPr>
      </w:pPr>
    </w:p>
    <w:p w14:paraId="2804DC7A" w14:textId="004319BD"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cs="Verdana"/>
          <w:snapToGrid w:val="0"/>
          <w:sz w:val="20"/>
          <w:szCs w:val="20"/>
          <w:lang w:val="es-ES" w:eastAsia="es-ES" w:bidi="en-US"/>
        </w:rPr>
      </w:pPr>
      <w:r w:rsidRPr="00975C02">
        <w:rPr>
          <w:rFonts w:eastAsia="MS Mincho" w:cs="Verdana"/>
          <w:snapToGrid w:val="0"/>
          <w:sz w:val="20"/>
          <w:szCs w:val="20"/>
          <w:lang w:val="es-ES" w:eastAsia="es-ES" w:bidi="en-US"/>
        </w:rPr>
        <w:t xml:space="preserve">Por lo tanto, en razón de las violaciones declaradas en la presente Sentencia y que se cumplió con los requisitos para acogerse al Fondo, la Corte ordena al Estado el reintegro a dicho Fondo de </w:t>
      </w:r>
      <w:r w:rsidRPr="00975C02">
        <w:rPr>
          <w:rFonts w:eastAsia="MS Mincho" w:cs="Verdana"/>
          <w:snapToGrid w:val="0"/>
          <w:sz w:val="20"/>
          <w:szCs w:val="20"/>
          <w:lang w:val="es-ES" w:eastAsia="es-ES" w:bidi="en-US"/>
        </w:rPr>
        <w:lastRenderedPageBreak/>
        <w:t xml:space="preserve">la suma de </w:t>
      </w:r>
      <w:r w:rsidR="00116D6D" w:rsidRPr="00975C02">
        <w:rPr>
          <w:rFonts w:eastAsia="MS Mincho" w:cs="Verdana"/>
          <w:snapToGrid w:val="0"/>
          <w:sz w:val="20"/>
          <w:szCs w:val="20"/>
          <w:lang w:val="es-ES" w:eastAsia="es-ES" w:bidi="en-US"/>
        </w:rPr>
        <w:t xml:space="preserve">US$ 13.862,51 (trece mil ochocientos </w:t>
      </w:r>
      <w:r w:rsidR="00C95AD2" w:rsidRPr="00975C02">
        <w:rPr>
          <w:rFonts w:eastAsia="MS Mincho" w:cs="Verdana"/>
          <w:snapToGrid w:val="0"/>
          <w:sz w:val="20"/>
          <w:szCs w:val="20"/>
          <w:lang w:val="es-ES" w:eastAsia="es-ES" w:bidi="en-US"/>
        </w:rPr>
        <w:t xml:space="preserve">sesenta </w:t>
      </w:r>
      <w:r w:rsidR="00116D6D" w:rsidRPr="00975C02">
        <w:rPr>
          <w:rFonts w:eastAsia="MS Mincho" w:cs="Verdana"/>
          <w:snapToGrid w:val="0"/>
          <w:sz w:val="20"/>
          <w:szCs w:val="20"/>
          <w:lang w:val="es-ES" w:eastAsia="es-ES" w:bidi="en-US"/>
        </w:rPr>
        <w:t>y dos con 51/100 dólares de los Estados Unidos de América</w:t>
      </w:r>
      <w:r w:rsidR="00116D6D" w:rsidRPr="00975C02">
        <w:rPr>
          <w:rFonts w:cs="Verdana"/>
          <w:snapToGrid w:val="0"/>
          <w:sz w:val="20"/>
          <w:szCs w:val="20"/>
          <w:lang w:val="es-ES" w:eastAsia="es-ES"/>
        </w:rPr>
        <w:t>)</w:t>
      </w:r>
      <w:r w:rsidRPr="00975C02">
        <w:rPr>
          <w:rFonts w:cs="Verdana"/>
          <w:snapToGrid w:val="0"/>
          <w:sz w:val="20"/>
          <w:szCs w:val="20"/>
          <w:lang w:val="es-ES" w:eastAsia="es-ES"/>
        </w:rPr>
        <w:t xml:space="preserve">. </w:t>
      </w:r>
      <w:r w:rsidRPr="00975C02">
        <w:rPr>
          <w:rFonts w:eastAsia="MS Mincho" w:cs="Verdana"/>
          <w:snapToGrid w:val="0"/>
          <w:sz w:val="20"/>
          <w:szCs w:val="20"/>
          <w:lang w:val="es-ES" w:eastAsia="es-ES" w:bidi="en-US"/>
        </w:rPr>
        <w:t>Dicho monto deberá ser reintegrado en el plazo de seis meses, contados a partir de la notificación del presente Fallo.</w:t>
      </w:r>
    </w:p>
    <w:p w14:paraId="5D8AF967" w14:textId="77777777" w:rsidR="009D661E" w:rsidRPr="00975C02" w:rsidRDefault="009D661E" w:rsidP="009D661E">
      <w:pPr>
        <w:spacing w:line="240" w:lineRule="auto"/>
        <w:ind w:left="142"/>
        <w:rPr>
          <w:sz w:val="20"/>
          <w:szCs w:val="20"/>
          <w:lang w:val="es-ES"/>
        </w:rPr>
      </w:pPr>
    </w:p>
    <w:p w14:paraId="378ED064" w14:textId="77777777" w:rsidR="009D661E" w:rsidRPr="00975C02" w:rsidRDefault="009D661E" w:rsidP="002C415B">
      <w:pPr>
        <w:keepNext/>
        <w:keepLines/>
        <w:numPr>
          <w:ilvl w:val="0"/>
          <w:numId w:val="11"/>
        </w:numPr>
        <w:tabs>
          <w:tab w:val="left" w:pos="567"/>
          <w:tab w:val="left" w:pos="1134"/>
        </w:tabs>
        <w:spacing w:line="240" w:lineRule="auto"/>
        <w:ind w:left="567" w:firstLine="0"/>
        <w:textAlignment w:val="auto"/>
        <w:outlineLvl w:val="1"/>
        <w:rPr>
          <w:rFonts w:eastAsia="MS Mincho"/>
          <w:b/>
          <w:bCs/>
          <w:i/>
          <w:sz w:val="20"/>
          <w:szCs w:val="20"/>
          <w:lang w:val="es-ES"/>
        </w:rPr>
      </w:pPr>
      <w:bookmarkStart w:id="199" w:name="_Toc495658706"/>
      <w:bookmarkStart w:id="200" w:name="_Toc476390748"/>
      <w:bookmarkStart w:id="201" w:name="_Toc514172674"/>
      <w:r w:rsidRPr="00975C02">
        <w:rPr>
          <w:rFonts w:eastAsia="MS Mincho"/>
          <w:b/>
          <w:bCs/>
          <w:i/>
          <w:sz w:val="20"/>
          <w:szCs w:val="20"/>
          <w:lang w:val="es-ES"/>
        </w:rPr>
        <w:t>Modalidad de cumplimiento de los pagos ordenados</w:t>
      </w:r>
      <w:bookmarkEnd w:id="199"/>
      <w:bookmarkEnd w:id="200"/>
      <w:bookmarkEnd w:id="201"/>
    </w:p>
    <w:p w14:paraId="7CDD5C59" w14:textId="77777777" w:rsidR="009D661E" w:rsidRPr="00975C02" w:rsidRDefault="009D661E" w:rsidP="009D661E">
      <w:pPr>
        <w:tabs>
          <w:tab w:val="left" w:pos="720"/>
          <w:tab w:val="left" w:pos="84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240" w:lineRule="auto"/>
        <w:ind w:right="-90"/>
        <w:rPr>
          <w:bCs/>
          <w:sz w:val="20"/>
          <w:szCs w:val="20"/>
          <w:lang w:val="es-ES"/>
        </w:rPr>
      </w:pPr>
    </w:p>
    <w:p w14:paraId="532CC23C" w14:textId="77777777" w:rsidR="009D661E" w:rsidRPr="00975C02" w:rsidRDefault="009D661E" w:rsidP="004F5EC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El </w:t>
      </w:r>
      <w:r w:rsidRPr="00975C02">
        <w:rPr>
          <w:rFonts w:eastAsia="MS Mincho" w:cs="Verdana"/>
          <w:snapToGrid w:val="0"/>
          <w:sz w:val="20"/>
          <w:szCs w:val="20"/>
          <w:lang w:val="es-ES" w:eastAsia="es-ES" w:bidi="en-US"/>
        </w:rPr>
        <w:t>Estado</w:t>
      </w:r>
      <w:r w:rsidRPr="00975C02">
        <w:rPr>
          <w:rFonts w:eastAsia="MS Mincho"/>
          <w:sz w:val="20"/>
          <w:szCs w:val="20"/>
          <w:lang w:val="es-ES" w:bidi="en-US"/>
        </w:rPr>
        <w:t xml:space="preserve"> deberá efectuar el pago de las indemnizaciones por concepto de daño material e </w:t>
      </w:r>
      <w:r w:rsidRPr="00975C02">
        <w:rPr>
          <w:rFonts w:eastAsia="MS Mincho" w:cs="Verdana"/>
          <w:snapToGrid w:val="0"/>
          <w:sz w:val="20"/>
          <w:szCs w:val="20"/>
          <w:lang w:val="es-ES" w:eastAsia="es-ES" w:bidi="en-US"/>
        </w:rPr>
        <w:t>inmaterial</w:t>
      </w:r>
      <w:r w:rsidRPr="00975C02">
        <w:rPr>
          <w:rFonts w:eastAsia="MS Mincho"/>
          <w:sz w:val="20"/>
          <w:szCs w:val="20"/>
          <w:lang w:val="es-ES" w:bidi="en-US"/>
        </w:rPr>
        <w:t xml:space="preserve"> y el reintegro de costas y gastos establecidos en la presente Sentencia directamente a las personas indicadas en la misma, dentro del plazo de un año, contado a partir de la notificación del presente Fallo, </w:t>
      </w:r>
      <w:r w:rsidR="004F5ECE" w:rsidRPr="00975C02">
        <w:rPr>
          <w:sz w:val="20"/>
          <w:szCs w:val="20"/>
          <w:lang w:val="es-ES"/>
        </w:rPr>
        <w:t>sin perjuicio de que pueda adelantar el pago completo en un plazo menor, en los términos de los siguientes párrafos</w:t>
      </w:r>
      <w:r w:rsidR="004F5ECE" w:rsidRPr="00975C02">
        <w:rPr>
          <w:rFonts w:eastAsia="MS Mincho"/>
          <w:sz w:val="20"/>
          <w:szCs w:val="20"/>
          <w:lang w:val="es-ES" w:bidi="en-US"/>
        </w:rPr>
        <w:t>.</w:t>
      </w:r>
    </w:p>
    <w:p w14:paraId="77245408" w14:textId="77777777" w:rsidR="009D661E" w:rsidRPr="00975C02" w:rsidRDefault="009D661E" w:rsidP="00B26781">
      <w:pPr>
        <w:tabs>
          <w:tab w:val="left" w:pos="720"/>
        </w:tabs>
        <w:spacing w:line="240" w:lineRule="auto"/>
        <w:ind w:right="-90"/>
        <w:contextualSpacing/>
        <w:rPr>
          <w:rFonts w:eastAsia="MS Mincho"/>
          <w:sz w:val="20"/>
          <w:szCs w:val="20"/>
          <w:lang w:val="es-ES"/>
        </w:rPr>
      </w:pPr>
    </w:p>
    <w:p w14:paraId="47B8A7C0" w14:textId="77777777" w:rsidR="004F5ECE" w:rsidRPr="00975C02" w:rsidRDefault="009D661E" w:rsidP="00DF3D71">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En </w:t>
      </w:r>
      <w:r w:rsidRPr="00975C02">
        <w:rPr>
          <w:rFonts w:eastAsia="MS Mincho" w:cs="Verdana"/>
          <w:snapToGrid w:val="0"/>
          <w:sz w:val="20"/>
          <w:szCs w:val="20"/>
          <w:lang w:val="es-ES" w:eastAsia="es-ES" w:bidi="en-US"/>
        </w:rPr>
        <w:t>caso</w:t>
      </w:r>
      <w:r w:rsidRPr="00975C02">
        <w:rPr>
          <w:rFonts w:eastAsia="MS Mincho"/>
          <w:sz w:val="20"/>
          <w:szCs w:val="20"/>
          <w:lang w:val="es-ES" w:bidi="en-US"/>
        </w:rPr>
        <w:t xml:space="preserve"> de que los beneficiarios hayan fallecido o fallezcan antes de que les sea entregada la indemnización respectiva, ésta se efectuará directamente a sus derechohabientes, conforme al derecho interno aplicable.</w:t>
      </w:r>
    </w:p>
    <w:p w14:paraId="12083982" w14:textId="77777777" w:rsidR="004F5ECE" w:rsidRPr="00975C02" w:rsidRDefault="004F5ECE" w:rsidP="00DF3D71">
      <w:pPr>
        <w:tabs>
          <w:tab w:val="left" w:pos="567"/>
        </w:tabs>
        <w:spacing w:line="240" w:lineRule="auto"/>
        <w:textAlignment w:val="auto"/>
        <w:rPr>
          <w:rFonts w:eastAsia="MS Mincho"/>
          <w:sz w:val="20"/>
          <w:szCs w:val="20"/>
          <w:lang w:val="es-ES" w:bidi="en-US"/>
        </w:rPr>
      </w:pPr>
    </w:p>
    <w:p w14:paraId="6092F203" w14:textId="77777777" w:rsidR="004F5ECE" w:rsidRPr="00975C02" w:rsidRDefault="008E169A" w:rsidP="00DF3D71">
      <w:pPr>
        <w:numPr>
          <w:ilvl w:val="0"/>
          <w:numId w:val="2"/>
        </w:numPr>
        <w:tabs>
          <w:tab w:val="left" w:pos="567"/>
          <w:tab w:val="num" w:pos="5057"/>
        </w:tabs>
        <w:spacing w:line="240" w:lineRule="auto"/>
        <w:ind w:left="0" w:firstLine="0"/>
        <w:textAlignment w:val="auto"/>
        <w:rPr>
          <w:sz w:val="20"/>
          <w:szCs w:val="20"/>
          <w:lang w:val="es-ES"/>
        </w:rPr>
      </w:pPr>
      <w:r w:rsidRPr="00975C02">
        <w:rPr>
          <w:sz w:val="20"/>
          <w:szCs w:val="20"/>
          <w:lang w:val="es-ES"/>
        </w:rPr>
        <w:t>El Estado debe cumplir sus obligaciones monetarias mediante el pago en dólares de los Estados Unidos de América a las beneficiarias que habitan en dicho país. Por su parte, e</w:t>
      </w:r>
      <w:r w:rsidR="004F5ECE" w:rsidRPr="00975C02">
        <w:rPr>
          <w:sz w:val="20"/>
          <w:szCs w:val="20"/>
          <w:lang w:val="es-ES"/>
        </w:rPr>
        <w:t xml:space="preserve">l Estado debe cumplir sus obligaciones monetarias </w:t>
      </w:r>
      <w:r w:rsidRPr="00975C02">
        <w:rPr>
          <w:sz w:val="20"/>
          <w:szCs w:val="20"/>
          <w:lang w:val="es-ES"/>
        </w:rPr>
        <w:t xml:space="preserve">a los beneficiarios que habitan en Nicaragua </w:t>
      </w:r>
      <w:r w:rsidR="004F5ECE" w:rsidRPr="00975C02">
        <w:rPr>
          <w:sz w:val="20"/>
          <w:szCs w:val="20"/>
          <w:lang w:val="es-ES"/>
        </w:rPr>
        <w:t>mediante el pago en dólares de los Estados Unidos de América o su equivalente en moneda nacional, utilizando para el cálculo respectivo el tipo de cambio que se encuentre vigente en la bolsa de Nueva York, Estados Unidos de América, el día anterior al pago.</w:t>
      </w:r>
    </w:p>
    <w:p w14:paraId="005B495E" w14:textId="77777777" w:rsidR="009D661E" w:rsidRPr="00975C02" w:rsidRDefault="009D661E" w:rsidP="004F5ECE">
      <w:pPr>
        <w:tabs>
          <w:tab w:val="left" w:pos="567"/>
        </w:tabs>
        <w:spacing w:line="240" w:lineRule="auto"/>
        <w:textAlignment w:val="auto"/>
        <w:rPr>
          <w:rFonts w:eastAsia="MS Mincho"/>
          <w:sz w:val="20"/>
          <w:szCs w:val="20"/>
          <w:lang w:val="es-ES" w:bidi="en-US"/>
        </w:rPr>
      </w:pPr>
    </w:p>
    <w:p w14:paraId="491A3A52" w14:textId="293F1525" w:rsidR="009D661E" w:rsidRPr="00975C02" w:rsidRDefault="009D661E" w:rsidP="00B26781">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w:t>
      </w:r>
      <w:r w:rsidR="00553F0D" w:rsidRPr="00975C02">
        <w:rPr>
          <w:rFonts w:eastAsia="MS Mincho"/>
          <w:sz w:val="20"/>
          <w:szCs w:val="20"/>
          <w:lang w:val="es-ES" w:bidi="en-US"/>
        </w:rPr>
        <w:t>nicaragüense</w:t>
      </w:r>
      <w:r w:rsidRPr="00975C02">
        <w:rPr>
          <w:rFonts w:eastAsia="MS Mincho"/>
          <w:sz w:val="20"/>
          <w:szCs w:val="20"/>
          <w:lang w:val="es-ES" w:bidi="en-US"/>
        </w:rPr>
        <w:t xml:space="preserve"> solvente, en dólares </w:t>
      </w:r>
      <w:r w:rsidR="00C95AD2" w:rsidRPr="00975C02">
        <w:rPr>
          <w:rFonts w:eastAsia="MS Mincho"/>
          <w:sz w:val="20"/>
          <w:szCs w:val="20"/>
          <w:lang w:val="es-ES" w:bidi="en-US"/>
        </w:rPr>
        <w:t>de los Estados Unidos de América</w:t>
      </w:r>
      <w:r w:rsidRPr="00975C02">
        <w:rPr>
          <w:rFonts w:eastAsia="MS Mincho"/>
          <w:sz w:val="20"/>
          <w:szCs w:val="20"/>
          <w:lang w:val="es-ES" w:bidi="en-US"/>
        </w:rPr>
        <w:t>, y en las condiciones financieras más favorables que permitan la legislación y la práctica bancaria. Si no se reclama la indemnización correspondiente una vez transcurridos diez años, las cantidades serán devueltas al Estado con los intereses devengados.</w:t>
      </w:r>
    </w:p>
    <w:p w14:paraId="0E3C24D9" w14:textId="77777777" w:rsidR="009D661E" w:rsidRPr="00975C02" w:rsidRDefault="009D661E" w:rsidP="00B26781">
      <w:pPr>
        <w:spacing w:line="240" w:lineRule="auto"/>
        <w:ind w:left="720"/>
        <w:rPr>
          <w:sz w:val="20"/>
          <w:szCs w:val="20"/>
          <w:lang w:val="es-ES"/>
        </w:rPr>
      </w:pPr>
    </w:p>
    <w:p w14:paraId="345E5E84" w14:textId="77777777" w:rsidR="009D661E" w:rsidRPr="00975C02" w:rsidRDefault="009D661E" w:rsidP="008F6E3F">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235CC4F2" w14:textId="77777777" w:rsidR="009D661E" w:rsidRPr="00975C02" w:rsidRDefault="009D661E" w:rsidP="009D661E">
      <w:pPr>
        <w:spacing w:line="240" w:lineRule="auto"/>
        <w:ind w:left="720"/>
        <w:rPr>
          <w:sz w:val="20"/>
          <w:szCs w:val="20"/>
          <w:lang w:val="es-ES"/>
        </w:rPr>
      </w:pPr>
    </w:p>
    <w:p w14:paraId="38FC4D55" w14:textId="77777777" w:rsidR="009D661E" w:rsidRPr="00975C02" w:rsidRDefault="009D661E" w:rsidP="009D661E">
      <w:pPr>
        <w:numPr>
          <w:ilvl w:val="0"/>
          <w:numId w:val="2"/>
        </w:numPr>
        <w:tabs>
          <w:tab w:val="left" w:pos="567"/>
          <w:tab w:val="num" w:pos="5057"/>
        </w:tabs>
        <w:spacing w:line="240" w:lineRule="auto"/>
        <w:ind w:left="0" w:firstLine="0"/>
        <w:textAlignment w:val="auto"/>
        <w:rPr>
          <w:rFonts w:eastAsia="MS Mincho"/>
          <w:sz w:val="20"/>
          <w:szCs w:val="20"/>
          <w:lang w:val="es-ES" w:bidi="en-US"/>
        </w:rPr>
      </w:pPr>
      <w:r w:rsidRPr="00975C02">
        <w:rPr>
          <w:rFonts w:eastAsia="MS Mincho"/>
          <w:sz w:val="20"/>
          <w:szCs w:val="20"/>
          <w:lang w:val="es-ES" w:bidi="en-US"/>
        </w:rPr>
        <w:t>En caso de que el Estado incurriera en mora</w:t>
      </w:r>
      <w:r w:rsidRPr="00975C02">
        <w:rPr>
          <w:rFonts w:eastAsia="MS Mincho" w:cs="Verdana"/>
          <w:sz w:val="20"/>
          <w:szCs w:val="20"/>
          <w:lang w:val="es-ES" w:bidi="en-US"/>
        </w:rPr>
        <w:t xml:space="preserve">, incluyendo en el reintegro de los gastos al Fondo de </w:t>
      </w:r>
      <w:r w:rsidRPr="00975C02">
        <w:rPr>
          <w:rFonts w:eastAsia="MS Mincho"/>
          <w:sz w:val="20"/>
          <w:szCs w:val="20"/>
          <w:lang w:val="es-ES" w:bidi="en-US"/>
        </w:rPr>
        <w:t>Asistencia</w:t>
      </w:r>
      <w:r w:rsidRPr="00975C02">
        <w:rPr>
          <w:rFonts w:eastAsia="MS Mincho" w:cs="Verdana"/>
          <w:sz w:val="20"/>
          <w:szCs w:val="20"/>
          <w:lang w:val="es-ES" w:bidi="en-US"/>
        </w:rPr>
        <w:t xml:space="preserve"> Legal de Víctimas</w:t>
      </w:r>
      <w:r w:rsidRPr="00975C02">
        <w:rPr>
          <w:rFonts w:eastAsia="MS Mincho"/>
          <w:sz w:val="20"/>
          <w:szCs w:val="20"/>
          <w:lang w:val="es-ES" w:bidi="en-US"/>
        </w:rPr>
        <w:t>, deberá pagar un interés sobre la cantidad adeudada, correspondiente al interés bancario moratorio en la República de Nicaragua.</w:t>
      </w:r>
    </w:p>
    <w:p w14:paraId="422F926A" w14:textId="77777777" w:rsidR="009D661E" w:rsidRPr="00975C02" w:rsidRDefault="009D661E" w:rsidP="009D661E">
      <w:pPr>
        <w:tabs>
          <w:tab w:val="left" w:pos="567"/>
        </w:tabs>
        <w:spacing w:line="240" w:lineRule="auto"/>
        <w:rPr>
          <w:rFonts w:eastAsia="MS Mincho"/>
          <w:sz w:val="20"/>
          <w:szCs w:val="20"/>
          <w:lang w:val="es-ES" w:bidi="en-US"/>
        </w:rPr>
      </w:pPr>
    </w:p>
    <w:p w14:paraId="3610D2DC" w14:textId="77777777" w:rsidR="009D661E" w:rsidRPr="00975C02" w:rsidRDefault="009D661E" w:rsidP="009D661E">
      <w:pPr>
        <w:keepNext/>
        <w:keepLines/>
        <w:tabs>
          <w:tab w:val="left" w:pos="851"/>
        </w:tabs>
        <w:spacing w:line="240" w:lineRule="auto"/>
        <w:jc w:val="center"/>
        <w:outlineLvl w:val="0"/>
        <w:rPr>
          <w:rFonts w:cs="Verdana"/>
          <w:b/>
          <w:bCs/>
          <w:caps/>
          <w:snapToGrid w:val="0"/>
          <w:sz w:val="20"/>
          <w:szCs w:val="20"/>
          <w:lang w:val="es-ES"/>
        </w:rPr>
      </w:pPr>
      <w:bookmarkStart w:id="202" w:name="_Toc495658707"/>
      <w:bookmarkStart w:id="203" w:name="_Toc470180115"/>
      <w:bookmarkStart w:id="204" w:name="_Toc459158160"/>
      <w:bookmarkStart w:id="205" w:name="_Toc375517156"/>
      <w:bookmarkStart w:id="206" w:name="_Toc514172675"/>
      <w:r w:rsidRPr="00975C02">
        <w:rPr>
          <w:rFonts w:cs="Verdana"/>
          <w:b/>
          <w:bCs/>
          <w:caps/>
          <w:snapToGrid w:val="0"/>
          <w:sz w:val="20"/>
          <w:szCs w:val="20"/>
          <w:lang w:val="es-ES"/>
        </w:rPr>
        <w:t>X</w:t>
      </w:r>
      <w:r w:rsidRPr="00975C02">
        <w:rPr>
          <w:rFonts w:cs="Verdana"/>
          <w:b/>
          <w:bCs/>
          <w:caps/>
          <w:snapToGrid w:val="0"/>
          <w:sz w:val="20"/>
          <w:szCs w:val="20"/>
          <w:lang w:val="es-ES"/>
        </w:rPr>
        <w:br/>
        <w:t>PUNTOS RESOLUTIVOS</w:t>
      </w:r>
      <w:bookmarkEnd w:id="202"/>
      <w:bookmarkEnd w:id="203"/>
      <w:bookmarkEnd w:id="204"/>
      <w:bookmarkEnd w:id="205"/>
      <w:bookmarkEnd w:id="206"/>
    </w:p>
    <w:p w14:paraId="3E762068" w14:textId="77777777" w:rsidR="009D661E" w:rsidRPr="00975C02" w:rsidRDefault="009D661E" w:rsidP="009D661E">
      <w:pPr>
        <w:pStyle w:val="ListParagraph"/>
        <w:widowControl/>
        <w:adjustRightInd/>
        <w:spacing w:line="240" w:lineRule="auto"/>
        <w:ind w:left="0"/>
        <w:jc w:val="left"/>
        <w:textAlignment w:val="auto"/>
        <w:rPr>
          <w:sz w:val="20"/>
          <w:szCs w:val="20"/>
          <w:lang w:val="es-ES"/>
        </w:rPr>
      </w:pPr>
    </w:p>
    <w:p w14:paraId="3A9B47CB" w14:textId="704F101F" w:rsidR="009D0B2B" w:rsidRPr="00975C02" w:rsidRDefault="00FC7260" w:rsidP="009D0B2B">
      <w:pPr>
        <w:numPr>
          <w:ilvl w:val="0"/>
          <w:numId w:val="2"/>
        </w:numPr>
        <w:tabs>
          <w:tab w:val="left" w:pos="567"/>
          <w:tab w:val="num" w:pos="12305"/>
        </w:tabs>
        <w:spacing w:line="240" w:lineRule="auto"/>
        <w:ind w:left="0" w:firstLine="0"/>
        <w:rPr>
          <w:sz w:val="20"/>
          <w:szCs w:val="20"/>
          <w:lang w:val="es-ES"/>
        </w:rPr>
      </w:pPr>
      <w:r w:rsidRPr="00975C02">
        <w:rPr>
          <w:sz w:val="20"/>
          <w:szCs w:val="20"/>
          <w:lang w:val="es-ES"/>
        </w:rPr>
        <w:t>Por tanto,</w:t>
      </w:r>
    </w:p>
    <w:p w14:paraId="721E0C89" w14:textId="77777777" w:rsidR="009D0B2B" w:rsidRPr="00975C02" w:rsidRDefault="009D0B2B" w:rsidP="009D0B2B">
      <w:pPr>
        <w:pStyle w:val="Prrafodelista2"/>
        <w:tabs>
          <w:tab w:val="left" w:pos="720"/>
        </w:tabs>
        <w:ind w:right="-90"/>
        <w:contextualSpacing/>
        <w:rPr>
          <w:lang w:val="es-ES"/>
        </w:rPr>
      </w:pPr>
    </w:p>
    <w:p w14:paraId="05D3E327" w14:textId="7E57E5C2" w:rsidR="009D0B2B" w:rsidRPr="00975C02" w:rsidRDefault="00FC7260" w:rsidP="009D0B2B">
      <w:pPr>
        <w:pStyle w:val="Prrafodelista2"/>
        <w:tabs>
          <w:tab w:val="left" w:pos="720"/>
        </w:tabs>
        <w:ind w:left="0" w:right="-90"/>
        <w:contextualSpacing/>
        <w:rPr>
          <w:lang w:val="es-ES"/>
        </w:rPr>
      </w:pPr>
      <w:r w:rsidRPr="00975C02">
        <w:rPr>
          <w:b/>
          <w:bCs/>
          <w:lang w:val="es-ES"/>
        </w:rPr>
        <w:t>LA CORTE</w:t>
      </w:r>
    </w:p>
    <w:p w14:paraId="2CBDFA8E" w14:textId="77777777" w:rsidR="009D0B2B" w:rsidRPr="00975C02" w:rsidRDefault="009D0B2B" w:rsidP="009D0B2B">
      <w:pPr>
        <w:pStyle w:val="Prrafodelista2"/>
        <w:tabs>
          <w:tab w:val="left" w:pos="720"/>
        </w:tabs>
        <w:ind w:left="0" w:right="-90"/>
        <w:contextualSpacing/>
        <w:rPr>
          <w:lang w:val="es-ES"/>
        </w:rPr>
      </w:pPr>
    </w:p>
    <w:p w14:paraId="0F41D395" w14:textId="09A1A229" w:rsidR="009D0B2B" w:rsidRPr="00975C02" w:rsidRDefault="00FC7260" w:rsidP="009D0B2B">
      <w:pPr>
        <w:pStyle w:val="Prrafodelista2"/>
        <w:tabs>
          <w:tab w:val="left" w:pos="720"/>
        </w:tabs>
        <w:ind w:left="0" w:right="-90"/>
        <w:contextualSpacing/>
        <w:rPr>
          <w:b/>
          <w:lang w:val="es-ES"/>
        </w:rPr>
      </w:pPr>
      <w:r w:rsidRPr="00975C02">
        <w:rPr>
          <w:b/>
          <w:lang w:val="es-ES"/>
        </w:rPr>
        <w:t>DECIDE,</w:t>
      </w:r>
    </w:p>
    <w:p w14:paraId="6B5EC53B" w14:textId="77777777" w:rsidR="009D0B2B" w:rsidRPr="00975C02" w:rsidRDefault="009D0B2B" w:rsidP="009D0B2B">
      <w:pPr>
        <w:pStyle w:val="Prrafodelista2"/>
        <w:tabs>
          <w:tab w:val="left" w:pos="720"/>
        </w:tabs>
        <w:ind w:left="0" w:right="-90"/>
        <w:contextualSpacing/>
        <w:rPr>
          <w:lang w:val="es-ES"/>
        </w:rPr>
      </w:pPr>
    </w:p>
    <w:p w14:paraId="2DC15AED" w14:textId="2BB90A2B" w:rsidR="009D0B2B" w:rsidRPr="00975C02" w:rsidRDefault="009D0B2B" w:rsidP="009D0B2B">
      <w:pPr>
        <w:pStyle w:val="Prrafodelista2"/>
        <w:tabs>
          <w:tab w:val="left" w:pos="720"/>
        </w:tabs>
        <w:ind w:left="0" w:right="-90"/>
        <w:contextualSpacing/>
        <w:rPr>
          <w:lang w:val="es-ES"/>
        </w:rPr>
      </w:pPr>
      <w:r w:rsidRPr="00975C02">
        <w:rPr>
          <w:lang w:val="es-ES"/>
        </w:rPr>
        <w:t xml:space="preserve">Por </w:t>
      </w:r>
      <w:r w:rsidR="00BF09E6" w:rsidRPr="00975C02">
        <w:rPr>
          <w:lang w:val="es-ES"/>
        </w:rPr>
        <w:t>unanimidad</w:t>
      </w:r>
      <w:r w:rsidR="00FC7260" w:rsidRPr="00975C02">
        <w:rPr>
          <w:lang w:val="es-ES"/>
        </w:rPr>
        <w:t>,</w:t>
      </w:r>
    </w:p>
    <w:p w14:paraId="6DC9FE8D" w14:textId="77777777" w:rsidR="009D0B2B" w:rsidRPr="00975C02" w:rsidRDefault="009D0B2B" w:rsidP="009D0B2B">
      <w:pPr>
        <w:pStyle w:val="Prrafodelista2"/>
        <w:tabs>
          <w:tab w:val="left" w:pos="720"/>
        </w:tabs>
        <w:ind w:left="0" w:right="-90"/>
        <w:contextualSpacing/>
        <w:rPr>
          <w:lang w:val="es-ES"/>
        </w:rPr>
      </w:pPr>
    </w:p>
    <w:p w14:paraId="3D3A5C52" w14:textId="4FE140DE" w:rsidR="009D0B2B" w:rsidRPr="00975C02" w:rsidRDefault="009D0B2B" w:rsidP="009D0B2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rFonts w:eastAsia="MS Mincho"/>
          <w:sz w:val="20"/>
          <w:szCs w:val="20"/>
          <w:lang w:val="es-ES"/>
        </w:rPr>
        <w:t>Desestimar</w:t>
      </w:r>
      <w:r w:rsidRPr="00975C02">
        <w:rPr>
          <w:sz w:val="20"/>
          <w:szCs w:val="20"/>
          <w:lang w:val="es-ES"/>
        </w:rPr>
        <w:t xml:space="preserve"> la excepción preliminar </w:t>
      </w:r>
      <w:r w:rsidR="00BF09E6" w:rsidRPr="00975C02">
        <w:rPr>
          <w:sz w:val="20"/>
          <w:szCs w:val="20"/>
          <w:lang w:val="es-ES"/>
        </w:rPr>
        <w:t xml:space="preserve">opuesta </w:t>
      </w:r>
      <w:r w:rsidRPr="00975C02">
        <w:rPr>
          <w:sz w:val="20"/>
          <w:szCs w:val="20"/>
          <w:lang w:val="es-ES"/>
        </w:rPr>
        <w:t xml:space="preserve">por el Estado relativa a la alegada falta de agotamiento de los recursos internos, en los términos de los párrafos </w:t>
      </w:r>
      <w:r w:rsidR="00182DC6" w:rsidRPr="00975C02">
        <w:rPr>
          <w:sz w:val="20"/>
          <w:szCs w:val="20"/>
          <w:lang w:val="es-ES"/>
        </w:rPr>
        <w:t>21</w:t>
      </w:r>
      <w:r w:rsidRPr="00975C02">
        <w:rPr>
          <w:sz w:val="20"/>
          <w:szCs w:val="20"/>
          <w:lang w:val="es-ES"/>
        </w:rPr>
        <w:t xml:space="preserve"> a </w:t>
      </w:r>
      <w:r w:rsidR="00182DC6" w:rsidRPr="00975C02">
        <w:rPr>
          <w:sz w:val="20"/>
          <w:szCs w:val="20"/>
          <w:lang w:val="es-ES"/>
        </w:rPr>
        <w:t>29</w:t>
      </w:r>
      <w:r w:rsidRPr="00975C02">
        <w:rPr>
          <w:sz w:val="20"/>
          <w:szCs w:val="20"/>
          <w:lang w:val="es-ES"/>
        </w:rPr>
        <w:t xml:space="preserve"> de la presente </w:t>
      </w:r>
      <w:r w:rsidRPr="00975C02">
        <w:rPr>
          <w:sz w:val="20"/>
          <w:szCs w:val="20"/>
          <w:lang w:val="es-ES"/>
        </w:rPr>
        <w:lastRenderedPageBreak/>
        <w:t>Sentencia.</w:t>
      </w:r>
      <w:r w:rsidRPr="00975C02">
        <w:rPr>
          <w:sz w:val="20"/>
          <w:szCs w:val="20"/>
          <w:lang w:val="es-ES"/>
        </w:rPr>
        <w:cr/>
      </w:r>
    </w:p>
    <w:p w14:paraId="1DB2EBFA" w14:textId="01A3FD16" w:rsidR="009334DB" w:rsidRPr="00975C02" w:rsidRDefault="009334DB" w:rsidP="009334DB">
      <w:pPr>
        <w:widowControl/>
        <w:numPr>
          <w:ilvl w:val="0"/>
          <w:numId w:val="21"/>
        </w:numPr>
        <w:tabs>
          <w:tab w:val="left" w:pos="720"/>
        </w:tabs>
        <w:adjustRightInd/>
        <w:spacing w:line="240" w:lineRule="auto"/>
        <w:ind w:right="-90"/>
        <w:contextualSpacing/>
        <w:textAlignment w:val="auto"/>
        <w:rPr>
          <w:lang w:val="es-ES"/>
        </w:rPr>
      </w:pPr>
      <w:r w:rsidRPr="00975C02">
        <w:rPr>
          <w:rFonts w:eastAsia="MS Mincho"/>
          <w:sz w:val="20"/>
          <w:szCs w:val="20"/>
          <w:lang w:val="es-ES"/>
        </w:rPr>
        <w:t>Desestimar</w:t>
      </w:r>
      <w:r w:rsidRPr="00975C02">
        <w:rPr>
          <w:sz w:val="20"/>
          <w:szCs w:val="20"/>
          <w:lang w:val="es-ES"/>
        </w:rPr>
        <w:t xml:space="preserve"> la excepción preliminar </w:t>
      </w:r>
      <w:r w:rsidR="00BF09E6" w:rsidRPr="00975C02">
        <w:rPr>
          <w:sz w:val="20"/>
          <w:szCs w:val="20"/>
          <w:lang w:val="es-ES"/>
        </w:rPr>
        <w:t xml:space="preserve">opuesta </w:t>
      </w:r>
      <w:r w:rsidRPr="00975C02">
        <w:rPr>
          <w:sz w:val="20"/>
          <w:szCs w:val="20"/>
          <w:lang w:val="es-ES"/>
        </w:rPr>
        <w:t xml:space="preserve">por el Estado relativa a la alegada falta de competencia </w:t>
      </w:r>
      <w:r w:rsidRPr="00975C02">
        <w:rPr>
          <w:i/>
          <w:sz w:val="20"/>
          <w:szCs w:val="20"/>
          <w:lang w:val="es-ES"/>
        </w:rPr>
        <w:t xml:space="preserve">ratione temporis </w:t>
      </w:r>
      <w:r w:rsidRPr="00975C02">
        <w:rPr>
          <w:sz w:val="20"/>
          <w:szCs w:val="20"/>
          <w:lang w:val="es-ES"/>
        </w:rPr>
        <w:t xml:space="preserve">de la Comisión y de la Corte Interamericana de Derechos Humanos, en los términos de los párrafos </w:t>
      </w:r>
      <w:r w:rsidR="00182DC6" w:rsidRPr="00975C02">
        <w:rPr>
          <w:sz w:val="20"/>
          <w:szCs w:val="20"/>
          <w:lang w:val="es-ES"/>
        </w:rPr>
        <w:t>33</w:t>
      </w:r>
      <w:r w:rsidRPr="00975C02">
        <w:rPr>
          <w:sz w:val="20"/>
          <w:szCs w:val="20"/>
          <w:lang w:val="es-ES"/>
        </w:rPr>
        <w:t xml:space="preserve"> a </w:t>
      </w:r>
      <w:r w:rsidR="00182DC6" w:rsidRPr="00975C02">
        <w:rPr>
          <w:sz w:val="20"/>
          <w:szCs w:val="20"/>
          <w:lang w:val="es-ES"/>
        </w:rPr>
        <w:t>36</w:t>
      </w:r>
      <w:r w:rsidRPr="00975C02">
        <w:rPr>
          <w:sz w:val="20"/>
          <w:szCs w:val="20"/>
          <w:lang w:val="es-ES"/>
        </w:rPr>
        <w:t xml:space="preserve"> de la presente Sentencia.</w:t>
      </w:r>
    </w:p>
    <w:p w14:paraId="2CE99F1C" w14:textId="77777777" w:rsidR="009334DB" w:rsidRPr="00975C02" w:rsidRDefault="009334DB" w:rsidP="009334DB">
      <w:pPr>
        <w:widowControl/>
        <w:tabs>
          <w:tab w:val="left" w:pos="720"/>
        </w:tabs>
        <w:adjustRightInd/>
        <w:spacing w:line="240" w:lineRule="auto"/>
        <w:ind w:right="-90"/>
        <w:contextualSpacing/>
        <w:textAlignment w:val="auto"/>
        <w:rPr>
          <w:sz w:val="20"/>
          <w:szCs w:val="20"/>
          <w:lang w:val="es-ES"/>
        </w:rPr>
      </w:pPr>
    </w:p>
    <w:p w14:paraId="55C2738F" w14:textId="3696D67D" w:rsidR="009334DB" w:rsidRPr="00975C02" w:rsidRDefault="009334DB" w:rsidP="009334D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rFonts w:eastAsia="MS Mincho"/>
          <w:sz w:val="20"/>
          <w:szCs w:val="20"/>
          <w:lang w:val="es-ES"/>
        </w:rPr>
        <w:t>Desestimar</w:t>
      </w:r>
      <w:r w:rsidRPr="00975C02">
        <w:rPr>
          <w:sz w:val="20"/>
          <w:szCs w:val="20"/>
          <w:lang w:val="es-ES"/>
        </w:rPr>
        <w:t xml:space="preserve"> la excepción preliminar </w:t>
      </w:r>
      <w:r w:rsidR="00BF09E6" w:rsidRPr="00975C02">
        <w:rPr>
          <w:sz w:val="20"/>
          <w:szCs w:val="20"/>
          <w:lang w:val="es-ES"/>
        </w:rPr>
        <w:t xml:space="preserve">opuesta </w:t>
      </w:r>
      <w:r w:rsidRPr="00975C02">
        <w:rPr>
          <w:sz w:val="20"/>
          <w:szCs w:val="20"/>
          <w:lang w:val="es-ES"/>
        </w:rPr>
        <w:t xml:space="preserve">por el Estado relativa a la alegada falta de competencia </w:t>
      </w:r>
      <w:r w:rsidRPr="00975C02">
        <w:rPr>
          <w:i/>
          <w:sz w:val="20"/>
          <w:szCs w:val="20"/>
          <w:lang w:val="es-ES"/>
        </w:rPr>
        <w:t xml:space="preserve">ratione materiae </w:t>
      </w:r>
      <w:r w:rsidRPr="00E93F30">
        <w:rPr>
          <w:sz w:val="20"/>
          <w:szCs w:val="20"/>
          <w:lang w:val="es-ES"/>
        </w:rPr>
        <w:t>d</w:t>
      </w:r>
      <w:r w:rsidRPr="00975C02">
        <w:rPr>
          <w:sz w:val="20"/>
          <w:szCs w:val="20"/>
          <w:lang w:val="es-ES"/>
        </w:rPr>
        <w:t xml:space="preserve">e la Corte </w:t>
      </w:r>
      <w:r w:rsidR="00FA5549" w:rsidRPr="00975C02">
        <w:rPr>
          <w:sz w:val="20"/>
          <w:szCs w:val="20"/>
          <w:lang w:val="es-ES"/>
        </w:rPr>
        <w:t xml:space="preserve">en </w:t>
      </w:r>
      <w:r w:rsidRPr="00975C02">
        <w:rPr>
          <w:sz w:val="20"/>
          <w:szCs w:val="20"/>
          <w:lang w:val="es-ES"/>
        </w:rPr>
        <w:t xml:space="preserve">relación </w:t>
      </w:r>
      <w:r w:rsidR="00FA5549" w:rsidRPr="00975C02">
        <w:rPr>
          <w:sz w:val="20"/>
          <w:szCs w:val="20"/>
          <w:lang w:val="es-ES"/>
        </w:rPr>
        <w:t>con</w:t>
      </w:r>
      <w:r w:rsidRPr="00975C02">
        <w:rPr>
          <w:sz w:val="20"/>
          <w:szCs w:val="20"/>
          <w:lang w:val="es-ES"/>
        </w:rPr>
        <w:t xml:space="preserve"> la presunta violación de artículos de la Convención sobre los Derechos del Niño, en los términos de los párrafos </w:t>
      </w:r>
      <w:r w:rsidR="00182DC6" w:rsidRPr="00975C02">
        <w:rPr>
          <w:sz w:val="20"/>
          <w:szCs w:val="20"/>
          <w:lang w:val="es-ES"/>
        </w:rPr>
        <w:t>40</w:t>
      </w:r>
      <w:r w:rsidRPr="00975C02">
        <w:rPr>
          <w:sz w:val="20"/>
          <w:szCs w:val="20"/>
          <w:lang w:val="es-ES"/>
        </w:rPr>
        <w:t xml:space="preserve"> a </w:t>
      </w:r>
      <w:r w:rsidR="00182DC6" w:rsidRPr="00975C02">
        <w:rPr>
          <w:sz w:val="20"/>
          <w:szCs w:val="20"/>
          <w:lang w:val="es-ES"/>
        </w:rPr>
        <w:t>42</w:t>
      </w:r>
      <w:r w:rsidRPr="00975C02">
        <w:rPr>
          <w:sz w:val="20"/>
          <w:szCs w:val="20"/>
          <w:lang w:val="es-ES"/>
        </w:rPr>
        <w:t xml:space="preserve"> de la presente Sentencia.</w:t>
      </w:r>
    </w:p>
    <w:p w14:paraId="234590CE" w14:textId="77777777" w:rsidR="009334DB" w:rsidRPr="00975C02" w:rsidRDefault="009334DB" w:rsidP="009334DB">
      <w:pPr>
        <w:widowControl/>
        <w:tabs>
          <w:tab w:val="left" w:pos="720"/>
        </w:tabs>
        <w:adjustRightInd/>
        <w:spacing w:line="240" w:lineRule="auto"/>
        <w:ind w:right="-90"/>
        <w:contextualSpacing/>
        <w:textAlignment w:val="auto"/>
        <w:rPr>
          <w:sz w:val="20"/>
          <w:szCs w:val="20"/>
          <w:lang w:val="es-ES"/>
        </w:rPr>
      </w:pPr>
    </w:p>
    <w:p w14:paraId="02F493E7" w14:textId="04E374EA" w:rsidR="009D0B2B" w:rsidRPr="00975C02" w:rsidRDefault="00182DC6" w:rsidP="009D0B2B">
      <w:pPr>
        <w:pStyle w:val="Prrafodelista2"/>
        <w:tabs>
          <w:tab w:val="left" w:pos="720"/>
        </w:tabs>
        <w:ind w:left="0" w:right="-90"/>
        <w:contextualSpacing/>
        <w:rPr>
          <w:lang w:val="es-ES"/>
        </w:rPr>
      </w:pPr>
      <w:r w:rsidRPr="00975C02">
        <w:rPr>
          <w:b/>
          <w:bCs/>
          <w:lang w:val="es-ES"/>
        </w:rPr>
        <w:t>DECLARA:</w:t>
      </w:r>
    </w:p>
    <w:p w14:paraId="7BDABDC9" w14:textId="77777777" w:rsidR="009D0B2B" w:rsidRPr="00975C02" w:rsidRDefault="009D0B2B" w:rsidP="009D0B2B">
      <w:pPr>
        <w:pStyle w:val="Prrafodelista2"/>
        <w:tabs>
          <w:tab w:val="left" w:pos="720"/>
        </w:tabs>
        <w:ind w:left="0" w:right="-90"/>
        <w:contextualSpacing/>
        <w:rPr>
          <w:lang w:val="es-ES"/>
        </w:rPr>
      </w:pPr>
    </w:p>
    <w:p w14:paraId="11AFC30F" w14:textId="7012D4AF" w:rsidR="009D0B2B" w:rsidRPr="00975C02" w:rsidRDefault="009D0B2B" w:rsidP="009D0B2B">
      <w:pPr>
        <w:pStyle w:val="Prrafodelista2"/>
        <w:ind w:left="0" w:right="-90"/>
        <w:contextualSpacing/>
        <w:rPr>
          <w:lang w:val="es-ES"/>
        </w:rPr>
      </w:pPr>
      <w:r w:rsidRPr="00975C02">
        <w:rPr>
          <w:lang w:val="es-ES"/>
        </w:rPr>
        <w:t xml:space="preserve">Por </w:t>
      </w:r>
      <w:r w:rsidR="00BF09E6" w:rsidRPr="00975C02">
        <w:rPr>
          <w:lang w:val="es-ES"/>
        </w:rPr>
        <w:t xml:space="preserve">unanimidad, </w:t>
      </w:r>
      <w:r w:rsidRPr="00975C02">
        <w:rPr>
          <w:lang w:val="es-ES"/>
        </w:rPr>
        <w:t>que:</w:t>
      </w:r>
    </w:p>
    <w:p w14:paraId="1EDAC43C" w14:textId="77777777" w:rsidR="009D0B2B" w:rsidRPr="00975C02" w:rsidRDefault="009D0B2B" w:rsidP="009D0B2B">
      <w:pPr>
        <w:pStyle w:val="Prrafodelista2"/>
        <w:ind w:left="0" w:right="-90"/>
        <w:contextualSpacing/>
        <w:rPr>
          <w:lang w:val="es-ES"/>
        </w:rPr>
      </w:pPr>
    </w:p>
    <w:p w14:paraId="49A6E499" w14:textId="492DFF42" w:rsidR="009D0B2B" w:rsidRPr="00975C02" w:rsidRDefault="0031341D" w:rsidP="009D0B2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kern w:val="2"/>
          <w:sz w:val="20"/>
          <w:szCs w:val="20"/>
          <w:lang w:val="es-ES" w:eastAsia="en-US"/>
        </w:rPr>
        <w:t xml:space="preserve">El Estado es responsable por la violación </w:t>
      </w:r>
      <w:r w:rsidR="00D526EE" w:rsidRPr="00975C02">
        <w:rPr>
          <w:kern w:val="2"/>
          <w:sz w:val="20"/>
          <w:szCs w:val="20"/>
          <w:lang w:val="es-ES" w:eastAsia="en-US"/>
        </w:rPr>
        <w:t>de los derechos a la integridad personal, a las garantías judiciales, a la vida privada y familiar</w:t>
      </w:r>
      <w:r w:rsidR="00D61200" w:rsidRPr="00975C02">
        <w:rPr>
          <w:kern w:val="2"/>
          <w:sz w:val="20"/>
          <w:szCs w:val="20"/>
          <w:lang w:val="es-ES" w:eastAsia="en-US"/>
        </w:rPr>
        <w:t>,</w:t>
      </w:r>
      <w:r w:rsidR="00D526EE" w:rsidRPr="00975C02">
        <w:rPr>
          <w:kern w:val="2"/>
          <w:sz w:val="20"/>
          <w:szCs w:val="20"/>
          <w:lang w:val="es-ES" w:eastAsia="en-US"/>
        </w:rPr>
        <w:t xml:space="preserve"> y a la protección judicial, tanto por acción como por omisión</w:t>
      </w:r>
      <w:r w:rsidRPr="00975C02">
        <w:rPr>
          <w:kern w:val="2"/>
          <w:sz w:val="20"/>
          <w:szCs w:val="20"/>
          <w:lang w:val="es-ES" w:eastAsia="en-US"/>
        </w:rPr>
        <w:t>, en los término</w:t>
      </w:r>
      <w:r w:rsidR="00D526EE" w:rsidRPr="00975C02">
        <w:rPr>
          <w:kern w:val="2"/>
          <w:sz w:val="20"/>
          <w:szCs w:val="20"/>
          <w:lang w:val="es-ES" w:eastAsia="en-US"/>
        </w:rPr>
        <w:t>s de los artículos 5</w:t>
      </w:r>
      <w:r w:rsidR="00D61200" w:rsidRPr="00975C02">
        <w:rPr>
          <w:kern w:val="2"/>
          <w:sz w:val="20"/>
          <w:szCs w:val="20"/>
          <w:lang w:val="es-ES" w:eastAsia="en-US"/>
        </w:rPr>
        <w:t>.1</w:t>
      </w:r>
      <w:r w:rsidR="00D526EE" w:rsidRPr="00975C02">
        <w:rPr>
          <w:kern w:val="2"/>
          <w:sz w:val="20"/>
          <w:szCs w:val="20"/>
          <w:lang w:val="es-ES" w:eastAsia="en-US"/>
        </w:rPr>
        <w:t>, 8.1, 11.2 y</w:t>
      </w:r>
      <w:r w:rsidRPr="00975C02">
        <w:rPr>
          <w:kern w:val="2"/>
          <w:sz w:val="20"/>
          <w:szCs w:val="20"/>
          <w:lang w:val="es-ES" w:eastAsia="en-US"/>
        </w:rPr>
        <w:t xml:space="preserve"> 25.1 de la Convención Americana sobre Derechos Humanos, en relación con l</w:t>
      </w:r>
      <w:r w:rsidR="00D526EE" w:rsidRPr="00975C02">
        <w:rPr>
          <w:kern w:val="2"/>
          <w:sz w:val="20"/>
          <w:szCs w:val="20"/>
          <w:lang w:val="es-ES" w:eastAsia="en-US"/>
        </w:rPr>
        <w:t>os</w:t>
      </w:r>
      <w:r w:rsidRPr="00975C02">
        <w:rPr>
          <w:kern w:val="2"/>
          <w:sz w:val="20"/>
          <w:szCs w:val="20"/>
          <w:lang w:val="es-ES" w:eastAsia="en-US"/>
        </w:rPr>
        <w:t xml:space="preserve"> artículo</w:t>
      </w:r>
      <w:r w:rsidR="00D526EE" w:rsidRPr="00975C02">
        <w:rPr>
          <w:kern w:val="2"/>
          <w:sz w:val="20"/>
          <w:szCs w:val="20"/>
          <w:lang w:val="es-ES" w:eastAsia="en-US"/>
        </w:rPr>
        <w:t>s</w:t>
      </w:r>
      <w:r w:rsidRPr="00975C02">
        <w:rPr>
          <w:kern w:val="2"/>
          <w:sz w:val="20"/>
          <w:szCs w:val="20"/>
          <w:lang w:val="es-ES" w:eastAsia="en-US"/>
        </w:rPr>
        <w:t xml:space="preserve"> 1.1 </w:t>
      </w:r>
      <w:r w:rsidR="00D526EE" w:rsidRPr="00975C02">
        <w:rPr>
          <w:kern w:val="2"/>
          <w:sz w:val="20"/>
          <w:szCs w:val="20"/>
          <w:lang w:val="es-ES" w:eastAsia="en-US"/>
        </w:rPr>
        <w:t xml:space="preserve">y 19 </w:t>
      </w:r>
      <w:r w:rsidRPr="00975C02">
        <w:rPr>
          <w:kern w:val="2"/>
          <w:sz w:val="20"/>
          <w:szCs w:val="20"/>
          <w:lang w:val="es-ES" w:eastAsia="en-US"/>
        </w:rPr>
        <w:t>de la misma, así como por el incumplimiento de las obligaciones derivadas del artículo 7.b) de la Convención de Belém do Pará, en perjuicio de V.R.P. y V.P.C.</w:t>
      </w:r>
      <w:r w:rsidR="009D0B2B" w:rsidRPr="00975C02">
        <w:rPr>
          <w:sz w:val="20"/>
          <w:szCs w:val="20"/>
          <w:lang w:val="es-ES"/>
        </w:rPr>
        <w:t xml:space="preserve">, en los términos de los párrafos </w:t>
      </w:r>
      <w:r w:rsidR="007E37DD" w:rsidRPr="00975C02">
        <w:rPr>
          <w:sz w:val="20"/>
          <w:szCs w:val="20"/>
          <w:lang w:val="es-ES"/>
        </w:rPr>
        <w:t>150</w:t>
      </w:r>
      <w:r w:rsidR="009D0B2B" w:rsidRPr="00975C02">
        <w:rPr>
          <w:sz w:val="20"/>
          <w:szCs w:val="20"/>
          <w:lang w:val="es-ES"/>
        </w:rPr>
        <w:t xml:space="preserve"> a </w:t>
      </w:r>
      <w:r w:rsidR="00847606" w:rsidRPr="00975C02">
        <w:rPr>
          <w:sz w:val="20"/>
          <w:szCs w:val="20"/>
          <w:lang w:val="es-ES"/>
        </w:rPr>
        <w:t>203</w:t>
      </w:r>
      <w:r w:rsidR="00D526EE" w:rsidRPr="00975C02">
        <w:rPr>
          <w:sz w:val="20"/>
          <w:szCs w:val="20"/>
          <w:lang w:val="es-ES"/>
        </w:rPr>
        <w:t xml:space="preserve"> </w:t>
      </w:r>
      <w:r w:rsidR="0048718C" w:rsidRPr="00975C02">
        <w:rPr>
          <w:sz w:val="20"/>
          <w:szCs w:val="20"/>
          <w:lang w:val="es-ES"/>
        </w:rPr>
        <w:t xml:space="preserve">y 304 </w:t>
      </w:r>
      <w:r w:rsidR="00D526EE" w:rsidRPr="00975C02">
        <w:rPr>
          <w:sz w:val="20"/>
          <w:szCs w:val="20"/>
          <w:lang w:val="es-ES"/>
        </w:rPr>
        <w:t>de la presente Sentencia.</w:t>
      </w:r>
    </w:p>
    <w:p w14:paraId="229CA145" w14:textId="77777777" w:rsidR="009D0B2B" w:rsidRPr="00975C02" w:rsidRDefault="009D0B2B" w:rsidP="009D0B2B">
      <w:pPr>
        <w:pStyle w:val="Prrafodelista2"/>
        <w:ind w:left="0" w:right="-90"/>
        <w:contextualSpacing/>
        <w:jc w:val="both"/>
        <w:rPr>
          <w:lang w:val="es-ES"/>
        </w:rPr>
      </w:pPr>
    </w:p>
    <w:p w14:paraId="72B9E199" w14:textId="6959E865" w:rsidR="0031341D" w:rsidRPr="00975C02" w:rsidRDefault="0031341D" w:rsidP="0031341D">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El Estado es responsable por la violación de</w:t>
      </w:r>
      <w:r w:rsidRPr="00975C02">
        <w:rPr>
          <w:sz w:val="20"/>
          <w:szCs w:val="20"/>
          <w:lang w:val="es-ES" w:eastAsia="en-US"/>
        </w:rPr>
        <w:t xml:space="preserve"> las garantías de</w:t>
      </w:r>
      <w:r w:rsidR="00847606" w:rsidRPr="00975C02">
        <w:rPr>
          <w:sz w:val="20"/>
          <w:szCs w:val="20"/>
          <w:lang w:val="es-ES" w:eastAsia="en-US"/>
        </w:rPr>
        <w:t xml:space="preserve"> debido proceso referidas a la</w:t>
      </w:r>
      <w:r w:rsidRPr="00975C02">
        <w:rPr>
          <w:sz w:val="20"/>
          <w:szCs w:val="20"/>
          <w:lang w:val="es-ES" w:eastAsia="en-US"/>
        </w:rPr>
        <w:t xml:space="preserve"> imparcialidad objetiva y </w:t>
      </w:r>
      <w:r w:rsidR="00847CD1">
        <w:rPr>
          <w:sz w:val="20"/>
          <w:szCs w:val="20"/>
          <w:lang w:val="es-ES" w:eastAsia="en-US"/>
        </w:rPr>
        <w:t>a la</w:t>
      </w:r>
      <w:r w:rsidRPr="00975C02">
        <w:rPr>
          <w:sz w:val="20"/>
          <w:szCs w:val="20"/>
          <w:lang w:val="es-ES" w:eastAsia="en-US"/>
        </w:rPr>
        <w:t xml:space="preserve"> interdicción de la arbitrariedad, </w:t>
      </w:r>
      <w:r w:rsidR="00416AA0" w:rsidRPr="00975C02">
        <w:rPr>
          <w:sz w:val="20"/>
          <w:szCs w:val="20"/>
          <w:lang w:val="es-ES" w:eastAsia="en-US"/>
        </w:rPr>
        <w:t>reconocidas</w:t>
      </w:r>
      <w:r w:rsidRPr="00975C02">
        <w:rPr>
          <w:sz w:val="20"/>
          <w:szCs w:val="20"/>
          <w:lang w:val="es-ES" w:eastAsia="en-US"/>
        </w:rPr>
        <w:t xml:space="preserve"> en el artículo 8.1 de la Convención Americana </w:t>
      </w:r>
      <w:r w:rsidRPr="00975C02">
        <w:rPr>
          <w:kern w:val="2"/>
          <w:sz w:val="20"/>
          <w:szCs w:val="20"/>
          <w:lang w:val="es-ES" w:eastAsia="en-US"/>
        </w:rPr>
        <w:t>sobre Derechos Humanos</w:t>
      </w:r>
      <w:r w:rsidRPr="00975C02">
        <w:rPr>
          <w:sz w:val="20"/>
          <w:szCs w:val="20"/>
          <w:lang w:val="es-ES" w:eastAsia="en-US"/>
        </w:rPr>
        <w:t xml:space="preserve">, en relación con el artículo 1.1 de la misma y </w:t>
      </w:r>
      <w:r w:rsidRPr="00975C02">
        <w:rPr>
          <w:rFonts w:eastAsia="Batang" w:cs="Arial"/>
          <w:sz w:val="20"/>
          <w:szCs w:val="20"/>
          <w:lang w:val="es-ES" w:eastAsia="es-MX"/>
        </w:rPr>
        <w:t xml:space="preserve">el artículo 7.b) </w:t>
      </w:r>
      <w:r w:rsidRPr="00975C02">
        <w:rPr>
          <w:rFonts w:eastAsia="Batang"/>
          <w:sz w:val="20"/>
          <w:szCs w:val="20"/>
          <w:lang w:val="es-ES" w:eastAsia="es-MX"/>
        </w:rPr>
        <w:t>de la Convención de Belém do Pará</w:t>
      </w:r>
      <w:r w:rsidRPr="00975C02">
        <w:rPr>
          <w:sz w:val="20"/>
          <w:szCs w:val="20"/>
          <w:lang w:val="es-ES" w:eastAsia="en-US"/>
        </w:rPr>
        <w:t>, en perjuicio de V.R.P. y V.P.C.</w:t>
      </w:r>
      <w:r w:rsidRPr="00975C02">
        <w:rPr>
          <w:sz w:val="20"/>
          <w:szCs w:val="20"/>
          <w:lang w:val="es-ES"/>
        </w:rPr>
        <w:t xml:space="preserve">, </w:t>
      </w:r>
      <w:r w:rsidRPr="00975C02">
        <w:rPr>
          <w:rFonts w:eastAsia="Batang"/>
          <w:sz w:val="20"/>
          <w:szCs w:val="20"/>
          <w:lang w:val="es-ES"/>
        </w:rPr>
        <w:t xml:space="preserve">en los términos de los párrafos </w:t>
      </w:r>
      <w:r w:rsidR="00847606" w:rsidRPr="00975C02">
        <w:rPr>
          <w:sz w:val="20"/>
          <w:szCs w:val="20"/>
          <w:lang w:val="es-ES"/>
        </w:rPr>
        <w:t>216</w:t>
      </w:r>
      <w:r w:rsidRPr="00975C02">
        <w:rPr>
          <w:sz w:val="20"/>
          <w:szCs w:val="20"/>
          <w:lang w:val="es-ES"/>
        </w:rPr>
        <w:t xml:space="preserve"> a </w:t>
      </w:r>
      <w:r w:rsidR="00847606" w:rsidRPr="00975C02">
        <w:rPr>
          <w:sz w:val="20"/>
          <w:szCs w:val="20"/>
          <w:lang w:val="es-ES"/>
        </w:rPr>
        <w:t>271</w:t>
      </w:r>
      <w:r w:rsidR="0048718C" w:rsidRPr="00975C02">
        <w:rPr>
          <w:sz w:val="20"/>
          <w:szCs w:val="20"/>
          <w:lang w:val="es-ES"/>
        </w:rPr>
        <w:t xml:space="preserve"> y 304</w:t>
      </w:r>
      <w:r w:rsidRPr="00975C02">
        <w:rPr>
          <w:sz w:val="20"/>
          <w:szCs w:val="20"/>
          <w:lang w:val="es-ES"/>
        </w:rPr>
        <w:t xml:space="preserve"> de la presente Sentencia.</w:t>
      </w:r>
    </w:p>
    <w:p w14:paraId="4F9CD2F1" w14:textId="77777777" w:rsidR="0031341D" w:rsidRPr="00975C02" w:rsidRDefault="0031341D" w:rsidP="0031341D">
      <w:pPr>
        <w:widowControl/>
        <w:tabs>
          <w:tab w:val="left" w:pos="720"/>
        </w:tabs>
        <w:adjustRightInd/>
        <w:spacing w:line="240" w:lineRule="auto"/>
        <w:ind w:right="-90"/>
        <w:contextualSpacing/>
        <w:textAlignment w:val="auto"/>
        <w:rPr>
          <w:sz w:val="20"/>
          <w:szCs w:val="20"/>
          <w:lang w:val="es-ES"/>
        </w:rPr>
      </w:pPr>
    </w:p>
    <w:p w14:paraId="6B9D2330" w14:textId="7F587286" w:rsidR="00416AA0" w:rsidRPr="00975C02" w:rsidRDefault="00416AA0" w:rsidP="00416AA0">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El Estado es responsable por la violación de</w:t>
      </w:r>
      <w:r w:rsidRPr="00975C02">
        <w:rPr>
          <w:sz w:val="20"/>
          <w:szCs w:val="20"/>
          <w:lang w:val="es-ES" w:eastAsia="en-US"/>
        </w:rPr>
        <w:t xml:space="preserve"> la garantía de plazo razonable</w:t>
      </w:r>
      <w:r w:rsidR="00340927" w:rsidRPr="00975C02">
        <w:rPr>
          <w:sz w:val="20"/>
          <w:szCs w:val="20"/>
          <w:lang w:val="es-ES" w:eastAsia="en-US"/>
        </w:rPr>
        <w:t xml:space="preserve"> del proceso</w:t>
      </w:r>
      <w:r w:rsidRPr="00975C02">
        <w:rPr>
          <w:sz w:val="20"/>
          <w:szCs w:val="20"/>
          <w:lang w:val="es-ES" w:eastAsia="en-US"/>
        </w:rPr>
        <w:t xml:space="preserve">, reconocida en el artículo 8.1 de la Convención Americana </w:t>
      </w:r>
      <w:r w:rsidRPr="00975C02">
        <w:rPr>
          <w:kern w:val="2"/>
          <w:sz w:val="20"/>
          <w:szCs w:val="20"/>
          <w:lang w:val="es-ES" w:eastAsia="en-US"/>
        </w:rPr>
        <w:t>sobre Derechos Humanos</w:t>
      </w:r>
      <w:r w:rsidRPr="00975C02">
        <w:rPr>
          <w:sz w:val="20"/>
          <w:szCs w:val="20"/>
          <w:lang w:val="es-ES" w:eastAsia="en-US"/>
        </w:rPr>
        <w:t xml:space="preserve">, en relación con los artículos 1.1 y 19 de la misma y </w:t>
      </w:r>
      <w:r w:rsidRPr="00975C02">
        <w:rPr>
          <w:rFonts w:eastAsia="Batang" w:cs="Arial"/>
          <w:sz w:val="20"/>
          <w:szCs w:val="20"/>
          <w:lang w:val="es-ES" w:eastAsia="es-MX"/>
        </w:rPr>
        <w:t xml:space="preserve">el artículo 7.b) </w:t>
      </w:r>
      <w:r w:rsidRPr="00975C02">
        <w:rPr>
          <w:rFonts w:eastAsia="Batang"/>
          <w:sz w:val="20"/>
          <w:szCs w:val="20"/>
          <w:lang w:val="es-ES" w:eastAsia="es-MX"/>
        </w:rPr>
        <w:t>de la Convención de Belém do Pará</w:t>
      </w:r>
      <w:r w:rsidRPr="00975C02">
        <w:rPr>
          <w:sz w:val="20"/>
          <w:szCs w:val="20"/>
          <w:lang w:val="es-ES" w:eastAsia="en-US"/>
        </w:rPr>
        <w:t>, en perjuicio de V.R.P. y V.P.C.</w:t>
      </w:r>
      <w:r w:rsidRPr="00975C02">
        <w:rPr>
          <w:sz w:val="20"/>
          <w:szCs w:val="20"/>
          <w:lang w:val="es-ES"/>
        </w:rPr>
        <w:t xml:space="preserve">, </w:t>
      </w:r>
      <w:r w:rsidRPr="00975C02">
        <w:rPr>
          <w:rFonts w:eastAsia="Batang"/>
          <w:sz w:val="20"/>
          <w:szCs w:val="20"/>
          <w:lang w:val="es-ES"/>
        </w:rPr>
        <w:t xml:space="preserve">en los términos de los párrafos </w:t>
      </w:r>
      <w:r w:rsidR="00454D8E" w:rsidRPr="00975C02">
        <w:rPr>
          <w:sz w:val="20"/>
          <w:szCs w:val="20"/>
          <w:lang w:val="es-ES"/>
        </w:rPr>
        <w:t>275</w:t>
      </w:r>
      <w:r w:rsidRPr="00975C02">
        <w:rPr>
          <w:sz w:val="20"/>
          <w:szCs w:val="20"/>
          <w:lang w:val="es-ES"/>
        </w:rPr>
        <w:t xml:space="preserve"> a </w:t>
      </w:r>
      <w:r w:rsidR="00454D8E" w:rsidRPr="00975C02">
        <w:rPr>
          <w:sz w:val="20"/>
          <w:szCs w:val="20"/>
          <w:lang w:val="es-ES"/>
        </w:rPr>
        <w:t>285</w:t>
      </w:r>
      <w:r w:rsidRPr="00975C02">
        <w:rPr>
          <w:sz w:val="20"/>
          <w:szCs w:val="20"/>
          <w:lang w:val="es-ES"/>
        </w:rPr>
        <w:t xml:space="preserve"> </w:t>
      </w:r>
      <w:r w:rsidR="0048718C" w:rsidRPr="00975C02">
        <w:rPr>
          <w:sz w:val="20"/>
          <w:szCs w:val="20"/>
          <w:lang w:val="es-ES"/>
        </w:rPr>
        <w:t xml:space="preserve">y 304 </w:t>
      </w:r>
      <w:r w:rsidRPr="00975C02">
        <w:rPr>
          <w:sz w:val="20"/>
          <w:szCs w:val="20"/>
          <w:lang w:val="es-ES"/>
        </w:rPr>
        <w:t>de la presente Sentencia.</w:t>
      </w:r>
    </w:p>
    <w:p w14:paraId="16E324CD" w14:textId="77777777" w:rsidR="00416AA0" w:rsidRPr="00975C02" w:rsidRDefault="00416AA0" w:rsidP="0031341D">
      <w:pPr>
        <w:widowControl/>
        <w:tabs>
          <w:tab w:val="left" w:pos="720"/>
        </w:tabs>
        <w:adjustRightInd/>
        <w:spacing w:line="240" w:lineRule="auto"/>
        <w:ind w:right="-90"/>
        <w:contextualSpacing/>
        <w:textAlignment w:val="auto"/>
        <w:rPr>
          <w:sz w:val="20"/>
          <w:szCs w:val="20"/>
          <w:lang w:val="es-ES"/>
        </w:rPr>
      </w:pPr>
    </w:p>
    <w:p w14:paraId="6EDF1B2F" w14:textId="5BA44941" w:rsidR="00214C9A" w:rsidRPr="004021D8" w:rsidRDefault="00214C9A" w:rsidP="00F20A5E">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El Estado es responsable por el incumplimiento de su obligación de garantizar, sin discriminación</w:t>
      </w:r>
      <w:r w:rsidR="00D21AD9" w:rsidRPr="00975C02">
        <w:rPr>
          <w:sz w:val="20"/>
          <w:szCs w:val="20"/>
          <w:lang w:val="es-ES"/>
        </w:rPr>
        <w:t xml:space="preserve"> </w:t>
      </w:r>
      <w:r w:rsidR="00F20A5E" w:rsidRPr="00975C02">
        <w:rPr>
          <w:sz w:val="20"/>
          <w:szCs w:val="20"/>
          <w:lang w:val="es-ES"/>
        </w:rPr>
        <w:t>por motivos de sexo y género, así como por la condición de persona en desarrollo de la víctima</w:t>
      </w:r>
      <w:r w:rsidRPr="00975C02">
        <w:rPr>
          <w:sz w:val="20"/>
          <w:szCs w:val="20"/>
          <w:lang w:val="es-ES"/>
        </w:rPr>
        <w:t xml:space="preserve">, el derecho de acceso a la justicia en los términos de los artículos 8.1 y 25.1 de la Convención </w:t>
      </w:r>
      <w:r w:rsidRPr="004021D8">
        <w:rPr>
          <w:sz w:val="20"/>
          <w:szCs w:val="20"/>
          <w:lang w:val="es-ES"/>
        </w:rPr>
        <w:t xml:space="preserve">Americana </w:t>
      </w:r>
      <w:r w:rsidRPr="004021D8">
        <w:rPr>
          <w:kern w:val="2"/>
          <w:sz w:val="20"/>
          <w:szCs w:val="20"/>
          <w:lang w:val="es-ES" w:eastAsia="en-US"/>
        </w:rPr>
        <w:t>sobre Derechos Humanos</w:t>
      </w:r>
      <w:r w:rsidRPr="004021D8">
        <w:rPr>
          <w:sz w:val="20"/>
          <w:szCs w:val="20"/>
          <w:lang w:val="es-ES"/>
        </w:rPr>
        <w:t>, en relación con l</w:t>
      </w:r>
      <w:r w:rsidR="000D7883" w:rsidRPr="004021D8">
        <w:rPr>
          <w:sz w:val="20"/>
          <w:szCs w:val="20"/>
          <w:lang w:val="es-ES"/>
        </w:rPr>
        <w:t>os</w:t>
      </w:r>
      <w:r w:rsidRPr="004021D8">
        <w:rPr>
          <w:sz w:val="20"/>
          <w:szCs w:val="20"/>
          <w:lang w:val="es-ES"/>
        </w:rPr>
        <w:t xml:space="preserve"> artículo</w:t>
      </w:r>
      <w:r w:rsidR="000D7883" w:rsidRPr="004021D8">
        <w:rPr>
          <w:sz w:val="20"/>
          <w:szCs w:val="20"/>
          <w:lang w:val="es-ES"/>
        </w:rPr>
        <w:t>s</w:t>
      </w:r>
      <w:r w:rsidRPr="004021D8">
        <w:rPr>
          <w:sz w:val="20"/>
          <w:szCs w:val="20"/>
          <w:lang w:val="es-ES"/>
        </w:rPr>
        <w:t xml:space="preserve"> 1.1</w:t>
      </w:r>
      <w:r w:rsidR="00D4268B" w:rsidRPr="004021D8">
        <w:rPr>
          <w:sz w:val="20"/>
          <w:szCs w:val="20"/>
          <w:lang w:val="es-ES"/>
        </w:rPr>
        <w:t>,</w:t>
      </w:r>
      <w:r w:rsidR="000D7883" w:rsidRPr="004021D8">
        <w:rPr>
          <w:sz w:val="20"/>
          <w:szCs w:val="20"/>
          <w:lang w:val="es-ES"/>
        </w:rPr>
        <w:t xml:space="preserve"> 19</w:t>
      </w:r>
      <w:r w:rsidR="00D4268B" w:rsidRPr="004021D8">
        <w:rPr>
          <w:sz w:val="20"/>
          <w:szCs w:val="20"/>
          <w:lang w:val="es-ES"/>
        </w:rPr>
        <w:t xml:space="preserve"> y 24</w:t>
      </w:r>
      <w:r w:rsidR="000D7883" w:rsidRPr="004021D8">
        <w:rPr>
          <w:sz w:val="20"/>
          <w:szCs w:val="20"/>
          <w:lang w:val="es-ES"/>
        </w:rPr>
        <w:t xml:space="preserve"> </w:t>
      </w:r>
      <w:r w:rsidRPr="004021D8">
        <w:rPr>
          <w:sz w:val="20"/>
          <w:szCs w:val="20"/>
          <w:lang w:val="es-ES"/>
        </w:rPr>
        <w:t>de la misma</w:t>
      </w:r>
      <w:r w:rsidR="00501708" w:rsidRPr="004021D8">
        <w:rPr>
          <w:sz w:val="20"/>
          <w:szCs w:val="20"/>
          <w:lang w:val="es-ES" w:eastAsia="en-US"/>
        </w:rPr>
        <w:t xml:space="preserve"> y </w:t>
      </w:r>
      <w:r w:rsidR="00501708" w:rsidRPr="004021D8">
        <w:rPr>
          <w:rFonts w:eastAsia="Batang" w:cs="Arial"/>
          <w:sz w:val="20"/>
          <w:szCs w:val="20"/>
          <w:lang w:val="es-ES" w:eastAsia="es-MX"/>
        </w:rPr>
        <w:t xml:space="preserve">el artículo 7.b) </w:t>
      </w:r>
      <w:r w:rsidR="00501708" w:rsidRPr="004021D8">
        <w:rPr>
          <w:rFonts w:eastAsia="Batang"/>
          <w:sz w:val="20"/>
          <w:szCs w:val="20"/>
          <w:lang w:val="es-ES" w:eastAsia="es-MX"/>
        </w:rPr>
        <w:t>de la Convención de Belém do Pará</w:t>
      </w:r>
      <w:r w:rsidRPr="004021D8">
        <w:rPr>
          <w:sz w:val="20"/>
          <w:szCs w:val="20"/>
          <w:lang w:val="es-ES"/>
        </w:rPr>
        <w:t xml:space="preserve">, en perjuicio de V.R.P., </w:t>
      </w:r>
      <w:r w:rsidRPr="004021D8">
        <w:rPr>
          <w:rFonts w:eastAsia="Batang"/>
          <w:sz w:val="20"/>
          <w:szCs w:val="20"/>
          <w:lang w:val="es-ES"/>
        </w:rPr>
        <w:t xml:space="preserve">en los términos de los párrafos </w:t>
      </w:r>
      <w:r w:rsidR="00134608" w:rsidRPr="004021D8">
        <w:rPr>
          <w:sz w:val="20"/>
          <w:szCs w:val="20"/>
          <w:lang w:val="es-ES"/>
        </w:rPr>
        <w:t>289</w:t>
      </w:r>
      <w:r w:rsidRPr="004021D8">
        <w:rPr>
          <w:sz w:val="20"/>
          <w:szCs w:val="20"/>
          <w:lang w:val="es-ES"/>
        </w:rPr>
        <w:t xml:space="preserve"> a </w:t>
      </w:r>
      <w:r w:rsidR="00134608" w:rsidRPr="004021D8">
        <w:rPr>
          <w:sz w:val="20"/>
          <w:szCs w:val="20"/>
          <w:lang w:val="es-ES"/>
        </w:rPr>
        <w:t>296</w:t>
      </w:r>
      <w:r w:rsidR="0048718C" w:rsidRPr="004021D8">
        <w:rPr>
          <w:sz w:val="20"/>
          <w:szCs w:val="20"/>
          <w:lang w:val="es-ES"/>
        </w:rPr>
        <w:t xml:space="preserve"> y 304</w:t>
      </w:r>
      <w:r w:rsidRPr="004021D8">
        <w:rPr>
          <w:sz w:val="20"/>
          <w:szCs w:val="20"/>
          <w:lang w:val="es-ES"/>
        </w:rPr>
        <w:t xml:space="preserve"> de la presente Sentencia.</w:t>
      </w:r>
    </w:p>
    <w:p w14:paraId="123C552E" w14:textId="77777777" w:rsidR="00214C9A" w:rsidRPr="004021D8" w:rsidRDefault="00214C9A" w:rsidP="00214C9A">
      <w:pPr>
        <w:widowControl/>
        <w:tabs>
          <w:tab w:val="left" w:pos="720"/>
        </w:tabs>
        <w:adjustRightInd/>
        <w:spacing w:line="240" w:lineRule="auto"/>
        <w:ind w:right="-90"/>
        <w:contextualSpacing/>
        <w:textAlignment w:val="auto"/>
        <w:rPr>
          <w:sz w:val="20"/>
          <w:szCs w:val="20"/>
          <w:lang w:val="es-ES"/>
        </w:rPr>
      </w:pPr>
    </w:p>
    <w:p w14:paraId="0E4ECA60" w14:textId="155236E2" w:rsidR="00214C9A" w:rsidRPr="00975C02" w:rsidRDefault="00214C9A" w:rsidP="00214C9A">
      <w:pPr>
        <w:widowControl/>
        <w:numPr>
          <w:ilvl w:val="0"/>
          <w:numId w:val="21"/>
        </w:numPr>
        <w:tabs>
          <w:tab w:val="left" w:pos="720"/>
        </w:tabs>
        <w:adjustRightInd/>
        <w:spacing w:line="240" w:lineRule="auto"/>
        <w:ind w:right="-90"/>
        <w:contextualSpacing/>
        <w:textAlignment w:val="auto"/>
        <w:rPr>
          <w:sz w:val="20"/>
          <w:szCs w:val="20"/>
          <w:lang w:val="es-ES"/>
        </w:rPr>
      </w:pPr>
      <w:r w:rsidRPr="004021D8">
        <w:rPr>
          <w:rFonts w:eastAsia="Times"/>
          <w:sz w:val="20"/>
          <w:szCs w:val="20"/>
          <w:lang w:val="es-ES"/>
        </w:rPr>
        <w:t xml:space="preserve">El Estado es responsable </w:t>
      </w:r>
      <w:r w:rsidR="005C06ED" w:rsidRPr="004021D8">
        <w:rPr>
          <w:rFonts w:eastAsia="Times"/>
          <w:sz w:val="20"/>
          <w:szCs w:val="20"/>
          <w:lang w:val="es-ES"/>
        </w:rPr>
        <w:t xml:space="preserve">por </w:t>
      </w:r>
      <w:r w:rsidRPr="004021D8">
        <w:rPr>
          <w:rFonts w:eastAsia="Times"/>
          <w:sz w:val="20"/>
          <w:szCs w:val="20"/>
          <w:lang w:val="es-ES"/>
        </w:rPr>
        <w:t>la violación de la prohibición de tratos crueles</w:t>
      </w:r>
      <w:r w:rsidR="00852DD6">
        <w:rPr>
          <w:rFonts w:eastAsia="Times"/>
          <w:sz w:val="20"/>
          <w:szCs w:val="20"/>
          <w:lang w:val="es-ES"/>
        </w:rPr>
        <w:t>,</w:t>
      </w:r>
      <w:r w:rsidRPr="004021D8">
        <w:rPr>
          <w:rFonts w:eastAsia="Times"/>
          <w:sz w:val="20"/>
          <w:szCs w:val="20"/>
          <w:lang w:val="es-ES"/>
        </w:rPr>
        <w:t xml:space="preserve"> inhumanos </w:t>
      </w:r>
      <w:r w:rsidR="00852DD6">
        <w:rPr>
          <w:rFonts w:eastAsia="Times"/>
          <w:sz w:val="20"/>
          <w:szCs w:val="20"/>
          <w:lang w:val="es-ES"/>
        </w:rPr>
        <w:t>y</w:t>
      </w:r>
      <w:r w:rsidRPr="004021D8">
        <w:rPr>
          <w:rFonts w:eastAsia="Times"/>
          <w:sz w:val="20"/>
          <w:szCs w:val="20"/>
          <w:lang w:val="es-ES"/>
        </w:rPr>
        <w:t xml:space="preserve"> degradantes, establecida en el artículo 5.2 de la Conven</w:t>
      </w:r>
      <w:r w:rsidRPr="00975C02">
        <w:rPr>
          <w:rFonts w:eastAsia="Times"/>
          <w:sz w:val="20"/>
          <w:szCs w:val="20"/>
          <w:lang w:val="es-ES"/>
        </w:rPr>
        <w:t>ción Americana sobre Derechos Humanos, en relación con el artículo 1.1 de la misma, en perjuicio de</w:t>
      </w:r>
      <w:r w:rsidRPr="00975C02">
        <w:rPr>
          <w:rFonts w:eastAsia="Batang" w:cs="Times"/>
          <w:sz w:val="20"/>
          <w:szCs w:val="20"/>
          <w:lang w:val="es-ES"/>
        </w:rPr>
        <w:t xml:space="preserve"> V.R.P.,</w:t>
      </w:r>
      <w:r w:rsidRPr="00975C02">
        <w:rPr>
          <w:sz w:val="20"/>
          <w:szCs w:val="20"/>
          <w:lang w:val="es-ES"/>
        </w:rPr>
        <w:t xml:space="preserve"> </w:t>
      </w:r>
      <w:r w:rsidRPr="00975C02">
        <w:rPr>
          <w:rFonts w:eastAsia="Batang"/>
          <w:sz w:val="20"/>
          <w:szCs w:val="20"/>
          <w:lang w:val="es-ES"/>
        </w:rPr>
        <w:t xml:space="preserve">en los términos de los párrafos </w:t>
      </w:r>
      <w:r w:rsidR="00134608" w:rsidRPr="00975C02">
        <w:rPr>
          <w:sz w:val="20"/>
          <w:szCs w:val="20"/>
          <w:lang w:val="es-ES"/>
        </w:rPr>
        <w:t>297</w:t>
      </w:r>
      <w:r w:rsidRPr="00975C02">
        <w:rPr>
          <w:sz w:val="20"/>
          <w:szCs w:val="20"/>
          <w:lang w:val="es-ES"/>
        </w:rPr>
        <w:t xml:space="preserve"> a </w:t>
      </w:r>
      <w:r w:rsidR="00134608" w:rsidRPr="00975C02">
        <w:rPr>
          <w:sz w:val="20"/>
          <w:szCs w:val="20"/>
          <w:lang w:val="es-ES"/>
        </w:rPr>
        <w:t>299</w:t>
      </w:r>
      <w:r w:rsidRPr="00975C02">
        <w:rPr>
          <w:sz w:val="20"/>
          <w:szCs w:val="20"/>
          <w:lang w:val="es-ES"/>
        </w:rPr>
        <w:t xml:space="preserve"> </w:t>
      </w:r>
      <w:r w:rsidR="0048718C" w:rsidRPr="00975C02">
        <w:rPr>
          <w:sz w:val="20"/>
          <w:szCs w:val="20"/>
          <w:lang w:val="es-ES"/>
        </w:rPr>
        <w:t xml:space="preserve">y 304 </w:t>
      </w:r>
      <w:r w:rsidRPr="00975C02">
        <w:rPr>
          <w:sz w:val="20"/>
          <w:szCs w:val="20"/>
          <w:lang w:val="es-ES"/>
        </w:rPr>
        <w:t>de la presente Sentencia</w:t>
      </w:r>
      <w:r w:rsidRPr="00975C02">
        <w:rPr>
          <w:rFonts w:eastAsia="Batang" w:cs="Times"/>
          <w:sz w:val="20"/>
          <w:szCs w:val="20"/>
          <w:lang w:val="es-ES"/>
        </w:rPr>
        <w:t>.</w:t>
      </w:r>
    </w:p>
    <w:p w14:paraId="313ADF1A" w14:textId="77777777" w:rsidR="00214C9A" w:rsidRPr="00975C02" w:rsidRDefault="00214C9A" w:rsidP="00214C9A">
      <w:pPr>
        <w:widowControl/>
        <w:tabs>
          <w:tab w:val="left" w:pos="720"/>
        </w:tabs>
        <w:adjustRightInd/>
        <w:spacing w:line="240" w:lineRule="auto"/>
        <w:ind w:right="-90"/>
        <w:contextualSpacing/>
        <w:textAlignment w:val="auto"/>
        <w:rPr>
          <w:sz w:val="20"/>
          <w:szCs w:val="20"/>
          <w:lang w:val="es-ES"/>
        </w:rPr>
      </w:pPr>
    </w:p>
    <w:p w14:paraId="5C3B7C34" w14:textId="3AA98E6F" w:rsidR="00D21AD9" w:rsidRPr="00975C02" w:rsidRDefault="006D53BB" w:rsidP="00BB7E7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E</w:t>
      </w:r>
      <w:r w:rsidR="00D21AD9" w:rsidRPr="00975C02">
        <w:rPr>
          <w:sz w:val="20"/>
          <w:szCs w:val="20"/>
          <w:lang w:val="es-ES"/>
        </w:rPr>
        <w:t>l Estado es responsable por la violación de los derechos de residencia y a la protección de la familia, reconocidos en los artículos 22.1 y 17.1 de la Convención Americana</w:t>
      </w:r>
      <w:r w:rsidR="00B836E9" w:rsidRPr="00975C02">
        <w:rPr>
          <w:sz w:val="20"/>
          <w:szCs w:val="20"/>
          <w:lang w:val="es-ES"/>
        </w:rPr>
        <w:t xml:space="preserve"> </w:t>
      </w:r>
      <w:r w:rsidR="00B836E9" w:rsidRPr="00975C02">
        <w:rPr>
          <w:rFonts w:eastAsia="Times"/>
          <w:sz w:val="20"/>
          <w:szCs w:val="20"/>
          <w:lang w:val="es-ES"/>
        </w:rPr>
        <w:t>sobre Derechos Humanos</w:t>
      </w:r>
      <w:r w:rsidR="00D21AD9" w:rsidRPr="00975C02">
        <w:rPr>
          <w:sz w:val="20"/>
          <w:szCs w:val="20"/>
          <w:lang w:val="es-ES"/>
        </w:rPr>
        <w:t xml:space="preserve">, en relación con los artículos 1.1 </w:t>
      </w:r>
      <w:r w:rsidR="000D7883" w:rsidRPr="00975C02">
        <w:rPr>
          <w:sz w:val="20"/>
          <w:szCs w:val="20"/>
          <w:lang w:val="es-ES"/>
        </w:rPr>
        <w:t xml:space="preserve">y 19 </w:t>
      </w:r>
      <w:r w:rsidR="00D21AD9" w:rsidRPr="00975C02">
        <w:rPr>
          <w:sz w:val="20"/>
          <w:szCs w:val="20"/>
          <w:lang w:val="es-ES"/>
        </w:rPr>
        <w:t>de la misma, en perjuicio de V.R.P. Asimismo, el Estado es responsable por la violación de los derechos de residencia y a la protección de la familia, reconocidos en los artículos 22.1 y 17.1 de la Convención Americana</w:t>
      </w:r>
      <w:r w:rsidR="00B836E9" w:rsidRPr="00975C02">
        <w:rPr>
          <w:sz w:val="20"/>
          <w:szCs w:val="20"/>
          <w:lang w:val="es-ES"/>
        </w:rPr>
        <w:t xml:space="preserve"> </w:t>
      </w:r>
      <w:r w:rsidR="00B836E9" w:rsidRPr="00975C02">
        <w:rPr>
          <w:rFonts w:eastAsia="Times"/>
          <w:sz w:val="20"/>
          <w:szCs w:val="20"/>
          <w:lang w:val="es-ES"/>
        </w:rPr>
        <w:t>sobre Derechos Humanos</w:t>
      </w:r>
      <w:r w:rsidR="00D21AD9" w:rsidRPr="00975C02">
        <w:rPr>
          <w:sz w:val="20"/>
          <w:szCs w:val="20"/>
          <w:lang w:val="es-ES"/>
        </w:rPr>
        <w:t xml:space="preserve">, en relación con el artículo 1.1 de la misma, en perjuicio de V.P.C. y N.R.P. Del mismo modo, el Estado es responsable por la violación del derecho a la protección de la familia, reconocido en el artículo </w:t>
      </w:r>
      <w:r w:rsidR="00D21AD9" w:rsidRPr="00975C02">
        <w:rPr>
          <w:sz w:val="20"/>
          <w:szCs w:val="20"/>
          <w:lang w:val="es-ES"/>
        </w:rPr>
        <w:lastRenderedPageBreak/>
        <w:t>17.1 de la Convención Americana</w:t>
      </w:r>
      <w:r w:rsidR="00B836E9" w:rsidRPr="00975C02">
        <w:rPr>
          <w:sz w:val="20"/>
          <w:szCs w:val="20"/>
          <w:lang w:val="es-ES"/>
        </w:rPr>
        <w:t xml:space="preserve"> </w:t>
      </w:r>
      <w:r w:rsidR="00B836E9" w:rsidRPr="00975C02">
        <w:rPr>
          <w:rFonts w:eastAsia="Times"/>
          <w:sz w:val="20"/>
          <w:szCs w:val="20"/>
          <w:lang w:val="es-ES"/>
        </w:rPr>
        <w:t>sobre Derechos Humanos</w:t>
      </w:r>
      <w:r w:rsidR="00D21AD9" w:rsidRPr="00975C02">
        <w:rPr>
          <w:sz w:val="20"/>
          <w:szCs w:val="20"/>
          <w:lang w:val="es-ES"/>
        </w:rPr>
        <w:t>, en relación con el artículo 1.1</w:t>
      </w:r>
      <w:r w:rsidR="00EA3818" w:rsidRPr="00975C02">
        <w:rPr>
          <w:sz w:val="20"/>
          <w:szCs w:val="20"/>
          <w:lang w:val="es-ES"/>
        </w:rPr>
        <w:t xml:space="preserve"> de la misma</w:t>
      </w:r>
      <w:r w:rsidR="00D21AD9" w:rsidRPr="00975C02">
        <w:rPr>
          <w:sz w:val="20"/>
          <w:szCs w:val="20"/>
          <w:lang w:val="es-ES"/>
        </w:rPr>
        <w:t>, en perjuicio de H.J.R.P. y V.A.R.P.</w:t>
      </w:r>
      <w:r w:rsidR="00B836E9" w:rsidRPr="00975C02">
        <w:rPr>
          <w:sz w:val="20"/>
          <w:szCs w:val="20"/>
          <w:lang w:val="es-ES"/>
        </w:rPr>
        <w:t xml:space="preserve"> Todo ello en los términos de los párrafos </w:t>
      </w:r>
      <w:r w:rsidR="0048718C" w:rsidRPr="00975C02">
        <w:rPr>
          <w:sz w:val="20"/>
          <w:szCs w:val="20"/>
          <w:lang w:val="es-ES"/>
        </w:rPr>
        <w:t>308</w:t>
      </w:r>
      <w:r w:rsidR="00B836E9" w:rsidRPr="00975C02">
        <w:rPr>
          <w:sz w:val="20"/>
          <w:szCs w:val="20"/>
          <w:lang w:val="es-ES"/>
        </w:rPr>
        <w:t xml:space="preserve"> a </w:t>
      </w:r>
      <w:r w:rsidR="0048718C" w:rsidRPr="00975C02">
        <w:rPr>
          <w:sz w:val="20"/>
          <w:szCs w:val="20"/>
          <w:lang w:val="es-ES"/>
        </w:rPr>
        <w:t>322</w:t>
      </w:r>
      <w:r w:rsidR="00B836E9" w:rsidRPr="00975C02">
        <w:rPr>
          <w:sz w:val="20"/>
          <w:szCs w:val="20"/>
          <w:lang w:val="es-ES"/>
        </w:rPr>
        <w:t xml:space="preserve"> de la presente Sentencia.</w:t>
      </w:r>
    </w:p>
    <w:p w14:paraId="7118B885" w14:textId="77777777" w:rsidR="00D21AD9" w:rsidRPr="00975C02" w:rsidRDefault="00D21AD9" w:rsidP="00D21AD9">
      <w:pPr>
        <w:tabs>
          <w:tab w:val="left" w:pos="567"/>
        </w:tabs>
        <w:spacing w:line="240" w:lineRule="auto"/>
        <w:rPr>
          <w:rFonts w:eastAsiaTheme="minorHAnsi" w:cstheme="minorBidi"/>
          <w:sz w:val="20"/>
          <w:szCs w:val="20"/>
          <w:lang w:val="es-ES" w:eastAsia="en-US"/>
        </w:rPr>
      </w:pPr>
    </w:p>
    <w:p w14:paraId="6DE385D1" w14:textId="0A61C027" w:rsidR="009D0B2B" w:rsidRPr="00975C02" w:rsidRDefault="009D0B2B" w:rsidP="00B836E9">
      <w:pPr>
        <w:widowControl/>
        <w:numPr>
          <w:ilvl w:val="0"/>
          <w:numId w:val="21"/>
        </w:numPr>
        <w:tabs>
          <w:tab w:val="left" w:pos="720"/>
        </w:tabs>
        <w:adjustRightInd/>
        <w:spacing w:line="240" w:lineRule="auto"/>
        <w:ind w:right="-90"/>
        <w:contextualSpacing/>
        <w:textAlignment w:val="auto"/>
        <w:rPr>
          <w:lang w:val="es-ES"/>
        </w:rPr>
      </w:pPr>
      <w:r w:rsidRPr="00975C02">
        <w:rPr>
          <w:sz w:val="20"/>
          <w:szCs w:val="20"/>
          <w:lang w:val="es-ES"/>
        </w:rPr>
        <w:t xml:space="preserve">El </w:t>
      </w:r>
      <w:r w:rsidRPr="00975C02">
        <w:rPr>
          <w:rFonts w:eastAsia="MS Mincho"/>
          <w:sz w:val="20"/>
          <w:szCs w:val="20"/>
          <w:lang w:val="es-ES" w:eastAsia="en-US" w:bidi="en-US"/>
        </w:rPr>
        <w:t>Estado</w:t>
      </w:r>
      <w:r w:rsidRPr="00975C02">
        <w:rPr>
          <w:sz w:val="20"/>
          <w:szCs w:val="20"/>
          <w:lang w:val="es-ES"/>
        </w:rPr>
        <w:t xml:space="preserve"> es responsable por la violación del derecho a la integridad personal reconocido en el artículo 5.1 de la Convención Americana sobre Derechos Humanos, en relación con el artículo 1.1 de la misma, en perjuicio de </w:t>
      </w:r>
      <w:r w:rsidR="00B836E9" w:rsidRPr="00975C02">
        <w:rPr>
          <w:sz w:val="20"/>
          <w:szCs w:val="20"/>
          <w:lang w:val="es-ES"/>
        </w:rPr>
        <w:t xml:space="preserve">los familiares de V.R.P., identificados como V.P.C., </w:t>
      </w:r>
      <w:r w:rsidR="00EA3818" w:rsidRPr="00975C02">
        <w:rPr>
          <w:sz w:val="20"/>
          <w:szCs w:val="20"/>
          <w:lang w:val="es-ES"/>
        </w:rPr>
        <w:t xml:space="preserve">N.R.P., </w:t>
      </w:r>
      <w:r w:rsidR="00B836E9" w:rsidRPr="00975C02">
        <w:rPr>
          <w:sz w:val="20"/>
          <w:szCs w:val="20"/>
          <w:lang w:val="es-ES"/>
        </w:rPr>
        <w:t>H.J.R.P.</w:t>
      </w:r>
      <w:r w:rsidR="00EA3818" w:rsidRPr="00975C02">
        <w:rPr>
          <w:sz w:val="20"/>
          <w:szCs w:val="20"/>
          <w:lang w:val="es-ES"/>
        </w:rPr>
        <w:t xml:space="preserve"> y</w:t>
      </w:r>
      <w:r w:rsidR="00B836E9" w:rsidRPr="00975C02">
        <w:rPr>
          <w:sz w:val="20"/>
          <w:szCs w:val="20"/>
          <w:lang w:val="es-ES"/>
        </w:rPr>
        <w:t xml:space="preserve"> V.A.R.P.</w:t>
      </w:r>
      <w:r w:rsidRPr="00975C02">
        <w:rPr>
          <w:sz w:val="20"/>
          <w:szCs w:val="20"/>
          <w:lang w:val="es-ES"/>
        </w:rPr>
        <w:t xml:space="preserve">, en los términos de los párrafos </w:t>
      </w:r>
      <w:r w:rsidR="0048718C" w:rsidRPr="00975C02">
        <w:rPr>
          <w:sz w:val="20"/>
          <w:szCs w:val="20"/>
          <w:lang w:val="es-ES"/>
        </w:rPr>
        <w:t>327</w:t>
      </w:r>
      <w:r w:rsidRPr="00975C02">
        <w:rPr>
          <w:sz w:val="20"/>
          <w:szCs w:val="20"/>
          <w:lang w:val="es-ES"/>
        </w:rPr>
        <w:t xml:space="preserve"> a </w:t>
      </w:r>
      <w:r w:rsidR="0048718C" w:rsidRPr="00975C02">
        <w:rPr>
          <w:sz w:val="20"/>
          <w:szCs w:val="20"/>
          <w:lang w:val="es-ES"/>
        </w:rPr>
        <w:t>334</w:t>
      </w:r>
      <w:r w:rsidRPr="00975C02">
        <w:rPr>
          <w:sz w:val="20"/>
          <w:szCs w:val="20"/>
          <w:lang w:val="es-ES"/>
        </w:rPr>
        <w:t xml:space="preserve"> de la presente Sentencia.</w:t>
      </w:r>
    </w:p>
    <w:p w14:paraId="2D3C2486" w14:textId="77777777" w:rsidR="009D0B2B" w:rsidRPr="00975C02" w:rsidRDefault="009D0B2B" w:rsidP="009D0B2B">
      <w:pPr>
        <w:pStyle w:val="Prrafodelista2"/>
        <w:ind w:left="0" w:right="-90"/>
        <w:contextualSpacing/>
        <w:jc w:val="both"/>
        <w:rPr>
          <w:lang w:val="es-ES"/>
        </w:rPr>
      </w:pPr>
    </w:p>
    <w:p w14:paraId="5A41C8C9" w14:textId="1A58ED53" w:rsidR="00D21AD9" w:rsidRPr="00975C02" w:rsidRDefault="00D21AD9" w:rsidP="00BB7E7B">
      <w:pPr>
        <w:widowControl/>
        <w:numPr>
          <w:ilvl w:val="0"/>
          <w:numId w:val="21"/>
        </w:numPr>
        <w:tabs>
          <w:tab w:val="left" w:pos="720"/>
        </w:tabs>
        <w:adjustRightInd/>
        <w:spacing w:line="240" w:lineRule="auto"/>
        <w:ind w:right="-90"/>
        <w:contextualSpacing/>
        <w:textAlignment w:val="auto"/>
        <w:rPr>
          <w:rFonts w:eastAsiaTheme="minorHAnsi" w:cstheme="minorBidi"/>
          <w:sz w:val="20"/>
          <w:szCs w:val="20"/>
          <w:lang w:val="es-ES" w:eastAsia="en-US"/>
        </w:rPr>
      </w:pPr>
      <w:r w:rsidRPr="00975C02">
        <w:rPr>
          <w:rFonts w:eastAsiaTheme="minorHAnsi" w:cstheme="minorBidi"/>
          <w:sz w:val="20"/>
          <w:szCs w:val="20"/>
          <w:lang w:val="es-ES" w:eastAsia="en-US"/>
        </w:rPr>
        <w:t>El Estado no incurrió en responsabilidad por la alegada vulneración del principio de no discriminación por motivo de religión, protegido en el artículo 1.1 de la Convención Americana</w:t>
      </w:r>
      <w:r w:rsidR="005C06ED" w:rsidRPr="00975C02">
        <w:rPr>
          <w:rFonts w:eastAsiaTheme="minorHAnsi" w:cstheme="minorBidi"/>
          <w:sz w:val="20"/>
          <w:szCs w:val="20"/>
          <w:lang w:val="es-ES" w:eastAsia="en-US"/>
        </w:rPr>
        <w:t xml:space="preserve"> </w:t>
      </w:r>
      <w:r w:rsidR="005C06ED" w:rsidRPr="00975C02">
        <w:rPr>
          <w:rFonts w:eastAsia="Times"/>
          <w:sz w:val="20"/>
          <w:szCs w:val="20"/>
          <w:lang w:val="es-ES"/>
        </w:rPr>
        <w:t>sobre Derechos Humanos</w:t>
      </w:r>
      <w:r w:rsidRPr="00975C02">
        <w:rPr>
          <w:rFonts w:eastAsiaTheme="minorHAnsi" w:cstheme="minorBidi"/>
          <w:sz w:val="20"/>
          <w:szCs w:val="20"/>
          <w:lang w:val="es-ES" w:eastAsia="en-US"/>
        </w:rPr>
        <w:t>, así como tampoco incurrió en responsabilidad por la alegada vulneración del derecho a la libertad de religión, reconocido en el artículo 12</w:t>
      </w:r>
      <w:r w:rsidR="00E56062" w:rsidRPr="00975C02">
        <w:rPr>
          <w:rFonts w:eastAsiaTheme="minorHAnsi" w:cstheme="minorBidi"/>
          <w:sz w:val="20"/>
          <w:szCs w:val="20"/>
          <w:lang w:val="es-ES" w:eastAsia="en-US"/>
        </w:rPr>
        <w:t>.1</w:t>
      </w:r>
      <w:r w:rsidRPr="00975C02">
        <w:rPr>
          <w:rFonts w:eastAsiaTheme="minorHAnsi" w:cstheme="minorBidi"/>
          <w:sz w:val="20"/>
          <w:szCs w:val="20"/>
          <w:lang w:val="es-ES" w:eastAsia="en-US"/>
        </w:rPr>
        <w:t xml:space="preserve"> de la Convención Americana</w:t>
      </w:r>
      <w:r w:rsidR="005C06ED" w:rsidRPr="00975C02">
        <w:rPr>
          <w:rFonts w:eastAsiaTheme="minorHAnsi" w:cstheme="minorBidi"/>
          <w:sz w:val="20"/>
          <w:szCs w:val="20"/>
          <w:lang w:val="es-ES" w:eastAsia="en-US"/>
        </w:rPr>
        <w:t xml:space="preserve"> </w:t>
      </w:r>
      <w:r w:rsidR="005C06ED" w:rsidRPr="00975C02">
        <w:rPr>
          <w:rFonts w:eastAsia="Times"/>
          <w:sz w:val="20"/>
          <w:szCs w:val="20"/>
          <w:lang w:val="es-ES"/>
        </w:rPr>
        <w:t>sobre Derechos Humanos</w:t>
      </w:r>
      <w:r w:rsidR="00BB7E7B" w:rsidRPr="00975C02">
        <w:rPr>
          <w:sz w:val="20"/>
          <w:szCs w:val="20"/>
          <w:lang w:val="es-ES"/>
        </w:rPr>
        <w:t xml:space="preserve">, en los términos del párrafo </w:t>
      </w:r>
      <w:r w:rsidR="0048718C" w:rsidRPr="00975C02">
        <w:rPr>
          <w:sz w:val="20"/>
          <w:szCs w:val="20"/>
          <w:lang w:val="es-ES"/>
        </w:rPr>
        <w:t>323</w:t>
      </w:r>
      <w:r w:rsidR="00BB7E7B" w:rsidRPr="00975C02">
        <w:rPr>
          <w:sz w:val="20"/>
          <w:szCs w:val="20"/>
          <w:lang w:val="es-ES"/>
        </w:rPr>
        <w:t xml:space="preserve"> de la presente Sentencia.</w:t>
      </w:r>
    </w:p>
    <w:p w14:paraId="0253BCA3" w14:textId="77777777" w:rsidR="00D21AD9" w:rsidRPr="00975C02" w:rsidRDefault="00D21AD9" w:rsidP="009D0B2B">
      <w:pPr>
        <w:pStyle w:val="Prrafodelista2"/>
        <w:ind w:left="0" w:right="-90"/>
        <w:contextualSpacing/>
        <w:jc w:val="both"/>
        <w:rPr>
          <w:lang w:val="es-ES"/>
        </w:rPr>
      </w:pPr>
    </w:p>
    <w:p w14:paraId="7751F494" w14:textId="5FD49656" w:rsidR="009D0B2B" w:rsidRPr="00975C02" w:rsidRDefault="009D0B2B" w:rsidP="009D0B2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No corresponde emitir un pronunciamiento sobre las alegadas violaciones del artículo 25 de la Convención Americana sobre Derechos Humanos, así como del derecho a conocer la verdad, en los términos del párrafo</w:t>
      </w:r>
      <w:r w:rsidR="00D61200" w:rsidRPr="00975C02">
        <w:rPr>
          <w:sz w:val="20"/>
          <w:szCs w:val="20"/>
          <w:lang w:val="es-ES"/>
        </w:rPr>
        <w:t xml:space="preserve"> </w:t>
      </w:r>
      <w:r w:rsidR="00150638" w:rsidRPr="00975C02">
        <w:rPr>
          <w:sz w:val="20"/>
          <w:szCs w:val="20"/>
          <w:lang w:val="es-ES"/>
        </w:rPr>
        <w:t>303</w:t>
      </w:r>
      <w:r w:rsidRPr="00975C02">
        <w:rPr>
          <w:sz w:val="20"/>
          <w:szCs w:val="20"/>
          <w:lang w:val="es-ES"/>
        </w:rPr>
        <w:t xml:space="preserve"> de la presente Sentencia.</w:t>
      </w:r>
    </w:p>
    <w:p w14:paraId="1E20D20C" w14:textId="77777777" w:rsidR="009D0B2B" w:rsidRPr="00975C02" w:rsidRDefault="009D0B2B" w:rsidP="009D0B2B">
      <w:pPr>
        <w:pStyle w:val="Prrafodelista2"/>
        <w:ind w:left="0" w:right="-90"/>
        <w:contextualSpacing/>
        <w:jc w:val="both"/>
        <w:rPr>
          <w:lang w:val="es-ES"/>
        </w:rPr>
      </w:pPr>
    </w:p>
    <w:p w14:paraId="6C26C8A2" w14:textId="77777777" w:rsidR="009D0B2B" w:rsidRPr="00975C02" w:rsidRDefault="009D0B2B" w:rsidP="009D0B2B">
      <w:pPr>
        <w:pStyle w:val="Prrafodelista2"/>
        <w:tabs>
          <w:tab w:val="left" w:pos="720"/>
        </w:tabs>
        <w:ind w:left="0" w:right="-90"/>
        <w:contextualSpacing/>
        <w:jc w:val="both"/>
        <w:rPr>
          <w:b/>
          <w:bCs/>
          <w:lang w:val="es-ES"/>
        </w:rPr>
      </w:pPr>
      <w:r w:rsidRPr="00975C02">
        <w:rPr>
          <w:b/>
          <w:bCs/>
          <w:lang w:val="es-ES"/>
        </w:rPr>
        <w:t>Y DISPONE:</w:t>
      </w:r>
    </w:p>
    <w:p w14:paraId="26EBEA7C" w14:textId="77777777" w:rsidR="009D0B2B" w:rsidRPr="00975C02" w:rsidRDefault="009D0B2B" w:rsidP="009D0B2B">
      <w:pPr>
        <w:pStyle w:val="Prrafodelista2"/>
        <w:tabs>
          <w:tab w:val="left" w:pos="720"/>
        </w:tabs>
        <w:ind w:left="0" w:right="-90"/>
        <w:contextualSpacing/>
        <w:jc w:val="both"/>
        <w:rPr>
          <w:b/>
          <w:bCs/>
          <w:lang w:val="es-ES"/>
        </w:rPr>
      </w:pPr>
    </w:p>
    <w:p w14:paraId="438F65A6" w14:textId="12A6545C" w:rsidR="009D0B2B" w:rsidRPr="00975C02" w:rsidRDefault="009D0B2B" w:rsidP="009D0B2B">
      <w:pPr>
        <w:pStyle w:val="Prrafodelista2"/>
        <w:tabs>
          <w:tab w:val="left" w:pos="720"/>
        </w:tabs>
        <w:ind w:left="0" w:right="-90"/>
        <w:contextualSpacing/>
        <w:jc w:val="both"/>
        <w:rPr>
          <w:bCs/>
          <w:lang w:val="es-ES"/>
        </w:rPr>
      </w:pPr>
      <w:r w:rsidRPr="00975C02">
        <w:rPr>
          <w:lang w:val="es-ES"/>
        </w:rPr>
        <w:t xml:space="preserve">Por </w:t>
      </w:r>
      <w:r w:rsidR="00BF09E6" w:rsidRPr="00975C02">
        <w:rPr>
          <w:lang w:val="es-ES"/>
        </w:rPr>
        <w:t>unanimidad,</w:t>
      </w:r>
      <w:r w:rsidR="00BF09E6" w:rsidRPr="00975C02">
        <w:rPr>
          <w:bCs/>
          <w:lang w:val="es-ES"/>
        </w:rPr>
        <w:t xml:space="preserve"> </w:t>
      </w:r>
      <w:r w:rsidRPr="00975C02">
        <w:rPr>
          <w:bCs/>
          <w:lang w:val="es-ES"/>
        </w:rPr>
        <w:t>que:</w:t>
      </w:r>
    </w:p>
    <w:p w14:paraId="6F3B5988" w14:textId="77777777" w:rsidR="009D0B2B" w:rsidRPr="00975C02" w:rsidRDefault="009D0B2B" w:rsidP="009D0B2B">
      <w:pPr>
        <w:pStyle w:val="Prrafodelista2"/>
        <w:tabs>
          <w:tab w:val="left" w:pos="720"/>
        </w:tabs>
        <w:ind w:left="0" w:right="-90"/>
        <w:contextualSpacing/>
        <w:jc w:val="both"/>
        <w:rPr>
          <w:bCs/>
          <w:lang w:val="es-ES"/>
        </w:rPr>
      </w:pPr>
    </w:p>
    <w:p w14:paraId="52E6BA81" w14:textId="11FF1668"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sz w:val="20"/>
          <w:szCs w:val="20"/>
          <w:lang w:val="es-ES"/>
        </w:rPr>
        <w:t>Esta</w:t>
      </w:r>
      <w:r w:rsidRPr="00975C02">
        <w:rPr>
          <w:bCs/>
          <w:sz w:val="20"/>
          <w:szCs w:val="20"/>
          <w:lang w:val="es-ES"/>
        </w:rPr>
        <w:t xml:space="preserve"> Sentencia constituye, </w:t>
      </w:r>
      <w:r w:rsidR="00D4268B" w:rsidRPr="00975C02">
        <w:rPr>
          <w:bCs/>
          <w:sz w:val="20"/>
          <w:szCs w:val="20"/>
          <w:lang w:val="es-ES"/>
        </w:rPr>
        <w:t>por sí misma</w:t>
      </w:r>
      <w:r w:rsidRPr="00975C02">
        <w:rPr>
          <w:bCs/>
          <w:sz w:val="20"/>
          <w:szCs w:val="20"/>
          <w:lang w:val="es-ES"/>
        </w:rPr>
        <w:t>, una forma de reparación.</w:t>
      </w:r>
    </w:p>
    <w:p w14:paraId="788DC9B1" w14:textId="77777777" w:rsidR="009D0B2B" w:rsidRPr="00975C02" w:rsidRDefault="009D0B2B" w:rsidP="009D0B2B">
      <w:pPr>
        <w:spacing w:line="240" w:lineRule="auto"/>
        <w:rPr>
          <w:sz w:val="20"/>
          <w:szCs w:val="20"/>
          <w:lang w:val="es-ES"/>
        </w:rPr>
      </w:pPr>
    </w:p>
    <w:p w14:paraId="2466AD96" w14:textId="26791523" w:rsidR="008F1161" w:rsidRPr="00975C02" w:rsidRDefault="008F1161"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rFonts w:eastAsia="MS Mincho" w:cs="Verdana"/>
          <w:sz w:val="20"/>
          <w:szCs w:val="20"/>
          <w:lang w:val="es-ES" w:bidi="en-US"/>
        </w:rPr>
        <w:t>El Estado debe, dentro de un plazo razonable, determinar, por intermedio de las instituciones públicas competentes, las eventuales responsabilidades de los funcionarios que contribuyeron con su actuación a la comisión de actos de revictimización y violencia institucional en perjuicio de V.R.P., y en la medida que corresponda, aplicar las consecuencias que la ley pudiera prever</w:t>
      </w:r>
      <w:r w:rsidRPr="00975C02">
        <w:rPr>
          <w:bCs/>
          <w:sz w:val="20"/>
          <w:szCs w:val="20"/>
          <w:lang w:val="es-ES"/>
        </w:rPr>
        <w:t xml:space="preserve">, de conformidad con lo establecido en el párrafo </w:t>
      </w:r>
      <w:r w:rsidR="0070121D" w:rsidRPr="00975C02">
        <w:rPr>
          <w:bCs/>
          <w:sz w:val="20"/>
          <w:szCs w:val="20"/>
          <w:lang w:val="es-ES"/>
        </w:rPr>
        <w:t>345</w:t>
      </w:r>
      <w:r w:rsidRPr="00975C02">
        <w:rPr>
          <w:bCs/>
          <w:sz w:val="20"/>
          <w:szCs w:val="20"/>
          <w:lang w:val="es-ES"/>
        </w:rPr>
        <w:t xml:space="preserve"> de esta Sentencia.</w:t>
      </w:r>
    </w:p>
    <w:p w14:paraId="2F2943C6" w14:textId="77777777" w:rsidR="008F1161" w:rsidRPr="00975C02" w:rsidRDefault="008F1161" w:rsidP="008F1161">
      <w:pPr>
        <w:widowControl/>
        <w:tabs>
          <w:tab w:val="left" w:pos="720"/>
        </w:tabs>
        <w:adjustRightInd/>
        <w:spacing w:line="240" w:lineRule="auto"/>
        <w:ind w:right="-90"/>
        <w:contextualSpacing/>
        <w:textAlignment w:val="auto"/>
        <w:rPr>
          <w:bCs/>
          <w:sz w:val="20"/>
          <w:szCs w:val="20"/>
          <w:lang w:val="es-ES"/>
        </w:rPr>
      </w:pPr>
    </w:p>
    <w:p w14:paraId="10A72746" w14:textId="585B40C1" w:rsidR="008F1161" w:rsidRPr="00975C02" w:rsidRDefault="008F1161"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El Estado debe </w:t>
      </w:r>
      <w:r w:rsidRPr="00975C02">
        <w:rPr>
          <w:rFonts w:eastAsia="Times"/>
          <w:sz w:val="20"/>
          <w:szCs w:val="20"/>
          <w:lang w:val="es-ES"/>
        </w:rPr>
        <w:t xml:space="preserve">pagar </w:t>
      </w:r>
      <w:r w:rsidR="00A85E34" w:rsidRPr="00975C02">
        <w:rPr>
          <w:rFonts w:eastAsia="Times"/>
          <w:sz w:val="20"/>
          <w:szCs w:val="20"/>
          <w:lang w:val="es-ES"/>
        </w:rPr>
        <w:t xml:space="preserve">a V.R.P., </w:t>
      </w:r>
      <w:r w:rsidR="00A85E34" w:rsidRPr="00975C02">
        <w:rPr>
          <w:sz w:val="20"/>
          <w:szCs w:val="20"/>
          <w:lang w:val="es-ES"/>
        </w:rPr>
        <w:t xml:space="preserve">V.P.C. y N.R.P. </w:t>
      </w:r>
      <w:r w:rsidRPr="00975C02">
        <w:rPr>
          <w:rFonts w:eastAsia="Times"/>
          <w:sz w:val="20"/>
          <w:szCs w:val="20"/>
          <w:lang w:val="es-ES"/>
        </w:rPr>
        <w:t xml:space="preserve">las sumas establecidas </w:t>
      </w:r>
      <w:r w:rsidRPr="00975C02">
        <w:rPr>
          <w:sz w:val="20"/>
          <w:szCs w:val="20"/>
          <w:lang w:val="es-ES"/>
        </w:rPr>
        <w:t xml:space="preserve">por concepto de gastos por tratamiento médico, psicológico y/o psiquiátrico, según corresponda, </w:t>
      </w:r>
      <w:r w:rsidRPr="00975C02">
        <w:rPr>
          <w:bCs/>
          <w:sz w:val="20"/>
          <w:szCs w:val="20"/>
          <w:lang w:val="es-ES"/>
        </w:rPr>
        <w:t xml:space="preserve">de conformidad con lo establecido en el párrafo </w:t>
      </w:r>
      <w:r w:rsidR="0070121D" w:rsidRPr="00975C02">
        <w:rPr>
          <w:bCs/>
          <w:sz w:val="20"/>
          <w:szCs w:val="20"/>
          <w:lang w:val="es-ES"/>
        </w:rPr>
        <w:t>351</w:t>
      </w:r>
      <w:r w:rsidRPr="00975C02">
        <w:rPr>
          <w:bCs/>
          <w:sz w:val="20"/>
          <w:szCs w:val="20"/>
          <w:lang w:val="es-ES"/>
        </w:rPr>
        <w:t xml:space="preserve"> de esta Sentencia.</w:t>
      </w:r>
    </w:p>
    <w:p w14:paraId="76928BC8" w14:textId="77777777" w:rsidR="008F1161" w:rsidRPr="00975C02" w:rsidRDefault="008F1161" w:rsidP="008F1161">
      <w:pPr>
        <w:widowControl/>
        <w:tabs>
          <w:tab w:val="left" w:pos="720"/>
        </w:tabs>
        <w:adjustRightInd/>
        <w:spacing w:line="240" w:lineRule="auto"/>
        <w:ind w:right="-90"/>
        <w:contextualSpacing/>
        <w:textAlignment w:val="auto"/>
        <w:rPr>
          <w:bCs/>
          <w:sz w:val="20"/>
          <w:szCs w:val="20"/>
          <w:lang w:val="es-ES"/>
        </w:rPr>
      </w:pPr>
    </w:p>
    <w:p w14:paraId="727F7B8A" w14:textId="3D29EB5E"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El Estado debe brindar gratuitamente, a través de sus instituciones de salud especializadas, y de forma inmediata, adecuada y efectiva, el tratamiento psicológico y/o psiquiátrico, a</w:t>
      </w:r>
      <w:r w:rsidR="008F1161" w:rsidRPr="00975C02">
        <w:rPr>
          <w:sz w:val="20"/>
          <w:szCs w:val="20"/>
          <w:lang w:val="es-ES"/>
        </w:rPr>
        <w:t xml:space="preserve"> H.J.R.P. y V.A.R.P.</w:t>
      </w:r>
      <w:r w:rsidRPr="00975C02">
        <w:rPr>
          <w:bCs/>
          <w:sz w:val="20"/>
          <w:szCs w:val="20"/>
          <w:lang w:val="es-ES"/>
        </w:rPr>
        <w:t xml:space="preserve">, de conformidad con lo establecido en el párrafo </w:t>
      </w:r>
      <w:r w:rsidR="0070121D" w:rsidRPr="00975C02">
        <w:rPr>
          <w:bCs/>
          <w:sz w:val="20"/>
          <w:szCs w:val="20"/>
          <w:lang w:val="es-ES"/>
        </w:rPr>
        <w:t>352</w:t>
      </w:r>
      <w:r w:rsidRPr="00975C02">
        <w:rPr>
          <w:bCs/>
          <w:sz w:val="20"/>
          <w:szCs w:val="20"/>
          <w:lang w:val="es-ES"/>
        </w:rPr>
        <w:t xml:space="preserve"> de esta Sentencia.</w:t>
      </w:r>
    </w:p>
    <w:p w14:paraId="1FB36115" w14:textId="77777777" w:rsidR="009D0B2B" w:rsidRPr="00975C02" w:rsidRDefault="009D0B2B" w:rsidP="009D0B2B">
      <w:pPr>
        <w:pStyle w:val="Prrafodelista2"/>
        <w:ind w:left="0" w:right="-90"/>
        <w:contextualSpacing/>
        <w:rPr>
          <w:bCs/>
          <w:lang w:val="es-ES"/>
        </w:rPr>
      </w:pPr>
    </w:p>
    <w:p w14:paraId="3FA03786" w14:textId="55D972FF"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El Estado debe realizar las publicaciones indicadas en el párrafo </w:t>
      </w:r>
      <w:r w:rsidR="0070121D" w:rsidRPr="00975C02">
        <w:rPr>
          <w:bCs/>
          <w:sz w:val="20"/>
          <w:szCs w:val="20"/>
          <w:lang w:val="es-ES"/>
        </w:rPr>
        <w:t>355</w:t>
      </w:r>
      <w:r w:rsidRPr="00975C02">
        <w:rPr>
          <w:bCs/>
          <w:sz w:val="20"/>
          <w:szCs w:val="20"/>
          <w:lang w:val="es-ES"/>
        </w:rPr>
        <w:t xml:space="preserve"> de la presente Sentencia</w:t>
      </w:r>
      <w:r w:rsidR="005C06ED" w:rsidRPr="00975C02">
        <w:rPr>
          <w:bCs/>
          <w:sz w:val="20"/>
          <w:szCs w:val="20"/>
          <w:lang w:val="es-ES"/>
        </w:rPr>
        <w:t>, si V.R.P. así lo autoriza</w:t>
      </w:r>
      <w:r w:rsidRPr="00975C02">
        <w:rPr>
          <w:bCs/>
          <w:sz w:val="20"/>
          <w:szCs w:val="20"/>
          <w:lang w:val="es-ES"/>
        </w:rPr>
        <w:t>.</w:t>
      </w:r>
    </w:p>
    <w:p w14:paraId="007EE1CE" w14:textId="77777777" w:rsidR="009D0B2B" w:rsidRPr="00975C02" w:rsidRDefault="009D0B2B" w:rsidP="009D0B2B">
      <w:pPr>
        <w:pStyle w:val="Prrafodelista2"/>
        <w:ind w:left="0" w:right="-90"/>
        <w:contextualSpacing/>
        <w:jc w:val="both"/>
        <w:rPr>
          <w:bCs/>
          <w:lang w:val="es-ES"/>
        </w:rPr>
      </w:pPr>
    </w:p>
    <w:p w14:paraId="1EA95250" w14:textId="6C05B609"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El Estado debe</w:t>
      </w:r>
      <w:r w:rsidR="00A85E34" w:rsidRPr="00975C02">
        <w:rPr>
          <w:bCs/>
          <w:sz w:val="20"/>
          <w:szCs w:val="20"/>
          <w:lang w:val="es-ES"/>
        </w:rPr>
        <w:t xml:space="preserve"> pagar a V.R.P. la suma establecida en concepto de beca </w:t>
      </w:r>
      <w:r w:rsidR="00A85E34" w:rsidRPr="00975C02">
        <w:rPr>
          <w:sz w:val="20"/>
          <w:szCs w:val="20"/>
          <w:lang w:val="es-ES"/>
        </w:rPr>
        <w:t>para poder sufragar los gastos necesarios para la conclusión de su formación profesional en el lugar donde resida</w:t>
      </w:r>
      <w:r w:rsidRPr="00975C02">
        <w:rPr>
          <w:bCs/>
          <w:sz w:val="20"/>
          <w:szCs w:val="20"/>
          <w:lang w:val="es-ES"/>
        </w:rPr>
        <w:t xml:space="preserve">, de conformidad con lo establecido en el párrafo </w:t>
      </w:r>
      <w:r w:rsidR="0070121D" w:rsidRPr="00975C02">
        <w:rPr>
          <w:bCs/>
          <w:sz w:val="20"/>
          <w:szCs w:val="20"/>
          <w:lang w:val="es-ES"/>
        </w:rPr>
        <w:t>362</w:t>
      </w:r>
      <w:r w:rsidRPr="00975C02">
        <w:rPr>
          <w:bCs/>
          <w:sz w:val="20"/>
          <w:szCs w:val="20"/>
          <w:lang w:val="es-ES"/>
        </w:rPr>
        <w:t xml:space="preserve"> de la presente Sentencia.</w:t>
      </w:r>
    </w:p>
    <w:p w14:paraId="48D85262" w14:textId="77777777" w:rsidR="00A85E34" w:rsidRPr="00975C02" w:rsidRDefault="00A85E34" w:rsidP="00A85E34">
      <w:pPr>
        <w:widowControl/>
        <w:tabs>
          <w:tab w:val="left" w:pos="720"/>
        </w:tabs>
        <w:adjustRightInd/>
        <w:spacing w:line="240" w:lineRule="auto"/>
        <w:ind w:right="-90"/>
        <w:contextualSpacing/>
        <w:textAlignment w:val="auto"/>
        <w:rPr>
          <w:bCs/>
          <w:sz w:val="20"/>
          <w:szCs w:val="20"/>
          <w:lang w:val="es-ES"/>
        </w:rPr>
      </w:pPr>
    </w:p>
    <w:p w14:paraId="3B6A5ACD" w14:textId="4B1A35B4" w:rsidR="00A85E34" w:rsidRPr="00975C02" w:rsidRDefault="00A85E34"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rFonts w:cs="Arial"/>
          <w:sz w:val="20"/>
          <w:szCs w:val="20"/>
          <w:lang w:val="es-ES"/>
        </w:rPr>
        <w:t>El Estado debe otorgar a V.A.R.P. una beca en una institución pública nicaragüense,</w:t>
      </w:r>
      <w:r w:rsidRPr="00975C02">
        <w:rPr>
          <w:rFonts w:cs="Arial"/>
          <w:b/>
          <w:sz w:val="20"/>
          <w:szCs w:val="20"/>
          <w:lang w:val="es-ES"/>
        </w:rPr>
        <w:t xml:space="preserve"> </w:t>
      </w:r>
      <w:r w:rsidRPr="00975C02">
        <w:rPr>
          <w:rFonts w:cs="Arial"/>
          <w:sz w:val="20"/>
          <w:szCs w:val="20"/>
          <w:lang w:val="es-ES"/>
        </w:rPr>
        <w:t>concertada entre el beneficiario y el Estado, para realizar estudios superiores técnicos o universitarios, o bien para capacitarse en un oficio</w:t>
      </w:r>
      <w:r w:rsidRPr="00975C02">
        <w:rPr>
          <w:bCs/>
          <w:sz w:val="20"/>
          <w:szCs w:val="20"/>
          <w:lang w:val="es-ES"/>
        </w:rPr>
        <w:t xml:space="preserve">, de conformidad con lo establecido en el párrafo </w:t>
      </w:r>
      <w:r w:rsidR="0070121D" w:rsidRPr="00975C02">
        <w:rPr>
          <w:bCs/>
          <w:sz w:val="20"/>
          <w:szCs w:val="20"/>
          <w:lang w:val="es-ES"/>
        </w:rPr>
        <w:t>363</w:t>
      </w:r>
      <w:r w:rsidRPr="00975C02">
        <w:rPr>
          <w:bCs/>
          <w:sz w:val="20"/>
          <w:szCs w:val="20"/>
          <w:lang w:val="es-ES"/>
        </w:rPr>
        <w:t xml:space="preserve"> de la presente Sentencia.</w:t>
      </w:r>
    </w:p>
    <w:p w14:paraId="60C77C90" w14:textId="77777777" w:rsidR="009D0B2B" w:rsidRPr="00975C02" w:rsidRDefault="009D0B2B" w:rsidP="009D0B2B">
      <w:pPr>
        <w:spacing w:line="240" w:lineRule="auto"/>
        <w:rPr>
          <w:sz w:val="20"/>
          <w:szCs w:val="20"/>
          <w:lang w:val="es-ES"/>
        </w:rPr>
      </w:pPr>
    </w:p>
    <w:p w14:paraId="600279D0" w14:textId="57D53FDE" w:rsidR="009D0B2B" w:rsidRPr="00975C02" w:rsidRDefault="009D0B2B" w:rsidP="009D0B2B">
      <w:pPr>
        <w:widowControl/>
        <w:numPr>
          <w:ilvl w:val="0"/>
          <w:numId w:val="21"/>
        </w:numPr>
        <w:tabs>
          <w:tab w:val="left" w:pos="720"/>
        </w:tabs>
        <w:adjustRightInd/>
        <w:spacing w:line="240" w:lineRule="auto"/>
        <w:ind w:right="-90"/>
        <w:contextualSpacing/>
        <w:textAlignment w:val="auto"/>
        <w:rPr>
          <w:rFonts w:eastAsia="MS Mincho" w:cs="Verdana"/>
          <w:sz w:val="20"/>
          <w:szCs w:val="20"/>
          <w:lang w:val="es-ES" w:eastAsia="en-US" w:bidi="en-US"/>
        </w:rPr>
      </w:pPr>
      <w:r w:rsidRPr="00975C02">
        <w:rPr>
          <w:rFonts w:eastAsia="MS Mincho" w:cs="Verdana"/>
          <w:bCs/>
          <w:sz w:val="20"/>
          <w:szCs w:val="20"/>
          <w:lang w:val="es-ES" w:eastAsia="en-US" w:bidi="en-US"/>
        </w:rPr>
        <w:t xml:space="preserve">El Estado debe </w:t>
      </w:r>
      <w:r w:rsidR="004F5657" w:rsidRPr="00975C02">
        <w:rPr>
          <w:sz w:val="20"/>
          <w:szCs w:val="20"/>
          <w:lang w:val="es-ES"/>
        </w:rPr>
        <w:t>adoptar</w:t>
      </w:r>
      <w:r w:rsidR="004F5657" w:rsidRPr="00975C02">
        <w:rPr>
          <w:bCs/>
          <w:sz w:val="20"/>
          <w:szCs w:val="20"/>
          <w:lang w:val="es-ES"/>
        </w:rPr>
        <w:t xml:space="preserve">, implementar, supervisar y fiscalizar de forma apropiada tres protocolos estandarizados, </w:t>
      </w:r>
      <w:r w:rsidR="003E1DA7" w:rsidRPr="00975C02">
        <w:rPr>
          <w:bCs/>
          <w:sz w:val="20"/>
          <w:szCs w:val="20"/>
          <w:lang w:val="es-ES"/>
        </w:rPr>
        <w:t>sobre las siguientes materias</w:t>
      </w:r>
      <w:r w:rsidR="004F5657" w:rsidRPr="00975C02">
        <w:rPr>
          <w:bCs/>
          <w:sz w:val="20"/>
          <w:szCs w:val="20"/>
          <w:lang w:val="es-ES"/>
        </w:rPr>
        <w:t xml:space="preserve">: i) protocolo de investigación y actuación </w:t>
      </w:r>
      <w:r w:rsidR="004F5657" w:rsidRPr="00975C02">
        <w:rPr>
          <w:bCs/>
          <w:sz w:val="20"/>
          <w:szCs w:val="20"/>
          <w:lang w:val="es-ES"/>
        </w:rPr>
        <w:lastRenderedPageBreak/>
        <w:t>durante el proceso penal para casos de niñas, niños y adolescentes</w:t>
      </w:r>
      <w:r w:rsidR="000E56BB" w:rsidRPr="00975C02">
        <w:rPr>
          <w:bCs/>
          <w:sz w:val="20"/>
          <w:szCs w:val="20"/>
          <w:lang w:val="es-ES"/>
        </w:rPr>
        <w:t xml:space="preserve"> víctimas de violencia sexual</w:t>
      </w:r>
      <w:r w:rsidR="004F5657" w:rsidRPr="00975C02">
        <w:rPr>
          <w:bCs/>
          <w:sz w:val="20"/>
          <w:szCs w:val="20"/>
          <w:lang w:val="es-ES"/>
        </w:rPr>
        <w:t>; ii) protocolo sobre abordaje integral y valoración médico legal para casos de niñas, niños y adolescentes</w:t>
      </w:r>
      <w:r w:rsidR="000E56BB" w:rsidRPr="00975C02">
        <w:rPr>
          <w:bCs/>
          <w:sz w:val="20"/>
          <w:szCs w:val="20"/>
          <w:lang w:val="es-ES"/>
        </w:rPr>
        <w:t xml:space="preserve"> víctimas de violencia sexual</w:t>
      </w:r>
      <w:r w:rsidR="004F5657" w:rsidRPr="00975C02">
        <w:rPr>
          <w:bCs/>
          <w:sz w:val="20"/>
          <w:szCs w:val="20"/>
          <w:lang w:val="es-ES"/>
        </w:rPr>
        <w:t>, y iii) protocolo de atención integral para niñas, niños y adolescentes víctimas de violencia sexual</w:t>
      </w:r>
      <w:r w:rsidRPr="00975C02">
        <w:rPr>
          <w:bCs/>
          <w:sz w:val="20"/>
          <w:szCs w:val="20"/>
          <w:lang w:val="es-ES"/>
        </w:rPr>
        <w:t>, de conformidad con lo establecido en l</w:t>
      </w:r>
      <w:r w:rsidR="004F5657" w:rsidRPr="00975C02">
        <w:rPr>
          <w:bCs/>
          <w:sz w:val="20"/>
          <w:szCs w:val="20"/>
          <w:lang w:val="es-ES"/>
        </w:rPr>
        <w:t>os</w:t>
      </w:r>
      <w:r w:rsidRPr="00975C02">
        <w:rPr>
          <w:bCs/>
          <w:sz w:val="20"/>
          <w:szCs w:val="20"/>
          <w:lang w:val="es-ES"/>
        </w:rPr>
        <w:t xml:space="preserve"> párrafo</w:t>
      </w:r>
      <w:r w:rsidR="004F5657" w:rsidRPr="00975C02">
        <w:rPr>
          <w:bCs/>
          <w:sz w:val="20"/>
          <w:szCs w:val="20"/>
          <w:lang w:val="es-ES"/>
        </w:rPr>
        <w:t>s</w:t>
      </w:r>
      <w:r w:rsidRPr="00975C02">
        <w:rPr>
          <w:bCs/>
          <w:sz w:val="20"/>
          <w:szCs w:val="20"/>
          <w:lang w:val="es-ES"/>
        </w:rPr>
        <w:t xml:space="preserve"> </w:t>
      </w:r>
      <w:r w:rsidR="003F66BF" w:rsidRPr="00975C02">
        <w:rPr>
          <w:bCs/>
          <w:sz w:val="20"/>
          <w:szCs w:val="20"/>
          <w:lang w:val="es-ES"/>
        </w:rPr>
        <w:t>381</w:t>
      </w:r>
      <w:r w:rsidR="004F5657" w:rsidRPr="00975C02">
        <w:rPr>
          <w:bCs/>
          <w:sz w:val="20"/>
          <w:szCs w:val="20"/>
          <w:lang w:val="es-ES"/>
        </w:rPr>
        <w:t xml:space="preserve"> a </w:t>
      </w:r>
      <w:r w:rsidR="003F66BF" w:rsidRPr="00975C02">
        <w:rPr>
          <w:bCs/>
          <w:sz w:val="20"/>
          <w:szCs w:val="20"/>
          <w:lang w:val="es-ES"/>
        </w:rPr>
        <w:t>385</w:t>
      </w:r>
      <w:r w:rsidRPr="00975C02">
        <w:rPr>
          <w:bCs/>
          <w:sz w:val="20"/>
          <w:szCs w:val="20"/>
          <w:lang w:val="es-ES"/>
        </w:rPr>
        <w:t xml:space="preserve"> de esta Sentencia.</w:t>
      </w:r>
    </w:p>
    <w:p w14:paraId="5A080C75" w14:textId="77777777" w:rsidR="009D0B2B" w:rsidRPr="00975C02" w:rsidRDefault="009D0B2B" w:rsidP="009D0B2B">
      <w:pPr>
        <w:pStyle w:val="Prrafodelista2"/>
        <w:tabs>
          <w:tab w:val="left" w:pos="0"/>
          <w:tab w:val="num" w:pos="11028"/>
        </w:tabs>
        <w:ind w:left="0" w:right="-90"/>
        <w:jc w:val="both"/>
        <w:rPr>
          <w:rFonts w:cs="Verdana"/>
          <w:lang w:val="es-ES"/>
        </w:rPr>
      </w:pPr>
    </w:p>
    <w:p w14:paraId="5F64B593" w14:textId="40E6622D" w:rsidR="003E1DA7" w:rsidRPr="00975C02" w:rsidRDefault="009D0B2B" w:rsidP="009D0B2B">
      <w:pPr>
        <w:widowControl/>
        <w:numPr>
          <w:ilvl w:val="0"/>
          <w:numId w:val="21"/>
        </w:numPr>
        <w:tabs>
          <w:tab w:val="left" w:pos="720"/>
        </w:tabs>
        <w:adjustRightInd/>
        <w:spacing w:line="240" w:lineRule="auto"/>
        <w:ind w:right="-90"/>
        <w:contextualSpacing/>
        <w:textAlignment w:val="auto"/>
        <w:rPr>
          <w:rFonts w:cs="Verdana"/>
          <w:iCs/>
          <w:sz w:val="20"/>
          <w:szCs w:val="20"/>
          <w:lang w:val="es-ES"/>
        </w:rPr>
      </w:pPr>
      <w:r w:rsidRPr="00975C02">
        <w:rPr>
          <w:bCs/>
          <w:sz w:val="20"/>
          <w:szCs w:val="20"/>
          <w:lang w:val="es-ES"/>
        </w:rPr>
        <w:t>El</w:t>
      </w:r>
      <w:r w:rsidRPr="00975C02">
        <w:rPr>
          <w:rFonts w:cs="Verdana"/>
          <w:iCs/>
          <w:sz w:val="20"/>
          <w:szCs w:val="20"/>
          <w:lang w:val="es-ES"/>
        </w:rPr>
        <w:t xml:space="preserve"> Estado debe </w:t>
      </w:r>
      <w:r w:rsidR="003E1DA7" w:rsidRPr="00975C02">
        <w:rPr>
          <w:sz w:val="20"/>
          <w:szCs w:val="20"/>
          <w:lang w:val="es-ES"/>
        </w:rPr>
        <w:t xml:space="preserve">crear e implementar una figura especializada que brinde asistencia jurídica gratuita a las niñas, niños y adolescentes víctimas de delitos, especialmente de violencia sexual, </w:t>
      </w:r>
      <w:r w:rsidR="003E1DA7" w:rsidRPr="00975C02">
        <w:rPr>
          <w:bCs/>
          <w:sz w:val="20"/>
          <w:szCs w:val="20"/>
          <w:lang w:val="es-ES"/>
        </w:rPr>
        <w:t xml:space="preserve">de conformidad con lo establecido en el párrafo </w:t>
      </w:r>
      <w:r w:rsidR="003F66BF" w:rsidRPr="00975C02">
        <w:rPr>
          <w:bCs/>
          <w:sz w:val="20"/>
          <w:szCs w:val="20"/>
          <w:lang w:val="es-ES"/>
        </w:rPr>
        <w:t xml:space="preserve">387 </w:t>
      </w:r>
      <w:r w:rsidR="003E1DA7" w:rsidRPr="00975C02">
        <w:rPr>
          <w:bCs/>
          <w:sz w:val="20"/>
          <w:szCs w:val="20"/>
          <w:lang w:val="es-ES"/>
        </w:rPr>
        <w:t>de esta Sentencia.</w:t>
      </w:r>
    </w:p>
    <w:p w14:paraId="7B9DF4D7" w14:textId="77777777" w:rsidR="003E1DA7" w:rsidRPr="00975C02" w:rsidRDefault="003E1DA7" w:rsidP="003E1DA7">
      <w:pPr>
        <w:widowControl/>
        <w:tabs>
          <w:tab w:val="left" w:pos="720"/>
        </w:tabs>
        <w:adjustRightInd/>
        <w:spacing w:line="240" w:lineRule="auto"/>
        <w:ind w:right="-90"/>
        <w:contextualSpacing/>
        <w:textAlignment w:val="auto"/>
        <w:rPr>
          <w:rFonts w:cs="Verdana"/>
          <w:iCs/>
          <w:sz w:val="20"/>
          <w:szCs w:val="20"/>
          <w:lang w:val="es-ES"/>
        </w:rPr>
      </w:pPr>
    </w:p>
    <w:p w14:paraId="01D2D3ED" w14:textId="0EB87257" w:rsidR="009D0B2B" w:rsidRPr="00975C02" w:rsidRDefault="00424B0A" w:rsidP="009D0B2B">
      <w:pPr>
        <w:widowControl/>
        <w:numPr>
          <w:ilvl w:val="0"/>
          <w:numId w:val="21"/>
        </w:numPr>
        <w:tabs>
          <w:tab w:val="left" w:pos="720"/>
        </w:tabs>
        <w:adjustRightInd/>
        <w:spacing w:line="240" w:lineRule="auto"/>
        <w:ind w:right="-90"/>
        <w:contextualSpacing/>
        <w:textAlignment w:val="auto"/>
        <w:rPr>
          <w:rFonts w:cs="Verdana"/>
          <w:iCs/>
          <w:sz w:val="20"/>
          <w:szCs w:val="20"/>
          <w:lang w:val="es-ES"/>
        </w:rPr>
      </w:pPr>
      <w:r w:rsidRPr="00975C02">
        <w:rPr>
          <w:rFonts w:cs="Verdana"/>
          <w:iCs/>
          <w:sz w:val="20"/>
          <w:szCs w:val="20"/>
          <w:lang w:val="es-ES"/>
        </w:rPr>
        <w:t xml:space="preserve">El Estado debe </w:t>
      </w:r>
      <w:r w:rsidR="00955C70" w:rsidRPr="00975C02">
        <w:rPr>
          <w:sz w:val="20"/>
          <w:szCs w:val="20"/>
          <w:lang w:val="es-ES"/>
        </w:rPr>
        <w:t>adoptar e implementar</w:t>
      </w:r>
      <w:r w:rsidRPr="00975C02">
        <w:rPr>
          <w:sz w:val="20"/>
          <w:szCs w:val="20"/>
          <w:lang w:val="es-ES"/>
        </w:rPr>
        <w:t xml:space="preserve"> las capacitaciones y </w:t>
      </w:r>
      <w:r w:rsidR="009517A9" w:rsidRPr="00975C02">
        <w:rPr>
          <w:sz w:val="20"/>
          <w:szCs w:val="20"/>
          <w:lang w:val="es-ES"/>
        </w:rPr>
        <w:t xml:space="preserve">los </w:t>
      </w:r>
      <w:r w:rsidRPr="00975C02">
        <w:rPr>
          <w:sz w:val="20"/>
          <w:szCs w:val="20"/>
          <w:lang w:val="es-ES"/>
        </w:rPr>
        <w:t>cursos</w:t>
      </w:r>
      <w:r w:rsidR="009517A9" w:rsidRPr="00975C02">
        <w:rPr>
          <w:sz w:val="20"/>
          <w:szCs w:val="20"/>
          <w:lang w:val="es-ES"/>
        </w:rPr>
        <w:t>,</w:t>
      </w:r>
      <w:r w:rsidRPr="00975C02">
        <w:rPr>
          <w:sz w:val="20"/>
          <w:szCs w:val="20"/>
          <w:lang w:val="es-ES"/>
        </w:rPr>
        <w:t xml:space="preserve"> de carácter permanente</w:t>
      </w:r>
      <w:r w:rsidR="009517A9" w:rsidRPr="00975C02">
        <w:rPr>
          <w:sz w:val="20"/>
          <w:szCs w:val="20"/>
          <w:lang w:val="es-ES"/>
        </w:rPr>
        <w:t>,</w:t>
      </w:r>
      <w:r w:rsidRPr="00975C02">
        <w:rPr>
          <w:sz w:val="20"/>
          <w:szCs w:val="20"/>
          <w:lang w:val="es-ES"/>
        </w:rPr>
        <w:t xml:space="preserve"> ordenados </w:t>
      </w:r>
      <w:r w:rsidR="009D0B2B" w:rsidRPr="00975C02">
        <w:rPr>
          <w:bCs/>
          <w:sz w:val="20"/>
          <w:szCs w:val="20"/>
          <w:lang w:val="es-ES"/>
        </w:rPr>
        <w:t>en l</w:t>
      </w:r>
      <w:r w:rsidRPr="00975C02">
        <w:rPr>
          <w:bCs/>
          <w:sz w:val="20"/>
          <w:szCs w:val="20"/>
          <w:lang w:val="es-ES"/>
        </w:rPr>
        <w:t>os</w:t>
      </w:r>
      <w:r w:rsidR="009D0B2B" w:rsidRPr="00975C02">
        <w:rPr>
          <w:bCs/>
          <w:sz w:val="20"/>
          <w:szCs w:val="20"/>
          <w:lang w:val="es-ES"/>
        </w:rPr>
        <w:t xml:space="preserve"> párrafo</w:t>
      </w:r>
      <w:r w:rsidRPr="00975C02">
        <w:rPr>
          <w:bCs/>
          <w:sz w:val="20"/>
          <w:szCs w:val="20"/>
          <w:lang w:val="es-ES"/>
        </w:rPr>
        <w:t>s</w:t>
      </w:r>
      <w:r w:rsidR="009D0B2B" w:rsidRPr="00975C02">
        <w:rPr>
          <w:bCs/>
          <w:sz w:val="20"/>
          <w:szCs w:val="20"/>
          <w:lang w:val="es-ES"/>
        </w:rPr>
        <w:t xml:space="preserve"> </w:t>
      </w:r>
      <w:r w:rsidR="00051EC4" w:rsidRPr="00975C02">
        <w:rPr>
          <w:bCs/>
          <w:sz w:val="20"/>
          <w:szCs w:val="20"/>
          <w:lang w:val="es-ES"/>
        </w:rPr>
        <w:t>392 a 395</w:t>
      </w:r>
      <w:r w:rsidR="009D0B2B" w:rsidRPr="00975C02">
        <w:rPr>
          <w:bCs/>
          <w:sz w:val="20"/>
          <w:szCs w:val="20"/>
          <w:lang w:val="es-ES"/>
        </w:rPr>
        <w:t xml:space="preserve"> de esta Sentencia.</w:t>
      </w:r>
    </w:p>
    <w:p w14:paraId="1018E266" w14:textId="77777777" w:rsidR="009D0B2B" w:rsidRPr="00975C02" w:rsidRDefault="009D0B2B" w:rsidP="009D0B2B">
      <w:pPr>
        <w:spacing w:line="240" w:lineRule="auto"/>
        <w:rPr>
          <w:sz w:val="20"/>
          <w:szCs w:val="20"/>
          <w:lang w:val="es-ES"/>
        </w:rPr>
      </w:pPr>
    </w:p>
    <w:p w14:paraId="25B2187C" w14:textId="3A93E87E"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El </w:t>
      </w:r>
      <w:r w:rsidRPr="00975C02">
        <w:rPr>
          <w:sz w:val="20"/>
          <w:szCs w:val="20"/>
          <w:lang w:val="es-ES"/>
        </w:rPr>
        <w:t>Estado</w:t>
      </w:r>
      <w:r w:rsidRPr="00975C02">
        <w:rPr>
          <w:bCs/>
          <w:sz w:val="20"/>
          <w:szCs w:val="20"/>
          <w:lang w:val="es-ES"/>
        </w:rPr>
        <w:t xml:space="preserve"> debe pagar las cantidades fijadas en los párrafos </w:t>
      </w:r>
      <w:r w:rsidR="00FA67E8" w:rsidRPr="00975C02">
        <w:rPr>
          <w:bCs/>
          <w:sz w:val="20"/>
          <w:szCs w:val="20"/>
          <w:lang w:val="es-ES"/>
        </w:rPr>
        <w:t>411</w:t>
      </w:r>
      <w:r w:rsidR="00955C70" w:rsidRPr="00975C02">
        <w:rPr>
          <w:bCs/>
          <w:sz w:val="20"/>
          <w:szCs w:val="20"/>
          <w:lang w:val="es-ES"/>
        </w:rPr>
        <w:t xml:space="preserve">, </w:t>
      </w:r>
      <w:r w:rsidR="00FA67E8" w:rsidRPr="00975C02">
        <w:rPr>
          <w:bCs/>
          <w:sz w:val="20"/>
          <w:szCs w:val="20"/>
          <w:lang w:val="es-ES"/>
        </w:rPr>
        <w:t>419,</w:t>
      </w:r>
      <w:r w:rsidRPr="00975C02">
        <w:rPr>
          <w:bCs/>
          <w:sz w:val="20"/>
          <w:szCs w:val="20"/>
          <w:lang w:val="es-ES"/>
        </w:rPr>
        <w:t xml:space="preserve"> </w:t>
      </w:r>
      <w:r w:rsidR="00FA67E8" w:rsidRPr="00975C02">
        <w:rPr>
          <w:bCs/>
          <w:sz w:val="20"/>
          <w:szCs w:val="20"/>
          <w:lang w:val="es-ES"/>
        </w:rPr>
        <w:t>426 y 433</w:t>
      </w:r>
      <w:r w:rsidRPr="00975C02">
        <w:rPr>
          <w:bCs/>
          <w:sz w:val="20"/>
          <w:szCs w:val="20"/>
          <w:lang w:val="es-ES"/>
        </w:rPr>
        <w:t xml:space="preserve"> de la presente Sentencia, por concepto de indemnización por daño material e inmaterial, y por el reintegro de costas y gastos, en los términos de los referidos párrafos y de los párrafos </w:t>
      </w:r>
      <w:r w:rsidR="00FA67E8" w:rsidRPr="00975C02">
        <w:rPr>
          <w:bCs/>
          <w:sz w:val="20"/>
          <w:szCs w:val="20"/>
          <w:lang w:val="es-ES"/>
        </w:rPr>
        <w:t>442</w:t>
      </w:r>
      <w:r w:rsidRPr="00975C02">
        <w:rPr>
          <w:bCs/>
          <w:sz w:val="20"/>
          <w:szCs w:val="20"/>
          <w:lang w:val="es-ES"/>
        </w:rPr>
        <w:t xml:space="preserve"> a </w:t>
      </w:r>
      <w:r w:rsidR="00FA67E8" w:rsidRPr="00975C02">
        <w:rPr>
          <w:bCs/>
          <w:sz w:val="20"/>
          <w:szCs w:val="20"/>
          <w:lang w:val="es-ES"/>
        </w:rPr>
        <w:t>447</w:t>
      </w:r>
      <w:r w:rsidRPr="00975C02">
        <w:rPr>
          <w:bCs/>
          <w:sz w:val="20"/>
          <w:szCs w:val="20"/>
          <w:lang w:val="es-ES"/>
        </w:rPr>
        <w:t>.</w:t>
      </w:r>
    </w:p>
    <w:p w14:paraId="3C6204B8" w14:textId="77777777" w:rsidR="009D0B2B" w:rsidRPr="00975C02" w:rsidRDefault="009D0B2B" w:rsidP="009D0B2B">
      <w:pPr>
        <w:pStyle w:val="Prrafodelista2"/>
        <w:ind w:left="0" w:right="-90"/>
        <w:contextualSpacing/>
        <w:jc w:val="both"/>
        <w:rPr>
          <w:bCs/>
          <w:lang w:val="es-ES"/>
        </w:rPr>
      </w:pPr>
    </w:p>
    <w:p w14:paraId="175BDF1D" w14:textId="655F5C7A" w:rsidR="009D0B2B" w:rsidRPr="00975C02" w:rsidRDefault="009D0B2B" w:rsidP="009D0B2B">
      <w:pPr>
        <w:widowControl/>
        <w:numPr>
          <w:ilvl w:val="0"/>
          <w:numId w:val="21"/>
        </w:numPr>
        <w:tabs>
          <w:tab w:val="left" w:pos="720"/>
        </w:tabs>
        <w:adjustRightInd/>
        <w:spacing w:line="240" w:lineRule="auto"/>
        <w:ind w:right="-90"/>
        <w:contextualSpacing/>
        <w:textAlignment w:val="auto"/>
        <w:rPr>
          <w:sz w:val="20"/>
          <w:szCs w:val="20"/>
          <w:lang w:val="es-ES"/>
        </w:rPr>
      </w:pPr>
      <w:r w:rsidRPr="00975C02">
        <w:rPr>
          <w:sz w:val="20"/>
          <w:szCs w:val="20"/>
          <w:lang w:val="es-ES"/>
        </w:rPr>
        <w:t xml:space="preserve">El Estado debe reintegrar al Fondo de Asistencia Legal de Víctimas de la Corte Interamericana de Derechos Humanos la cantidad erogada durante la tramitación del presente caso, en los términos de los párrafos </w:t>
      </w:r>
      <w:r w:rsidR="00FA67E8" w:rsidRPr="00975C02">
        <w:rPr>
          <w:sz w:val="20"/>
          <w:szCs w:val="20"/>
          <w:lang w:val="es-ES"/>
        </w:rPr>
        <w:t>441</w:t>
      </w:r>
      <w:r w:rsidRPr="00975C02">
        <w:rPr>
          <w:sz w:val="20"/>
          <w:szCs w:val="20"/>
          <w:lang w:val="es-ES"/>
        </w:rPr>
        <w:t xml:space="preserve"> y </w:t>
      </w:r>
      <w:r w:rsidR="00FA67E8" w:rsidRPr="00975C02">
        <w:rPr>
          <w:sz w:val="20"/>
          <w:szCs w:val="20"/>
          <w:lang w:val="es-ES"/>
        </w:rPr>
        <w:t>447</w:t>
      </w:r>
      <w:r w:rsidRPr="00975C02">
        <w:rPr>
          <w:sz w:val="20"/>
          <w:szCs w:val="20"/>
          <w:lang w:val="es-ES"/>
        </w:rPr>
        <w:t xml:space="preserve"> de esta Sentencia.</w:t>
      </w:r>
    </w:p>
    <w:p w14:paraId="3A8B0DF6" w14:textId="77777777" w:rsidR="009D0B2B" w:rsidRPr="00975C02" w:rsidRDefault="009D0B2B" w:rsidP="009D0B2B">
      <w:pPr>
        <w:pStyle w:val="Prrafodelista2"/>
        <w:ind w:left="0" w:right="-90"/>
        <w:contextualSpacing/>
        <w:jc w:val="both"/>
        <w:rPr>
          <w:bCs/>
          <w:lang w:val="es-ES"/>
        </w:rPr>
      </w:pPr>
    </w:p>
    <w:p w14:paraId="03A37994" w14:textId="6A2566A5"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El Estado debe, dentro del plazo de un año contado a partir de la notificación de esta Sentencia, rendir al Tribunal un informe sobre las medidas adoptadas para cumplir con la misma, sin perjuicio de lo establecido en el párrafo </w:t>
      </w:r>
      <w:r w:rsidR="00FA67E8" w:rsidRPr="00975C02">
        <w:rPr>
          <w:bCs/>
          <w:sz w:val="20"/>
          <w:szCs w:val="20"/>
          <w:lang w:val="es-ES"/>
        </w:rPr>
        <w:t>356</w:t>
      </w:r>
      <w:r w:rsidRPr="00975C02">
        <w:rPr>
          <w:bCs/>
          <w:sz w:val="20"/>
          <w:szCs w:val="20"/>
          <w:lang w:val="es-ES"/>
        </w:rPr>
        <w:t xml:space="preserve"> de la presente Sentencia.</w:t>
      </w:r>
    </w:p>
    <w:p w14:paraId="317BC2C3" w14:textId="77777777" w:rsidR="009D0B2B" w:rsidRPr="00975C02" w:rsidRDefault="009D0B2B" w:rsidP="009D0B2B">
      <w:pPr>
        <w:pStyle w:val="Prrafodelista2"/>
        <w:ind w:left="0" w:right="-90"/>
        <w:contextualSpacing/>
        <w:jc w:val="both"/>
        <w:rPr>
          <w:bCs/>
          <w:lang w:val="es-ES"/>
        </w:rPr>
      </w:pPr>
    </w:p>
    <w:p w14:paraId="73EB7BD1" w14:textId="77777777" w:rsidR="009D0B2B" w:rsidRPr="00975C02" w:rsidRDefault="009D0B2B" w:rsidP="009D0B2B">
      <w:pPr>
        <w:widowControl/>
        <w:numPr>
          <w:ilvl w:val="0"/>
          <w:numId w:val="21"/>
        </w:numPr>
        <w:tabs>
          <w:tab w:val="left" w:pos="720"/>
        </w:tabs>
        <w:adjustRightInd/>
        <w:spacing w:line="240" w:lineRule="auto"/>
        <w:ind w:right="-90"/>
        <w:contextualSpacing/>
        <w:textAlignment w:val="auto"/>
        <w:rPr>
          <w:bCs/>
          <w:sz w:val="20"/>
          <w:szCs w:val="20"/>
          <w:lang w:val="es-ES"/>
        </w:rPr>
      </w:pPr>
      <w:r w:rsidRPr="00975C02">
        <w:rPr>
          <w:bCs/>
          <w:sz w:val="20"/>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55094D3F" w14:textId="77777777" w:rsidR="009D0B2B" w:rsidRPr="00975C02" w:rsidRDefault="009D0B2B" w:rsidP="009D0B2B">
      <w:pPr>
        <w:widowControl/>
        <w:tabs>
          <w:tab w:val="left" w:pos="720"/>
        </w:tabs>
        <w:adjustRightInd/>
        <w:spacing w:line="240" w:lineRule="auto"/>
        <w:ind w:right="-90"/>
        <w:contextualSpacing/>
        <w:textAlignment w:val="auto"/>
        <w:rPr>
          <w:b/>
          <w:bCs/>
          <w:sz w:val="20"/>
          <w:szCs w:val="20"/>
          <w:lang w:val="es-ES"/>
        </w:rPr>
      </w:pPr>
    </w:p>
    <w:p w14:paraId="0A5CCF16" w14:textId="694D9E8F" w:rsidR="009D0B2B" w:rsidRDefault="009D0B2B" w:rsidP="008353ED">
      <w:pPr>
        <w:widowControl/>
        <w:tabs>
          <w:tab w:val="left" w:pos="720"/>
        </w:tabs>
        <w:adjustRightInd/>
        <w:spacing w:line="240" w:lineRule="auto"/>
        <w:ind w:right="-90"/>
        <w:contextualSpacing/>
        <w:textAlignment w:val="auto"/>
        <w:rPr>
          <w:bCs/>
          <w:sz w:val="20"/>
          <w:szCs w:val="20"/>
          <w:lang w:val="es-ES"/>
        </w:rPr>
      </w:pPr>
      <w:r w:rsidRPr="00975C02">
        <w:rPr>
          <w:bCs/>
          <w:sz w:val="20"/>
          <w:szCs w:val="20"/>
          <w:lang w:val="es-ES"/>
        </w:rPr>
        <w:t xml:space="preserve">Redactada en español en San José, Costa Rica, el </w:t>
      </w:r>
      <w:r w:rsidR="00D4268B" w:rsidRPr="00975C02">
        <w:rPr>
          <w:bCs/>
          <w:sz w:val="20"/>
          <w:szCs w:val="20"/>
          <w:lang w:val="es-ES"/>
        </w:rPr>
        <w:t xml:space="preserve">8 de marzo </w:t>
      </w:r>
      <w:r w:rsidRPr="00975C02">
        <w:rPr>
          <w:bCs/>
          <w:sz w:val="20"/>
          <w:szCs w:val="20"/>
          <w:lang w:val="es-ES"/>
        </w:rPr>
        <w:t>de 2018.</w:t>
      </w:r>
    </w:p>
    <w:p w14:paraId="0B1DACC8"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C7A2E5B"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4651074A"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2D917E7F"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41AE9518"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19A9415"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22FC5B8"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7DC0E062"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B6D06D0"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50AB4A07"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5643E11B"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51FBE9A"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2DDFBBBD"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7B32186D"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4BDFF479"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9B2AEEE"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6EDCCA9"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BD12DF5"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52DD038B"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3DDC8C9"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6E6C7FF6"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5376025E" w14:textId="77777777" w:rsidR="007F7D87" w:rsidRDefault="007F7D87" w:rsidP="008353ED">
      <w:pPr>
        <w:widowControl/>
        <w:tabs>
          <w:tab w:val="left" w:pos="720"/>
        </w:tabs>
        <w:adjustRightInd/>
        <w:spacing w:line="240" w:lineRule="auto"/>
        <w:ind w:right="-90"/>
        <w:contextualSpacing/>
        <w:textAlignment w:val="auto"/>
        <w:rPr>
          <w:bCs/>
          <w:sz w:val="20"/>
          <w:szCs w:val="20"/>
          <w:lang w:val="es-ES"/>
        </w:rPr>
      </w:pPr>
    </w:p>
    <w:p w14:paraId="05C21099" w14:textId="77777777" w:rsidR="000B44AC" w:rsidRDefault="000B44AC" w:rsidP="000B44AC">
      <w:pPr>
        <w:rPr>
          <w:sz w:val="20"/>
          <w:lang w:val="es-ES"/>
        </w:rPr>
      </w:pPr>
      <w:r>
        <w:rPr>
          <w:sz w:val="20"/>
          <w:lang w:val="es-ES"/>
        </w:rPr>
        <w:lastRenderedPageBreak/>
        <w:t xml:space="preserve">Corte IDH. Caso </w:t>
      </w:r>
      <w:r w:rsidRPr="00D82419">
        <w:rPr>
          <w:i/>
          <w:sz w:val="20"/>
          <w:lang w:val="es-ES"/>
        </w:rPr>
        <w:t>V.R.P.</w:t>
      </w:r>
      <w:r>
        <w:rPr>
          <w:i/>
          <w:sz w:val="20"/>
          <w:lang w:val="es-ES"/>
        </w:rPr>
        <w:t>,</w:t>
      </w:r>
      <w:r w:rsidRPr="00D82419">
        <w:rPr>
          <w:i/>
          <w:sz w:val="20"/>
          <w:lang w:val="es-ES"/>
        </w:rPr>
        <w:t xml:space="preserve"> V.P.C. </w:t>
      </w:r>
      <w:r w:rsidRPr="00B33368">
        <w:rPr>
          <w:i/>
          <w:sz w:val="20"/>
          <w:lang w:val="es-ES"/>
        </w:rPr>
        <w:t>y otros</w:t>
      </w:r>
      <w:r w:rsidRPr="00D82419">
        <w:rPr>
          <w:i/>
          <w:sz w:val="20"/>
          <w:lang w:val="es-ES"/>
        </w:rPr>
        <w:t xml:space="preserve"> Vs. Nicaragua</w:t>
      </w:r>
      <w:r>
        <w:rPr>
          <w:sz w:val="20"/>
          <w:lang w:val="es-ES"/>
        </w:rPr>
        <w:t>. Excepciones Preliminares, Fondo, Reparaciones y Costas. Sentencia de 8 de marzo de 2018.</w:t>
      </w:r>
    </w:p>
    <w:p w14:paraId="0103661F" w14:textId="77777777" w:rsidR="000B44AC" w:rsidRPr="00DA00D0" w:rsidRDefault="000B44AC" w:rsidP="000B44AC">
      <w:pPr>
        <w:rPr>
          <w:strike/>
          <w:sz w:val="20"/>
          <w:lang w:val="pt-BR"/>
        </w:rPr>
      </w:pPr>
    </w:p>
    <w:p w14:paraId="6D09009D" w14:textId="77777777" w:rsidR="000B44AC" w:rsidRPr="00DA00D0" w:rsidRDefault="000B44AC" w:rsidP="000B44AC">
      <w:pPr>
        <w:rPr>
          <w:sz w:val="20"/>
          <w:lang w:val="pt-BR"/>
        </w:rPr>
      </w:pPr>
    </w:p>
    <w:p w14:paraId="21FD9D5C" w14:textId="77777777" w:rsidR="000B44AC" w:rsidRDefault="000B44AC" w:rsidP="000B44AC">
      <w:pPr>
        <w:rPr>
          <w:sz w:val="20"/>
          <w:lang w:val="pt-BR"/>
        </w:rPr>
      </w:pPr>
    </w:p>
    <w:p w14:paraId="198AA4B2" w14:textId="77777777" w:rsidR="000B44AC" w:rsidRPr="00DA00D0" w:rsidRDefault="000B44AC" w:rsidP="000B44AC">
      <w:pPr>
        <w:rPr>
          <w:sz w:val="20"/>
          <w:lang w:val="pt-BR"/>
        </w:rPr>
      </w:pPr>
    </w:p>
    <w:p w14:paraId="76DD0512" w14:textId="77777777" w:rsidR="000B44AC" w:rsidRPr="00DA00D0" w:rsidRDefault="000B44AC" w:rsidP="000B44AC">
      <w:pPr>
        <w:jc w:val="center"/>
        <w:rPr>
          <w:sz w:val="20"/>
          <w:lang w:val="pt-BR"/>
        </w:rPr>
      </w:pPr>
      <w:r w:rsidRPr="00DA00D0">
        <w:rPr>
          <w:sz w:val="20"/>
          <w:lang w:val="pt-BR"/>
        </w:rPr>
        <w:t>Eduardo Ferrer Mac-Gregor Poisot</w:t>
      </w:r>
    </w:p>
    <w:p w14:paraId="18187D86" w14:textId="77777777" w:rsidR="000B44AC" w:rsidRPr="00DA00D0" w:rsidRDefault="000B44AC" w:rsidP="000B44AC">
      <w:pPr>
        <w:jc w:val="center"/>
        <w:rPr>
          <w:sz w:val="20"/>
          <w:lang w:val="pt-BR"/>
        </w:rPr>
      </w:pPr>
      <w:r>
        <w:rPr>
          <w:sz w:val="20"/>
          <w:lang w:val="pt-BR"/>
        </w:rPr>
        <w:t xml:space="preserve">Presidente </w:t>
      </w:r>
    </w:p>
    <w:p w14:paraId="7E944C6D" w14:textId="77777777" w:rsidR="000B44AC" w:rsidRPr="00DA00D0" w:rsidRDefault="000B44AC" w:rsidP="000B44AC">
      <w:pPr>
        <w:rPr>
          <w:sz w:val="20"/>
          <w:lang w:val="pt-BR"/>
        </w:rPr>
      </w:pPr>
    </w:p>
    <w:p w14:paraId="7CC9C2AA" w14:textId="77777777" w:rsidR="000B44AC" w:rsidRPr="00DA00D0" w:rsidRDefault="000B44AC" w:rsidP="000B44AC">
      <w:pPr>
        <w:rPr>
          <w:sz w:val="20"/>
          <w:lang w:val="pt-BR"/>
        </w:rPr>
      </w:pPr>
    </w:p>
    <w:p w14:paraId="633DF8FA" w14:textId="77777777" w:rsidR="000B44AC" w:rsidRPr="00DA00D0" w:rsidRDefault="000B44AC" w:rsidP="000B44AC">
      <w:pPr>
        <w:rPr>
          <w:sz w:val="20"/>
          <w:lang w:val="pt-BR"/>
        </w:rPr>
      </w:pPr>
    </w:p>
    <w:p w14:paraId="5B858D5F" w14:textId="77777777" w:rsidR="000B44AC" w:rsidRDefault="000B44AC" w:rsidP="000B44AC">
      <w:pPr>
        <w:rPr>
          <w:sz w:val="20"/>
          <w:lang w:val="pt-BR"/>
        </w:rPr>
      </w:pPr>
      <w:r w:rsidRPr="00DA00D0">
        <w:rPr>
          <w:sz w:val="20"/>
          <w:lang w:val="pt-BR"/>
        </w:rPr>
        <w:t xml:space="preserve">Humberto </w:t>
      </w:r>
      <w:r>
        <w:rPr>
          <w:sz w:val="20"/>
          <w:lang w:val="pt-BR"/>
        </w:rPr>
        <w:t xml:space="preserve">A. </w:t>
      </w:r>
      <w:r w:rsidRPr="00DA00D0">
        <w:rPr>
          <w:sz w:val="20"/>
          <w:lang w:val="pt-BR"/>
        </w:rPr>
        <w:t>Sierra Porto</w:t>
      </w:r>
      <w:r w:rsidRPr="00DA00D0">
        <w:rPr>
          <w:sz w:val="20"/>
          <w:lang w:val="pt-BR"/>
        </w:rPr>
        <w:tab/>
      </w:r>
      <w:r w:rsidRPr="00DA00D0">
        <w:rPr>
          <w:sz w:val="20"/>
          <w:lang w:val="pt-BR"/>
        </w:rPr>
        <w:tab/>
      </w:r>
      <w:r w:rsidRPr="00DA00D0">
        <w:rPr>
          <w:sz w:val="20"/>
          <w:lang w:val="pt-BR"/>
        </w:rPr>
        <w:tab/>
      </w:r>
      <w:r>
        <w:rPr>
          <w:sz w:val="20"/>
          <w:lang w:val="pt-BR"/>
        </w:rPr>
        <w:tab/>
      </w:r>
      <w:r>
        <w:rPr>
          <w:sz w:val="20"/>
          <w:lang w:val="pt-BR"/>
        </w:rPr>
        <w:tab/>
      </w:r>
      <w:r>
        <w:rPr>
          <w:sz w:val="20"/>
          <w:lang w:val="pt-BR"/>
        </w:rPr>
        <w:tab/>
      </w:r>
      <w:r>
        <w:rPr>
          <w:sz w:val="20"/>
          <w:lang w:val="pt-BR"/>
        </w:rPr>
        <w:tab/>
      </w:r>
      <w:r w:rsidRPr="00DA00D0">
        <w:rPr>
          <w:sz w:val="20"/>
          <w:lang w:val="pt-BR"/>
        </w:rPr>
        <w:t>Eli</w:t>
      </w:r>
      <w:r>
        <w:rPr>
          <w:sz w:val="20"/>
          <w:lang w:val="pt-BR"/>
        </w:rPr>
        <w:t>zabeth Odio Benito</w:t>
      </w:r>
    </w:p>
    <w:p w14:paraId="2D8D6DB3" w14:textId="77777777" w:rsidR="000B44AC" w:rsidRDefault="000B44AC" w:rsidP="000B44AC">
      <w:pPr>
        <w:rPr>
          <w:sz w:val="20"/>
          <w:lang w:val="pt-BR"/>
        </w:rPr>
      </w:pPr>
    </w:p>
    <w:p w14:paraId="25B62CFE" w14:textId="77777777" w:rsidR="000B44AC" w:rsidRDefault="000B44AC" w:rsidP="000B44AC">
      <w:pPr>
        <w:rPr>
          <w:sz w:val="20"/>
          <w:lang w:val="pt-BR"/>
        </w:rPr>
      </w:pPr>
    </w:p>
    <w:p w14:paraId="3054059E" w14:textId="77777777" w:rsidR="000B44AC" w:rsidRDefault="000B44AC" w:rsidP="000B44AC">
      <w:pPr>
        <w:rPr>
          <w:sz w:val="20"/>
          <w:lang w:val="pt-BR"/>
        </w:rPr>
      </w:pPr>
    </w:p>
    <w:p w14:paraId="22685C70" w14:textId="77777777" w:rsidR="000B44AC" w:rsidRDefault="000B44AC" w:rsidP="000B44AC">
      <w:pPr>
        <w:rPr>
          <w:sz w:val="20"/>
          <w:lang w:val="pt-BR"/>
        </w:rPr>
      </w:pPr>
    </w:p>
    <w:p w14:paraId="18AEE698" w14:textId="77777777" w:rsidR="000B44AC" w:rsidRPr="00DA00D0" w:rsidRDefault="000B44AC" w:rsidP="000B44AC">
      <w:pPr>
        <w:rPr>
          <w:sz w:val="20"/>
          <w:lang w:val="pt-BR"/>
        </w:rPr>
      </w:pPr>
      <w:r w:rsidRPr="00DA00D0">
        <w:rPr>
          <w:sz w:val="20"/>
          <w:lang w:val="pt-BR"/>
        </w:rPr>
        <w:t>Eugenio Raúl Zaffaroni</w:t>
      </w:r>
      <w:r w:rsidRPr="00D82419">
        <w:rPr>
          <w:sz w:val="20"/>
          <w:lang w:val="pt-BR"/>
        </w:rPr>
        <w:t xml:space="preserve"> </w:t>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t xml:space="preserve">    L.</w:t>
      </w:r>
      <w:r w:rsidRPr="00DA00D0">
        <w:rPr>
          <w:sz w:val="20"/>
          <w:lang w:val="pt-BR"/>
        </w:rPr>
        <w:t xml:space="preserve"> Patricio Pazmiño Fre</w:t>
      </w:r>
      <w:r>
        <w:rPr>
          <w:sz w:val="20"/>
          <w:lang w:val="pt-BR"/>
        </w:rPr>
        <w:t>i</w:t>
      </w:r>
      <w:r w:rsidRPr="00DA00D0">
        <w:rPr>
          <w:sz w:val="20"/>
          <w:lang w:val="pt-BR"/>
        </w:rPr>
        <w:t>re</w:t>
      </w:r>
    </w:p>
    <w:p w14:paraId="08D107A6" w14:textId="77777777" w:rsidR="000B44AC" w:rsidRPr="00DA00D0" w:rsidRDefault="000B44AC" w:rsidP="000B44AC">
      <w:pPr>
        <w:rPr>
          <w:sz w:val="20"/>
          <w:lang w:val="pt-BR"/>
        </w:rPr>
      </w:pPr>
    </w:p>
    <w:p w14:paraId="561F2825" w14:textId="77777777" w:rsidR="000B44AC" w:rsidRPr="00DA00D0" w:rsidRDefault="000B44AC" w:rsidP="000B44AC">
      <w:pPr>
        <w:rPr>
          <w:sz w:val="20"/>
          <w:lang w:val="pt-BR"/>
        </w:rPr>
      </w:pPr>
    </w:p>
    <w:p w14:paraId="54E95D15" w14:textId="77777777" w:rsidR="000B44AC" w:rsidRPr="00DA00D0" w:rsidRDefault="000B44AC" w:rsidP="000B44AC">
      <w:pPr>
        <w:rPr>
          <w:sz w:val="20"/>
          <w:lang w:val="pt-BR"/>
        </w:rPr>
      </w:pPr>
    </w:p>
    <w:p w14:paraId="17A4DB34" w14:textId="77777777" w:rsidR="000B44AC" w:rsidRPr="00FC4051" w:rsidRDefault="000B44AC" w:rsidP="000B44AC">
      <w:pPr>
        <w:jc w:val="center"/>
        <w:rPr>
          <w:sz w:val="20"/>
          <w:lang w:val="pt-BR"/>
        </w:rPr>
      </w:pPr>
      <w:r w:rsidRPr="00FC4051">
        <w:rPr>
          <w:sz w:val="20"/>
          <w:lang w:val="pt-BR"/>
        </w:rPr>
        <w:t>Pablo Saavedra Alessandri</w:t>
      </w:r>
    </w:p>
    <w:p w14:paraId="2A7A2066" w14:textId="77777777" w:rsidR="000B44AC" w:rsidRPr="00FC4051" w:rsidRDefault="000B44AC" w:rsidP="000B44AC">
      <w:pPr>
        <w:jc w:val="center"/>
        <w:rPr>
          <w:sz w:val="20"/>
          <w:lang w:val="pt-BR"/>
        </w:rPr>
      </w:pPr>
      <w:r w:rsidRPr="00FC4051">
        <w:rPr>
          <w:sz w:val="20"/>
          <w:lang w:val="pt-BR"/>
        </w:rPr>
        <w:t>Secret</w:t>
      </w:r>
      <w:r>
        <w:rPr>
          <w:sz w:val="20"/>
          <w:lang w:val="pt-BR"/>
        </w:rPr>
        <w:t>a</w:t>
      </w:r>
      <w:r w:rsidRPr="00FC4051">
        <w:rPr>
          <w:sz w:val="20"/>
          <w:lang w:val="pt-BR"/>
        </w:rPr>
        <w:t>rio</w:t>
      </w:r>
    </w:p>
    <w:p w14:paraId="2A39BFF9" w14:textId="77777777" w:rsidR="000B44AC" w:rsidRDefault="000B44AC" w:rsidP="000B44AC">
      <w:pPr>
        <w:pStyle w:val="FootnoteText"/>
        <w:rPr>
          <w:lang w:val="pt-BR"/>
        </w:rPr>
      </w:pPr>
    </w:p>
    <w:p w14:paraId="048681E9" w14:textId="77777777" w:rsidR="000B44AC" w:rsidRPr="00FC4051" w:rsidRDefault="000B44AC" w:rsidP="000B44AC">
      <w:pPr>
        <w:pStyle w:val="FootnoteText"/>
        <w:rPr>
          <w:lang w:val="pt-BR"/>
        </w:rPr>
      </w:pPr>
    </w:p>
    <w:p w14:paraId="373281F1" w14:textId="77777777" w:rsidR="000B44AC" w:rsidRPr="00FC4051" w:rsidRDefault="000B44AC" w:rsidP="000B44AC">
      <w:pPr>
        <w:pStyle w:val="FootnoteText"/>
        <w:rPr>
          <w:lang w:val="pt-BR"/>
        </w:rPr>
      </w:pPr>
    </w:p>
    <w:p w14:paraId="27AFBA2B" w14:textId="77777777" w:rsidR="000B44AC" w:rsidRPr="00FC4051" w:rsidRDefault="000B44AC" w:rsidP="000B44AC">
      <w:pPr>
        <w:rPr>
          <w:sz w:val="20"/>
          <w:lang w:val="pt-BR"/>
        </w:rPr>
      </w:pPr>
      <w:r>
        <w:rPr>
          <w:sz w:val="20"/>
          <w:lang w:val="pt-BR"/>
        </w:rPr>
        <w:t>Comuníquese y ejecútese</w:t>
      </w:r>
      <w:r w:rsidRPr="00FC4051">
        <w:rPr>
          <w:sz w:val="20"/>
          <w:lang w:val="pt-BR"/>
        </w:rPr>
        <w:t>,</w:t>
      </w:r>
    </w:p>
    <w:p w14:paraId="1B85BF44" w14:textId="77777777" w:rsidR="000B44AC" w:rsidRPr="00FC4051" w:rsidRDefault="000B44AC" w:rsidP="000B44AC">
      <w:pPr>
        <w:rPr>
          <w:sz w:val="20"/>
          <w:lang w:val="pt-BR"/>
        </w:rPr>
      </w:pPr>
    </w:p>
    <w:p w14:paraId="36A0DA96" w14:textId="77777777" w:rsidR="000B44AC" w:rsidRPr="00FC4051" w:rsidRDefault="000B44AC" w:rsidP="000B44AC">
      <w:pPr>
        <w:jc w:val="right"/>
        <w:rPr>
          <w:sz w:val="20"/>
          <w:lang w:val="pt-BR"/>
        </w:rPr>
      </w:pPr>
    </w:p>
    <w:p w14:paraId="53EE7D30" w14:textId="77777777" w:rsidR="000B44AC" w:rsidRPr="00FC4051" w:rsidRDefault="000B44AC" w:rsidP="000B44AC">
      <w:pPr>
        <w:jc w:val="right"/>
        <w:rPr>
          <w:sz w:val="20"/>
          <w:lang w:val="pt-BR"/>
        </w:rPr>
      </w:pPr>
    </w:p>
    <w:p w14:paraId="7F458C53" w14:textId="70C885BC" w:rsidR="000B44AC" w:rsidRPr="00FC4051" w:rsidRDefault="000B44AC" w:rsidP="000B44AC">
      <w:pPr>
        <w:jc w:val="center"/>
        <w:rPr>
          <w:sz w:val="20"/>
          <w:lang w:val="pt-BR"/>
        </w:rPr>
      </w:pPr>
      <w:r>
        <w:rPr>
          <w:sz w:val="20"/>
          <w:lang w:val="pt-BR"/>
        </w:rPr>
        <w:t xml:space="preserve">                                                                                  </w:t>
      </w:r>
      <w:r w:rsidRPr="00DA00D0">
        <w:rPr>
          <w:sz w:val="20"/>
          <w:lang w:val="pt-BR"/>
        </w:rPr>
        <w:t>Eduardo Ferrer Mac-Gregor Poisot</w:t>
      </w:r>
    </w:p>
    <w:p w14:paraId="2A254FF4" w14:textId="75E0A4B6" w:rsidR="000B44AC" w:rsidRPr="00DA00D0" w:rsidRDefault="000B44AC" w:rsidP="000B44AC">
      <w:pPr>
        <w:jc w:val="left"/>
        <w:rPr>
          <w:sz w:val="20"/>
          <w:lang w:val="pt-BR"/>
        </w:rPr>
      </w:pPr>
      <w:r>
        <w:rPr>
          <w:sz w:val="20"/>
          <w:lang w:val="pt-BR"/>
        </w:rPr>
        <w:t xml:space="preserve">       </w:t>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r>
      <w:r>
        <w:rPr>
          <w:sz w:val="20"/>
          <w:lang w:val="pt-BR"/>
        </w:rPr>
        <w:tab/>
        <w:t xml:space="preserve">  Presidente </w:t>
      </w:r>
    </w:p>
    <w:p w14:paraId="74790A98" w14:textId="77777777" w:rsidR="000B44AC" w:rsidRPr="00FC4051" w:rsidRDefault="000B44AC" w:rsidP="000B44AC">
      <w:pPr>
        <w:ind w:firstLine="720"/>
        <w:jc w:val="center"/>
        <w:rPr>
          <w:sz w:val="20"/>
          <w:lang w:val="pt-BR"/>
        </w:rPr>
      </w:pPr>
    </w:p>
    <w:p w14:paraId="0C254501" w14:textId="77777777" w:rsidR="000B44AC" w:rsidRPr="00FC4051" w:rsidRDefault="000B44AC" w:rsidP="000B44AC">
      <w:pPr>
        <w:rPr>
          <w:sz w:val="20"/>
          <w:lang w:val="pt-BR"/>
        </w:rPr>
      </w:pPr>
    </w:p>
    <w:p w14:paraId="0CD4F3E9" w14:textId="77777777" w:rsidR="000B44AC" w:rsidRPr="00FC4051" w:rsidRDefault="000B44AC" w:rsidP="000B44AC">
      <w:pPr>
        <w:rPr>
          <w:sz w:val="20"/>
          <w:lang w:val="pt-BR"/>
        </w:rPr>
      </w:pPr>
      <w:r w:rsidRPr="00FC4051">
        <w:rPr>
          <w:sz w:val="20"/>
          <w:lang w:val="pt-BR"/>
        </w:rPr>
        <w:t>Pablo Saavedra Alessandri</w:t>
      </w:r>
    </w:p>
    <w:p w14:paraId="609DDC21" w14:textId="77777777" w:rsidR="000B44AC" w:rsidRDefault="000B44AC" w:rsidP="000B44AC">
      <w:r w:rsidRPr="00FC4051">
        <w:rPr>
          <w:sz w:val="20"/>
          <w:lang w:val="pt-BR"/>
        </w:rPr>
        <w:tab/>
      </w:r>
      <w:r w:rsidRPr="00DA00D0">
        <w:rPr>
          <w:sz w:val="20"/>
          <w:lang w:val="es-ES"/>
        </w:rPr>
        <w:t>Secret</w:t>
      </w:r>
      <w:r>
        <w:rPr>
          <w:sz w:val="20"/>
          <w:lang w:val="es-ES"/>
        </w:rPr>
        <w:t>a</w:t>
      </w:r>
      <w:r w:rsidRPr="00DA00D0">
        <w:rPr>
          <w:sz w:val="20"/>
          <w:lang w:val="es-ES"/>
        </w:rPr>
        <w:t>rio</w:t>
      </w:r>
    </w:p>
    <w:p w14:paraId="7145AFAE" w14:textId="77777777" w:rsidR="007F7D87" w:rsidRDefault="007F7D87" w:rsidP="000B44AC">
      <w:pPr>
        <w:widowControl/>
        <w:tabs>
          <w:tab w:val="left" w:pos="720"/>
        </w:tabs>
        <w:adjustRightInd/>
        <w:spacing w:line="240" w:lineRule="auto"/>
        <w:contextualSpacing/>
        <w:textAlignment w:val="auto"/>
        <w:rPr>
          <w:bCs/>
          <w:sz w:val="20"/>
          <w:szCs w:val="20"/>
          <w:lang w:val="es-ES"/>
        </w:rPr>
      </w:pPr>
    </w:p>
    <w:p w14:paraId="197196C2" w14:textId="77777777" w:rsidR="007F7D87" w:rsidRPr="00975C02" w:rsidRDefault="007F7D87" w:rsidP="000B44AC">
      <w:pPr>
        <w:widowControl/>
        <w:tabs>
          <w:tab w:val="left" w:pos="720"/>
        </w:tabs>
        <w:adjustRightInd/>
        <w:spacing w:line="240" w:lineRule="auto"/>
        <w:contextualSpacing/>
        <w:textAlignment w:val="auto"/>
        <w:rPr>
          <w:bCs/>
          <w:sz w:val="20"/>
          <w:szCs w:val="20"/>
          <w:lang w:val="es-ES"/>
        </w:rPr>
      </w:pPr>
    </w:p>
    <w:sectPr w:rsidR="007F7D87" w:rsidRPr="00975C02" w:rsidSect="005F1C88">
      <w:headerReference w:type="default" r:id="rId10"/>
      <w:footerReference w:type="even" r:id="rId11"/>
      <w:footerReference w:type="default" r:id="rId12"/>
      <w:footnotePr>
        <w:numRestart w:val="eachSect"/>
      </w:footnotePr>
      <w:pgSz w:w="12240" w:h="15840"/>
      <w:pgMar w:top="1440" w:right="1080" w:bottom="1440" w:left="1080" w:header="708" w:footer="708" w:gutter="0"/>
      <w:pgNumType w:start="1"/>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5D5264" w15:done="0"/>
  <w15:commentEx w15:paraId="77550EE0" w15:done="0"/>
  <w15:commentEx w15:paraId="6648A846" w15:done="0"/>
  <w15:commentEx w15:paraId="6D936C6C" w15:done="0"/>
  <w15:commentEx w15:paraId="64B92413" w15:done="0"/>
  <w15:commentEx w15:paraId="2673EF4C" w15:done="0"/>
  <w15:commentEx w15:paraId="7ABD8019" w15:done="0"/>
  <w15:commentEx w15:paraId="6292C33D" w15:done="0"/>
  <w15:commentEx w15:paraId="5B805EC4" w15:done="0"/>
  <w15:commentEx w15:paraId="221274AF" w15:done="0"/>
  <w15:commentEx w15:paraId="7330B3E5" w15:done="0"/>
  <w15:commentEx w15:paraId="02B6A883" w15:done="0"/>
  <w15:commentEx w15:paraId="7FDCF0C8" w15:done="0"/>
  <w15:commentEx w15:paraId="284E1E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5D5264" w16cid:durableId="1E35975F"/>
  <w16cid:commentId w16cid:paraId="77550EE0" w16cid:durableId="1E35A008"/>
  <w16cid:commentId w16cid:paraId="6648A846" w16cid:durableId="1E35A078"/>
  <w16cid:commentId w16cid:paraId="6D936C6C" w16cid:durableId="1E35A1D9"/>
  <w16cid:commentId w16cid:paraId="64B92413" w16cid:durableId="1E37CDF1"/>
  <w16cid:commentId w16cid:paraId="2673EF4C" w16cid:durableId="1E37CE43"/>
  <w16cid:commentId w16cid:paraId="7ABD8019" w16cid:durableId="1E37D26B"/>
  <w16cid:commentId w16cid:paraId="6292C33D" w16cid:durableId="1E37DB69"/>
  <w16cid:commentId w16cid:paraId="5B805EC4" w16cid:durableId="1E380C00"/>
  <w16cid:commentId w16cid:paraId="221274AF" w16cid:durableId="1E380CE1"/>
  <w16cid:commentId w16cid:paraId="7330B3E5" w16cid:durableId="1E380D8A"/>
  <w16cid:commentId w16cid:paraId="02B6A883" w16cid:durableId="1E380F4F"/>
  <w16cid:commentId w16cid:paraId="7FDCF0C8" w16cid:durableId="1E3811B9"/>
  <w16cid:commentId w16cid:paraId="284E1EDB" w16cid:durableId="1E38122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2CC0A6" w14:textId="77777777" w:rsidR="005A2A26" w:rsidRDefault="005A2A26" w:rsidP="00085BDD">
      <w:pPr>
        <w:spacing w:line="240" w:lineRule="auto"/>
      </w:pPr>
      <w:r>
        <w:separator/>
      </w:r>
    </w:p>
  </w:endnote>
  <w:endnote w:type="continuationSeparator" w:id="0">
    <w:p w14:paraId="51E62557" w14:textId="77777777" w:rsidR="005A2A26" w:rsidRDefault="005A2A26" w:rsidP="00085B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
    <w:panose1 w:val="00000000000000000000"/>
    <w:charset w:val="80"/>
    <w:family w:val="auto"/>
    <w:notTrueType/>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EUAlbertina">
    <w:altName w:val="EU Albertina"/>
    <w:charset w:val="00"/>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NewRomanPSMT">
    <w:panose1 w:val="00000000000000000000"/>
    <w:charset w:val="00"/>
    <w:family w:val="auto"/>
    <w:notTrueType/>
    <w:pitch w:val="default"/>
    <w:sig w:usb0="00000003" w:usb1="00000000" w:usb2="00000000" w:usb3="00000000" w:csb0="00000001" w:csb1="00000000"/>
  </w:font>
  <w:font w:name="Verdana,Italic">
    <w:panose1 w:val="00000000000000000000"/>
    <w:charset w:val="00"/>
    <w:family w:val="swiss"/>
    <w:notTrueType/>
    <w:pitch w:val="default"/>
    <w:sig w:usb0="00000003" w:usb1="00000000" w:usb2="00000000" w:usb3="00000000" w:csb0="00000001" w:csb1="00000000"/>
  </w:font>
  <w:font w:name="ヒラギノ角ゴ Pro W3">
    <w:charset w:val="80"/>
    <w:family w:val="auto"/>
    <w:pitch w:val="variable"/>
    <w:sig w:usb0="00000001" w:usb1="08070000" w:usb2="00000010" w:usb3="00000000" w:csb0="00020000" w:csb1="00000000"/>
  </w:font>
  <w:font w:name="Arial-BoldItalicMT">
    <w:panose1 w:val="00000000000000000000"/>
    <w:charset w:val="00"/>
    <w:family w:val="auto"/>
    <w:notTrueType/>
    <w:pitch w:val="default"/>
    <w:sig w:usb0="00000003" w:usb1="00000000" w:usb2="00000000" w:usb3="00000000" w:csb0="00000001" w:csb1="00000000"/>
  </w:font>
  <w:font w:name="Univers-Light">
    <w:altName w:val="Cambri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MinionPro-Regular">
    <w:altName w:val="Cambria"/>
    <w:panose1 w:val="00000000000000000000"/>
    <w:charset w:val="00"/>
    <w:family w:val="roman"/>
    <w:notTrueType/>
    <w:pitch w:val="default"/>
    <w:sig w:usb0="00000003" w:usb1="00000000" w:usb2="00000000" w:usb3="00000000" w:csb0="00000001" w:csb1="00000000"/>
  </w:font>
  <w:font w:name="MSTT3132dbeaafO05102100">
    <w:panose1 w:val="00000000000000000000"/>
    <w:charset w:val="00"/>
    <w:family w:val="auto"/>
    <w:notTrueType/>
    <w:pitch w:val="default"/>
    <w:sig w:usb0="00000003" w:usb1="00000000" w:usb2="00000000" w:usb3="00000000" w:csb0="00000001" w:csb1="00000000"/>
  </w:font>
  <w:font w:name="Verdana-Italic">
    <w:panose1 w:val="00000000000000000000"/>
    <w:charset w:val="00"/>
    <w:family w:val="swiss"/>
    <w:notTrueType/>
    <w:pitch w:val="default"/>
    <w:sig w:usb0="00000003" w:usb1="00000000" w:usb2="00000000" w:usb3="00000000" w:csb0="00000001" w:csb1="00000000"/>
  </w:font>
  <w:font w:name="Vrinda">
    <w:panose1 w:val="020B0502040204020203"/>
    <w:charset w:val="01"/>
    <w:family w:val="roman"/>
    <w:notTrueType/>
    <w:pitch w:val="variable"/>
  </w:font>
  <w:font w:name="MinionPro-Bold">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4D"/>
    <w:family w:val="roman"/>
    <w:notTrueType/>
    <w:pitch w:val="default"/>
    <w:sig w:usb0="03000003" w:usb1="00000000" w:usb2="00000000" w:usb3="00000000" w:csb0="00000001" w:csb1="00000000"/>
  </w:font>
  <w:font w:name="HelveticaNeue-Ligh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010C35" w14:textId="77777777" w:rsidR="007F7D87" w:rsidRDefault="007F7D87" w:rsidP="00B824B2">
    <w:pPr>
      <w:pStyle w:val="Footer"/>
      <w:framePr w:wrap="around" w:vAnchor="text" w:hAnchor="margin" w:xAlign="center" w:y="1"/>
      <w:rPr>
        <w:rStyle w:val="PageNumber"/>
        <w:rFonts w:ascii="Verdana" w:hAnsi="Verdana" w:cs="Times New Roman"/>
        <w:sz w:val="24"/>
        <w:szCs w:val="24"/>
        <w:lang w:val="es-CR" w:eastAsia="es-CR"/>
      </w:rPr>
    </w:pPr>
    <w:r>
      <w:rPr>
        <w:rStyle w:val="PageNumber"/>
      </w:rPr>
      <w:fldChar w:fldCharType="begin"/>
    </w:r>
    <w:r>
      <w:rPr>
        <w:rStyle w:val="PageNumber"/>
      </w:rPr>
      <w:instrText xml:space="preserve">PAGE  </w:instrText>
    </w:r>
    <w:r>
      <w:rPr>
        <w:rStyle w:val="PageNumber"/>
      </w:rPr>
      <w:fldChar w:fldCharType="end"/>
    </w:r>
  </w:p>
  <w:p w14:paraId="2F3E2346" w14:textId="77777777" w:rsidR="007F7D87" w:rsidRDefault="007F7D87" w:rsidP="00B824B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5EDE4A" w14:textId="77777777" w:rsidR="007F7D87" w:rsidRPr="00BE3978" w:rsidRDefault="007F7D87" w:rsidP="00B824B2">
    <w:pPr>
      <w:pStyle w:val="Footer"/>
      <w:framePr w:wrap="around" w:vAnchor="text" w:hAnchor="margin" w:xAlign="center" w:y="1"/>
      <w:rPr>
        <w:rStyle w:val="PageNumber"/>
        <w:rFonts w:ascii="Verdana" w:hAnsi="Verdana" w:cs="Times New Roman"/>
        <w:sz w:val="24"/>
        <w:szCs w:val="24"/>
        <w:lang w:val="es-CR" w:eastAsia="es-CR"/>
      </w:rPr>
    </w:pPr>
  </w:p>
  <w:p w14:paraId="0182C4E2" w14:textId="77777777" w:rsidR="007F7D87" w:rsidRDefault="007F7D87" w:rsidP="00B824B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55FD12" w14:textId="77777777" w:rsidR="005A2A26" w:rsidRDefault="005A2A26" w:rsidP="00085BDD">
      <w:pPr>
        <w:spacing w:line="240" w:lineRule="auto"/>
      </w:pPr>
      <w:r>
        <w:separator/>
      </w:r>
    </w:p>
  </w:footnote>
  <w:footnote w:type="continuationSeparator" w:id="0">
    <w:p w14:paraId="5969235A" w14:textId="77777777" w:rsidR="005A2A26" w:rsidRDefault="005A2A26" w:rsidP="00085BDD">
      <w:pPr>
        <w:spacing w:line="240" w:lineRule="auto"/>
      </w:pPr>
      <w:r>
        <w:continuationSeparator/>
      </w:r>
    </w:p>
  </w:footnote>
  <w:footnote w:id="1">
    <w:p w14:paraId="27DD2783" w14:textId="73D5EF2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t>*</w:t>
      </w:r>
      <w:r w:rsidRPr="009C15B0">
        <w:rPr>
          <w:sz w:val="16"/>
          <w:szCs w:val="16"/>
          <w:lang w:val="es-CR"/>
        </w:rPr>
        <w:t xml:space="preserve"> </w:t>
      </w:r>
      <w:r w:rsidRPr="009C15B0">
        <w:rPr>
          <w:sz w:val="16"/>
          <w:szCs w:val="16"/>
          <w:lang w:val="es-CR"/>
        </w:rPr>
        <w:tab/>
        <w:t>Desde la etapa de admisibilidad del presente caso, la Comisión Interamericana de Derechos Humanos decidió mantener en reserva el nombre de las presuntas víctimas, utilizándose las siglas “V.R.P.” y “V.P.C.” para referirse a las mismas. Asimismo, la Corte Interamericana decidió continuar con la referida reserva. De igual forma, se mantuvo en reserva los nombres de los demás familiares, por lo que se utilizarán las siglas “N.R.P.”, “H.J.R.P.” y “V.A.R.P.” para referirse a ellos.</w:t>
      </w:r>
    </w:p>
  </w:footnote>
  <w:footnote w:id="2">
    <w:p w14:paraId="112C085D" w14:textId="16D85F3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t>**</w:t>
      </w:r>
      <w:r w:rsidRPr="009C15B0">
        <w:rPr>
          <w:sz w:val="16"/>
          <w:szCs w:val="16"/>
          <w:lang w:val="es-CR"/>
        </w:rPr>
        <w:t xml:space="preserve"> </w:t>
      </w:r>
      <w:r w:rsidRPr="009C15B0">
        <w:rPr>
          <w:sz w:val="16"/>
          <w:szCs w:val="16"/>
          <w:lang w:val="es-CR"/>
        </w:rPr>
        <w:tab/>
        <w:t>Los Jueces Eduardo Vio Grossi y Roberto F. Caldas no participaron en la deliberación y firma de esta Sentencia por motivos de fuerza mayor, lo cual fue aceptado por el Pleno.</w:t>
      </w:r>
    </w:p>
  </w:footnote>
  <w:footnote w:id="3">
    <w:p w14:paraId="6A41926C" w14:textId="714392FC" w:rsidR="007F7D87" w:rsidRPr="009C15B0" w:rsidRDefault="007F7D87" w:rsidP="001E6358">
      <w:pPr>
        <w:tabs>
          <w:tab w:val="left" w:pos="567"/>
        </w:tabs>
        <w:spacing w:after="60" w:line="240" w:lineRule="auto"/>
        <w:ind w:right="148"/>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 xml:space="preserve">En dicho informe, la Comisión decidió que la petición era admisible respecto de la presunta violación de los derechos reconocidos en los artículos 5.1, 8.1, 11, 19, 24 y 25 de la Convención Americana, en relación con los artículos 1.1 y 2 del mismo instrumento; y del artículo 7 de la Convención de Belém do Pará respecto de V.R.P. Asimismo, la Comisión concluyó la admisibilidad respecto de la presunta violación de los artículos 5.1, 8 y 25 de la Convención en conexión con el artículo 1.1 de dicho instrumento, en relación con V.P.C. </w:t>
      </w:r>
      <w:r w:rsidRPr="009C15B0">
        <w:rPr>
          <w:i/>
          <w:sz w:val="16"/>
          <w:szCs w:val="16"/>
        </w:rPr>
        <w:t xml:space="preserve">Cfr. </w:t>
      </w:r>
      <w:r w:rsidRPr="009C15B0">
        <w:rPr>
          <w:sz w:val="16"/>
          <w:szCs w:val="16"/>
        </w:rPr>
        <w:t>CIDH,</w:t>
      </w:r>
      <w:r w:rsidRPr="009C15B0">
        <w:rPr>
          <w:i/>
          <w:sz w:val="16"/>
          <w:szCs w:val="16"/>
        </w:rPr>
        <w:t xml:space="preserve"> </w:t>
      </w:r>
      <w:r w:rsidRPr="009C15B0">
        <w:rPr>
          <w:rFonts w:cs="Verdana"/>
          <w:sz w:val="16"/>
          <w:szCs w:val="16"/>
        </w:rPr>
        <w:t>Informe de Admisibilidad No. 3/09, Petición 4408-02. Caso V.R.P. y V.P.C. Vs. Nicaragua, 11 de febrero de 2009 (expediente de trámite ante la Comisión, tomo XI, folios 4656 a 4669).</w:t>
      </w:r>
    </w:p>
  </w:footnote>
  <w:footnote w:id="4">
    <w:p w14:paraId="709B1E29"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La Comisión designó, como sus delegados ante la Corte, a la Comisionada Esmeralda Arosemena de Troitiño y al Secretario Ejecutivo Paulo Abrão. Asimismo, designó, como asesoras legales, a la señora Elizabeth Abi-Mershed, Secretaria Ejecutiva Adjunta, a la señora Silvia Serrano Guzmán y al señor Erick Acuña Pereda, abogados de la Secretaría Ejecutiva.</w:t>
      </w:r>
    </w:p>
  </w:footnote>
  <w:footnote w:id="5">
    <w:p w14:paraId="09E0FE70" w14:textId="77777777"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Si bien por tratarse de una presunta víctima, la representación estaría debidamente acreditada en los términos del artículo 35.1.b del Reglamento de la Corte por la señora V.P.C., siguiendo instrucciones del Presidente de la Corte se informó a las presuntas víctimas que el artículo 37 del Reglamento del Tribunal consagra la figura del Defensor Interamericano, según la cual, “[e]n casos de presuntas víctimas sin representación legal debidamente acreditada, el Tribunal podrá designar un Defensor Interamericano de oficio que las represente durante la tramitación de caso”.</w:t>
      </w:r>
    </w:p>
  </w:footnote>
  <w:footnote w:id="6">
    <w:p w14:paraId="178DC5C3" w14:textId="44E84A8C"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Mediante comunicación de 10 de noviembre de 2016 se solicitó al Coordinador General de AIDEF, teniendo en cuenta lo dispuesto en el artículo 2 del Acuerdo de Entendimiento entre la Corte y aquélla y siguiendo instrucciones del Presidente de la Corte, que designara, dentro del plazo de 10 días, al defensor o defensora que asumiría la representación legal en el caso e informara del lugar donde se le deben notificar las comunicaciones pertinentes.</w:t>
      </w:r>
    </w:p>
  </w:footnote>
  <w:footnote w:id="7">
    <w:p w14:paraId="34E890B9" w14:textId="77777777"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Century Gothic"/>
          <w:sz w:val="16"/>
          <w:szCs w:val="16"/>
          <w:lang w:val="es-CR"/>
        </w:rPr>
        <w:t>En aplicación de lo dispuesto en el artículo 37 (Defensor Interamericano) del Reglamento de la Corte</w:t>
      </w:r>
      <w:r w:rsidRPr="009C15B0">
        <w:rPr>
          <w:sz w:val="16"/>
          <w:szCs w:val="16"/>
          <w:lang w:val="es-CR"/>
        </w:rPr>
        <w:t>, el cual prevé que “[e]n casos de presuntas víctimas sin representación legal debidamente acreditada, el Tribunal podrá designar un Defensor Interamericano de oficio que las represente durante la tramitación de[l] caso”. Tal como se estableció en la exposición de motivos del Reglamento de la Corte, mediante la implementación de la figura del Defensor Interamericano “se garantiza que toda presunta víctima tenga un abogado que haga valer sus intereses ante la Corte y se evita que las razones económicas impidan contar con representación legal”.</w:t>
      </w:r>
    </w:p>
  </w:footnote>
  <w:footnote w:id="8">
    <w:p w14:paraId="5904DC9A" w14:textId="04818BA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rStyle w:val="FootnoteReference"/>
          <w:sz w:val="16"/>
          <w:szCs w:val="16"/>
          <w:lang w:val="es-CR"/>
        </w:rPr>
        <w:t xml:space="preserve"> </w:t>
      </w:r>
      <w:r w:rsidRPr="009C15B0">
        <w:rPr>
          <w:sz w:val="16"/>
          <w:szCs w:val="16"/>
          <w:lang w:val="es-CR"/>
        </w:rPr>
        <w:tab/>
        <w:t>El Estado objetó, mediante escritos de 7 y 15 de marzo de 2017, el plazo de la recepción de los anexos al escrito de solicitudes y argumentos. El 17 de marzo de 2017 se indicó que la recepción de los anexos se dio en el plazo indicado en el Reglamento y que los anexos recibidos con posterioridad corresponden a la subsanación de irregularidades encontradas en el examen preliminar, en virtud del cual se otorgó un plazo para corregir estos errores. Dicho plazo no constituye un plazo adicional fuera del Reglamento ni implica una nueva oportunidad para que las partes o la Comisión envíen documentos o prueba nueva y distinta a la ya sometida, sino que consiste en un pedido de subsanación que permitiría contar con el material probatorio completo en el expediente ante la Corte.</w:t>
      </w:r>
    </w:p>
  </w:footnote>
  <w:footnote w:id="9">
    <w:p w14:paraId="2A8FE028" w14:textId="0BFA2DE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Estado designó como Agentes al señor César Augusto Guevara Rodríguez, Miembro de la Secretaría Ejecutiva de la Dirección Superior de la Procuraduría General de la República</w:t>
      </w:r>
      <w:r>
        <w:rPr>
          <w:sz w:val="16"/>
          <w:szCs w:val="16"/>
          <w:lang w:val="es-CR"/>
        </w:rPr>
        <w:t>,</w:t>
      </w:r>
      <w:r w:rsidRPr="009C15B0">
        <w:rPr>
          <w:sz w:val="16"/>
          <w:szCs w:val="16"/>
          <w:lang w:val="es-CR"/>
        </w:rPr>
        <w:t xml:space="preserve"> y a la señora María Elsa Frixione Ocón, Jefa de la Unidad de Asuntos Penales Internacionales, Derechos Humanos y Humanitarios de la Procuraduría General de la República.</w:t>
      </w:r>
    </w:p>
  </w:footnote>
  <w:footnote w:id="10">
    <w:p w14:paraId="6C971AB2" w14:textId="164873B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V.R.P. y V.P.C. Vs. Nicaragua. </w:t>
      </w:r>
      <w:r w:rsidRPr="009C15B0">
        <w:rPr>
          <w:sz w:val="16"/>
          <w:szCs w:val="16"/>
          <w:lang w:val="es-CR"/>
        </w:rPr>
        <w:t xml:space="preserve">Resolución del Presidente de la Corte Interamericana de 21 de septiembre de 2017. Disponible en: http://www.corteidh.or.cr/docs/asuntos/vrp_21_09_17.pdf </w:t>
      </w:r>
    </w:p>
  </w:footnote>
  <w:footnote w:id="11">
    <w:p w14:paraId="7BE81965" w14:textId="02E384D3" w:rsidR="007F7D87" w:rsidRPr="009C15B0" w:rsidRDefault="007F7D87" w:rsidP="001E6358">
      <w:pPr>
        <w:tabs>
          <w:tab w:val="left" w:pos="567"/>
        </w:tabs>
        <w:spacing w:after="60" w:line="240" w:lineRule="auto"/>
        <w:ind w:right="-6"/>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A esta audiencia comparecieron: a) por la Comisión Interamericana:</w:t>
      </w:r>
      <w:r w:rsidRPr="009C15B0">
        <w:rPr>
          <w:sz w:val="16"/>
          <w:szCs w:val="16"/>
          <w:lang w:eastAsia="es-ES"/>
        </w:rPr>
        <w:t xml:space="preserve"> la Segunda Vice-Presidenta de la Comisión, Esmeralda Arosemena de Troitiño</w:t>
      </w:r>
      <w:r w:rsidRPr="009C15B0">
        <w:rPr>
          <w:sz w:val="16"/>
          <w:szCs w:val="16"/>
        </w:rPr>
        <w:t>, y las abogadas de la Secretaría Ejecutiva, Silvia Serrano Guzmán y Selene Soto Rodríguez; b) por las representantes de las presuntas víctimas: las señoras Fidencia Orozco García Licardi y Juana María Cruz Fernández, defensoras interamericanas, y c) por el Estado de Nicaragua: los agentes designados César Augusto Guevara Rodríguez y María Elsa Frixione Ocón</w:t>
      </w:r>
      <w:r w:rsidRPr="009C15B0">
        <w:rPr>
          <w:sz w:val="16"/>
          <w:szCs w:val="16"/>
          <w:lang w:eastAsia="es-ES"/>
        </w:rPr>
        <w:t>.</w:t>
      </w:r>
    </w:p>
  </w:footnote>
  <w:footnote w:id="12">
    <w:p w14:paraId="122325EA" w14:textId="1DD745B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escrito presenta un análisis sobre la alegada responsabilidad internacional del Estado de Nicaragua por la falta de cumplimiento de sus obligaciones de garantía de los derechos a la integridad personal, dignidad, privacidad y autonomía, igualdad y el principio de no discriminación, tomando en consideración la protección especial de la niña y la falta de debida diligencia de la investigación en un plazo razonable.</w:t>
      </w:r>
    </w:p>
  </w:footnote>
  <w:footnote w:id="13">
    <w:p w14:paraId="69723CF9" w14:textId="228144A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escrito fue firmado por Ana María Arboleda, Anamaría Sánchez Quintero, David Cujar Bermúdez, María Valentina Díaz Gómez y Diego Alejandro Moreno Baquero. El escrito presenta un estudio comparado sobre los elementos comunes que han sido utilizados en los ordenamientos jurídicos internos de varios Estados parte de la Convención Americana, en las rutas de atención a las niñas y niños víctimas de violencia sexual, las cuales han sido creadas e implementadas con el apoyo de UNICEF, en aras de orientar a la </w:t>
      </w:r>
      <w:r w:rsidRPr="009C15B0">
        <w:rPr>
          <w:rFonts w:eastAsia="Verdana" w:cs="Verdana"/>
          <w:sz w:val="16"/>
          <w:szCs w:val="16"/>
          <w:lang w:val="es-CR"/>
        </w:rPr>
        <w:t>Corte</w:t>
      </w:r>
      <w:r w:rsidRPr="009C15B0">
        <w:rPr>
          <w:sz w:val="16"/>
          <w:szCs w:val="16"/>
          <w:lang w:val="es-CR"/>
        </w:rPr>
        <w:t xml:space="preserve"> sobre los estándares consuetudinarios que se han aplicado en la protección de los derechos de esta población vulnerable. Además, se hizo referencia al contexto de violencia sexual en América Latina y el Caribe. </w:t>
      </w:r>
    </w:p>
  </w:footnote>
  <w:footnote w:id="14">
    <w:p w14:paraId="5E9A1AC9" w14:textId="2DB2F2C9" w:rsidR="007F7D87" w:rsidRPr="009C15B0" w:rsidRDefault="007F7D87" w:rsidP="001E6358">
      <w:pPr>
        <w:pStyle w:val="FootnoteText"/>
        <w:tabs>
          <w:tab w:val="left" w:pos="567"/>
        </w:tabs>
        <w:spacing w:after="60"/>
        <w:rPr>
          <w:sz w:val="16"/>
          <w:szCs w:val="16"/>
          <w:lang w:val="es-CR"/>
        </w:rPr>
      </w:pPr>
      <w:r w:rsidRPr="009C15B0">
        <w:rPr>
          <w:sz w:val="16"/>
          <w:szCs w:val="16"/>
          <w:vertAlign w:val="superscript"/>
          <w:lang w:val="es-CR"/>
        </w:rPr>
        <w:footnoteRef/>
      </w:r>
      <w:r w:rsidRPr="009C15B0">
        <w:rPr>
          <w:sz w:val="16"/>
          <w:szCs w:val="16"/>
          <w:lang w:val="es-CR"/>
        </w:rPr>
        <w:t xml:space="preserve"> </w:t>
      </w:r>
      <w:r w:rsidRPr="009C15B0">
        <w:rPr>
          <w:sz w:val="16"/>
          <w:szCs w:val="16"/>
          <w:lang w:val="es-CR"/>
        </w:rPr>
        <w:tab/>
        <w:t xml:space="preserve">En sus alegatos finales, el Estado presentó una serie de observaciones sobre los </w:t>
      </w:r>
      <w:r w:rsidRPr="009C15B0">
        <w:rPr>
          <w:i/>
          <w:sz w:val="16"/>
          <w:szCs w:val="16"/>
          <w:lang w:val="es-CR"/>
        </w:rPr>
        <w:t>amici curiae</w:t>
      </w:r>
      <w:r w:rsidRPr="009C15B0">
        <w:rPr>
          <w:sz w:val="16"/>
          <w:szCs w:val="16"/>
          <w:lang w:val="es-CR"/>
        </w:rPr>
        <w:t xml:space="preserve"> y solicitó que </w:t>
      </w:r>
      <w:r w:rsidRPr="009C15B0">
        <w:rPr>
          <w:rFonts w:eastAsia="Verdana" w:cs="Verdana"/>
          <w:sz w:val="16"/>
          <w:szCs w:val="16"/>
          <w:lang w:val="es-CR"/>
        </w:rPr>
        <w:t>no fueran tomados en cuenta, en tanto serían opiniones parcializadas y no se le habrían transmitido con suficiente antelación</w:t>
      </w:r>
      <w:r w:rsidRPr="009C15B0">
        <w:rPr>
          <w:sz w:val="16"/>
          <w:szCs w:val="16"/>
          <w:lang w:val="es-CR"/>
        </w:rPr>
        <w:t xml:space="preserve">. La Corte hace notar que, de acuerdo con el artículo 2.3 del Reglamento, quien presenta un </w:t>
      </w:r>
      <w:r w:rsidRPr="009C15B0">
        <w:rPr>
          <w:i/>
          <w:sz w:val="16"/>
          <w:szCs w:val="16"/>
          <w:lang w:val="es-CR"/>
        </w:rPr>
        <w:t>amicus curiae</w:t>
      </w:r>
      <w:r w:rsidRPr="009C15B0">
        <w:rPr>
          <w:sz w:val="16"/>
          <w:szCs w:val="16"/>
          <w:lang w:val="es-CR"/>
        </w:rPr>
        <w:t xml:space="preserve"> es una persona o institución “ajena al litigio y proceso que se sigue en la Corte”, es decir, no es una parte procesal, a efectos de ofrecer “razonamientos en torno a los hechos contenidos en el sometimiento del caso o formular consideraciones jurídicas sobre la materia del proceso”. Puesto que no corresponde al Tribunal pronunciarse sobre la corrección o no de tales escritos o sobre solicitudes o peticiones contenidas en los mismos, las observaciones del Estado no afectan la admisibilidad de los </w:t>
      </w:r>
      <w:r w:rsidRPr="009C15B0">
        <w:rPr>
          <w:i/>
          <w:sz w:val="16"/>
          <w:szCs w:val="16"/>
          <w:lang w:val="es-CR"/>
        </w:rPr>
        <w:t>amici curiae</w:t>
      </w:r>
      <w:r w:rsidRPr="009C15B0">
        <w:rPr>
          <w:sz w:val="16"/>
          <w:szCs w:val="16"/>
          <w:lang w:val="es-CR"/>
        </w:rPr>
        <w:t xml:space="preserve">, sin perjuicio de la eventual relevancia de tales observaciones al valorar la información aportada en los mismos. </w:t>
      </w:r>
      <w:r w:rsidRPr="009C15B0">
        <w:rPr>
          <w:i/>
          <w:sz w:val="16"/>
          <w:szCs w:val="16"/>
          <w:lang w:val="es-CR"/>
        </w:rPr>
        <w:t>Cfr. Caso de Personas Dominicanas y Haitianas Expulsadas vs. República Dominicana. Excepciones Preliminares, Fondo, Reparaciones y Costas.</w:t>
      </w:r>
      <w:r w:rsidRPr="009C15B0">
        <w:rPr>
          <w:sz w:val="16"/>
          <w:szCs w:val="16"/>
          <w:lang w:val="es-CR"/>
        </w:rPr>
        <w:t xml:space="preserve"> Sentencia de 28 de agosto de 2014. Serie C No. 282, párr. 15, y </w:t>
      </w:r>
      <w:r w:rsidRPr="009C15B0">
        <w:rPr>
          <w:i/>
          <w:sz w:val="16"/>
          <w:szCs w:val="16"/>
          <w:lang w:val="es-CR"/>
        </w:rPr>
        <w:t>Caso Acosta y otros Vs. Nicaragua. Excepciones Preliminares, Fondo, Reparaciones y Costas.</w:t>
      </w:r>
      <w:r w:rsidRPr="009C15B0">
        <w:rPr>
          <w:sz w:val="16"/>
          <w:szCs w:val="16"/>
          <w:lang w:val="es-CR"/>
        </w:rPr>
        <w:t xml:space="preserve"> Sentencia de 25 de marzo de 2017. Serie C No. 334, nota al pie 11.</w:t>
      </w:r>
    </w:p>
  </w:footnote>
  <w:footnote w:id="15">
    <w:p w14:paraId="5902744C" w14:textId="19FC9E5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w:t>
      </w:r>
      <w:r w:rsidRPr="009C15B0">
        <w:rPr>
          <w:rFonts w:eastAsia="Times"/>
          <w:sz w:val="16"/>
          <w:szCs w:val="16"/>
          <w:lang w:val="es-CR"/>
        </w:rPr>
        <w:t>4 de enero de 2018 el Estado manifestó su disconformidad con “las decisiones asumidas en la notas [de Secretaría]”</w:t>
      </w:r>
      <w:r w:rsidRPr="009C15B0">
        <w:rPr>
          <w:sz w:val="16"/>
          <w:szCs w:val="16"/>
          <w:lang w:val="es-CR"/>
        </w:rPr>
        <w:t>, referidas a la prueba para mejor resolver requerida al Estado, así como a la solicitud de observaciones tanto a la Comisión como a las representantes respecto de dicha prueba. El 10 de enero de 2018 se informó al Estado, siguiendo instrucciones del Presidente de la Corte, que la Corte no había abierto una nueva etapa de contradictorio, sino que de acuerdo a su propio Reglamento consideró pertinente solicitar prueba para mejor resolver al Estado, al encontrarse el mismo en condiciones de aportarla. El requerimiento de dicha prueba al Estado no generó un desequilibrio procesal, sino que por el contrario, permitió al Tribunal contar con el mayor acervo probatorio posible para adoptar una decisión y, en todo caso, brindó la oportunidad al Estado de presentar prueba adicional para dar sustento a sus alegatos finales, ya que el Estado “no aportó prueba de soporte”. El Estado, al remitir dicha documentación, tuvo la oportunidad de referirse a la misma y presentar las aclaraciones y explicaciones pertinentes, tal como efectivamente lo hizo mediante sus comunicaciones de fecha 5 y 15 de diciembre de 2017. La solicitud de observaciones fue requerida exclusivamente respecto de la prueba para mejor resolver enviada por el Estado, es decir, constituyó una oportunidad para controvertir, objetar o poner en duda la autenticidad de los documentos remitidos. Por consiguiente, no podía ser calificada como una nueva oportunidad procesal para formular alegatos de fondo en el presente caso. Cualquier argumento presentado por las representantes que exceda lo solicitado no será tenido en cuenta por el Tribunal.</w:t>
      </w:r>
    </w:p>
  </w:footnote>
  <w:footnote w:id="16">
    <w:p w14:paraId="4E347B4C" w14:textId="38F21CA2" w:rsidR="007F7D87" w:rsidRPr="009C15B0" w:rsidRDefault="007F7D87" w:rsidP="001E6358">
      <w:pPr>
        <w:tabs>
          <w:tab w:val="left" w:pos="567"/>
        </w:tabs>
        <w:spacing w:after="60" w:line="240" w:lineRule="auto"/>
        <w:rPr>
          <w:i/>
          <w:color w:val="000000" w:themeColor="text1"/>
          <w:sz w:val="16"/>
          <w:szCs w:val="16"/>
          <w:lang w:eastAsia="en-US"/>
        </w:rPr>
      </w:pPr>
      <w:r w:rsidRPr="009C15B0">
        <w:rPr>
          <w:rStyle w:val="FootnoteReference"/>
          <w:rFonts w:cs="Times"/>
          <w:sz w:val="16"/>
          <w:szCs w:val="16"/>
        </w:rPr>
        <w:footnoteRef/>
      </w:r>
      <w:r w:rsidRPr="009C15B0">
        <w:rPr>
          <w:sz w:val="16"/>
          <w:szCs w:val="16"/>
        </w:rPr>
        <w:tab/>
      </w:r>
      <w:r w:rsidRPr="009C15B0">
        <w:rPr>
          <w:i/>
          <w:color w:val="000000" w:themeColor="text1"/>
          <w:sz w:val="16"/>
          <w:szCs w:val="16"/>
          <w:lang w:eastAsia="en-US"/>
        </w:rPr>
        <w:t xml:space="preserve">Cfr. Caso Velásquez Rodríguez Vs. Honduras. Fondo. </w:t>
      </w:r>
      <w:r w:rsidRPr="009C15B0">
        <w:rPr>
          <w:color w:val="000000" w:themeColor="text1"/>
          <w:sz w:val="16"/>
          <w:szCs w:val="16"/>
          <w:lang w:eastAsia="en-US"/>
        </w:rPr>
        <w:t xml:space="preserve">Sentencia de 29 de julio de 1988. Serie C No. 4, párrs. 61 y 63, y </w:t>
      </w:r>
      <w:r w:rsidRPr="009C15B0">
        <w:rPr>
          <w:i/>
          <w:color w:val="000000" w:themeColor="text1"/>
          <w:sz w:val="16"/>
          <w:szCs w:val="16"/>
          <w:lang w:eastAsia="en-US"/>
        </w:rPr>
        <w:t xml:space="preserve">Caso Trabajadores Cesados de Petroperú y otros Vs. Perú. Excepciones Preliminares, Fondo, Reparaciones y Costas. </w:t>
      </w:r>
      <w:r w:rsidRPr="009C15B0">
        <w:rPr>
          <w:color w:val="000000" w:themeColor="text1"/>
          <w:sz w:val="16"/>
          <w:szCs w:val="16"/>
          <w:lang w:eastAsia="en-US"/>
        </w:rPr>
        <w:t>Sentencia de 23 de noviembre 2017. Serie C No. 344, párrs. 27 y 32.</w:t>
      </w:r>
    </w:p>
  </w:footnote>
  <w:footnote w:id="17">
    <w:p w14:paraId="4E6AFDD5" w14:textId="62319DB3"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color w:val="000000" w:themeColor="text1"/>
          <w:sz w:val="16"/>
          <w:szCs w:val="16"/>
          <w:lang w:val="es-CR"/>
        </w:rPr>
        <w:t xml:space="preserve">Cfr. Caso Velásquez Rodríguez Vs. Honduras. Excepciones Preliminares. </w:t>
      </w:r>
      <w:r w:rsidRPr="009C15B0">
        <w:rPr>
          <w:color w:val="000000" w:themeColor="text1"/>
          <w:sz w:val="16"/>
          <w:szCs w:val="16"/>
          <w:lang w:val="es-CR"/>
        </w:rPr>
        <w:t>Sentencia de 26 de junio de 1987. Serie C No. 1, párr. 88;</w:t>
      </w:r>
      <w:r w:rsidRPr="009C15B0">
        <w:rPr>
          <w:i/>
          <w:color w:val="000000" w:themeColor="text1"/>
          <w:sz w:val="16"/>
          <w:szCs w:val="16"/>
          <w:lang w:val="es-CR"/>
        </w:rPr>
        <w:t xml:space="preserve"> Caso Mémoli Vs. Argentina. Excepciones Preliminares, Fondo, Reparaciones y Costas. </w:t>
      </w:r>
      <w:r w:rsidRPr="009C15B0">
        <w:rPr>
          <w:color w:val="000000" w:themeColor="text1"/>
          <w:sz w:val="16"/>
          <w:szCs w:val="16"/>
          <w:lang w:val="es-CR"/>
        </w:rPr>
        <w:t>Sentencia de 22 de agosto de 2013. Serie C No. 265, párr. 47</w:t>
      </w:r>
      <w:r w:rsidRPr="009C15B0">
        <w:rPr>
          <w:i/>
          <w:color w:val="000000" w:themeColor="text1"/>
          <w:sz w:val="16"/>
          <w:szCs w:val="16"/>
          <w:lang w:val="es-CR"/>
        </w:rPr>
        <w:t xml:space="preserve">, </w:t>
      </w:r>
      <w:r w:rsidRPr="009C15B0">
        <w:rPr>
          <w:color w:val="000000" w:themeColor="text1"/>
          <w:sz w:val="16"/>
          <w:szCs w:val="16"/>
          <w:lang w:val="es-CR"/>
        </w:rPr>
        <w:t>y</w:t>
      </w:r>
      <w:r w:rsidRPr="009C15B0">
        <w:rPr>
          <w:i/>
          <w:color w:val="000000" w:themeColor="text1"/>
          <w:sz w:val="16"/>
          <w:szCs w:val="16"/>
          <w:lang w:val="es-CR"/>
        </w:rPr>
        <w:t xml:space="preserve"> Caso Zegarra Marín Vs. Perú. Excepciones preliminares, Fondo, Reparaciones y Costas. </w:t>
      </w:r>
      <w:r w:rsidRPr="009C15B0">
        <w:rPr>
          <w:color w:val="000000" w:themeColor="text1"/>
          <w:sz w:val="16"/>
          <w:szCs w:val="16"/>
          <w:lang w:val="es-CR"/>
        </w:rPr>
        <w:t>Sentencia de 15 de febrero de 2017. Serie C No. 331, párr. 21.</w:t>
      </w:r>
    </w:p>
  </w:footnote>
  <w:footnote w:id="18">
    <w:p w14:paraId="7998AB71" w14:textId="67698240" w:rsidR="007F7D87" w:rsidRPr="009C15B0" w:rsidRDefault="007F7D87" w:rsidP="001E6358">
      <w:pPr>
        <w:pStyle w:val="FootnoteText"/>
        <w:tabs>
          <w:tab w:val="left" w:pos="567"/>
          <w:tab w:val="left" w:pos="709"/>
        </w:tabs>
        <w:spacing w:after="60"/>
        <w:rPr>
          <w:bCs/>
          <w:sz w:val="16"/>
          <w:szCs w:val="16"/>
          <w:shd w:val="clear" w:color="auto" w:fill="FFFFFF"/>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rStyle w:val="Strong"/>
          <w:b w:val="0"/>
          <w:i/>
          <w:sz w:val="16"/>
          <w:szCs w:val="16"/>
          <w:shd w:val="clear" w:color="auto" w:fill="FFFFFF"/>
          <w:lang w:val="es-CR"/>
        </w:rPr>
        <w:t>Caso Gonzales Lluy y otros Vs. Ecuador. Excepciones Preliminares, Fondo, Reparaciones y Costas</w:t>
      </w:r>
      <w:r w:rsidRPr="009C15B0">
        <w:rPr>
          <w:rStyle w:val="Strong"/>
          <w:b w:val="0"/>
          <w:sz w:val="16"/>
          <w:szCs w:val="16"/>
          <w:shd w:val="clear" w:color="auto" w:fill="FFFFFF"/>
          <w:lang w:val="es-CR"/>
        </w:rPr>
        <w:t xml:space="preserve">. Sentencia de 1 de septiembre de 2015. Serie C No. 298, párr. 28, y </w:t>
      </w:r>
      <w:r w:rsidRPr="009C15B0">
        <w:rPr>
          <w:bCs/>
          <w:i/>
          <w:sz w:val="16"/>
          <w:szCs w:val="16"/>
          <w:shd w:val="clear" w:color="auto" w:fill="FFFFFF"/>
          <w:lang w:val="es-CR"/>
        </w:rPr>
        <w:t>Caso Favela Nova Brasilia Vs. Brasil. Excepciones Preliminares, Fondo, Reparaciones y Costas.</w:t>
      </w:r>
      <w:r w:rsidRPr="009C15B0">
        <w:rPr>
          <w:bCs/>
          <w:sz w:val="16"/>
          <w:szCs w:val="16"/>
          <w:shd w:val="clear" w:color="auto" w:fill="FFFFFF"/>
          <w:lang w:val="es-CR"/>
        </w:rPr>
        <w:t xml:space="preserve"> Sentencia de 16 de febrero de 2017. Serie C No. 333, párr. 78.</w:t>
      </w:r>
    </w:p>
  </w:footnote>
  <w:footnote w:id="19">
    <w:p w14:paraId="70F610CC" w14:textId="43D4B973"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i/>
          <w:sz w:val="16"/>
          <w:szCs w:val="16"/>
          <w:lang w:val="es-CR"/>
        </w:rPr>
        <w:t>Caso Reverón Trujillo Vs. Venezuela. Excepción Preliminar, Fondo, Reparaciones y Costas</w:t>
      </w:r>
      <w:r w:rsidRPr="009C15B0">
        <w:rPr>
          <w:sz w:val="16"/>
          <w:szCs w:val="16"/>
          <w:lang w:val="es-CR"/>
        </w:rPr>
        <w:t xml:space="preserve">. Sentencia de 30 de junio de 2009. Serie C No. 197, párr. 23, y </w:t>
      </w:r>
      <w:r w:rsidRPr="009C15B0">
        <w:rPr>
          <w:i/>
          <w:sz w:val="16"/>
          <w:szCs w:val="16"/>
          <w:lang w:val="es-CR"/>
        </w:rPr>
        <w:t>Caso Trabajadores Cesados de Petroperú y otros Vs. Perú, supra</w:t>
      </w:r>
      <w:r w:rsidRPr="009C15B0">
        <w:rPr>
          <w:sz w:val="16"/>
          <w:szCs w:val="16"/>
          <w:lang w:val="es-CR"/>
        </w:rPr>
        <w:t>, párrs. 27 y 33</w:t>
      </w:r>
      <w:r w:rsidRPr="009C15B0">
        <w:rPr>
          <w:i/>
          <w:sz w:val="16"/>
          <w:szCs w:val="16"/>
          <w:lang w:val="es-CR"/>
        </w:rPr>
        <w:t>.</w:t>
      </w:r>
    </w:p>
  </w:footnote>
  <w:footnote w:id="20">
    <w:p w14:paraId="2AEF60F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Verdana,Italic"/>
          <w:iCs/>
          <w:sz w:val="16"/>
          <w:szCs w:val="16"/>
          <w:lang w:val="es-CR" w:eastAsia="en-US"/>
        </w:rPr>
        <w:t>El 11 de febrero de 2005 el Estado remitió su respuesta inicial guardando silencio sobre la cuestión del agotamiento de los recursos internos.</w:t>
      </w:r>
      <w:r w:rsidRPr="009C15B0">
        <w:rPr>
          <w:i/>
          <w:sz w:val="16"/>
          <w:szCs w:val="16"/>
          <w:lang w:val="es-CR"/>
        </w:rPr>
        <w:t xml:space="preserve"> Cfr. </w:t>
      </w:r>
      <w:r w:rsidRPr="009C15B0">
        <w:rPr>
          <w:rFonts w:cs="Arial"/>
          <w:sz w:val="16"/>
          <w:szCs w:val="16"/>
          <w:lang w:val="es-CR" w:eastAsia="en-US"/>
        </w:rPr>
        <w:t xml:space="preserve">Informe MRE/DM-DGOI/196/02/05 </w:t>
      </w:r>
      <w:r w:rsidRPr="009C15B0">
        <w:rPr>
          <w:sz w:val="16"/>
          <w:szCs w:val="16"/>
          <w:lang w:val="es-CR" w:eastAsia="en-US"/>
        </w:rPr>
        <w:t>de 9 de febrero de 2005, recibido el 11 de febrero de 2005 en la Comisión Interamericana (expediente de trámite ante la Comisión, tomo VIII, folios 3229 a 3234)</w:t>
      </w:r>
      <w:r w:rsidRPr="009C15B0">
        <w:rPr>
          <w:rFonts w:cs="Verdana,Italic"/>
          <w:iCs/>
          <w:sz w:val="16"/>
          <w:szCs w:val="16"/>
          <w:lang w:val="es-CR" w:eastAsia="en-US"/>
        </w:rPr>
        <w:t>.</w:t>
      </w:r>
    </w:p>
  </w:footnote>
  <w:footnote w:id="21">
    <w:p w14:paraId="3C67AB2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Addendum </w:t>
      </w:r>
      <w:r w:rsidRPr="009C15B0">
        <w:rPr>
          <w:sz w:val="16"/>
          <w:szCs w:val="16"/>
          <w:lang w:val="es-CR"/>
        </w:rPr>
        <w:t xml:space="preserve">al </w:t>
      </w:r>
      <w:r w:rsidRPr="009C15B0">
        <w:rPr>
          <w:rFonts w:cs="Arial"/>
          <w:sz w:val="16"/>
          <w:szCs w:val="16"/>
          <w:lang w:val="es-CR" w:eastAsia="en-US"/>
        </w:rPr>
        <w:t xml:space="preserve">Informe MRE/DM-DGOI/196/02/05 </w:t>
      </w:r>
      <w:r w:rsidRPr="009C15B0">
        <w:rPr>
          <w:sz w:val="16"/>
          <w:szCs w:val="16"/>
          <w:lang w:val="es-CR" w:eastAsia="en-US"/>
        </w:rPr>
        <w:t>de 14 de febrero de 2005, recibido el 16 de febrero de 2005 en la Comisión Interamericana (expediente de trámite ante la Comisión, tomo VIII, folios 3237 a 3242)</w:t>
      </w:r>
      <w:r w:rsidRPr="009C15B0">
        <w:rPr>
          <w:rFonts w:cs="Verdana,Italic"/>
          <w:iCs/>
          <w:sz w:val="16"/>
          <w:szCs w:val="16"/>
          <w:lang w:val="es-CR" w:eastAsia="en-US"/>
        </w:rPr>
        <w:t>.</w:t>
      </w:r>
    </w:p>
  </w:footnote>
  <w:footnote w:id="22">
    <w:p w14:paraId="701D3B8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Addendum </w:t>
      </w:r>
      <w:r w:rsidRPr="009C15B0">
        <w:rPr>
          <w:sz w:val="16"/>
          <w:szCs w:val="16"/>
          <w:lang w:val="es-CR"/>
        </w:rPr>
        <w:t xml:space="preserve">al </w:t>
      </w:r>
      <w:r w:rsidRPr="009C15B0">
        <w:rPr>
          <w:rFonts w:cs="Arial"/>
          <w:sz w:val="16"/>
          <w:szCs w:val="16"/>
          <w:lang w:val="es-CR" w:eastAsia="en-US"/>
        </w:rPr>
        <w:t xml:space="preserve">Informe MRE/DM-DGOI/196/02/05 </w:t>
      </w:r>
      <w:r w:rsidRPr="009C15B0">
        <w:rPr>
          <w:sz w:val="16"/>
          <w:szCs w:val="16"/>
          <w:lang w:val="es-CR" w:eastAsia="en-US"/>
        </w:rPr>
        <w:t>de 14 de febrero de 2005, recibido el 16 de febrero de 2005 en la Comisión Interamericana (expediente de trámite ante la Comisión, tomo VIII, folios 3237 a 3242)</w:t>
      </w:r>
      <w:r w:rsidRPr="009C15B0">
        <w:rPr>
          <w:rFonts w:cs="Verdana,Italic"/>
          <w:iCs/>
          <w:sz w:val="16"/>
          <w:szCs w:val="16"/>
          <w:lang w:val="es-CR" w:eastAsia="en-US"/>
        </w:rPr>
        <w:t>.</w:t>
      </w:r>
    </w:p>
  </w:footnote>
  <w:footnote w:id="23">
    <w:p w14:paraId="2C816D68" w14:textId="171F71C1" w:rsidR="007F7D87" w:rsidRPr="009C15B0" w:rsidRDefault="007F7D87" w:rsidP="001E6358">
      <w:pPr>
        <w:pStyle w:val="FootnoteText"/>
        <w:tabs>
          <w:tab w:val="left" w:pos="0"/>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CIDH,</w:t>
      </w:r>
      <w:r w:rsidRPr="009C15B0">
        <w:rPr>
          <w:i/>
          <w:sz w:val="16"/>
          <w:szCs w:val="16"/>
          <w:lang w:val="es-CR"/>
        </w:rPr>
        <w:t xml:space="preserve"> </w:t>
      </w:r>
      <w:r w:rsidRPr="009C15B0">
        <w:rPr>
          <w:rFonts w:cs="Verdana"/>
          <w:sz w:val="16"/>
          <w:szCs w:val="16"/>
          <w:lang w:val="es-CR"/>
        </w:rPr>
        <w:t>Informe de Admisibilidad No. 3/09, Petición 4408-02. Caso V.R.P. y V.P.C. Vs. Nicaragua, 11 de febrero de 2009</w:t>
      </w:r>
      <w:r w:rsidRPr="009C15B0">
        <w:rPr>
          <w:sz w:val="16"/>
          <w:szCs w:val="16"/>
          <w:lang w:val="es-CR"/>
        </w:rPr>
        <w:t>, párrs. 42 y 43 (expediente de trámite ante la Comisión, tomo XI, folios 4657 a 4669).</w:t>
      </w:r>
    </w:p>
  </w:footnote>
  <w:footnote w:id="24">
    <w:p w14:paraId="7C4EEDA5" w14:textId="4BDFBFCA"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A24964">
        <w:rPr>
          <w:sz w:val="16"/>
          <w:szCs w:val="16"/>
          <w:lang w:val="en-US"/>
        </w:rPr>
        <w:t xml:space="preserve"> </w:t>
      </w:r>
      <w:r w:rsidRPr="00A24964">
        <w:rPr>
          <w:sz w:val="16"/>
          <w:szCs w:val="16"/>
          <w:lang w:val="en-US"/>
        </w:rPr>
        <w:tab/>
      </w:r>
      <w:r w:rsidRPr="00A24964">
        <w:rPr>
          <w:rFonts w:eastAsia="Verdana" w:cs="Verdana"/>
          <w:i/>
          <w:sz w:val="16"/>
          <w:szCs w:val="16"/>
          <w:lang w:val="en-US"/>
        </w:rPr>
        <w:t xml:space="preserve">Cfr. Caso Wong Ho Wing Vs. </w:t>
      </w:r>
      <w:r w:rsidRPr="009C15B0">
        <w:rPr>
          <w:rFonts w:eastAsia="Verdana" w:cs="Verdana"/>
          <w:i/>
          <w:sz w:val="16"/>
          <w:szCs w:val="16"/>
          <w:lang w:val="es-CR"/>
        </w:rPr>
        <w:t xml:space="preserve">Perú. Excepción Preliminar, Fondo, Reparaciones y Costas. </w:t>
      </w:r>
      <w:r w:rsidRPr="009C15B0">
        <w:rPr>
          <w:rFonts w:eastAsia="Verdana" w:cs="Verdana"/>
          <w:sz w:val="16"/>
          <w:szCs w:val="16"/>
          <w:lang w:val="es-CR"/>
        </w:rPr>
        <w:t>Sentencia de 30 de junio de 2015. Serie C No. 297,</w:t>
      </w:r>
      <w:r w:rsidRPr="009C15B0">
        <w:rPr>
          <w:rFonts w:eastAsia="Verdana" w:cs="Verdana"/>
          <w:i/>
          <w:sz w:val="16"/>
          <w:szCs w:val="16"/>
          <w:lang w:val="es-CR"/>
        </w:rPr>
        <w:t xml:space="preserve"> </w:t>
      </w:r>
      <w:r w:rsidRPr="009C15B0">
        <w:rPr>
          <w:rFonts w:eastAsia="Verdana" w:cs="Verdana"/>
          <w:sz w:val="16"/>
          <w:szCs w:val="16"/>
          <w:lang w:val="es-CR"/>
        </w:rPr>
        <w:t>párr. 25</w:t>
      </w:r>
      <w:r w:rsidRPr="009C15B0">
        <w:rPr>
          <w:color w:val="000000" w:themeColor="text1"/>
          <w:sz w:val="16"/>
          <w:szCs w:val="16"/>
          <w:lang w:val="es-CR"/>
        </w:rPr>
        <w:t>, y</w:t>
      </w:r>
      <w:r w:rsidRPr="009C15B0">
        <w:rPr>
          <w:i/>
          <w:color w:val="000000" w:themeColor="text1"/>
          <w:sz w:val="16"/>
          <w:szCs w:val="16"/>
          <w:lang w:val="es-CR"/>
        </w:rPr>
        <w:t xml:space="preserve"> Caso Favela Nova Brasilia Vs. Brasil, supra</w:t>
      </w:r>
      <w:r w:rsidRPr="009C15B0">
        <w:rPr>
          <w:color w:val="000000" w:themeColor="text1"/>
          <w:sz w:val="16"/>
          <w:szCs w:val="16"/>
          <w:lang w:val="es-CR"/>
        </w:rPr>
        <w:t>, párr. 85.</w:t>
      </w:r>
    </w:p>
  </w:footnote>
  <w:footnote w:id="25">
    <w:p w14:paraId="7AFFBBFD" w14:textId="16B3EC8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i/>
          <w:sz w:val="16"/>
          <w:szCs w:val="16"/>
          <w:lang w:val="es-CR"/>
        </w:rPr>
        <w:t xml:space="preserve"> </w:t>
      </w:r>
      <w:r w:rsidRPr="009C15B0">
        <w:rPr>
          <w:i/>
          <w:sz w:val="16"/>
          <w:szCs w:val="16"/>
          <w:lang w:val="es-CR"/>
        </w:rPr>
        <w:tab/>
        <w:t>Cfr.,</w:t>
      </w:r>
      <w:r w:rsidRPr="009C15B0">
        <w:rPr>
          <w:sz w:val="16"/>
          <w:szCs w:val="16"/>
          <w:lang w:val="es-CR"/>
        </w:rPr>
        <w:t xml:space="preserve"> </w:t>
      </w:r>
      <w:r w:rsidRPr="009C15B0">
        <w:rPr>
          <w:i/>
          <w:sz w:val="16"/>
          <w:szCs w:val="16"/>
          <w:lang w:val="es-CR"/>
        </w:rPr>
        <w:t>mutatis mutandi</w:t>
      </w:r>
      <w:r w:rsidRPr="009C15B0">
        <w:rPr>
          <w:sz w:val="16"/>
          <w:szCs w:val="16"/>
          <w:lang w:val="es-CR"/>
        </w:rPr>
        <w:t xml:space="preserve">, </w:t>
      </w:r>
      <w:r w:rsidRPr="009C15B0">
        <w:rPr>
          <w:rFonts w:cs="Courier New"/>
          <w:i/>
          <w:sz w:val="16"/>
          <w:szCs w:val="16"/>
          <w:lang w:val="es-CR"/>
        </w:rPr>
        <w:t>Caso Duque Vs. Colombia. Excepciones Preliminares, Fondo, Reparaciones y Costas</w:t>
      </w:r>
      <w:r w:rsidRPr="009C15B0">
        <w:rPr>
          <w:rFonts w:cs="Courier New"/>
          <w:sz w:val="16"/>
          <w:szCs w:val="16"/>
          <w:lang w:val="es-CR"/>
        </w:rPr>
        <w:t>. Sentencia de 26 de febrero de 2016. Serie C No. 310, párr. 41.</w:t>
      </w:r>
    </w:p>
  </w:footnote>
  <w:footnote w:id="26">
    <w:p w14:paraId="3FDBCC3A" w14:textId="69CFABC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Artículo 55 de la Convención Americana sobre Derechos Humanos.</w:t>
      </w:r>
      <w:r w:rsidRPr="009C15B0">
        <w:rPr>
          <w:sz w:val="16"/>
          <w:szCs w:val="16"/>
          <w:lang w:val="es-CR"/>
        </w:rPr>
        <w:t xml:space="preserve"> Opinión Consultiva OC-20/09 de 29 de septiembre de 2009. Serie A No. 20, párr. 32.</w:t>
      </w:r>
    </w:p>
  </w:footnote>
  <w:footnote w:id="27">
    <w:p w14:paraId="6E369586" w14:textId="2203930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En virtud del artículo 45 se establece que: “1. Todo Estado parte puede, en el momento del depósito de su instrumento de ratificación o adhesión de esta Convención, o en cualquier momento posterior, declarar que reconoce la competencia de la Comisión para recibir y examinar las comunicaciones en que un Estado parte alegue que otro Estado parte ha incurrido en violaciones de los derechos humanos establecidos en esta Convención”.</w:t>
      </w:r>
    </w:p>
  </w:footnote>
  <w:footnote w:id="28">
    <w:p w14:paraId="3F132852" w14:textId="25EA64E7"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A24964">
        <w:rPr>
          <w:sz w:val="16"/>
          <w:szCs w:val="16"/>
          <w:lang w:val="pt-BR"/>
        </w:rPr>
        <w:t xml:space="preserve"> </w:t>
      </w:r>
      <w:r w:rsidRPr="00A24964">
        <w:rPr>
          <w:sz w:val="16"/>
          <w:szCs w:val="16"/>
          <w:lang w:val="pt-BR"/>
        </w:rPr>
        <w:tab/>
      </w:r>
      <w:r w:rsidRPr="00A24964">
        <w:rPr>
          <w:i/>
          <w:sz w:val="16"/>
          <w:szCs w:val="16"/>
          <w:lang w:val="pt-BR"/>
        </w:rPr>
        <w:t xml:space="preserve">Caso Masacre de Santo Domingo Vs. </w:t>
      </w:r>
      <w:r w:rsidRPr="009C15B0">
        <w:rPr>
          <w:i/>
          <w:sz w:val="16"/>
          <w:szCs w:val="16"/>
        </w:rPr>
        <w:t xml:space="preserve">Colombia. Excepciones Preliminares, Fondo y Reparaciones. </w:t>
      </w:r>
      <w:r w:rsidRPr="009C15B0">
        <w:rPr>
          <w:sz w:val="16"/>
          <w:szCs w:val="16"/>
        </w:rPr>
        <w:t xml:space="preserve">Sentencia de 30 de Noviembre de 2012. Serie C No. 259, párr. 24, y </w:t>
      </w:r>
      <w:r w:rsidRPr="009C15B0">
        <w:rPr>
          <w:i/>
          <w:sz w:val="16"/>
          <w:szCs w:val="16"/>
          <w:lang w:eastAsia="x-none"/>
        </w:rPr>
        <w:t xml:space="preserve">Caso Vásquez Durand y otros Vs. Ecuador. Excepciones Preliminares, Fondo, Reparaciones y Costas. </w:t>
      </w:r>
      <w:r w:rsidRPr="009C15B0">
        <w:rPr>
          <w:sz w:val="16"/>
          <w:szCs w:val="16"/>
          <w:lang w:eastAsia="x-none"/>
        </w:rPr>
        <w:t xml:space="preserve">Sentencia de 15 de febrero de 2017. Serie C No. 332, </w:t>
      </w:r>
      <w:r w:rsidRPr="009C15B0">
        <w:rPr>
          <w:sz w:val="16"/>
          <w:szCs w:val="16"/>
        </w:rPr>
        <w:t>párr. 30.</w:t>
      </w:r>
    </w:p>
  </w:footnote>
  <w:footnote w:id="29">
    <w:p w14:paraId="5CFEA854" w14:textId="6D6D156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i/>
          <w:sz w:val="16"/>
          <w:szCs w:val="16"/>
          <w:lang w:val="es-CR"/>
        </w:rPr>
        <w:t>"Otros Tratados" Objeto de la Función Consultiva de la Corte</w:t>
      </w:r>
      <w:r w:rsidRPr="009C15B0">
        <w:rPr>
          <w:sz w:val="16"/>
          <w:szCs w:val="16"/>
          <w:lang w:val="es-CR"/>
        </w:rPr>
        <w:t xml:space="preserve"> (art. 64 Convención Americana sobre Derechos Humanos). Opinión Consultiva OC-1/82 del 24 de septiembre de 1982</w:t>
      </w:r>
      <w:r w:rsidRPr="009C15B0">
        <w:rPr>
          <w:i/>
          <w:sz w:val="16"/>
          <w:szCs w:val="16"/>
          <w:lang w:val="es-CR"/>
        </w:rPr>
        <w:t xml:space="preserve">. </w:t>
      </w:r>
      <w:r w:rsidRPr="009C15B0">
        <w:rPr>
          <w:sz w:val="16"/>
          <w:szCs w:val="16"/>
          <w:lang w:val="es-CR"/>
        </w:rPr>
        <w:t>Serie A No. 1</w:t>
      </w:r>
      <w:r w:rsidRPr="009C15B0">
        <w:rPr>
          <w:rFonts w:eastAsia="Calibri" w:cs="Verdana"/>
          <w:sz w:val="16"/>
          <w:szCs w:val="16"/>
          <w:lang w:val="es-CR" w:eastAsia="en-US"/>
        </w:rPr>
        <w:t>, párr. 41.</w:t>
      </w:r>
    </w:p>
  </w:footnote>
  <w:footnote w:id="30">
    <w:p w14:paraId="31657EC7" w14:textId="36F9864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Nicaragua ratificó la Convención sobre los Derechos del Niño el 5 de octubre de 1990.</w:t>
      </w:r>
    </w:p>
  </w:footnote>
  <w:footnote w:id="31">
    <w:p w14:paraId="308C96DA" w14:textId="0142E13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Condición Jurídica y Derechos Humanos del Niño.</w:t>
      </w:r>
      <w:r w:rsidRPr="009C15B0">
        <w:rPr>
          <w:sz w:val="16"/>
          <w:szCs w:val="16"/>
          <w:lang w:val="es-CR"/>
        </w:rPr>
        <w:t xml:space="preserve"> Opinión Consultiva OC-17/02 de 28 de agosto de 2002. Serie A No. 17, párr. 29, y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Opinión Consultiva OC-21/14 de 19 de agosto de 2014. Serie A No. 21, párr. 57</w:t>
      </w:r>
      <w:r w:rsidRPr="009C15B0">
        <w:rPr>
          <w:sz w:val="16"/>
          <w:szCs w:val="16"/>
          <w:lang w:val="es-CR"/>
        </w:rPr>
        <w:t>.</w:t>
      </w:r>
    </w:p>
  </w:footnote>
  <w:footnote w:id="32">
    <w:p w14:paraId="1C83F819" w14:textId="49CA815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xml:space="preserve">. Opinión Consultiva OC-21/14, </w:t>
      </w:r>
      <w:r w:rsidRPr="009C15B0">
        <w:rPr>
          <w:rStyle w:val="Strong"/>
          <w:b w:val="0"/>
          <w:i/>
          <w:sz w:val="16"/>
          <w:szCs w:val="16"/>
          <w:lang w:val="es-CR"/>
        </w:rPr>
        <w:t>supra</w:t>
      </w:r>
      <w:r w:rsidRPr="009C15B0">
        <w:rPr>
          <w:rStyle w:val="Strong"/>
          <w:b w:val="0"/>
          <w:sz w:val="16"/>
          <w:szCs w:val="16"/>
          <w:lang w:val="es-CR"/>
        </w:rPr>
        <w:t>, párr. 60.</w:t>
      </w:r>
    </w:p>
  </w:footnote>
  <w:footnote w:id="33">
    <w:p w14:paraId="0DD194D4" w14:textId="37390F1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i/>
          <w:sz w:val="16"/>
          <w:szCs w:val="16"/>
          <w:lang w:val="es-CR"/>
        </w:rPr>
        <w:t xml:space="preserve"> </w:t>
      </w:r>
      <w:r w:rsidRPr="009C15B0">
        <w:rPr>
          <w:i/>
          <w:sz w:val="16"/>
          <w:szCs w:val="16"/>
          <w:lang w:val="es-CR"/>
        </w:rPr>
        <w:tab/>
        <w:t>Cfr</w:t>
      </w:r>
      <w:r w:rsidRPr="009C15B0">
        <w:rPr>
          <w:sz w:val="16"/>
          <w:szCs w:val="16"/>
          <w:lang w:val="es-CR"/>
        </w:rPr>
        <w:t xml:space="preserve">. </w:t>
      </w:r>
      <w:r w:rsidRPr="009C15B0">
        <w:rPr>
          <w:i/>
          <w:sz w:val="16"/>
          <w:szCs w:val="16"/>
          <w:lang w:val="es-CR"/>
        </w:rPr>
        <w:t>Caso de los “Niños de la Calle” (Villagrán Morales y otros) Vs. Guatemala. Fondo.</w:t>
      </w:r>
      <w:r w:rsidRPr="009C15B0">
        <w:rPr>
          <w:sz w:val="16"/>
          <w:szCs w:val="16"/>
          <w:lang w:val="es-CR"/>
        </w:rPr>
        <w:t xml:space="preserve"> Sentencia de 19 de noviembre de 1999. Serie C No. 63, párr. 194, y </w:t>
      </w:r>
      <w:r w:rsidRPr="009C15B0">
        <w:rPr>
          <w:i/>
          <w:sz w:val="16"/>
          <w:szCs w:val="16"/>
          <w:lang w:val="es-CR"/>
        </w:rPr>
        <w:t xml:space="preserve">Caso Yarce y otras Vs. Colombia. Excepción Preliminar, Fondo, Reparaciones y Costas. </w:t>
      </w:r>
      <w:r w:rsidRPr="009C15B0">
        <w:rPr>
          <w:sz w:val="16"/>
          <w:szCs w:val="16"/>
          <w:lang w:val="es-CR"/>
        </w:rPr>
        <w:t>Sentencia de 22 de noviembre de 2016. Serie C No. 325, nota al pie 115</w:t>
      </w:r>
      <w:r w:rsidRPr="009C15B0">
        <w:rPr>
          <w:i/>
          <w:sz w:val="16"/>
          <w:szCs w:val="16"/>
          <w:lang w:val="es-CR"/>
        </w:rPr>
        <w:t>.</w:t>
      </w:r>
    </w:p>
  </w:footnote>
  <w:footnote w:id="34">
    <w:p w14:paraId="1205952D" w14:textId="623233C9" w:rsidR="007F7D87" w:rsidRPr="009C15B0" w:rsidRDefault="007F7D87" w:rsidP="001E6358">
      <w:pPr>
        <w:tabs>
          <w:tab w:val="left" w:pos="567"/>
        </w:tabs>
        <w:autoSpaceDE w:val="0"/>
        <w:autoSpaceDN w:val="0"/>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iCs/>
          <w:sz w:val="16"/>
          <w:szCs w:val="16"/>
        </w:rPr>
        <w:t xml:space="preserve">Cfr. </w:t>
      </w:r>
      <w:r w:rsidRPr="009C15B0">
        <w:rPr>
          <w:i/>
          <w:sz w:val="16"/>
          <w:szCs w:val="16"/>
        </w:rPr>
        <w:t>Caso</w:t>
      </w:r>
      <w:r w:rsidRPr="009C15B0">
        <w:rPr>
          <w:sz w:val="16"/>
          <w:szCs w:val="16"/>
        </w:rPr>
        <w:t xml:space="preserve"> </w:t>
      </w:r>
      <w:r w:rsidRPr="009C15B0">
        <w:rPr>
          <w:i/>
          <w:sz w:val="16"/>
          <w:szCs w:val="16"/>
        </w:rPr>
        <w:t>de las Masacres de Ituango Vs. Colombia. Excepción Preliminar, Fondo, Reparaciones y Costas</w:t>
      </w:r>
      <w:r w:rsidRPr="009C15B0">
        <w:rPr>
          <w:sz w:val="16"/>
          <w:szCs w:val="16"/>
        </w:rPr>
        <w:t xml:space="preserve">. Sentencia de 1 de julio de 2006. Serie C No. 148, párr. 98, y </w:t>
      </w:r>
      <w:r w:rsidRPr="009C15B0">
        <w:rPr>
          <w:i/>
          <w:sz w:val="16"/>
          <w:szCs w:val="16"/>
        </w:rPr>
        <w:t xml:space="preserve">Caso I.V. Vs. Bolivia. Excepciones Preliminares, Fondo, Reparaciones y Costas. </w:t>
      </w:r>
      <w:r w:rsidRPr="009C15B0">
        <w:rPr>
          <w:sz w:val="16"/>
          <w:szCs w:val="16"/>
        </w:rPr>
        <w:t>Sentencia de 30 de noviembre de 2016. Serie C No. 329</w:t>
      </w:r>
      <w:r w:rsidRPr="009C15B0">
        <w:rPr>
          <w:sz w:val="16"/>
          <w:szCs w:val="16"/>
          <w:lang w:eastAsia="x-none"/>
        </w:rPr>
        <w:t>, párr. 41</w:t>
      </w:r>
      <w:r w:rsidRPr="009C15B0">
        <w:rPr>
          <w:i/>
          <w:sz w:val="16"/>
          <w:szCs w:val="16"/>
          <w:lang w:eastAsia="x-none"/>
        </w:rPr>
        <w:t>.</w:t>
      </w:r>
    </w:p>
  </w:footnote>
  <w:footnote w:id="35">
    <w:p w14:paraId="7B38942B" w14:textId="5075641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CIDH, Informe de Fondo No. 4/16, párr. 153.</w:t>
      </w:r>
    </w:p>
  </w:footnote>
  <w:footnote w:id="36">
    <w:p w14:paraId="449937F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CIDH, Informe de Fondo No. 4/16, párr. 154.</w:t>
      </w:r>
    </w:p>
  </w:footnote>
  <w:footnote w:id="37">
    <w:p w14:paraId="45060D93" w14:textId="73C9E07E" w:rsidR="007F7D87" w:rsidRPr="009C15B0" w:rsidRDefault="007F7D87" w:rsidP="001E6358">
      <w:pPr>
        <w:pStyle w:val="FootnoteText"/>
        <w:tabs>
          <w:tab w:val="left" w:pos="567"/>
        </w:tabs>
        <w:spacing w:after="60"/>
        <w:rPr>
          <w:bCs/>
          <w:iCs/>
          <w:sz w:val="16"/>
          <w:szCs w:val="16"/>
          <w:lang w:val="es-CR" w:bidi="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eastAsia="Times"/>
          <w:i/>
          <w:sz w:val="16"/>
          <w:szCs w:val="16"/>
          <w:lang w:val="es-CR"/>
        </w:rPr>
        <w:t>Caso “Cinco Pensionistas” Vs. Perú. Fondo, Reparaciones y Costas.</w:t>
      </w:r>
      <w:r w:rsidRPr="009C15B0">
        <w:rPr>
          <w:rFonts w:eastAsia="Times"/>
          <w:sz w:val="16"/>
          <w:szCs w:val="16"/>
          <w:lang w:val="es-CR"/>
        </w:rPr>
        <w:t xml:space="preserve"> Sentencia de 28 de febrero de 2003. Serie C No. 98, </w:t>
      </w:r>
      <w:r w:rsidRPr="009C15B0">
        <w:rPr>
          <w:iCs/>
          <w:sz w:val="16"/>
          <w:szCs w:val="16"/>
          <w:lang w:val="es-CR" w:bidi="en-US"/>
        </w:rPr>
        <w:t>párr. 155, y</w:t>
      </w:r>
      <w:r w:rsidRPr="009C15B0">
        <w:rPr>
          <w:i/>
          <w:iCs/>
          <w:sz w:val="16"/>
          <w:szCs w:val="16"/>
          <w:lang w:val="es-CR" w:bidi="en-US"/>
        </w:rPr>
        <w:t xml:space="preserve"> </w:t>
      </w:r>
      <w:r w:rsidRPr="009C15B0">
        <w:rPr>
          <w:rFonts w:cs="Courier New"/>
          <w:bCs/>
          <w:i/>
          <w:sz w:val="16"/>
          <w:szCs w:val="16"/>
          <w:lang w:val="es-CR"/>
        </w:rPr>
        <w:t>Caso Acosta y otros Vs. Nicaragua, supra</w:t>
      </w:r>
      <w:r w:rsidRPr="009C15B0">
        <w:rPr>
          <w:rFonts w:cs="Courier New"/>
          <w:bCs/>
          <w:sz w:val="16"/>
          <w:szCs w:val="16"/>
          <w:lang w:val="es-CR"/>
        </w:rPr>
        <w:t>, párr.</w:t>
      </w:r>
      <w:r w:rsidRPr="009C15B0">
        <w:rPr>
          <w:rFonts w:cs="Courier New"/>
          <w:bCs/>
          <w:i/>
          <w:sz w:val="16"/>
          <w:szCs w:val="16"/>
          <w:lang w:val="es-CR"/>
        </w:rPr>
        <w:t xml:space="preserve"> </w:t>
      </w:r>
      <w:r w:rsidRPr="009C15B0">
        <w:rPr>
          <w:rFonts w:cs="Courier New"/>
          <w:bCs/>
          <w:sz w:val="16"/>
          <w:szCs w:val="16"/>
          <w:lang w:val="es-CR"/>
        </w:rPr>
        <w:t>30.</w:t>
      </w:r>
    </w:p>
  </w:footnote>
  <w:footnote w:id="38">
    <w:p w14:paraId="14439560" w14:textId="259C044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González y otras (“Campo Algodonero”) Vs. México. Excepción Preliminar, Fondo, Reparaciones y Costas. </w:t>
      </w:r>
      <w:r w:rsidRPr="009C15B0">
        <w:rPr>
          <w:sz w:val="16"/>
          <w:szCs w:val="16"/>
          <w:lang w:val="es-CR"/>
        </w:rPr>
        <w:t>Sentencia de 16 de noviembre de 2009. Serie C No. 205, párr. 40</w:t>
      </w:r>
      <w:r w:rsidRPr="009C15B0">
        <w:rPr>
          <w:i/>
          <w:sz w:val="16"/>
          <w:szCs w:val="16"/>
          <w:lang w:val="es-CR"/>
        </w:rPr>
        <w:t xml:space="preserve">, </w:t>
      </w:r>
      <w:r w:rsidRPr="009C15B0">
        <w:rPr>
          <w:sz w:val="16"/>
          <w:szCs w:val="16"/>
          <w:lang w:val="es-CR"/>
        </w:rPr>
        <w:t>y</w:t>
      </w:r>
      <w:r w:rsidRPr="009C15B0">
        <w:rPr>
          <w:i/>
          <w:sz w:val="16"/>
          <w:szCs w:val="16"/>
          <w:lang w:val="es-CR"/>
        </w:rPr>
        <w:t xml:space="preserve"> Caso Favela Nova Brasilia Vs. Brasil, supra</w:t>
      </w:r>
      <w:r w:rsidRPr="009C15B0">
        <w:rPr>
          <w:sz w:val="16"/>
          <w:szCs w:val="16"/>
          <w:lang w:val="es-CR"/>
        </w:rPr>
        <w:t>, párr. 67.</w:t>
      </w:r>
    </w:p>
  </w:footnote>
  <w:footnote w:id="39">
    <w:p w14:paraId="7FC63699" w14:textId="2531E1BE" w:rsidR="007F7D87" w:rsidRPr="009C15B0" w:rsidRDefault="007F7D87" w:rsidP="001E6358">
      <w:pPr>
        <w:tabs>
          <w:tab w:val="left" w:pos="567"/>
        </w:tabs>
        <w:autoSpaceDE w:val="0"/>
        <w:autoSpaceDN w:val="0"/>
        <w:spacing w:after="60" w:line="240" w:lineRule="auto"/>
        <w:rPr>
          <w:i/>
          <w:sz w:val="16"/>
          <w:szCs w:val="16"/>
        </w:rPr>
      </w:pPr>
      <w:r w:rsidRPr="009C15B0">
        <w:rPr>
          <w:rStyle w:val="FootnoteReference"/>
          <w:rFonts w:eastAsia="Calibri"/>
          <w:sz w:val="16"/>
          <w:szCs w:val="16"/>
        </w:rPr>
        <w:footnoteRef/>
      </w:r>
      <w:r w:rsidRPr="009C15B0">
        <w:rPr>
          <w:sz w:val="16"/>
          <w:szCs w:val="16"/>
        </w:rPr>
        <w:tab/>
      </w:r>
      <w:r w:rsidRPr="009C15B0">
        <w:rPr>
          <w:i/>
          <w:sz w:val="16"/>
          <w:szCs w:val="16"/>
        </w:rPr>
        <w:t xml:space="preserve">Cfr. </w:t>
      </w:r>
      <w:r w:rsidRPr="009C15B0">
        <w:rPr>
          <w:rFonts w:cs="Courier New"/>
          <w:i/>
          <w:sz w:val="16"/>
          <w:szCs w:val="16"/>
        </w:rPr>
        <w:t>Caso Velásquez Rodríguez Vs. Honduras. Fondo, supra</w:t>
      </w:r>
      <w:r w:rsidRPr="009C15B0">
        <w:rPr>
          <w:rFonts w:cs="Courier New"/>
          <w:sz w:val="16"/>
          <w:szCs w:val="16"/>
        </w:rPr>
        <w:t>, párr. 140,</w:t>
      </w:r>
      <w:r w:rsidRPr="009C15B0">
        <w:rPr>
          <w:rFonts w:cs="Courier New"/>
          <w:i/>
          <w:sz w:val="16"/>
          <w:szCs w:val="16"/>
        </w:rPr>
        <w:t xml:space="preserve"> </w:t>
      </w:r>
      <w:r w:rsidRPr="009C15B0">
        <w:rPr>
          <w:sz w:val="16"/>
          <w:szCs w:val="16"/>
        </w:rPr>
        <w:t>y</w:t>
      </w:r>
      <w:r w:rsidRPr="009C15B0">
        <w:rPr>
          <w:i/>
          <w:sz w:val="16"/>
          <w:szCs w:val="16"/>
        </w:rPr>
        <w:t xml:space="preserve"> Caso Ortiz Hernández y otros Vs. Venezuela. Fondo, Reparaciones y Costas.</w:t>
      </w:r>
      <w:r w:rsidRPr="009C15B0">
        <w:rPr>
          <w:sz w:val="16"/>
          <w:szCs w:val="16"/>
        </w:rPr>
        <w:t xml:space="preserve"> Sentencia de 22 de agosto de 2017. Serie C No. 338, párr. 42.</w:t>
      </w:r>
    </w:p>
  </w:footnote>
  <w:footnote w:id="40">
    <w:p w14:paraId="72298AA8" w14:textId="54645495" w:rsidR="007F7D87" w:rsidRPr="009C15B0" w:rsidRDefault="007F7D87" w:rsidP="001E6358">
      <w:pPr>
        <w:pStyle w:val="FootnoteText"/>
        <w:tabs>
          <w:tab w:val="left" w:pos="567"/>
        </w:tabs>
        <w:spacing w:after="60"/>
        <w:rPr>
          <w:rFonts w:eastAsia="ヒラギノ角ゴ Pro W3"/>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Los objetos de todas estas declaraciones se encuentran establecidos en la Resolución del Presidente de la Corte Interamericana de 21 de septiembre de 2017. Disponible en: http://www.corteidh.or.cr/docs/asuntos/vrp_21_09_17.pdf</w:t>
      </w:r>
    </w:p>
  </w:footnote>
  <w:footnote w:id="41">
    <w:p w14:paraId="3EB951A2" w14:textId="2028C164" w:rsidR="007F7D87" w:rsidRPr="009C15B0" w:rsidRDefault="007F7D87" w:rsidP="001E6358">
      <w:pPr>
        <w:tabs>
          <w:tab w:val="left" w:pos="567"/>
        </w:tabs>
        <w:spacing w:after="60" w:line="240" w:lineRule="auto"/>
        <w:rPr>
          <w:i/>
          <w:sz w:val="16"/>
          <w:szCs w:val="16"/>
        </w:rPr>
      </w:pPr>
      <w:r w:rsidRPr="009C15B0">
        <w:rPr>
          <w:rStyle w:val="FootnoteReference"/>
          <w:rFonts w:eastAsia="Calibri"/>
          <w:sz w:val="16"/>
          <w:szCs w:val="16"/>
        </w:rPr>
        <w:footnoteRef/>
      </w:r>
      <w:r w:rsidRPr="009C15B0">
        <w:rPr>
          <w:sz w:val="16"/>
          <w:szCs w:val="16"/>
          <w:vertAlign w:val="superscript"/>
        </w:rPr>
        <w:t xml:space="preserve"> </w:t>
      </w:r>
      <w:r w:rsidRPr="009C15B0">
        <w:rPr>
          <w:sz w:val="16"/>
          <w:szCs w:val="16"/>
        </w:rPr>
        <w:tab/>
      </w:r>
      <w:r w:rsidRPr="009C15B0">
        <w:rPr>
          <w:i/>
          <w:sz w:val="16"/>
          <w:szCs w:val="16"/>
        </w:rPr>
        <w:t>Cfr.</w:t>
      </w:r>
      <w:r w:rsidRPr="009C15B0">
        <w:rPr>
          <w:bCs/>
          <w:i/>
          <w:sz w:val="16"/>
          <w:szCs w:val="16"/>
        </w:rPr>
        <w:t xml:space="preserve"> </w:t>
      </w:r>
      <w:r w:rsidRPr="009C15B0">
        <w:rPr>
          <w:i/>
          <w:sz w:val="16"/>
          <w:szCs w:val="16"/>
        </w:rPr>
        <w:t xml:space="preserve">Caso de la “Panel Blanca” (Paniagua Morales y otros) Vs. Guatemala. Fondo. </w:t>
      </w:r>
      <w:r w:rsidRPr="009C15B0">
        <w:rPr>
          <w:sz w:val="16"/>
          <w:szCs w:val="16"/>
        </w:rPr>
        <w:t xml:space="preserve">Sentencia de 8 de marzo de 1998. Serie C No. 37, párrs. 69 a 76, </w:t>
      </w:r>
      <w:r w:rsidRPr="009C15B0">
        <w:rPr>
          <w:rFonts w:cs="Courier New"/>
          <w:sz w:val="16"/>
          <w:szCs w:val="16"/>
        </w:rPr>
        <w:t xml:space="preserve">y </w:t>
      </w:r>
      <w:r w:rsidRPr="009C15B0">
        <w:rPr>
          <w:rFonts w:cs="Courier New"/>
          <w:i/>
          <w:sz w:val="16"/>
          <w:szCs w:val="16"/>
        </w:rPr>
        <w:t>Caso Trabajadores Cesados de Petroperú y otros Vs. Perú, supra</w:t>
      </w:r>
      <w:r w:rsidRPr="009C15B0">
        <w:rPr>
          <w:rFonts w:cs="Courier New"/>
          <w:sz w:val="16"/>
          <w:szCs w:val="16"/>
        </w:rPr>
        <w:t>, párr. 79.</w:t>
      </w:r>
    </w:p>
  </w:footnote>
  <w:footnote w:id="42">
    <w:p w14:paraId="667D7E67" w14:textId="6A722B89" w:rsidR="007F7D87" w:rsidRPr="009C15B0" w:rsidRDefault="007F7D87" w:rsidP="001E6358">
      <w:pPr>
        <w:pStyle w:val="FootnoteText"/>
        <w:tabs>
          <w:tab w:val="left" w:pos="567"/>
        </w:tabs>
        <w:spacing w:after="60"/>
        <w:rPr>
          <w:rFonts w:eastAsiaTheme="minorHAnsi" w:cstheme="minorBidi"/>
          <w:i/>
          <w:sz w:val="16"/>
          <w:szCs w:val="16"/>
          <w:lang w:val="es-CR" w:eastAsia="en-US"/>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Loayza Tamayo Vs. Perú. Fondo. </w:t>
      </w:r>
      <w:r w:rsidRPr="009C15B0">
        <w:rPr>
          <w:sz w:val="16"/>
          <w:szCs w:val="16"/>
          <w:lang w:val="es-CR"/>
        </w:rPr>
        <w:t xml:space="preserve">Sentencia de 17 de septiembre de 1997. Serie C No. 33, párr. 43, y </w:t>
      </w:r>
      <w:r w:rsidRPr="009C15B0">
        <w:rPr>
          <w:rFonts w:eastAsiaTheme="minorHAnsi" w:cstheme="minorBidi"/>
          <w:i/>
          <w:sz w:val="16"/>
          <w:szCs w:val="16"/>
          <w:lang w:val="es-CR" w:eastAsia="en-US"/>
        </w:rPr>
        <w:t xml:space="preserve">Caso Pacheco León y otros Vs. Honduras. Fondo, Reparaciones y Costas. </w:t>
      </w:r>
      <w:r w:rsidRPr="009C15B0">
        <w:rPr>
          <w:rFonts w:eastAsiaTheme="minorHAnsi" w:cstheme="minorBidi"/>
          <w:sz w:val="16"/>
          <w:szCs w:val="16"/>
          <w:lang w:val="es-CR" w:eastAsia="en-US"/>
        </w:rPr>
        <w:t>Sentencia de 15 de noviembre 2017. Serie C No. 342, párr. 20.</w:t>
      </w:r>
    </w:p>
  </w:footnote>
  <w:footnote w:id="43">
    <w:p w14:paraId="77672B5A" w14:textId="555931D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Certificado de nacimiento de V.R.P. emitido por el Registro del Estado Civil de las Personas de Jinotega (expediente de prueba, tomo XV, anexo 2.a al sometimiento del caso, folio 6632).</w:t>
      </w:r>
    </w:p>
  </w:footnote>
  <w:footnote w:id="44">
    <w:p w14:paraId="4BF71827" w14:textId="03AD4E1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Cédulas de identidad de H.J.R.P. y V.A.R.P. y licencia de conducir de N.R.P. (expediente de prueba, tomo XVI, anexos B.3, B.4 y B.5 al escrito de solicitudes, argumentos y pruebas, folios 7089 a 7092). Véase también, Informe del Ministerio de la Familia, Delegación Jinotega, emitido el 11 de julio de 2002 (expediente de prueba, tomo XV, anexo 1 al sometimiento del caso, folios 6621 a 6630).</w:t>
      </w:r>
    </w:p>
  </w:footnote>
  <w:footnote w:id="45">
    <w:p w14:paraId="61665EC4"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Informe del Ministerio de la Familia, Delegación Jinotega, emitido el 11 de julio de 2002 (expediente de prueba, tomo XV, anexo 1 al sometimiento del caso, folios 6621 a 6630), y Declaración rendida ante la Corte Interamericana por V.P.C. en la audiencia pública celebrada el 16 y 17 de octubre de 2017.</w:t>
      </w:r>
    </w:p>
  </w:footnote>
  <w:footnote w:id="46">
    <w:p w14:paraId="2F4E73CC"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Certificaciones emitidas por el Ministerio de Justicia (expediente de trámite ante la Comisión, tomo XI, folios 4132 y 4134), y Declaración rendida ante la Corte Interamericana por V.P.C. en la audiencia pública celebrada el 16 y 17 de octubre de 2017.</w:t>
      </w:r>
    </w:p>
  </w:footnote>
  <w:footnote w:id="47">
    <w:p w14:paraId="6CC1B36F" w14:textId="4195299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En el expediente interno se dejó constancia de “una [</w:t>
      </w:r>
      <w:r w:rsidRPr="009C15B0">
        <w:rPr>
          <w:i/>
          <w:sz w:val="16"/>
          <w:szCs w:val="16"/>
          <w:lang w:val="es-CR"/>
        </w:rPr>
        <w:t>sic</w:t>
      </w:r>
      <w:r w:rsidRPr="009C15B0">
        <w:rPr>
          <w:sz w:val="16"/>
          <w:szCs w:val="16"/>
          <w:lang w:val="es-CR"/>
        </w:rPr>
        <w:t>] volante que refiere que el acusado [H.R.A.], es un compañero de lucha al que se le estaba procesando injustamente, volante suscrita [</w:t>
      </w:r>
      <w:r w:rsidRPr="009C15B0">
        <w:rPr>
          <w:i/>
          <w:sz w:val="16"/>
          <w:szCs w:val="16"/>
          <w:lang w:val="es-CR"/>
        </w:rPr>
        <w:t>sic</w:t>
      </w:r>
      <w:r w:rsidRPr="009C15B0">
        <w:rPr>
          <w:sz w:val="16"/>
          <w:szCs w:val="16"/>
          <w:lang w:val="es-CR"/>
        </w:rPr>
        <w:t xml:space="preserve">] [por una persona], quien a la vez se presentó como testigo en el Tribunal de Jurados como miembro del Partido Frente Sandinista, declarando a favor del procesado”. Constancia del Juez Suplente de Distrito del Crimen de Jinotega, de fecha 1 de agosto de 2003 (expediente de trámite </w:t>
      </w:r>
      <w:r w:rsidRPr="009C15B0">
        <w:rPr>
          <w:rFonts w:cs="Verdana"/>
          <w:sz w:val="16"/>
          <w:szCs w:val="16"/>
          <w:lang w:val="es-CR"/>
        </w:rPr>
        <w:t>ante la Comisión</w:t>
      </w:r>
      <w:r w:rsidRPr="009C15B0">
        <w:rPr>
          <w:sz w:val="16"/>
          <w:szCs w:val="16"/>
          <w:lang w:val="es-CR"/>
        </w:rPr>
        <w:t>, tomo X, folio 3856).</w:t>
      </w:r>
    </w:p>
  </w:footnote>
  <w:footnote w:id="48">
    <w:p w14:paraId="6FBD36D8" w14:textId="126A161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Sentencia emitida por el Juzgado de Distrito para lo Civil de Jinotega el 31 de enero de 2002 (expediente de prueba, tomo XV, anexo 3 al sometimiento del caso, folios 6704 a 6706).</w:t>
      </w:r>
    </w:p>
  </w:footnote>
  <w:footnote w:id="49">
    <w:p w14:paraId="68997721" w14:textId="5FFA17B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w:t>
      </w:r>
      <w:r w:rsidRPr="009C15B0">
        <w:rPr>
          <w:i/>
          <w:sz w:val="16"/>
          <w:szCs w:val="16"/>
          <w:lang w:val="es-CR"/>
        </w:rPr>
        <w:t>ad-inquirendum</w:t>
      </w:r>
      <w:r w:rsidRPr="009C15B0">
        <w:rPr>
          <w:sz w:val="16"/>
          <w:szCs w:val="16"/>
          <w:lang w:val="es-CR"/>
        </w:rPr>
        <w:t xml:space="preserve"> rendida por V.R.P. ante el Juez de Distrito Penal de Jinotega el 21 de noviembre de 2001 (expediente de prueba, tomo XVII, anexo 9 a la contestación, folios 8201 a 8202), y Declaración rendida ante la Corte Interamericana por V.R.P. en la audiencia privada celebrada el 16 de octubre de 2017. Véase también, Informe Psicológico N° 16275/01 del Instituto de Medicina Legal de la Corte Suprema de Justicia emitido el 27 de noviembre de 2001 (expediente de prueba, tomo XV, anexo 4 al sometimiento del caso, folios 6708 a 6709); Dictamen Médico Legal N° 16273/01 del Instituto de Medicina Legal de la Corte Suprema de Justicia emitido el 27 de noviembre de 2001 (expediente de prueba, tomo XV, anexo 4 al sometimiento del caso, folios 6710 a 6712), y Valoración mental de V.R.P. realizada en el Hospital Victoria de Jinotega el 26 de noviembre de 2001 (expediente de prueba, tomo XV, anexo 5 al sometimiento del caso, folio 6714).</w:t>
      </w:r>
    </w:p>
  </w:footnote>
  <w:footnote w:id="50">
    <w:p w14:paraId="627C1CA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testimonial rendida por Alejandro Anastasio Barahona ante el Juzgado de Distrito para lo Penal el 21 de noviembre de 2001 (expediente de prueba, tomo XVI, anexo E.8 al escrito de solicitudes, argumentos y pruebas, folios 7300 a 7301).</w:t>
      </w:r>
    </w:p>
  </w:footnote>
  <w:footnote w:id="51">
    <w:p w14:paraId="4E633F0E" w14:textId="21A5DF2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Revisión ginecológica de 17 de octubre de 2001</w:t>
      </w:r>
      <w:r w:rsidRPr="009C15B0">
        <w:rPr>
          <w:i/>
          <w:sz w:val="16"/>
          <w:szCs w:val="16"/>
          <w:lang w:val="es-CR"/>
        </w:rPr>
        <w:t xml:space="preserve"> </w:t>
      </w:r>
      <w:r w:rsidRPr="009C15B0">
        <w:rPr>
          <w:sz w:val="16"/>
          <w:szCs w:val="16"/>
          <w:lang w:val="es-CR"/>
        </w:rPr>
        <w:t>(expediente de prueba, tomo XVI, anexo E.1 al escrito de solicitudes, argumentos y pruebas, folios 7272 a 7273); Declaración testimonial rendida por Yader Peralta Alarcón ante el Juzgado de Distrito para lo Penal el 21 de noviembre de 2001 (expediente de prueba, tomo XVI, anexo E.6 al escrito de solicitudes, argumentos y pruebas, folios 7293 a 7294), y Declaración testimonial rendida por Alejandro Anastasio Barahona ante el Juzgado de Distrito para lo Penal el 21 de noviembre de 2001 (expediente de prueba, tomo XVI, anexo E.8 al escrito de solicitudes, argumentos y pruebas, folios 7300 a 7301).</w:t>
      </w:r>
    </w:p>
  </w:footnote>
  <w:footnote w:id="52">
    <w:p w14:paraId="5076CB82" w14:textId="4C00626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Epicrisis de 24 de octubre de 2001 (expediente de prueba, tomo XVI, anexo E.1 al escrito de solicitudes, argumentos y pruebas, folio 7268). Véase también, Dictamen Médico Legal N° 16273/01 del Instituto de Medicina Legal de la Corte Suprema de Justicia emitido el 27 de noviembre de 2001 (expediente de prueba, tomo XV, anexo 4 al sometimiento del caso, folios 6710 a 6712); Declaración rendida ante la Corte Interamericana por V.R.P. en la audiencia privada celebrada el 16 de octubre de 2017; Declaración rendida ante la Corte Interamericana por V.P.C. en la audiencia pública celebrada el 16 y 17 de octubre de 2017, y Declaración rendida ante fedatario público por H.J.R.P. el 9 de octubre de 2017 (expediente de prueba, tomo XVIII, </w:t>
      </w:r>
      <w:r w:rsidRPr="009C15B0">
        <w:rPr>
          <w:i/>
          <w:sz w:val="16"/>
          <w:szCs w:val="16"/>
          <w:lang w:val="es-CR"/>
        </w:rPr>
        <w:t>affidávits</w:t>
      </w:r>
      <w:r w:rsidRPr="009C15B0">
        <w:rPr>
          <w:sz w:val="16"/>
          <w:szCs w:val="16"/>
          <w:lang w:val="es-CR"/>
        </w:rPr>
        <w:t>, folio 8347).</w:t>
      </w:r>
    </w:p>
  </w:footnote>
  <w:footnote w:id="53">
    <w:p w14:paraId="1BA9FE28" w14:textId="28D2251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testimonial rendida por Alejandro Anastasio Barahona ante el Juzgado de Distrito para lo Penal el 21 de noviembre de 2001 (expediente de prueba, tomo XVI, anexo E.8 al escrito de solicitudes, argumentos y pruebas, folio 7302), y Declaración testimonial rendida por Yader Peralta Alarcón ante el Juzgado de Distrito para lo Penal el 21 de noviembre de 2001 (expediente de prueba, tomo XVI, anexo E.6 al escrito de solicitudes, argumentos y pruebas, folio 7294).</w:t>
      </w:r>
    </w:p>
  </w:footnote>
  <w:footnote w:id="54">
    <w:p w14:paraId="6388053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y Escrito de denuncia de 19 de noviembre de 2001 presentado al día siguiente (expediente de prueba, tomo XVI, anexo D.1 al escrito de solicitudes, argumentos y pruebas, folios 7122 a 7136).</w:t>
      </w:r>
    </w:p>
  </w:footnote>
  <w:footnote w:id="55">
    <w:p w14:paraId="743C1FA2" w14:textId="37BA0CD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 acuerdo al artículo 154 del Código de Instrucción Criminal: “[e]l ofendido o injuriado dará ante todo su declaración &lt;ad-inquirendum&gt;, bajo juramento, salvo el caso de imposibilidad, en que se diferirá aquella hasta que desaparezca el impedimento” (expediente de prueba, tomo XVII, anexo 2 a la contestación, folio 8048).</w:t>
      </w:r>
    </w:p>
  </w:footnote>
  <w:footnote w:id="56">
    <w:p w14:paraId="41968D3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w:t>
      </w:r>
      <w:r w:rsidRPr="009C15B0">
        <w:rPr>
          <w:i/>
          <w:sz w:val="16"/>
          <w:szCs w:val="16"/>
          <w:lang w:val="es-CR"/>
        </w:rPr>
        <w:t>ad-inquirendum</w:t>
      </w:r>
      <w:r w:rsidRPr="009C15B0">
        <w:rPr>
          <w:sz w:val="16"/>
          <w:szCs w:val="16"/>
          <w:lang w:val="es-CR"/>
        </w:rPr>
        <w:t xml:space="preserve"> rendida por V.R.P. ante el Juez de Distrito Penal de Jinotega el 21 de noviembre de 2001 (expediente de prueba, tomo XVII, anexo 9 a la contestación, folios 8201 a 8202).</w:t>
      </w:r>
    </w:p>
  </w:footnote>
  <w:footnote w:id="57">
    <w:p w14:paraId="2FDF8B9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w:t>
      </w:r>
      <w:r w:rsidRPr="009C15B0">
        <w:rPr>
          <w:i/>
          <w:sz w:val="16"/>
          <w:szCs w:val="16"/>
          <w:lang w:val="es-CR"/>
        </w:rPr>
        <w:t>ad-inquirendum</w:t>
      </w:r>
      <w:r w:rsidRPr="009C15B0">
        <w:rPr>
          <w:sz w:val="16"/>
          <w:szCs w:val="16"/>
          <w:lang w:val="es-CR"/>
        </w:rPr>
        <w:t xml:space="preserve"> rendida por V.P.C. ante el Juez de Distrito Penal de Jinotega el 21 de noviembre de 2001 (expediente de prueba, tomo XV, anexo 2.b al sometimiento del caso, folio 6634).</w:t>
      </w:r>
    </w:p>
  </w:footnote>
  <w:footnote w:id="58">
    <w:p w14:paraId="56F5872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Auto emitido por el Juzgado de Distrito Penal de Jinotega el 21 de noviembre de 2001 (expediente de prueba, tomo XVII, anexo 31 a la contestación, folio 8275).</w:t>
      </w:r>
    </w:p>
  </w:footnote>
  <w:footnote w:id="59">
    <w:p w14:paraId="244E7048" w14:textId="60A2F89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indagatoria rendida por H.R.A. el 21 de noviembre de 2001 (expediente de prueba, tomo XV, anexo 2.d al sometimiento del caso, folios 6639 a 6648).</w:t>
      </w:r>
    </w:p>
  </w:footnote>
  <w:footnote w:id="60">
    <w:p w14:paraId="70364BD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Comunicación de V.P.C. dirigida al Procurador Especial de la Niñez y Adolescencia el 9 de septiembre de 2002 (expediente de prueba, tomo XVI, anexo E.85 al escrito de solicitudes, argumentos y pruebas, folio 7586).</w:t>
      </w:r>
    </w:p>
  </w:footnote>
  <w:footnote w:id="61">
    <w:p w14:paraId="6E07DD6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de V.P.C. ante la Comisión IDH del 20 de abril de 2009 (expediente de prueba, tomo XV, anexo 37 al sometimiento del caso, folio 7003).</w:t>
      </w:r>
    </w:p>
  </w:footnote>
  <w:footnote w:id="62">
    <w:p w14:paraId="3EC5AD15" w14:textId="6131034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Auto emitido por el Juzgado de Distrito Penal de Jinotega el 21 de noviembre de 2001 (expediente de prueba, tomo XVII, anexo 31 a la contestación, folio 8275).</w:t>
      </w:r>
    </w:p>
  </w:footnote>
  <w:footnote w:id="63">
    <w:p w14:paraId="408DD16D" w14:textId="3057DBB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Constancia emitida por Radio Stereo Libre, 95.3FM, el 2 de agosto de 2003 (expediente de prueba, tomo XVI, anexo E.55 al escrito de solicitudes, argumentos y pruebas, folio 7492).</w:t>
      </w:r>
    </w:p>
  </w:footnote>
  <w:footnote w:id="64">
    <w:p w14:paraId="1BA8116D"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Informe del Estado de Nicaragua sobre el caso de la niña V.R.P., Petición N° P 4408/02, emitido el 13 de diciembre de 2005 (expediente de prueba, tomo XV, anexo 17 al sometimiento del caso, folio 6848).</w:t>
      </w:r>
    </w:p>
  </w:footnote>
  <w:footnote w:id="65">
    <w:p w14:paraId="19B1395F" w14:textId="6DFFFDA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Comunicación del Juzgado de Distrito Penal de Jinotega al Director del Hospital Victoria de Jinotega de 22 de noviembre de 2001 (expediente de prueba, tomo XVI, anexo E.9 al escrito de solicitudes, argumentos y pruebas, folio 7304).</w:t>
      </w:r>
    </w:p>
  </w:footnote>
  <w:footnote w:id="66">
    <w:p w14:paraId="3EF2C2E2" w14:textId="23EF40F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Comunicación del Director del Hospital Victoria de Jinotega al Juzgado de Distrito Penal de Jinotega de 22 de noviembre de 2001 (expediente de prueba, tomo XVI, anexo E.10 al escrito de solicitudes, argumentos y pruebas, folio 7306).</w:t>
      </w:r>
    </w:p>
  </w:footnote>
  <w:footnote w:id="67">
    <w:p w14:paraId="022B3BFC" w14:textId="64FD2682"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Acta judicial de 22 de noviembre de 2001 (expediente de prueba, tomo XVI, anexo E.11 al escrito de solicitudes, argumentos y pruebas, folios 7308 a 7309).</w:t>
      </w:r>
    </w:p>
  </w:footnote>
  <w:footnote w:id="68">
    <w:p w14:paraId="4FA8EAE4" w14:textId="14DC75A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Acta judicial de 22 de noviembre de 2001 (expediente de prueba, tomo XVI, anexo E.11 al escrito de solicitudes, argumentos y pruebas, folios 7308 a 7309).</w:t>
      </w:r>
      <w:r w:rsidRPr="009C15B0">
        <w:rPr>
          <w:i/>
          <w:sz w:val="16"/>
          <w:szCs w:val="16"/>
          <w:lang w:val="es-CR"/>
        </w:rPr>
        <w:t xml:space="preserve"> </w:t>
      </w:r>
      <w:r w:rsidRPr="009C15B0">
        <w:rPr>
          <w:sz w:val="16"/>
          <w:szCs w:val="16"/>
          <w:lang w:val="es-CR"/>
        </w:rPr>
        <w:t>Véase</w:t>
      </w:r>
      <w:r w:rsidRPr="009C15B0">
        <w:rPr>
          <w:i/>
          <w:sz w:val="16"/>
          <w:szCs w:val="16"/>
          <w:lang w:val="es-CR"/>
        </w:rPr>
        <w:t xml:space="preserve"> </w:t>
      </w:r>
      <w:r w:rsidRPr="009C15B0">
        <w:rPr>
          <w:sz w:val="16"/>
          <w:szCs w:val="16"/>
          <w:lang w:val="es-CR"/>
        </w:rPr>
        <w:t>también, Comunicación dirigida a la Jueza de Distrito del Crimen de Jinotega por parte del médico forense (expediente de prueba, tomo XV, anexo 2.e al sometimiento del caso, folio 6650).</w:t>
      </w:r>
    </w:p>
  </w:footnote>
  <w:footnote w:id="69">
    <w:p w14:paraId="1E481D73" w14:textId="3C1B21A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Presentación efectuada por la señora V.P.C. ante el director del Sistema Local de Atención Integral en Salud el 22 de noviembre de 2001 (expediente de prueba, tomo XV, anexo 9 al sometimiento del caso, folios 6769 a 6770), en la cual denunció que el médico habría manifestado a V.R.P. que “tenía que someterse al trato vulgar de él y que ni siquiera tenía derecho a dar[le] algún sedante”. Más aun, indicó que éste le dijo a la niña: “ya no llores más, las niñas del campo cuando vienen, estando solo yo, la niña y su madre, les digo que abran sus piernas y ellas se dejan […] si vaginalmente no te dejas, ya me parece ver cuando tenga que examinarte el ano”. Todo ello habría tenido lugar ante la presencia de otros profesionales médicos. </w:t>
      </w:r>
      <w:r w:rsidRPr="009C15B0">
        <w:rPr>
          <w:i/>
          <w:sz w:val="16"/>
          <w:szCs w:val="16"/>
          <w:lang w:val="es-CR"/>
        </w:rPr>
        <w:t>Cfr.</w:t>
      </w:r>
      <w:r w:rsidRPr="009C15B0">
        <w:rPr>
          <w:sz w:val="16"/>
          <w:szCs w:val="16"/>
          <w:lang w:val="es-CR"/>
        </w:rPr>
        <w:t xml:space="preserve"> Declaración rendida ante la Corte Interamericana por V.R.P. en la audiencia privada celebrada el 16 de octubre de 2017, y Declaración rendida ante la Corte Interamericana por V.P.C. en la audiencia pública celebrada el 16 y 17 de octubre de 2017.</w:t>
      </w:r>
    </w:p>
  </w:footnote>
  <w:footnote w:id="70">
    <w:p w14:paraId="4F9E8F7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V.R.P. en la audiencia privada celebrada el 16 de octubre de 2017.</w:t>
      </w:r>
    </w:p>
  </w:footnote>
  <w:footnote w:id="71">
    <w:p w14:paraId="10F33F33" w14:textId="5916744E" w:rsidR="007F7D87" w:rsidRPr="009C15B0" w:rsidRDefault="007F7D87" w:rsidP="001E6358">
      <w:pPr>
        <w:pStyle w:val="FootnoteText"/>
        <w:tabs>
          <w:tab w:val="left" w:pos="567"/>
        </w:tabs>
        <w:spacing w:after="60"/>
        <w:rPr>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Declaración rendida ante la Corte Interamericana por V.R.P. en la audiencia privada celebrada el 16 de octubre de 2017, y Declaración testimonial de L.C. prestada el 23 de noviembre de 2001 (expediente de prueba, tomo XVI, anexo E.12 al escrito de solicitudes, argumentos y pruebas, folio 7313).</w:t>
      </w:r>
    </w:p>
  </w:footnote>
  <w:footnote w:id="72">
    <w:p w14:paraId="5ECC2F03" w14:textId="595BA316" w:rsidR="007F7D87" w:rsidRPr="009C15B0" w:rsidRDefault="007F7D87" w:rsidP="001E6358">
      <w:pPr>
        <w:pStyle w:val="FootnoteText"/>
        <w:tabs>
          <w:tab w:val="left" w:pos="567"/>
        </w:tabs>
        <w:spacing w:after="60"/>
        <w:rPr>
          <w:b/>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y Acta judicial de 22 de noviembre de 2001 (expediente de prueba, tomo XVI, anexo E.11 al escrito de solicitudes, argumentos y pruebas, folios 7308 a 7309).</w:t>
      </w:r>
    </w:p>
  </w:footnote>
  <w:footnote w:id="73">
    <w:p w14:paraId="5A347BB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Escrito presentado por V.P.C. ante el Juez del Distrito Criminal el 23 de noviembre de 2001 (expediente de prueba, tomo XVII, anexo 12 a la contestación, folios 8213 a 8214).</w:t>
      </w:r>
    </w:p>
  </w:footnote>
  <w:footnote w:id="74">
    <w:p w14:paraId="2A7B6F28" w14:textId="2B8C6FC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Auto emitido por el Juzgado de Distrito para lo Penal de Jinotega el 23 de noviembre de 2001 (expediente de prueba, tomo XVII, anexo 10 a la contestación, folio 8204).</w:t>
      </w:r>
    </w:p>
  </w:footnote>
  <w:footnote w:id="75">
    <w:p w14:paraId="5C640A2D" w14:textId="570723B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V.R.P. en la audiencia privada celebrada el 16 de octubre de 2017, y Declaración rendida ante la Corte Interamericana por V.P.C. en la audiencia pública celebrada el 16 y 17 de octubre de 2017. Véase también, Presentación de V.P.C. ante la Comisión IDH de 27 de septiembre de 2007 (expediente de prueba, tomo XV, anexo 32 al sometimiento del caso, folio 6962).</w:t>
      </w:r>
    </w:p>
  </w:footnote>
  <w:footnote w:id="76">
    <w:p w14:paraId="04E7467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Valoración mental de V.R.P. realizada en el Hospital Victoria de Jinotega el 26 de noviembre de 2001 (expediente de prueba, tomo XV, anexo 5 al sometimiento del caso, folio 6714).</w:t>
      </w:r>
    </w:p>
  </w:footnote>
  <w:footnote w:id="77">
    <w:p w14:paraId="37877FE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Dictamen Médico Legal N° 16273/01 del Instituto de Medicina Legal de la Corte Suprema de Justicia emitido el 27 de noviembre de 2001 (expediente de prueba, tomo XV, anexo 4 al sometimiento del caso, folios 6710 a 6712).</w:t>
      </w:r>
    </w:p>
  </w:footnote>
  <w:footnote w:id="78">
    <w:p w14:paraId="644282A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Dictamen Médico Legal N° 16273/01 del Instituto de Medicina Legal de la Corte Suprema de Justicia emitido el 27 de noviembre de 2001 (expediente de prueba, tomo XV, anexo 4 al sometimiento del caso, folios 6710 a 6712).</w:t>
      </w:r>
    </w:p>
  </w:footnote>
  <w:footnote w:id="79">
    <w:p w14:paraId="669A3FC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y Presentación de V.P.C. ante la Comisión IDH de septiembre de 2007 (expediente de prueba, tomo XV, anexo 32 al sometimiento del caso, folios 6962 a 6963).</w:t>
      </w:r>
    </w:p>
  </w:footnote>
  <w:footnote w:id="80">
    <w:p w14:paraId="468E186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Dictamen Médico Legal N° 16273/01 del Instituto de Medicina Legal de la Corte Suprema de Justicia emitido el 27 de noviembre de 2001 (expediente de prueba, tomo XV, anexo 4 al sometimiento del caso, folios 6710 a 6712).</w:t>
      </w:r>
    </w:p>
  </w:footnote>
  <w:footnote w:id="81">
    <w:p w14:paraId="544AF019" w14:textId="315AA3F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Informe Psicológico N° 16275/01 del Instituto de Medicina Legal de la Corte Suprema de Justicia emitido el 27 de noviembre de 2001 (expediente de prueba, tomo XV, anexo 4 al sometimiento del caso, folios 6708 a 6709).</w:t>
      </w:r>
    </w:p>
  </w:footnote>
  <w:footnote w:id="82">
    <w:p w14:paraId="59E9D04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Dictamen Médico Legal N° 16271-2001 a H.R.A. del Instituto de Medicina Legal de la Corte Suprema de Justicia emitido de 27 de noviembre de 2001 (expediente de prueba, tomo XVII, anexo 20 al escrito de contestación, folio 8244).</w:t>
      </w:r>
    </w:p>
  </w:footnote>
  <w:footnote w:id="83">
    <w:p w14:paraId="79E78ABB" w14:textId="7102F99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Informe de seguimiento a la niña V.R.P. elaborado el 21 de febrero de 2002 por la Dra. María Delma Terán Caldera, médica psiquiatra del Hospital Victoria Motta, Jinotega (expediente de prueba, tomo XVII, anexo 17 al escrito de contestación, folios 8232 a 8233). Véase también, estudio de psiquiatría de 22 de abril de 2002 realizado en el Hospital Victoria Motta de Jinotega (expediente de prueba, tomo XVI, anexo E.3 al escrito de solicitudes, argumentos y pruebas, folio 7280).</w:t>
      </w:r>
    </w:p>
  </w:footnote>
  <w:footnote w:id="84">
    <w:p w14:paraId="42C2137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Estudio de psiquiatría de 22 de abril de 2002 realizado en el Hospital Victoria de Jinotega (expediente de prueba, tomo XVII, anexo 18 al escrito de contestación, folios 8237 a 8239).</w:t>
      </w:r>
    </w:p>
  </w:footnote>
  <w:footnote w:id="85">
    <w:p w14:paraId="2A713C28" w14:textId="53D8F88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Acta de Inspección Ocular Judicial y Reconstrucción de los Hechos emitida el 29 de noviembre de 2001 (expediente de prueba, tomo XV, anexo 15 al sometimiento del caso, folios 6836 a 6841).</w:t>
      </w:r>
    </w:p>
  </w:footnote>
  <w:footnote w:id="86">
    <w:p w14:paraId="551D9D67" w14:textId="45C3861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Acta de Inspección Ocular Judicial y Reconstrucción de los Hechos emitida el 29 de noviembre de 2001 (expediente de prueba, tomo XV, anexo 15 al sometimiento del caso, folio 6836).</w:t>
      </w:r>
    </w:p>
  </w:footnote>
  <w:footnote w:id="87">
    <w:p w14:paraId="6C2C4E35" w14:textId="78FD31B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Acta de Inspección Ocular Judicial y Reconstrucción de los Hechos emitida el 29 de noviembre de 2001 (expediente de prueba, tomo XV, anexo 15 al sometimiento del caso, folio 6838). Véase también, Declaración rendida ante la Corte Interamericana por V.R.P. en la audiencia privada celebrada el 16 de octubre de 2017, y Declaración rendida ante la Corte Interamericana por V.P.C. en la audiencia pública celebrada el 16 y 17 de octubre de 2017.</w:t>
      </w:r>
    </w:p>
  </w:footnote>
  <w:footnote w:id="88">
    <w:p w14:paraId="7AC146A1" w14:textId="246A481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Acta de Inspección Ocular Judicial y Reconstrucción de los Hechos emitida el 29 de noviembre de 2001 (expediente de prueba, tomo XV, anexo 15 al sometimiento del caso, folio 6839).</w:t>
      </w:r>
    </w:p>
  </w:footnote>
  <w:footnote w:id="89">
    <w:p w14:paraId="63BF8699" w14:textId="4B053EC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Penal N° 714 emitida por el Juzgado de Distrito Penal de Jinotega el 30 de noviembre de 2001 (expediente de prueba, tomo XV, anexo 2.f al sometimiento del caso, folio 6661).</w:t>
      </w:r>
    </w:p>
  </w:footnote>
  <w:footnote w:id="90">
    <w:p w14:paraId="01D00D71" w14:textId="11C01F1B" w:rsidR="007F7D87" w:rsidRPr="009C15B0" w:rsidRDefault="007F7D87" w:rsidP="0074764E">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Penal N° 714 emitida por el Juzgado de Distrito Penal de Jinotega el 30 de noviembre de 2001 (expediente de prueba, tomo XV, anexo 2.f al sometimiento del caso, folio 6661).</w:t>
      </w:r>
    </w:p>
  </w:footnote>
  <w:footnote w:id="91">
    <w:p w14:paraId="459B7C04" w14:textId="270FD91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Penal N° 714 emitida por el Juzgado de Distrito Penal de Jinotega el 30 de noviembre de 2001 (expediente de prueba, tomo XV, anexo 2.f al sometimiento del caso, folio 6661).</w:t>
      </w:r>
    </w:p>
  </w:footnote>
  <w:footnote w:id="92">
    <w:p w14:paraId="78F17686" w14:textId="42E634F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Esta sentencia fue apelada por la defensa del acusado. No obstante, dicho recurso fue rechazado por lo que la Sentencia Penal N° 714 fue confirmada. </w:t>
      </w:r>
      <w:r w:rsidRPr="009C15B0">
        <w:rPr>
          <w:i/>
          <w:sz w:val="16"/>
          <w:szCs w:val="16"/>
          <w:lang w:val="es-CR"/>
        </w:rPr>
        <w:t xml:space="preserve">Cfr. </w:t>
      </w:r>
      <w:r w:rsidRPr="009C15B0">
        <w:rPr>
          <w:sz w:val="16"/>
          <w:szCs w:val="16"/>
          <w:lang w:val="es-CR"/>
        </w:rPr>
        <w:t>Sentencia Penal N° 89 emitida por la Sala de lo Penal del Tribunal de Apelaciones de la Circunscripción Norte de Matagalpa el 10 de julio de 2002 (expediente de prueba, tomo XV, anexo 8 al sometimiento del caso, folios 6734 a 6767).</w:t>
      </w:r>
    </w:p>
  </w:footnote>
  <w:footnote w:id="93">
    <w:p w14:paraId="625CE10C" w14:textId="20ED5A6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Penal N° 714 emitida por el Juzgado de Distrito Penal de Jinotega el 30 de noviembre de 2001 (expediente de prueba, tomo XV, anexo 2.f al sometimiento del caso, folios 6652 a 6665).</w:t>
      </w:r>
    </w:p>
  </w:footnote>
  <w:footnote w:id="94">
    <w:p w14:paraId="203278A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Cédula judicial emitida por el Juzgado de Distrito Penal el 6 de diciembre de 2001 (expediente de prueba, tomo XV, anexo 2.h al sometimiento del caso, folio 6670).</w:t>
      </w:r>
    </w:p>
  </w:footnote>
  <w:footnote w:id="95">
    <w:p w14:paraId="4B4A883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Acta de desinsaculación de jurados de 9 de abril de 2002 (expediente de prueba, tomo XVII, anexo 38 a la contestación, folio 8310).</w:t>
      </w:r>
    </w:p>
  </w:footnote>
  <w:footnote w:id="96">
    <w:p w14:paraId="055863A6" w14:textId="5BC5E22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Auto emitido por el Juzgado Penal de Distrito de Jinotega el 10 de abril de 2002 (expediente de prueba, tomo XVII, anexo 21 a la contestación, folio 8247).</w:t>
      </w:r>
    </w:p>
  </w:footnote>
  <w:footnote w:id="97">
    <w:p w14:paraId="2AF39D9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Acta de desinsaculación de jurados de 10 de abril de 2002 (expediente de prueba, tomo XVII, anexo 38 a la contestación, folio 8312).</w:t>
      </w:r>
    </w:p>
  </w:footnote>
  <w:footnote w:id="98">
    <w:p w14:paraId="5EF16BDE" w14:textId="5FCAD90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Cédula Judicial emitida por el Juzgado de Distrito Penal el 10 de abril de 2002 (expediente de prueba, tomo XV, anexo 2.i al sometimiento del caso, folio 6673); Citación de jurados emitida por el Juzgado Penal de Distrito de Jinotega el 10 de abril de 2002 (expediente de prueba, tomo XV, anexo 2.j al sometimiento del caso, folio 6675); Presentación efectuada por la defensa del acusado ante el referido Juzgado el 10 de abril de 2002 (expediente de prueba, tomo XV, anexo 2.k al sometimiento del caso, folios 6677 a 6678), y Constancia médica (expediente de prueba, tomo XVII, anexo 22 a la contestación, folio 8249).</w:t>
      </w:r>
    </w:p>
  </w:footnote>
  <w:footnote w:id="99">
    <w:p w14:paraId="6EC3FE7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Acta de desinsaculación de jurados de 11 de abril de 2002 (expediente de prueba, tomo XVII, anexo 38 a la contestación, folio 8314).</w:t>
      </w:r>
    </w:p>
  </w:footnote>
  <w:footnote w:id="100">
    <w:p w14:paraId="7005D46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Citación de jurados emitida por el Juzgado Penal de Distrito de Jinotega el 11 de abril de 2002 (expediente de prueba, tomo XV, anexo 2.l al sometimiento del caso, folio 6680).</w:t>
      </w:r>
    </w:p>
  </w:footnote>
  <w:footnote w:id="101">
    <w:p w14:paraId="2AB23DAC" w14:textId="4CB212B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Escrito del abogado defensor presentado el 11 de abril de 2002 (expediente de prueba, tomo XVI, anexo E.49 al escrito de solicitudes, argumentos y pruebas, folio 7474).</w:t>
      </w:r>
    </w:p>
  </w:footnote>
  <w:footnote w:id="102">
    <w:p w14:paraId="12F4C9A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Escritos del abogado de la parte acusadora presentados el 12 de abril de 2002 (expediente de prueba, tomo XVI, anexos E.50 y E.51 al escrito de solicitudes, argumentos y pruebas, folios 7476 y 7479).</w:t>
      </w:r>
    </w:p>
  </w:footnote>
  <w:footnote w:id="103">
    <w:p w14:paraId="53E7C64E"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Juzgado Penal de Distrito de Jinotega el 12 de abril de 2002 (expediente de prueba, tomo XVII, anexo 39 a la contestación, folio 8318).</w:t>
      </w:r>
    </w:p>
  </w:footnote>
  <w:footnote w:id="104">
    <w:p w14:paraId="7DAF8D9A" w14:textId="3468A9C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Al respecto, el defensor de oficio del procesado solicitó que se le permitiera ser auxiliado por dos “doctores”, lo que le fue admitido y que “el [abogado acusador] expresó en esa ocasión de que si él podía estar asistido por dos abogados más, yo creo que le dije que sí, que por mí no había ningún problema, tratándose de la complejidad del caso, pero según recuerdo y creo no equivocarme la [jueza] le dijo al [abogado acusador], que no, y que iba a suspender el jurado, y quedamos de acuerdo en ese momento de que no iba a haber ningún problema”. Acta de declaración testifical del señor Juan Alberto Núñez Gano emitida el 9 de febrero de 2005 (expediente prueba, tomo XVI, anexo E.52 al escrito de solicitudes, argumentos y pruebas, folio 7481). En igual sentido, Auto emitido por el Juez del Distrito para lo Penal de Jinotega el 15 de abril de 2002 (expediente de prueba, tomo XVI, anexo D.2 al escrito de solicitudes, argumentos y pruebas, folios 7136 a 7137).</w:t>
      </w:r>
    </w:p>
  </w:footnote>
  <w:footnote w:id="105">
    <w:p w14:paraId="52D84308" w14:textId="0DB59692"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Acta de integración del jurado de 12 de abril de 2002 (expediente de prueba, tomo XV, anexo 2.l al sometimiento del caso, folio 6681). Véase también, Informe elaborado por el equipo de casuística del Despacho del Procurador Especial de la Niñez y la Adolescencia de la Procuraduría para la Defensa de los Derechos Humanos el 10 de marzo de 2003 (expediente de prueba, tomo XV, anexo 24 al sometimiento del caso, folio 6892).</w:t>
      </w:r>
    </w:p>
  </w:footnote>
  <w:footnote w:id="106">
    <w:p w14:paraId="4D906DE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Declaración rendida ante la Corte Interamericana por V.P.C. en la audiencia pública celebrada el 16 y 17 de octubre de 2017. Véase también, Presentación de V.P.C. ante la Comisión IDH de octubre de 2002 (expediente de prueba, tomo XV, anexo 7 al sometimiento del caso, folios 6723 a 6724).</w:t>
      </w:r>
    </w:p>
  </w:footnote>
  <w:footnote w:id="107">
    <w:p w14:paraId="38D65679" w14:textId="0C118F5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Informe elaborado por el equipo de casuística del Despacho del Procurador Especial de la Niñez y la Adolescencia de la Procuraduría para la Defensa de los Derechos Humanos el 10 de marzo de 2003 (expediente de prueba, tomo XV, anexo 24 al sometimiento del caso, folio 6892).</w:t>
      </w:r>
    </w:p>
  </w:footnote>
  <w:footnote w:id="108">
    <w:p w14:paraId="11C021F9" w14:textId="3443C64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Veredicto N° 33 emitido por el Tribunal de Jurados el 13 de abril de 2002 (expediente de prueba, tomo XV, anexo 2.m al sometimiento del caso, folio 6683).</w:t>
      </w:r>
    </w:p>
  </w:footnote>
  <w:footnote w:id="109">
    <w:p w14:paraId="12E401E9"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Orden de libertad emitido por el Juez del Distrito para lo Penal de Jinotega el 13 de abril de 2002 (expediente de prueba, tomo XV, anexo 2.n al sometimiento del caso, folio 6685).</w:t>
      </w:r>
    </w:p>
  </w:footnote>
  <w:footnote w:id="110">
    <w:p w14:paraId="502A00D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Denuncia presentada por las señoras V.P.C. y M.P.C. ante el Juzgado Local del Crimen de Jinotega el 15 de abril de 2002 (expediente de prueba, tomo XVI, anexo E.22 al escrito de solicitudes, argumentos y pruebas, folio 7375 y expediente de trámite ante la Comisión, tomo XI, folio 4047).</w:t>
      </w:r>
    </w:p>
  </w:footnote>
  <w:footnote w:id="111">
    <w:p w14:paraId="766E1C1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Incidente de nulidad interpuesto por la representación legal de la señora V.P.C. el 14 de abril de 2002 (expediente de prueba, tomo XV, anexo 2.o al sometimiento del caso, folios 6687 a 6689).</w:t>
      </w:r>
    </w:p>
  </w:footnote>
  <w:footnote w:id="112">
    <w:p w14:paraId="79390AE7" w14:textId="591EC82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w:t>
      </w:r>
      <w:r w:rsidRPr="009C15B0" w:rsidDel="0024226B">
        <w:rPr>
          <w:sz w:val="16"/>
          <w:szCs w:val="16"/>
          <w:lang w:val="es-CR"/>
        </w:rPr>
        <w:t xml:space="preserve"> </w:t>
      </w:r>
      <w:r w:rsidRPr="009C15B0">
        <w:rPr>
          <w:sz w:val="16"/>
          <w:szCs w:val="16"/>
          <w:lang w:val="es-CR"/>
        </w:rPr>
        <w:t>al Juez de Distrito del Crimen de Jinotega el 14 de abril de 2002 (expediente de prueba, tomo XVII, anexo 26 a la contestación, folios 8261 a 8262).</w:t>
      </w:r>
    </w:p>
  </w:footnote>
  <w:footnote w:id="113">
    <w:p w14:paraId="1C642AB1" w14:textId="24CBB87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Juez del Distrito para lo Penal de Jinotega el 15 de abril de 2002 (expediente de prueba, tomo XVI, anexo D.2 al escrito de solicitudes, argumentos y pruebas, folios 7136 a 7137).</w:t>
      </w:r>
    </w:p>
  </w:footnote>
  <w:footnote w:id="114">
    <w:p w14:paraId="49C69BFF" w14:textId="09D73B0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16 de abril de 2002 (expediente de prueba, tomo XVI, anexo D.3 al escrito de solicitudes, argumentos y pruebas, folio 7140).</w:t>
      </w:r>
    </w:p>
  </w:footnote>
  <w:footnote w:id="115">
    <w:p w14:paraId="635B5B5A" w14:textId="0E7D43C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Juez Suplente del Distrito para lo Penal de Jinotega el 17 de abril de 2002 (expediente de prueba, tomo XVI, anexo D.4 al escrito de solicitudes, argumentos y pruebas, folio 7142).</w:t>
      </w:r>
    </w:p>
  </w:footnote>
  <w:footnote w:id="116">
    <w:p w14:paraId="42CC841B" w14:textId="0F25B2C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17 de abril de 2002 (expediente de prueba, tomo XVI, anexo D.5 al escrito de solicitudes, argumentos y pruebas, folio 7144).</w:t>
      </w:r>
    </w:p>
  </w:footnote>
  <w:footnote w:id="117">
    <w:p w14:paraId="3AF4D5AD" w14:textId="00AB7DE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22 de abril de 2002 (expediente de prueba, tomo XVI, anexo D.6 al escrito de solicitudes, argumentos y pruebas, folios 7146 a 7147).</w:t>
      </w:r>
    </w:p>
  </w:footnote>
  <w:footnote w:id="118">
    <w:p w14:paraId="5DB62DD4" w14:textId="48B2DAC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26 de abril de 2002 (expediente de prueba, tomo XVI, anexo D.7 al escrito de solicitudes, argumentos y pruebas, folio 7149).</w:t>
      </w:r>
    </w:p>
  </w:footnote>
  <w:footnote w:id="119">
    <w:p w14:paraId="31091201" w14:textId="6C5AFE1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Juez de Distrito Civil de Jinotega el 29 de abril de 2002 (expediente de prueba, tomo XVI, anexo D.8 al escrito de solicitudes, argumentos y pruebas, folio 7151).</w:t>
      </w:r>
    </w:p>
  </w:footnote>
  <w:footnote w:id="120">
    <w:p w14:paraId="44049119" w14:textId="3421BDC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2 de mayo de 2002 (expediente de prueba, tomo XVI, anexo D.9 al escrito de solicitudes, argumentos y pruebas, folios 7154 a 7155).</w:t>
      </w:r>
    </w:p>
  </w:footnote>
  <w:footnote w:id="121">
    <w:p w14:paraId="7E3F32A9" w14:textId="2CB8A1A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la Juez del Distrito para lo Penal de Jinotega el 6 de mayo de 2002 (expediente de prueba, tomo XVI, anexo D.10 al escrito de solicitudes, argumentos y pruebas, folio 7157).</w:t>
      </w:r>
    </w:p>
  </w:footnote>
  <w:footnote w:id="122">
    <w:p w14:paraId="598781A4" w14:textId="0E7DB62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6 de mayo de 2002 (expediente de prueba, tomo XVI, anexo D.11 al escrito de solicitudes, argumentos y pruebas, folios 7159 a 7161).</w:t>
      </w:r>
    </w:p>
  </w:footnote>
  <w:footnote w:id="123">
    <w:p w14:paraId="3E856158" w14:textId="4C1BAE6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la Juez del Distrito para lo Penal de Jinotega el 7 de mayo de 2002 (expediente de prueba, tomo XVI, anexo D.12 al escrito de solicitudes, argumentos y pruebas, folio 7163); Escrito presentado por el abogado defensor el 8 de mayo de 2002 (expediente de prueba, tomo XVI, anexo D.13 al escrito de solicitudes, argumentos y pruebas, folio 7165), y Escrito presentado por el abogado acusador el 8 de mayo de 2002 (expediente de prueba, tomo XVI, anexo D.14 al escrito de solicitudes, argumentos y pruebas, folios 7167 a 7168).</w:t>
      </w:r>
    </w:p>
  </w:footnote>
  <w:footnote w:id="124">
    <w:p w14:paraId="0C369657" w14:textId="33C22CCB"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8 de mayo de 2002 (expediente de prueba, tomo XVI, anexo D.14 al escrito de solicitudes, argumentos y pruebas, folio 7167).</w:t>
      </w:r>
    </w:p>
  </w:footnote>
  <w:footnote w:id="125">
    <w:p w14:paraId="1DF454F9"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de la Fiscal de Jinotega ante el Juzgado para lo Penal de dicha circunscripción el 8 de mayo de 2002 (expediente de prueba, tomo XV, anexo 2.q al sometimiento del caso, folio 6694).</w:t>
      </w:r>
    </w:p>
  </w:footnote>
  <w:footnote w:id="126">
    <w:p w14:paraId="416C8C6E" w14:textId="349490F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10 de mayo de 2002 (expediente de prueba, tomo XVI, anexo D.15 al escrito de solicitudes, argumentos y pruebas, folios 7170 a 7173).</w:t>
      </w:r>
    </w:p>
  </w:footnote>
  <w:footnote w:id="127">
    <w:p w14:paraId="7C5425BC" w14:textId="3DF5F552" w:rsidR="007F7D87" w:rsidRPr="009C15B0" w:rsidRDefault="007F7D87" w:rsidP="001E6358">
      <w:pPr>
        <w:tabs>
          <w:tab w:val="left" w:pos="567"/>
        </w:tabs>
        <w:spacing w:after="60" w:line="240" w:lineRule="auto"/>
        <w:rPr>
          <w:rFonts w:cs="Arial"/>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Sentencia emitida por el Juzgado de Distrito para lo Penal de Jinotega el 13 de mayo de 2002 (expediente de prueba, tomo XV, anexo 2.r al sometimiento del caso, folios 6696 a 6697).</w:t>
      </w:r>
    </w:p>
  </w:footnote>
  <w:footnote w:id="128">
    <w:p w14:paraId="43388BF7" w14:textId="03E4312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Orden de captura dirigida al Director de Policía el 13 de mayo de 2002 (expediente de prueba, tomo XV, anexo 2.s al sometimiento del caso, folio 6700), y Respuesta a la Orden de Allanamiento y Detención (expediente de prueba, tomo XV, anexo 2.t al sometimiento del caso, folio 6702).</w:t>
      </w:r>
    </w:p>
  </w:footnote>
  <w:footnote w:id="129">
    <w:p w14:paraId="6B5E6782" w14:textId="786E351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14 de mayo de 2002 (expediente de prueba, tomo XVI, anexo D.19 al escrito de solicitudes, argumentos y pruebas, folios 7182 a 7183).</w:t>
      </w:r>
    </w:p>
  </w:footnote>
  <w:footnote w:id="130">
    <w:p w14:paraId="1FB5CBD5" w14:textId="0D9E364A"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14 de mayo de 2002 (expediente de prueba, tomo XVI, anexo D.20 al escrito de solicitudes, argumentos y pruebas, folios 7185 a 7186), y Auto emitido por la Juez del Distrito para lo Penal de Jinotega el 15 de mayo de 2002 (expediente de prueba, tomo XVI, anexo D.24 al escrito de solicitudes, argumentos y pruebas, folio 7197).</w:t>
      </w:r>
    </w:p>
  </w:footnote>
  <w:footnote w:id="131">
    <w:p w14:paraId="1C59698C" w14:textId="44193FD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Oficio a Juez del Distrito para lo Penal de Jinotega de 15 de mayo de 2002 (expediente de prueba, tomo XVI, anexo D.25 al escrito de solicitudes, argumentos y pruebas, folio 7200).</w:t>
      </w:r>
    </w:p>
  </w:footnote>
  <w:footnote w:id="132">
    <w:p w14:paraId="2D32D80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Escrito presentado el 23 de mayo de 2002 </w:t>
      </w:r>
      <w:r w:rsidRPr="009C15B0">
        <w:rPr>
          <w:rFonts w:cs="Arial"/>
          <w:sz w:val="16"/>
          <w:szCs w:val="16"/>
          <w:lang w:val="es-CR"/>
        </w:rPr>
        <w:t>(e</w:t>
      </w:r>
      <w:r w:rsidRPr="009C15B0">
        <w:rPr>
          <w:sz w:val="16"/>
          <w:szCs w:val="16"/>
          <w:lang w:val="es-CR"/>
        </w:rPr>
        <w:t>xpediente de trámite ante la Comisión, tomo VII, folios 2589 a 2591).</w:t>
      </w:r>
    </w:p>
  </w:footnote>
  <w:footnote w:id="133">
    <w:p w14:paraId="129773C5" w14:textId="65E7FA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V.P.C. el 29 de julio de 2002 (expediente de prueba, tomo XVI, anexo E.41 al escrito de solicitudes, argumentos y pruebas, folios 7453 a 7454).</w:t>
      </w:r>
    </w:p>
  </w:footnote>
  <w:footnote w:id="134">
    <w:p w14:paraId="57410882" w14:textId="20BC126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Sentencia N° 001 emitida por el Tribunal de Apelaciones de la Circunscripción Norte, Sala de lo Penal, el 13 de enero de 2003 (expediente de prueba, tomo XVII, anexo 4 a la contestación, folios 8165 a 8178), y Cédula Judicial emitida por el Tribunal de Apelaciones Circunscripción Norte el 17 de enero de 2003 (expediente de prueba, tomo XV, anexo 19 al sometimiento del caso, folio 6869).</w:t>
      </w:r>
    </w:p>
  </w:footnote>
  <w:footnote w:id="135">
    <w:p w14:paraId="74F0490D" w14:textId="043A589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Certificación emitida por la secretaria del Tribunal de Apelaciones Circunscripción Norte Sala Penal el 7 de octubre de 2002 (expediente de prueba, tomo XV, anexo 21 al sometimiento del caso, folio 6873).</w:t>
      </w:r>
    </w:p>
  </w:footnote>
  <w:footnote w:id="136">
    <w:p w14:paraId="412F7228" w14:textId="51D5AAD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12 de mayo de 2003 (expediente de prueba, tomo XVI, anexo D.16 al escrito de solicitudes, argumentos y pruebas, folio 7175).</w:t>
      </w:r>
    </w:p>
  </w:footnote>
  <w:footnote w:id="137">
    <w:p w14:paraId="543B3AE0" w14:textId="7CEE0407"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19 de mayo de 2003 (expediente de prueba, tomo XVI, anexo D.27 al escrito de solicitudes, argumentos y pruebas, folios 7205 a 7206).</w:t>
      </w:r>
    </w:p>
  </w:footnote>
  <w:footnote w:id="138">
    <w:p w14:paraId="7F4E951D" w14:textId="4F73E17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7 de julio de 2003 (expediente de prueba, tomo XVI, anexo D.28 al escrito de solicitudes, argumentos y pruebas, folio 7208).</w:t>
      </w:r>
    </w:p>
  </w:footnote>
  <w:footnote w:id="139">
    <w:p w14:paraId="04BB6F67" w14:textId="6BE72D9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defensor el 11 de julio de 2003 (expediente de prueba, tomo XVI, anexo D.29 al escrito de solicitudes, argumentos y pruebas, folio 7210).</w:t>
      </w:r>
    </w:p>
  </w:footnote>
  <w:footnote w:id="140">
    <w:p w14:paraId="25AD6B41" w14:textId="234F38B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Auto emitido por el Juez Suplente del Distrito para lo Penal de Jinotega el 12 de agosto de 2003 (expediente de prueba, tomo XVI, anexo D.31 al escrito de solicitudes, argumentos y pruebas, folio 7214).</w:t>
      </w:r>
    </w:p>
  </w:footnote>
  <w:footnote w:id="141">
    <w:p w14:paraId="08F8763B" w14:textId="6ACFE4D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16 de octubre de 2003 (expediente de prueba, tomo XVI, anexo D.32 al escrito de solicitudes, argumentos y pruebas, folio 7217).</w:t>
      </w:r>
    </w:p>
  </w:footnote>
  <w:footnote w:id="142">
    <w:p w14:paraId="3EDC7233" w14:textId="1F62299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por el abogado acusador el 26 de noviembre de 2003 (expediente de prueba, tomo XVI, anexo D.33 al escrito de solicitudes, argumentos y pruebas, folio 7219).</w:t>
      </w:r>
    </w:p>
  </w:footnote>
  <w:footnote w:id="143">
    <w:p w14:paraId="2A15F448" w14:textId="432394A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Informe del Estado de Nicaragua sobre el caso de la niña V.R.P., Petición N° P 4408/02, presentado el 13 de diciembre de 2005 (expediente de prueba, tomo XV, anexo 17 al sometimiento del caso, folios 6852 a 6853), y Auto emitido por el Juzgado de Distrito civil suplente y de Distrito Penal por Ministerio de Ley de 1 de marzo de 2004 (expediente de prueba, tomo XVI, anexo D.36 al escrito de solicitudes, argumentos y pruebas, folio 7245).</w:t>
      </w:r>
    </w:p>
  </w:footnote>
  <w:footnote w:id="144">
    <w:p w14:paraId="27493B42"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efectuada por la señora V.P.C. ante la Presidencia de la Corte Suprema de Justicia el 23 de septiembre de 2004 (expediente de prueba, tomo XV, anexo 26 al sometimiento del caso, folios 6901 a 6902).</w:t>
      </w:r>
    </w:p>
  </w:footnote>
  <w:footnote w:id="145">
    <w:p w14:paraId="3F73294B" w14:textId="0E1C8B3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Carta remitida por V.P.C. a la Presidente de la Corte Suprema de Justicia el 4 de octubre de 2004 (expediente de prueba, tomo XVI, anexo D.37 al escrito de solicitudes, argumentos y pruebas, folios 7248 a 7249).</w:t>
      </w:r>
    </w:p>
  </w:footnote>
  <w:footnote w:id="146">
    <w:p w14:paraId="400405AD" w14:textId="2B58670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Carta remitida por V.P.C. al Juez de Distrito del Crimen el 9 de noviembre de 2004 (expediente de prueba, tomo XVI, anexo D.38 al escrito de solicitudes, argumentos y pruebas, folios 7251 a 7252), y Carta remitida por V.P.C. al Juez de Distrito del Crimen el 30 de noviembre de 2004 (expediente de prueba, tomo XVI, anexo D.34 al escrito de solicitudes, argumentos y pruebas, folios 7221 a 7225).</w:t>
      </w:r>
    </w:p>
  </w:footnote>
  <w:footnote w:id="147">
    <w:p w14:paraId="755A991B" w14:textId="01E8273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Auto emitido por el Juzgado de Distrito Penal de Juicio de Jinotega el 13 de enero de 2005 (expediente de prueba, tomo XVI, anexo D.39 al escrito de solicitudes, argumentos y pruebas, folio 7254), e Informe del Estado de Nicaragua sobre el caso de la niña V.R.P., Petición N° P 4408/02, presentado el 13 de diciembre de 2005 (expediente de prueba, tomo XV, anexo 17 al sometimiento del caso, folios 6852 a 6853).</w:t>
      </w:r>
    </w:p>
  </w:footnote>
  <w:footnote w:id="148">
    <w:p w14:paraId="2FB0AA27" w14:textId="3E90105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Acta de inspección ocular realizada por el Juzgado de Distrito para lo Penal de Jinotega el 4 de febrero de 2005 (expediente de pruebas, tomo XVII, anexo 37 a la contestación, folio 8307).</w:t>
      </w:r>
    </w:p>
  </w:footnote>
  <w:footnote w:id="149">
    <w:p w14:paraId="277C7210" w14:textId="0958F1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Acta de inspección ocular en vídeo emitida por el Juzgado de Distrito para lo Penal de Jinotega el 9 de febrero de 2005 (expediente de pruebas, tomo XVI, anexo E.54 al escrito de argumentos, solicitudes y pruebas, folios 7487 a 7490).</w:t>
      </w:r>
    </w:p>
  </w:footnote>
  <w:footnote w:id="150">
    <w:p w14:paraId="6C3085C2"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Sentencia emitida por el Juzgado de Distrito para lo Penal de Juicio de Jinotega el 9 de agosto de 2005 (expediente de prueba, tomo XV, anexo 29 al sometimiento del caso, folios 6915 a 6928).</w:t>
      </w:r>
    </w:p>
  </w:footnote>
  <w:footnote w:id="151">
    <w:p w14:paraId="1C885B4A" w14:textId="054A01E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Apelación presentado por el fiscal auxiliar del Ministerio Público el día 25 de agosto de 2005 (expediente de prueba, tomo XV, anexo 30 al sometimiento del caso, folio 6930).</w:t>
      </w:r>
    </w:p>
  </w:footnote>
  <w:footnote w:id="152">
    <w:p w14:paraId="3622EA71"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Sentencia emitida por la Sala Penal del Tribunal de Apelaciones de la Circunscripción Norte de Matagalpa el 24 de octubre de 2007 (expediente de prueba, tomo XV, anexo 31 al sometimiento del caso, folios 6932 a 6952).</w:t>
      </w:r>
    </w:p>
  </w:footnote>
  <w:footnote w:id="153">
    <w:p w14:paraId="7488D29B" w14:textId="14570DF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i/>
          <w:sz w:val="16"/>
          <w:szCs w:val="16"/>
          <w:lang w:val="es-CR"/>
        </w:rPr>
        <w:t xml:space="preserve"> </w:t>
      </w:r>
      <w:r w:rsidRPr="009C15B0">
        <w:rPr>
          <w:i/>
          <w:sz w:val="16"/>
          <w:szCs w:val="16"/>
          <w:lang w:val="es-CR"/>
        </w:rPr>
        <w:tab/>
      </w:r>
      <w:r w:rsidRPr="009C15B0">
        <w:rPr>
          <w:sz w:val="16"/>
          <w:szCs w:val="16"/>
          <w:lang w:val="es-CR"/>
        </w:rPr>
        <w:t>Constancia emitida por la Sala Penal Tribunal de Apelaciones Circunscripción Norte el 24 de enero de 2007 (expediente de prueba, tomo XVI, anexo D.42 al escrito de solicitudes, argumentos y pruebas, folio 7265).</w:t>
      </w:r>
    </w:p>
  </w:footnote>
  <w:footnote w:id="154">
    <w:p w14:paraId="4004712E" w14:textId="74677C6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Sentencia emitida por la Sala Penal del Tribunal de Apelaciones de la Circunscripción Norte de Matagalpa el 24 de octubre de 2007 (expediente de prueba, tomo XV, anexo 31 al sometimiento del caso, folios 6932 a 6952).</w:t>
      </w:r>
    </w:p>
  </w:footnote>
  <w:footnote w:id="155">
    <w:p w14:paraId="0576C8B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Acta de certificado de defunción de H.R.A. (expediente de prueba, tomo XVII, anexo 43 a la contestación, folio 8344).</w:t>
      </w:r>
    </w:p>
  </w:footnote>
  <w:footnote w:id="156">
    <w:p w14:paraId="38FE76C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efectuada por la señora V.P.C. ante el director del Sistema Local de Atención Integral en Salud el 22 de noviembre de 2001 (expediente de prueba, tomo XV, anexo 9 al sometimiento del caso, folios 6769 a 6770).</w:t>
      </w:r>
    </w:p>
  </w:footnote>
  <w:footnote w:id="157">
    <w:p w14:paraId="1520BFBD"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Oficio del SILAIS Jinotega remitido el 26 de noviembre de 2001 (expediente de prueba, tomo XX, anexo 7.b de la prueba para mejor resolver, folio 9705).</w:t>
      </w:r>
    </w:p>
  </w:footnote>
  <w:footnote w:id="158">
    <w:p w14:paraId="246875A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Denuncia presentada ante la Corte Suprema de Justicia el 30 de abril de 2002 (expediente de trámite ante la Comisión, tomo VII, folios 2819 a 2820).</w:t>
      </w:r>
    </w:p>
  </w:footnote>
  <w:footnote w:id="159">
    <w:p w14:paraId="56763FC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Denuncia presentada ante la Corte Suprema de Justicia el 22 de julio de 2002 (expediente de prueba, tomo XVI, anexo E.27 al escrito de solicitudes, argumentos y pruebas, folios 7403 a 7404).</w:t>
      </w:r>
    </w:p>
  </w:footnote>
  <w:footnote w:id="160">
    <w:p w14:paraId="117A0419" w14:textId="7206785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efectuada por la representante legal de la señora V.P.C. ante la Comisión Disciplinaria de la Corte Suprema de Justicia el 1 de julio de 2003 (expediente de prueba, tomo XV, anexo 25 al sometimiento del caso, folios 6895 a 6899).</w:t>
      </w:r>
    </w:p>
  </w:footnote>
  <w:footnote w:id="161">
    <w:p w14:paraId="75C2EDA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Denuncia presentada ante el Fiscal General de la República el 17 de julio de 2002 (expediente de pruebas, tomo XVI, anexo E.34 al escrito de solicitudes, argumentos y pruebas, folios 7432 a 7433).</w:t>
      </w:r>
    </w:p>
  </w:footnote>
  <w:footnote w:id="162">
    <w:p w14:paraId="2CABB7E5"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ante el Fiscal General de la República el 29 de julio de 2002 (expediente de pruebas, tomo XVI, anexo E.35 al escrito de solicitudes, argumentos y pruebas, folios 7435 a 7436).</w:t>
      </w:r>
    </w:p>
  </w:footnote>
  <w:footnote w:id="163">
    <w:p w14:paraId="52BAA3C8"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Escrito presentado ante el Fiscal General de la República el 26 de agosto de 2002 (expediente de pruebas, tomo XVI, anexo E.42 al escrito de solicitudes, argumentos y pruebas, folio 7456).</w:t>
      </w:r>
    </w:p>
  </w:footnote>
  <w:footnote w:id="164">
    <w:p w14:paraId="7DA421AC" w14:textId="77777777"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sz w:val="16"/>
          <w:szCs w:val="16"/>
        </w:rPr>
        <w:t>Denuncia presentada ante la Inspectoría de la Fiscalía General de la República el 21 de octubre de 2002 (expediente de trámite ante la Comisión, tomo VII, folios 2814 a 2818).</w:t>
      </w:r>
    </w:p>
  </w:footnote>
  <w:footnote w:id="165">
    <w:p w14:paraId="32AC687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Constancia emitida por la Inspectoría General del Ministerio Público el 15 de febrero de 2017 (expediente de prueba, tomo XX, anexo 7.c de la prueba para mejor resolver, folio 9730).</w:t>
      </w:r>
    </w:p>
  </w:footnote>
  <w:footnote w:id="166">
    <w:p w14:paraId="1B2F53AD" w14:textId="77777777"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sz w:val="16"/>
          <w:szCs w:val="16"/>
        </w:rPr>
        <w:t>Denuncia presentada ante la Corte Suprema de Justicia el 8 de noviembre de 2002 (expediente de prueba, tomo XX, anexo 7.a de la prueba para mejor resolver, folios 9649 a 9661).</w:t>
      </w:r>
    </w:p>
  </w:footnote>
  <w:footnote w:id="167">
    <w:p w14:paraId="01A9D62A"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Oficio dirigido al Fiscal General de la República (expediente de prueba, tomo XX, anexo 7.a de la prueba para mejor resolver, folio 9665).</w:t>
      </w:r>
    </w:p>
  </w:footnote>
  <w:footnote w:id="168">
    <w:p w14:paraId="6B89B33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Denuncia interpuesta por la señora V.P.C. ante la Comisión Disciplinaria de la Corte Suprema de Justicia el 8 de noviembre de 2002 (expediente de prueba, tomo XV, anexo 23 al sometimiento del caso, folios 6881 a 6888).</w:t>
      </w:r>
    </w:p>
  </w:footnote>
  <w:footnote w:id="169">
    <w:p w14:paraId="1CAD3A6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Decisión adoptada por la Comisión Disciplinaria de la Corte Suprema de Justicia el 24 de febrero de 2003 (expediente de prueba, tomo XX, anexo 7.a de la prueba para mejor resolver, folio 9686).</w:t>
      </w:r>
    </w:p>
  </w:footnote>
  <w:footnote w:id="170">
    <w:p w14:paraId="3CA60BFC" w14:textId="1755EA6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En el mes de diciembre de 2001 la fiscal auxiliar departamental interpuso una acción penal contra la señora V.P.C. por calumnias. No hay constancia sobre el trámite de este proceso.</w:t>
      </w:r>
      <w:r w:rsidRPr="009C15B0">
        <w:rPr>
          <w:i/>
          <w:sz w:val="16"/>
          <w:szCs w:val="16"/>
          <w:lang w:val="es-CR"/>
        </w:rPr>
        <w:t xml:space="preserve"> Cfr. </w:t>
      </w:r>
      <w:r w:rsidRPr="009C15B0">
        <w:rPr>
          <w:sz w:val="16"/>
          <w:szCs w:val="16"/>
          <w:lang w:val="es-CR"/>
        </w:rPr>
        <w:t xml:space="preserve">Boleta de citación judicial dirigida a V.P.C. para que comparezca a prestar declaración, de 19 de diciembre de 2001 (expediente de prueba, tomo XVI, anexos E.75 y E.76 al escrito de solicitudes, argumentos y pruebas, folios 7553 y 7555). Véase también, Escrito de V.P.C. dirigido a la Comisión, de 16 de abril de 2009 (expediente de prueba, tomo XV, anexo 37 al sometimiento del caso, folio 7006), y Declaración rendida ante fedatario público por N.R.P. el 10 de octubre de 2017 (expediente de prueba, tomo XVIII, </w:t>
      </w:r>
      <w:r w:rsidRPr="009C15B0">
        <w:rPr>
          <w:i/>
          <w:sz w:val="16"/>
          <w:szCs w:val="16"/>
          <w:lang w:val="es-CR"/>
        </w:rPr>
        <w:t xml:space="preserve">affidávits, </w:t>
      </w:r>
      <w:r w:rsidRPr="009C15B0">
        <w:rPr>
          <w:sz w:val="16"/>
          <w:szCs w:val="16"/>
          <w:lang w:val="es-CR"/>
        </w:rPr>
        <w:t>folio 8379).</w:t>
      </w:r>
    </w:p>
  </w:footnote>
  <w:footnote w:id="171">
    <w:p w14:paraId="49268D7A" w14:textId="7DBDAE2C" w:rsidR="007F7D87" w:rsidRPr="009C15B0" w:rsidRDefault="007F7D87" w:rsidP="001E6358">
      <w:pPr>
        <w:tabs>
          <w:tab w:val="left" w:pos="567"/>
        </w:tabs>
        <w:autoSpaceDE w:val="0"/>
        <w:autoSpaceDN w:val="0"/>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rFonts w:cs="Arial"/>
          <w:sz w:val="16"/>
          <w:szCs w:val="16"/>
        </w:rPr>
        <w:t xml:space="preserve">El 25 de abril de 2002 el médico forense presentó una acción penal contra la señora V.P.C. por injurias, con motivo de las denuncias realizadas por ésta tras el intento de realizar el examen médico a la niña V.R.P. Dicha causa concluyó en “caducidad a la instancia”. </w:t>
      </w:r>
      <w:r w:rsidRPr="009C15B0">
        <w:rPr>
          <w:i/>
          <w:sz w:val="16"/>
          <w:szCs w:val="16"/>
        </w:rPr>
        <w:t xml:space="preserve">Cfr. </w:t>
      </w:r>
      <w:r w:rsidRPr="009C15B0">
        <w:rPr>
          <w:rFonts w:cs="Arial"/>
          <w:sz w:val="16"/>
          <w:szCs w:val="16"/>
        </w:rPr>
        <w:t>Escrito presentado el 25 de abril de 2002 (expediente de trámite ante la Comisión, tomo VII, folios 2491 a 2493), y</w:t>
      </w:r>
      <w:r w:rsidRPr="009C15B0">
        <w:rPr>
          <w:i/>
          <w:sz w:val="16"/>
          <w:szCs w:val="16"/>
        </w:rPr>
        <w:t xml:space="preserve"> </w:t>
      </w:r>
      <w:r w:rsidRPr="009C15B0">
        <w:rPr>
          <w:sz w:val="16"/>
          <w:szCs w:val="16"/>
        </w:rPr>
        <w:t xml:space="preserve">Constancia del Juzgado Local Penal de Jinotega de 23 de julio de 2009 (expediente de trámite ante la Comisión, tomo XI, folio 4036). A su vez, el 21 de mayo de 2002 el médico forense presentó una acción penal en contra de V.P.C. por calumnias. </w:t>
      </w:r>
      <w:r w:rsidRPr="009C15B0">
        <w:rPr>
          <w:rFonts w:cs="Arial"/>
          <w:sz w:val="16"/>
          <w:szCs w:val="16"/>
        </w:rPr>
        <w:t xml:space="preserve">El abogado del denunciante fue el hermano del médico forense. </w:t>
      </w:r>
      <w:r w:rsidRPr="009C15B0">
        <w:rPr>
          <w:sz w:val="16"/>
          <w:szCs w:val="16"/>
        </w:rPr>
        <w:t xml:space="preserve">No hay constancia sobre el trámite de este proceso. </w:t>
      </w:r>
      <w:r w:rsidRPr="009C15B0">
        <w:rPr>
          <w:i/>
          <w:sz w:val="16"/>
          <w:szCs w:val="16"/>
        </w:rPr>
        <w:t>Cfr</w:t>
      </w:r>
      <w:r w:rsidRPr="009C15B0">
        <w:rPr>
          <w:sz w:val="16"/>
          <w:szCs w:val="16"/>
        </w:rPr>
        <w:t>. Escrito presentado el</w:t>
      </w:r>
      <w:r w:rsidRPr="009C15B0">
        <w:rPr>
          <w:rFonts w:cs="Arial"/>
          <w:sz w:val="16"/>
          <w:szCs w:val="16"/>
        </w:rPr>
        <w:t xml:space="preserve"> </w:t>
      </w:r>
      <w:r w:rsidRPr="009C15B0">
        <w:rPr>
          <w:sz w:val="16"/>
          <w:szCs w:val="16"/>
        </w:rPr>
        <w:t xml:space="preserve">21 de mayo de 2002 (expediente de prueba, tomo XV, anexo 35 al sometimiento del caso, folios 6987 a 6990). El 22 de mayo de 2002 el médico forense presentó una acción penal contra la madre de V.P.C. por injurias y calumnias, por haber “hablado mal de él ante la Juez de Distrito del Crimen” en su declaración testimonial. </w:t>
      </w:r>
      <w:r w:rsidRPr="009C15B0">
        <w:rPr>
          <w:i/>
          <w:sz w:val="16"/>
          <w:szCs w:val="16"/>
        </w:rPr>
        <w:t xml:space="preserve">Cfr. </w:t>
      </w:r>
      <w:r w:rsidRPr="009C15B0">
        <w:rPr>
          <w:sz w:val="16"/>
          <w:szCs w:val="16"/>
        </w:rPr>
        <w:t>Comunicación de la peticionaria dirigida a la Comisión de 16 de abril de 2009 (expediente de prueba, tomo XV, anexo 37 al sometimiento del caso, folio 7027). La causa concluyó en “caducidad a la instancia”.</w:t>
      </w:r>
      <w:r w:rsidRPr="009C15B0">
        <w:rPr>
          <w:i/>
          <w:sz w:val="16"/>
          <w:szCs w:val="16"/>
        </w:rPr>
        <w:t xml:space="preserve"> Cfr. </w:t>
      </w:r>
      <w:r w:rsidRPr="009C15B0">
        <w:rPr>
          <w:sz w:val="16"/>
          <w:szCs w:val="16"/>
        </w:rPr>
        <w:t>Constancia del Juzgado Local Penal de Jinotega de 23 de julio de 2009 (expediente de trámite ante la Comisión, tomo XI, folio 4037).</w:t>
      </w:r>
    </w:p>
  </w:footnote>
  <w:footnote w:id="172">
    <w:p w14:paraId="670E4D5F" w14:textId="1A4B3A6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7 de mayo de 2002 una persona que formó parte del </w:t>
      </w:r>
      <w:r w:rsidRPr="009C15B0">
        <w:rPr>
          <w:rFonts w:cs="Arial"/>
          <w:sz w:val="16"/>
          <w:szCs w:val="16"/>
          <w:lang w:val="es-CR"/>
        </w:rPr>
        <w:t>Tribunal</w:t>
      </w:r>
      <w:r w:rsidRPr="009C15B0">
        <w:rPr>
          <w:sz w:val="16"/>
          <w:szCs w:val="16"/>
          <w:lang w:val="es-CR"/>
        </w:rPr>
        <w:t xml:space="preserve"> de Jurados presentó una acción penal en contra de V.P.C. y de dos periodistas por el delito de calumnia, con motivo de las denuncias por cohecho realizadas por ésta y su publicación en la prensa. En dicha causa nombró como su abogado al hermano del médico forense. </w:t>
      </w:r>
      <w:r w:rsidRPr="009C15B0">
        <w:rPr>
          <w:i/>
          <w:sz w:val="16"/>
          <w:szCs w:val="16"/>
          <w:lang w:val="es-CR"/>
        </w:rPr>
        <w:t>Cfr</w:t>
      </w:r>
      <w:r w:rsidRPr="009C15B0">
        <w:rPr>
          <w:sz w:val="16"/>
          <w:szCs w:val="16"/>
          <w:lang w:val="es-CR"/>
        </w:rPr>
        <w:t xml:space="preserve">. Escrito presentado ante el Juez Local para lo Criminal de Jinotega el 7 de mayo de 2001 (expediente de prueba, tomo XV, anexo 34 al sometimiento del caso, folios 6980 a 6982). Los </w:t>
      </w:r>
      <w:r w:rsidRPr="009C15B0">
        <w:rPr>
          <w:rFonts w:cs="Arial"/>
          <w:sz w:val="16"/>
          <w:szCs w:val="16"/>
          <w:lang w:val="es-CR"/>
        </w:rPr>
        <w:t>periodistas</w:t>
      </w:r>
      <w:r w:rsidRPr="009C15B0">
        <w:rPr>
          <w:sz w:val="16"/>
          <w:szCs w:val="16"/>
          <w:lang w:val="es-CR"/>
        </w:rPr>
        <w:t xml:space="preserve"> llegaron a una mediación, en la cual se comprometieron a no involucrar a la denunciante en su información periodística.</w:t>
      </w:r>
      <w:r w:rsidRPr="009C15B0">
        <w:rPr>
          <w:i/>
          <w:sz w:val="16"/>
          <w:szCs w:val="16"/>
          <w:lang w:val="es-CR"/>
        </w:rPr>
        <w:t xml:space="preserve"> Cfr. </w:t>
      </w:r>
      <w:r w:rsidRPr="009C15B0">
        <w:rPr>
          <w:sz w:val="16"/>
          <w:szCs w:val="16"/>
          <w:lang w:val="es-CR"/>
        </w:rPr>
        <w:t xml:space="preserve">Acta de trámite de mediación de 14 de mayo de 2002 (expediente de trámite ante la Comisión, tomo VII, folio 2584). El 17 de diciembre de 2004 se declaró la caducidad de la instancia por falta de impulso procesal </w:t>
      </w:r>
      <w:r w:rsidRPr="009C15B0">
        <w:rPr>
          <w:rFonts w:cs="Arial"/>
          <w:sz w:val="16"/>
          <w:szCs w:val="16"/>
          <w:lang w:val="es-CR"/>
        </w:rPr>
        <w:t>de</w:t>
      </w:r>
      <w:r w:rsidRPr="009C15B0">
        <w:rPr>
          <w:sz w:val="16"/>
          <w:szCs w:val="16"/>
          <w:lang w:val="es-CR"/>
        </w:rPr>
        <w:t xml:space="preserve"> las partes y archivo de la denuncia por calumnias contra V.P.C.</w:t>
      </w:r>
      <w:r w:rsidRPr="009C15B0">
        <w:rPr>
          <w:i/>
          <w:sz w:val="16"/>
          <w:szCs w:val="16"/>
          <w:lang w:val="es-CR"/>
        </w:rPr>
        <w:t xml:space="preserve"> Cfr. </w:t>
      </w:r>
      <w:r w:rsidRPr="009C15B0">
        <w:rPr>
          <w:sz w:val="16"/>
          <w:szCs w:val="16"/>
          <w:lang w:val="es-CR"/>
        </w:rPr>
        <w:t>Oficio del Juez Local Penal de Jinotega de 1 de febrero de 2005 (expediente de prueba, tomo XV, anexo 36 al sometimiento del caso, folio 6992).</w:t>
      </w:r>
    </w:p>
  </w:footnote>
  <w:footnote w:id="173">
    <w:p w14:paraId="2ABB1D5D" w14:textId="134AF7E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Arial"/>
          <w:sz w:val="16"/>
          <w:szCs w:val="16"/>
          <w:lang w:val="es-CR"/>
        </w:rPr>
        <w:t xml:space="preserve">El 8 de mayo de 2002 la jueza de derecho y presidenta del Tribunal de Jurados presentó una acción penal en contra de la señora V.P.C. y su hermana, </w:t>
      </w:r>
      <w:r w:rsidRPr="009C15B0">
        <w:rPr>
          <w:sz w:val="16"/>
          <w:szCs w:val="16"/>
          <w:lang w:val="es-CR"/>
        </w:rPr>
        <w:t>por</w:t>
      </w:r>
      <w:r w:rsidRPr="009C15B0">
        <w:rPr>
          <w:rFonts w:cs="Arial"/>
          <w:sz w:val="16"/>
          <w:szCs w:val="16"/>
          <w:lang w:val="es-CR"/>
        </w:rPr>
        <w:t xml:space="preserve"> injurias y calumnias. </w:t>
      </w:r>
      <w:r w:rsidRPr="009C15B0">
        <w:rPr>
          <w:i/>
          <w:sz w:val="16"/>
          <w:szCs w:val="16"/>
          <w:lang w:val="es-CR"/>
        </w:rPr>
        <w:t xml:space="preserve">Cfr. </w:t>
      </w:r>
      <w:r w:rsidRPr="009C15B0">
        <w:rPr>
          <w:sz w:val="16"/>
          <w:szCs w:val="16"/>
          <w:lang w:val="es-CR"/>
        </w:rPr>
        <w:t>Escrito presentado</w:t>
      </w:r>
      <w:r w:rsidRPr="009C15B0">
        <w:rPr>
          <w:rFonts w:cs="Arial"/>
          <w:sz w:val="16"/>
          <w:szCs w:val="16"/>
          <w:lang w:val="es-CR"/>
        </w:rPr>
        <w:t xml:space="preserve"> el 8 de mayo de 2002 (expediente de prueba, tomo XV, anexo 34 al sometimiento del caso, folios 6983 a 6985). El abogado de la denunciante fue también abogado defensor de H.R.A. </w:t>
      </w:r>
      <w:r w:rsidRPr="009C15B0">
        <w:rPr>
          <w:sz w:val="16"/>
          <w:szCs w:val="16"/>
          <w:lang w:val="es-CR"/>
        </w:rPr>
        <w:t xml:space="preserve">El 25 de agosto de 2003 </w:t>
      </w:r>
      <w:r w:rsidRPr="009C15B0">
        <w:rPr>
          <w:rFonts w:cs="Arial"/>
          <w:sz w:val="16"/>
          <w:szCs w:val="16"/>
          <w:lang w:val="es-CR"/>
        </w:rPr>
        <w:t>se habría archivado la referida acción por falta de impulso procesal.</w:t>
      </w:r>
      <w:r w:rsidRPr="009C15B0">
        <w:rPr>
          <w:i/>
          <w:sz w:val="16"/>
          <w:szCs w:val="16"/>
          <w:lang w:val="es-CR"/>
        </w:rPr>
        <w:t xml:space="preserve"> Cfr. </w:t>
      </w:r>
      <w:r w:rsidRPr="009C15B0">
        <w:rPr>
          <w:sz w:val="16"/>
          <w:szCs w:val="16"/>
          <w:lang w:val="es-CR"/>
        </w:rPr>
        <w:t>Oficio del Juez Local Penal de Jinotega de 1 de febrero de 2005 (expediente de prueba, tomo XV, anexo 36 al sometimiento del caso, folio 6992).</w:t>
      </w:r>
    </w:p>
  </w:footnote>
  <w:footnote w:id="174">
    <w:p w14:paraId="409E6618" w14:textId="3A9D850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indagatoria rendida por H.R.A. el 21 de noviembre de 2001 (expediente de prueba, tomo XV, anexo 2.d al sometimiento del caso, folios 6640 y 6644), y Presentación efectuada por la representante legal de la señora V.P.C. ante la Comisión Disciplinaria de la Corte Suprema de Justicia el 1 de julio de 2003 (expediente de prueba, tomo XV, anexo 25 al sometimiento del caso, folio 6897).</w:t>
      </w:r>
    </w:p>
  </w:footnote>
  <w:footnote w:id="175">
    <w:p w14:paraId="17BF6E4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Informe de movimientos migratorios de V.P.C. y V.R.P. emitido por el Director de la Dirección de Migraciones de Nicaragua el 6 de mayo de 2014 (expediente de prueba, tomo XVII, anexo 41 a la contestación, folios 8334 a 8336).</w:t>
      </w:r>
    </w:p>
  </w:footnote>
  <w:footnote w:id="176">
    <w:p w14:paraId="25F65F2E" w14:textId="62EF0F2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Presentación efectuada por la representante legal de la señora V.P.C. ante la Comisión Disciplinaria de la Corte Suprema de Justicia el 1 de julio de 2003 (expediente de prueba, tomo XV, anexo 25 al sometimiento del caso, folios 6897 a 6898); Resolución de la Corte de Inmigración de Miami, Florida, de 23 de septiembre de 2003 (expediente de prueba, tomo XV, anexo 40 al sometimiento del caso, folios 7055 a 7058), y Resoluciones de la Corte de Inmigración de Miami, Florida, de 22 de marzo de 2005 (expediente de prueba, tomo XV, anexo 39 al sometimiento del caso, folios 7050 a 7053).</w:t>
      </w:r>
    </w:p>
  </w:footnote>
  <w:footnote w:id="177">
    <w:p w14:paraId="77AE22D4" w14:textId="753152A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Oficio de Kristi House, organización no gubernamental sin fines de lucro en Miami, Florida, de 3 de enero de 2005 (expediente de prueba, tomo XV, anexo 41 al sometimiento del caso, folio 7060).</w:t>
      </w:r>
    </w:p>
  </w:footnote>
  <w:footnote w:id="178">
    <w:p w14:paraId="6E7B04EA" w14:textId="3895E7A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Comunicación de la peticionaria a la Comisión de 24 de noviembre de 2003 (expediente de prueba, tomo XV, anexo 38 al sometimiento del caso, folio 7048).</w:t>
      </w:r>
    </w:p>
  </w:footnote>
  <w:footnote w:id="179">
    <w:p w14:paraId="0078866A" w14:textId="05E678D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Constancia de hospitalización de V.R.P. en Miami Children´s Hospital de 3 de abril de 2008 (expediente de prueba, tomo XVI, anexo E.20 al escrito de solicitudes, argumentos y pruebas, folio 7359), y Declaración rendida ante la Corte Interamericana por V.P.C. en la audiencia pública celebrada el 16 y 17 de octubre de 2017.</w:t>
      </w:r>
    </w:p>
  </w:footnote>
  <w:footnote w:id="180">
    <w:p w14:paraId="2AC9384C" w14:textId="26F1AB5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Informe psicológico del Instituto de Medicina Legal, Corte Suprema de Justicia de Nicaragua, de 27 de noviembre de 2001 (expediente de trámite </w:t>
      </w:r>
      <w:r w:rsidRPr="009C15B0">
        <w:rPr>
          <w:rFonts w:cs="Verdana"/>
          <w:sz w:val="16"/>
          <w:szCs w:val="16"/>
          <w:lang w:val="es-CR"/>
        </w:rPr>
        <w:t>ante la Comisión</w:t>
      </w:r>
      <w:r w:rsidRPr="009C15B0">
        <w:rPr>
          <w:sz w:val="16"/>
          <w:szCs w:val="16"/>
          <w:lang w:val="es-CR"/>
        </w:rPr>
        <w:t>, tomo III, folio 1099);</w:t>
      </w:r>
      <w:r w:rsidRPr="009C15B0">
        <w:rPr>
          <w:rFonts w:cs="Arial-BoldItalicMT"/>
          <w:bCs/>
          <w:iCs/>
          <w:sz w:val="16"/>
          <w:szCs w:val="16"/>
          <w:lang w:val="es-CR"/>
        </w:rPr>
        <w:t xml:space="preserve"> Diagnóstico psiquiátrico de 25 de enero de 2002 </w:t>
      </w:r>
      <w:r w:rsidRPr="009C15B0">
        <w:rPr>
          <w:sz w:val="16"/>
          <w:szCs w:val="16"/>
          <w:lang w:val="es-CR"/>
        </w:rPr>
        <w:t>(expediente de prueba, tomo XVI, anexo E.5 al escrito de solicitudes, argumentos y pruebas, folios 7289 a 7290); Informe de seguimiento a la niña V.R.P. elaborado el 21 de febrero de 2002 por la Dra. María Delma Terán Caldera, médica psiquiatra del Hospital Victoria Motta, Jinotega (expediente de prueba, tomo XVII, anexo 17 al escrito de contestación, folios 8232 a 8233), e Informe psicosocial realizado en el hogar de V.P.C. por el Ministerio de la Familia a los efectos del juicio de disolución de vínculo matrimonial entre V.P.C. y H.R.A. de 11 de julio de 2002 (expediente de trámite ante la Comisión, tomo VIII, folios 3281 a 3290).</w:t>
      </w:r>
    </w:p>
  </w:footnote>
  <w:footnote w:id="181">
    <w:p w14:paraId="0481806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Informe de movimientos migratorios de V.P.C. y V.R.P. emitido por el Director de la Dirección de Migraciones de Nicaragua el 6 de mayo de 2014 (expediente de prueba, tomo XVII, anexo 41 a la contestación, folios 8334 a 8336).</w:t>
      </w:r>
    </w:p>
  </w:footnote>
  <w:footnote w:id="182">
    <w:p w14:paraId="77277E4A" w14:textId="5C4FE3E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Los artículos 5.1 y 5.2 de la Convención disponen que: “[t]oda persona tiene derecho a que se respete su integridad física, psíquica y moral” y “Nadie debe ser sometido a torturas ni a penas o tratos crueles, inhumanos o degradantes”.</w:t>
      </w:r>
    </w:p>
  </w:footnote>
  <w:footnote w:id="183">
    <w:p w14:paraId="4124CC0A" w14:textId="0979A39E" w:rsidR="007F7D87" w:rsidRPr="009C15B0" w:rsidRDefault="007F7D87" w:rsidP="001E6358">
      <w:pPr>
        <w:pStyle w:val="FootnoteText"/>
        <w:tabs>
          <w:tab w:val="left" w:pos="567"/>
          <w:tab w:val="left" w:pos="720"/>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11.2</w:t>
      </w:r>
      <w:r w:rsidRPr="009C15B0">
        <w:rPr>
          <w:rFonts w:cs="Tahoma"/>
          <w:sz w:val="16"/>
          <w:szCs w:val="16"/>
          <w:lang w:val="es-CR"/>
        </w:rPr>
        <w:t xml:space="preserve"> </w:t>
      </w:r>
      <w:r w:rsidRPr="009C15B0">
        <w:rPr>
          <w:sz w:val="16"/>
          <w:szCs w:val="16"/>
          <w:lang w:val="es-CR"/>
        </w:rPr>
        <w:t xml:space="preserve">de la Convención establece que: </w:t>
      </w:r>
      <w:r w:rsidRPr="009C15B0">
        <w:rPr>
          <w:rFonts w:cs="Tahoma"/>
          <w:sz w:val="16"/>
          <w:szCs w:val="16"/>
          <w:lang w:val="es-CR"/>
        </w:rPr>
        <w:t>“</w:t>
      </w:r>
      <w:r w:rsidRPr="009C15B0">
        <w:rPr>
          <w:sz w:val="16"/>
          <w:szCs w:val="16"/>
          <w:lang w:val="es-CR"/>
        </w:rPr>
        <w:t>[n]adie puede ser objeto de injerencias arbitrarias o abusivas en su vida privada, en la de su familia, en su domicilio o en su correspondencia, ni de ataques ilegales a su honra o reputación”.</w:t>
      </w:r>
    </w:p>
  </w:footnote>
  <w:footnote w:id="184">
    <w:p w14:paraId="3BB4742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19</w:t>
      </w:r>
      <w:r w:rsidRPr="009C15B0">
        <w:rPr>
          <w:rFonts w:cs="Tahoma"/>
          <w:sz w:val="16"/>
          <w:szCs w:val="16"/>
          <w:lang w:val="es-CR"/>
        </w:rPr>
        <w:t xml:space="preserve"> </w:t>
      </w:r>
      <w:r w:rsidRPr="009C15B0">
        <w:rPr>
          <w:sz w:val="16"/>
          <w:szCs w:val="16"/>
          <w:lang w:val="es-CR"/>
        </w:rPr>
        <w:t xml:space="preserve">de la Convención dispone que: </w:t>
      </w:r>
      <w:r w:rsidRPr="009C15B0">
        <w:rPr>
          <w:rFonts w:cs="Tahoma"/>
          <w:sz w:val="16"/>
          <w:szCs w:val="16"/>
          <w:lang w:val="es-CR"/>
        </w:rPr>
        <w:t>“</w:t>
      </w:r>
      <w:r w:rsidRPr="009C15B0">
        <w:rPr>
          <w:sz w:val="16"/>
          <w:szCs w:val="16"/>
          <w:lang w:val="es-CR"/>
        </w:rPr>
        <w:t>[t]odo niño tiene derecho a las medidas de protección que su condición de menor requieren por parte de su familia, de la sociedad y del Estado”.</w:t>
      </w:r>
    </w:p>
  </w:footnote>
  <w:footnote w:id="185">
    <w:p w14:paraId="1027D4D2" w14:textId="4403491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24 de la Convención establece que: “[t]odas las personas son iguales ante la ley. En consecuencia, tienen derecho, sin discriminación, a igual protección de la ley”.</w:t>
      </w:r>
    </w:p>
  </w:footnote>
  <w:footnote w:id="186">
    <w:p w14:paraId="14D7B6F6" w14:textId="3E4B7E5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8.1 de la Convención dispone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187">
    <w:p w14:paraId="3292ABD9" w14:textId="1020297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25 de la Convención establece, en lo pertinente, que:</w:t>
      </w:r>
    </w:p>
    <w:p w14:paraId="3FD76B50" w14:textId="7777777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463CC0D7" w14:textId="7777777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2. Los Estados Partes se comprometen: a) a garantizar que la autoridad competente prevista por el sistema legal del Estado decidirá sobre los derechos de toda persona que interponga tal recurso.</w:t>
      </w:r>
    </w:p>
  </w:footnote>
  <w:footnote w:id="188">
    <w:p w14:paraId="23BEDDB6" w14:textId="2048255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w:t>
      </w:r>
      <w:r w:rsidRPr="009C15B0">
        <w:rPr>
          <w:rFonts w:cs="Tahoma"/>
          <w:sz w:val="16"/>
          <w:szCs w:val="16"/>
          <w:lang w:val="es-CR"/>
        </w:rPr>
        <w:t xml:space="preserve">1 </w:t>
      </w:r>
      <w:r w:rsidRPr="009C15B0">
        <w:rPr>
          <w:sz w:val="16"/>
          <w:szCs w:val="16"/>
          <w:lang w:val="es-CR"/>
        </w:rPr>
        <w:t>de la Convención</w:t>
      </w:r>
      <w:r w:rsidRPr="009C15B0">
        <w:rPr>
          <w:rFonts w:cs="Tahoma"/>
          <w:sz w:val="16"/>
          <w:szCs w:val="16"/>
          <w:lang w:val="es-CR"/>
        </w:rPr>
        <w:t xml:space="preserve"> fija que: “</w:t>
      </w:r>
      <w:r w:rsidRPr="009C15B0">
        <w:rPr>
          <w:sz w:val="16"/>
          <w:szCs w:val="16"/>
          <w:lang w:val="es-CR"/>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89">
    <w:p w14:paraId="6C4C4E48" w14:textId="0ACC6B0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7.b) de la Convención de Belém do Pará establece que: “[l]os Estados Partes condenan todas las formas de violencia contra la mujer y convienen en adoptar, por todos los medios apropiados y sin dilaciones, políticas orientadas a prevenir, sancionar y erradicar dicha violencia y en llevar a cabo lo siguiente: […] b. actuar con la debida diligencia para prevenir, investigar y sancionar la violencia contra la mujer”.</w:t>
      </w:r>
    </w:p>
  </w:footnote>
  <w:footnote w:id="190">
    <w:p w14:paraId="4663FEB7"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Aun cuando la Corte utilizará el término niña durante el desarrollo de la presente Sentencia, por tratarse el caso de una niña quien fue víctima de violencia sexual, los criterios jurisprudenciales que se desarrollen a lo largo de la misma, serán aplicables tanto a niñas, como a niños y adolescentes, sin distinción alguna.</w:t>
      </w:r>
    </w:p>
  </w:footnote>
  <w:footnote w:id="191">
    <w:p w14:paraId="052F9551" w14:textId="36FF6992" w:rsidR="007F7D87" w:rsidRPr="009C15B0" w:rsidRDefault="007F7D87" w:rsidP="001E6358">
      <w:pPr>
        <w:tabs>
          <w:tab w:val="left" w:pos="567"/>
        </w:tabs>
        <w:spacing w:after="60" w:line="240" w:lineRule="auto"/>
        <w:rPr>
          <w:bCs/>
          <w:i/>
          <w:sz w:val="16"/>
          <w:szCs w:val="16"/>
        </w:rPr>
      </w:pPr>
      <w:r w:rsidRPr="009C15B0">
        <w:rPr>
          <w:rStyle w:val="FootnoteReference"/>
          <w:rFonts w:eastAsia="MS Mincho"/>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bCs/>
          <w:i/>
          <w:sz w:val="16"/>
          <w:szCs w:val="16"/>
        </w:rPr>
        <w:t>Caso Velásquez Rodríguez Vs. Honduras. Excepciones Preliminares, supra</w:t>
      </w:r>
      <w:r w:rsidRPr="009C15B0">
        <w:rPr>
          <w:bCs/>
          <w:sz w:val="16"/>
          <w:szCs w:val="16"/>
        </w:rPr>
        <w:t>, párr. 91</w:t>
      </w:r>
      <w:r w:rsidRPr="009C15B0">
        <w:rPr>
          <w:sz w:val="16"/>
          <w:szCs w:val="16"/>
        </w:rPr>
        <w:t>,</w:t>
      </w:r>
      <w:r w:rsidRPr="009C15B0">
        <w:rPr>
          <w:i/>
          <w:sz w:val="16"/>
          <w:szCs w:val="16"/>
        </w:rPr>
        <w:t xml:space="preserve"> </w:t>
      </w:r>
      <w:r w:rsidRPr="009C15B0">
        <w:rPr>
          <w:sz w:val="16"/>
          <w:szCs w:val="16"/>
        </w:rPr>
        <w:t>y</w:t>
      </w:r>
      <w:r w:rsidRPr="009C15B0">
        <w:rPr>
          <w:i/>
          <w:sz w:val="16"/>
          <w:szCs w:val="16"/>
        </w:rPr>
        <w:t xml:space="preserve"> </w:t>
      </w:r>
      <w:r w:rsidRPr="009C15B0">
        <w:rPr>
          <w:bCs/>
          <w:i/>
          <w:sz w:val="16"/>
          <w:szCs w:val="16"/>
        </w:rPr>
        <w:t xml:space="preserve">Caso Gutiérrez Hernández y otros Vs. Guatemala. Excepciones Preliminares, Fondo, Reparaciones y Costas. </w:t>
      </w:r>
      <w:r w:rsidRPr="009C15B0">
        <w:rPr>
          <w:bCs/>
          <w:sz w:val="16"/>
          <w:szCs w:val="16"/>
        </w:rPr>
        <w:t>Sentencia de 24 de agosto de 2017. Serie C No. 339</w:t>
      </w:r>
      <w:r w:rsidRPr="009C15B0">
        <w:rPr>
          <w:sz w:val="16"/>
          <w:szCs w:val="16"/>
        </w:rPr>
        <w:t>, párr. 147</w:t>
      </w:r>
      <w:r w:rsidRPr="009C15B0">
        <w:rPr>
          <w:i/>
          <w:sz w:val="16"/>
          <w:szCs w:val="16"/>
        </w:rPr>
        <w:t>.</w:t>
      </w:r>
    </w:p>
  </w:footnote>
  <w:footnote w:id="192">
    <w:p w14:paraId="34F0E98D" w14:textId="7C9388D3" w:rsidR="007F7D87" w:rsidRPr="009C15B0" w:rsidRDefault="007F7D87" w:rsidP="001E6358">
      <w:pPr>
        <w:tabs>
          <w:tab w:val="left" w:pos="567"/>
        </w:tabs>
        <w:spacing w:after="60" w:line="240" w:lineRule="auto"/>
        <w:rPr>
          <w:sz w:val="16"/>
          <w:szCs w:val="16"/>
        </w:rPr>
      </w:pPr>
      <w:r w:rsidRPr="009C15B0">
        <w:rPr>
          <w:rStyle w:val="FootnoteReference"/>
          <w:rFonts w:eastAsia="MS Mincho"/>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xml:space="preserve"> </w:t>
      </w:r>
      <w:r w:rsidRPr="009C15B0">
        <w:rPr>
          <w:i/>
          <w:iCs/>
          <w:sz w:val="16"/>
          <w:szCs w:val="16"/>
        </w:rPr>
        <w:t xml:space="preserve">Caso Bulacio Vs. Argentina. Fondo, Reparaciones y Costas. </w:t>
      </w:r>
      <w:r w:rsidRPr="009C15B0">
        <w:rPr>
          <w:iCs/>
          <w:sz w:val="16"/>
          <w:szCs w:val="16"/>
        </w:rPr>
        <w:t>Sentencia de 18 de Septiembre de 2003. Serie C No. 100,</w:t>
      </w:r>
      <w:r w:rsidRPr="009C15B0">
        <w:rPr>
          <w:i/>
          <w:iCs/>
          <w:sz w:val="16"/>
          <w:szCs w:val="16"/>
        </w:rPr>
        <w:t xml:space="preserve"> </w:t>
      </w:r>
      <w:r w:rsidRPr="009C15B0">
        <w:rPr>
          <w:sz w:val="16"/>
          <w:szCs w:val="16"/>
        </w:rPr>
        <w:t>párr. 114, y</w:t>
      </w:r>
      <w:r w:rsidRPr="009C15B0">
        <w:rPr>
          <w:i/>
          <w:sz w:val="16"/>
          <w:szCs w:val="16"/>
        </w:rPr>
        <w:t xml:space="preserve"> Caso Gutiérrez Hernández y otros Vs. Guatemala, supra</w:t>
      </w:r>
      <w:r w:rsidRPr="009C15B0">
        <w:rPr>
          <w:sz w:val="16"/>
          <w:szCs w:val="16"/>
        </w:rPr>
        <w:t>, párr. 147.</w:t>
      </w:r>
    </w:p>
  </w:footnote>
  <w:footnote w:id="193">
    <w:p w14:paraId="7EF1E622" w14:textId="3584654A" w:rsidR="007F7D87" w:rsidRPr="009C15B0" w:rsidRDefault="007F7D87" w:rsidP="001E6358">
      <w:pPr>
        <w:pStyle w:val="FootnoteText"/>
        <w:tabs>
          <w:tab w:val="left" w:pos="567"/>
        </w:tabs>
        <w:spacing w:after="60"/>
        <w:rPr>
          <w:sz w:val="16"/>
          <w:szCs w:val="16"/>
          <w:lang w:val="es-CR"/>
        </w:rPr>
      </w:pPr>
      <w:r w:rsidRPr="009C15B0">
        <w:rPr>
          <w:rStyle w:val="FootnoteReference"/>
          <w:rFonts w:eastAsia="MS Mincho"/>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Caso Velásquez Rodríguez Vs. Honduras. Fondo, supra</w:t>
      </w:r>
      <w:r w:rsidRPr="009C15B0">
        <w:rPr>
          <w:sz w:val="16"/>
          <w:szCs w:val="16"/>
          <w:lang w:val="es-CR"/>
        </w:rPr>
        <w:t xml:space="preserve">, párr. 177, y </w:t>
      </w:r>
      <w:r w:rsidRPr="009C15B0">
        <w:rPr>
          <w:i/>
          <w:sz w:val="16"/>
          <w:szCs w:val="16"/>
          <w:lang w:val="es-CR"/>
        </w:rPr>
        <w:t>Caso Velásquez Paiz y otros Vs. Guatemala</w:t>
      </w:r>
      <w:r w:rsidRPr="009C15B0">
        <w:rPr>
          <w:sz w:val="16"/>
          <w:szCs w:val="16"/>
          <w:lang w:val="es-CR"/>
        </w:rPr>
        <w:t xml:space="preserve">. </w:t>
      </w:r>
      <w:r w:rsidRPr="009C15B0">
        <w:rPr>
          <w:i/>
          <w:sz w:val="16"/>
          <w:szCs w:val="16"/>
          <w:lang w:val="es-CR"/>
        </w:rPr>
        <w:t>Excepciones Preliminares, Fondo, Reparaciones y Costas.</w:t>
      </w:r>
      <w:r w:rsidRPr="009C15B0">
        <w:rPr>
          <w:sz w:val="16"/>
          <w:szCs w:val="16"/>
          <w:lang w:val="es-CR"/>
        </w:rPr>
        <w:t xml:space="preserve"> Sentencia de 19 de noviembre de 2015. Serie C No. 307, párr. 143.</w:t>
      </w:r>
    </w:p>
  </w:footnote>
  <w:footnote w:id="194">
    <w:p w14:paraId="2116A189" w14:textId="2C33D628" w:rsidR="007F7D87" w:rsidRPr="009C15B0" w:rsidRDefault="007F7D87" w:rsidP="001E6358">
      <w:pPr>
        <w:tabs>
          <w:tab w:val="left" w:pos="567"/>
        </w:tabs>
        <w:spacing w:after="60" w:line="240" w:lineRule="auto"/>
        <w:rPr>
          <w:sz w:val="16"/>
          <w:szCs w:val="16"/>
        </w:rPr>
      </w:pPr>
      <w:r w:rsidRPr="009C15B0">
        <w:rPr>
          <w:rStyle w:val="FootnoteReference"/>
          <w:rFonts w:eastAsia="MS Mincho"/>
          <w:sz w:val="16"/>
          <w:szCs w:val="16"/>
        </w:rPr>
        <w:footnoteRef/>
      </w:r>
      <w:r w:rsidRPr="009C15B0">
        <w:rPr>
          <w:sz w:val="16"/>
          <w:szCs w:val="16"/>
        </w:rPr>
        <w:tab/>
      </w:r>
      <w:r w:rsidRPr="009C15B0">
        <w:rPr>
          <w:i/>
          <w:sz w:val="16"/>
          <w:szCs w:val="16"/>
        </w:rPr>
        <w:t>Cfr.</w:t>
      </w:r>
      <w:r w:rsidRPr="009C15B0">
        <w:rPr>
          <w:sz w:val="16"/>
          <w:szCs w:val="16"/>
        </w:rPr>
        <w:t xml:space="preserve"> </w:t>
      </w:r>
      <w:r w:rsidRPr="009C15B0">
        <w:rPr>
          <w:bCs/>
          <w:i/>
          <w:sz w:val="16"/>
          <w:szCs w:val="16"/>
        </w:rPr>
        <w:t xml:space="preserve">Caso de las Hermanas Serrano Cruz Vs. El Salvador. Fondo, Reparaciones y Costas. </w:t>
      </w:r>
      <w:r w:rsidRPr="009C15B0">
        <w:rPr>
          <w:bCs/>
          <w:sz w:val="16"/>
          <w:szCs w:val="16"/>
        </w:rPr>
        <w:t>Sentencia de 1 de marzo de 2005. Serie C No. 120</w:t>
      </w:r>
      <w:r w:rsidRPr="009C15B0">
        <w:rPr>
          <w:bCs/>
          <w:i/>
          <w:sz w:val="16"/>
          <w:szCs w:val="16"/>
        </w:rPr>
        <w:t xml:space="preserve">, </w:t>
      </w:r>
      <w:r w:rsidRPr="009C15B0">
        <w:rPr>
          <w:sz w:val="16"/>
          <w:szCs w:val="16"/>
        </w:rPr>
        <w:t xml:space="preserve">párr. 83, y </w:t>
      </w:r>
      <w:r w:rsidRPr="009C15B0">
        <w:rPr>
          <w:rFonts w:eastAsiaTheme="minorHAnsi" w:cstheme="minorBidi"/>
          <w:i/>
          <w:sz w:val="16"/>
          <w:szCs w:val="16"/>
          <w:lang w:eastAsia="en-US"/>
        </w:rPr>
        <w:t>Caso Pacheco León y otros Vs. Honduras, supra</w:t>
      </w:r>
      <w:r w:rsidRPr="009C15B0">
        <w:rPr>
          <w:rFonts w:eastAsiaTheme="minorHAnsi" w:cstheme="minorBidi"/>
          <w:sz w:val="16"/>
          <w:szCs w:val="16"/>
          <w:lang w:eastAsia="en-US"/>
        </w:rPr>
        <w:t>, párr. 75.</w:t>
      </w:r>
    </w:p>
  </w:footnote>
  <w:footnote w:id="195">
    <w:p w14:paraId="7FDA5D44"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Fernández Ortega y otros Vs. México. Excepción Preliminar, Fondo, Reparaciones y Costas. </w:t>
      </w:r>
      <w:r w:rsidRPr="009C15B0">
        <w:rPr>
          <w:sz w:val="16"/>
          <w:szCs w:val="16"/>
          <w:lang w:val="es-CR"/>
        </w:rPr>
        <w:t xml:space="preserve">Sentencia de 30 de agosto de 2010. Serie C No. 215, párr. 193, y </w:t>
      </w:r>
      <w:r w:rsidRPr="009C15B0">
        <w:rPr>
          <w:i/>
          <w:sz w:val="16"/>
          <w:szCs w:val="16"/>
          <w:lang w:val="es-CR"/>
        </w:rPr>
        <w:t>Caso Gutiérrez Hernández y otros Vs. Guatemala, supra</w:t>
      </w:r>
      <w:r w:rsidRPr="009C15B0">
        <w:rPr>
          <w:rStyle w:val="Strong"/>
          <w:b w:val="0"/>
          <w:sz w:val="16"/>
          <w:szCs w:val="16"/>
          <w:shd w:val="clear" w:color="auto" w:fill="FFFFFF"/>
          <w:lang w:val="es-CR"/>
        </w:rPr>
        <w:t>,</w:t>
      </w:r>
      <w:r w:rsidRPr="009C15B0">
        <w:rPr>
          <w:i/>
          <w:sz w:val="16"/>
          <w:szCs w:val="16"/>
          <w:lang w:val="es-CR"/>
        </w:rPr>
        <w:t xml:space="preserve"> </w:t>
      </w:r>
      <w:r w:rsidRPr="009C15B0">
        <w:rPr>
          <w:sz w:val="16"/>
          <w:szCs w:val="16"/>
          <w:lang w:val="es-CR"/>
        </w:rPr>
        <w:t>párr. 149.</w:t>
      </w:r>
    </w:p>
  </w:footnote>
  <w:footnote w:id="196">
    <w:p w14:paraId="4DF1BF84" w14:textId="59E8E43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González y otras (“Campo Algodonero”) Vs. </w:t>
      </w:r>
      <w:r w:rsidRPr="00C946D6">
        <w:rPr>
          <w:i/>
          <w:sz w:val="16"/>
          <w:szCs w:val="16"/>
          <w:lang w:val="pt-BR"/>
        </w:rPr>
        <w:t>México, supra</w:t>
      </w:r>
      <w:r w:rsidRPr="00C946D6">
        <w:rPr>
          <w:sz w:val="16"/>
          <w:szCs w:val="16"/>
          <w:lang w:val="pt-BR"/>
        </w:rPr>
        <w:t>, párr. 258</w:t>
      </w:r>
      <w:r w:rsidRPr="00C946D6">
        <w:rPr>
          <w:i/>
          <w:sz w:val="16"/>
          <w:szCs w:val="16"/>
          <w:lang w:val="pt-BR"/>
        </w:rPr>
        <w:t xml:space="preserve">, </w:t>
      </w:r>
      <w:r w:rsidRPr="00C946D6">
        <w:rPr>
          <w:sz w:val="16"/>
          <w:szCs w:val="16"/>
          <w:lang w:val="pt-BR"/>
        </w:rPr>
        <w:t xml:space="preserve">y </w:t>
      </w:r>
      <w:r w:rsidRPr="00C946D6">
        <w:rPr>
          <w:i/>
          <w:sz w:val="16"/>
          <w:szCs w:val="16"/>
          <w:lang w:val="pt-BR"/>
        </w:rPr>
        <w:t>Caso Favela Nova Brasilia Vs. Brasil, supra</w:t>
      </w:r>
      <w:r w:rsidRPr="00C946D6">
        <w:rPr>
          <w:sz w:val="16"/>
          <w:szCs w:val="16"/>
          <w:lang w:val="pt-BR"/>
        </w:rPr>
        <w:t xml:space="preserve">, </w:t>
      </w:r>
      <w:r w:rsidRPr="00C946D6">
        <w:rPr>
          <w:rFonts w:cs="Verdana"/>
          <w:sz w:val="16"/>
          <w:szCs w:val="16"/>
          <w:lang w:val="pt-BR"/>
        </w:rPr>
        <w:t xml:space="preserve">párr. </w:t>
      </w:r>
      <w:r w:rsidRPr="009C15B0">
        <w:rPr>
          <w:rFonts w:cs="Verdana"/>
          <w:sz w:val="16"/>
          <w:szCs w:val="16"/>
          <w:lang w:val="es-CR"/>
        </w:rPr>
        <w:t>243</w:t>
      </w:r>
      <w:r w:rsidRPr="009C15B0">
        <w:rPr>
          <w:sz w:val="16"/>
          <w:szCs w:val="16"/>
          <w:lang w:val="es-CR"/>
        </w:rPr>
        <w:t>.</w:t>
      </w:r>
    </w:p>
  </w:footnote>
  <w:footnote w:id="197">
    <w:p w14:paraId="4E4D023E" w14:textId="2E71C1B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Verdana"/>
          <w:sz w:val="16"/>
          <w:szCs w:val="16"/>
          <w:lang w:val="es-CR"/>
        </w:rPr>
        <w:t>Entre otros, en una investigación penal por violencia sexual es necesario que: i) la declaración de la víctima se realice en un ambiente cómodo y seguro, que le brinde privacidad y confianza; ii) la declaración de la víctima se registre de forma tal que se evite o limite la necesidad de su repetición; iii) se brinde atención médica, sanitaria y psicológica a la víctima, tanto de emergencia como de forma continuada si así se requiere, mediante un protocolo de atención cuyo objetivo sea reducir las consecuencias de la violación; iv) se realice inmediatamente un examen médico y psicológico completo y detallado por personal idóneo y capacitado, en lo posible del sexo que la víctima indique, ofreciéndole que sea acompañada por alguien de su confianza si así lo desea; v) se documenten y coordinen los actos investigativos y se maneje diligentemente la prueba, tomando muestras suficientes, realizando estudios para determinar la posible autoría del hecho, asegurando otras pruebas como la ropa de la víctima, investigando de forma inmediata el lugar de los hechos y garantizando la correcta cadena de custodia; vi) se brinde acceso a asistencia jurídica gratuita a la víctima durante todas las etapas del proceso</w:t>
      </w:r>
      <w:r w:rsidRPr="009C15B0">
        <w:rPr>
          <w:sz w:val="16"/>
          <w:szCs w:val="16"/>
          <w:lang w:val="es-CR"/>
        </w:rPr>
        <w:t>, y vii) se brinde atención médica, sanitaria y psicológica a la víctima, tanto de emergencia como de forma continuada si así se requiere, mediante un protocolo de atención cuyo objetivo sea reducir las consecuencias de la violación. Asimismo, en casos de supuestos actos de violencia contra la mujer, la investigación penal debe incluir una perspectiva de género y realizarse por funcionarios capacitados en casos similares y en atención a víctimas de discriminación y violencia por razón de género</w:t>
      </w:r>
      <w:r w:rsidRPr="009C15B0">
        <w:rPr>
          <w:rFonts w:cs="Verdana"/>
          <w:bCs/>
          <w:sz w:val="16"/>
          <w:szCs w:val="16"/>
          <w:lang w:val="es-CR"/>
        </w:rPr>
        <w:t xml:space="preserve">. </w:t>
      </w:r>
      <w:r w:rsidRPr="009C15B0">
        <w:rPr>
          <w:i/>
          <w:sz w:val="16"/>
          <w:szCs w:val="16"/>
          <w:lang w:val="es-CR"/>
        </w:rPr>
        <w:t>Cfr. Caso González y otras (“Campo Algodonero”) Vs. México, supra</w:t>
      </w:r>
      <w:r w:rsidRPr="009C15B0">
        <w:rPr>
          <w:sz w:val="16"/>
          <w:szCs w:val="16"/>
          <w:lang w:val="es-CR"/>
        </w:rPr>
        <w:t>, párr. 455;</w:t>
      </w:r>
      <w:r w:rsidRPr="009C15B0">
        <w:rPr>
          <w:i/>
          <w:sz w:val="16"/>
          <w:szCs w:val="16"/>
          <w:lang w:val="es-CR"/>
        </w:rPr>
        <w:t xml:space="preserve"> Caso Fernández Ortega y otros Vs. México, supra</w:t>
      </w:r>
      <w:r w:rsidRPr="009C15B0">
        <w:rPr>
          <w:sz w:val="16"/>
          <w:szCs w:val="16"/>
          <w:lang w:val="es-CR"/>
        </w:rPr>
        <w:t>, párrs</w:t>
      </w:r>
      <w:r w:rsidRPr="009C15B0">
        <w:rPr>
          <w:i/>
          <w:sz w:val="16"/>
          <w:szCs w:val="16"/>
          <w:lang w:val="es-CR"/>
        </w:rPr>
        <w:t xml:space="preserve">. </w:t>
      </w:r>
      <w:r w:rsidRPr="009C15B0">
        <w:rPr>
          <w:sz w:val="16"/>
          <w:szCs w:val="16"/>
          <w:lang w:val="es-CR"/>
        </w:rPr>
        <w:t>194, 251 y 252;</w:t>
      </w:r>
      <w:r w:rsidRPr="009C15B0">
        <w:rPr>
          <w:i/>
          <w:sz w:val="16"/>
          <w:szCs w:val="16"/>
          <w:lang w:val="es-CR"/>
        </w:rPr>
        <w:t xml:space="preserve"> Caso Espinoza Gonzáles Vs. Perú. Excepciones Preliminares, Fondo, Reparaciones y Costas. </w:t>
      </w:r>
      <w:r w:rsidRPr="009C15B0">
        <w:rPr>
          <w:sz w:val="16"/>
          <w:szCs w:val="16"/>
          <w:lang w:val="es-CR"/>
        </w:rPr>
        <w:t>Sentencia de 20 de noviembre de 2014. Serie C No. 289, párrs. 242 y 252</w:t>
      </w:r>
      <w:r w:rsidRPr="009C15B0">
        <w:rPr>
          <w:i/>
          <w:sz w:val="16"/>
          <w:szCs w:val="16"/>
          <w:lang w:val="es-CR"/>
        </w:rPr>
        <w:t xml:space="preserve">, </w:t>
      </w:r>
      <w:r w:rsidRPr="009C15B0">
        <w:rPr>
          <w:sz w:val="16"/>
          <w:szCs w:val="16"/>
          <w:lang w:val="es-CR"/>
        </w:rPr>
        <w:t>y</w:t>
      </w:r>
      <w:r w:rsidRPr="009C15B0">
        <w:rPr>
          <w:i/>
          <w:sz w:val="16"/>
          <w:szCs w:val="16"/>
          <w:lang w:val="es-CR"/>
        </w:rPr>
        <w:t xml:space="preserve"> Caso Favela Nova Brasilia Vs. Brasil, supra</w:t>
      </w:r>
      <w:r w:rsidRPr="009C15B0">
        <w:rPr>
          <w:sz w:val="16"/>
          <w:szCs w:val="16"/>
          <w:lang w:val="es-CR"/>
        </w:rPr>
        <w:t>, párr. 254.</w:t>
      </w:r>
    </w:p>
  </w:footnote>
  <w:footnote w:id="198">
    <w:p w14:paraId="7B5BF5D0" w14:textId="7CFDE46A" w:rsidR="007F7D87" w:rsidRPr="009C15B0" w:rsidRDefault="007F7D87" w:rsidP="001E6358">
      <w:pPr>
        <w:tabs>
          <w:tab w:val="left" w:pos="567"/>
        </w:tabs>
        <w:spacing w:after="60" w:line="240" w:lineRule="auto"/>
        <w:rPr>
          <w:i/>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lang w:eastAsia="x-none"/>
        </w:rPr>
        <w:t>Cfr. Caso de los “Niños de la Calle” (Villagrán Morales y otros) Vs. Guatemala. Fondo, supra</w:t>
      </w:r>
      <w:r w:rsidRPr="009C15B0">
        <w:rPr>
          <w:sz w:val="16"/>
          <w:szCs w:val="16"/>
          <w:lang w:eastAsia="x-none"/>
        </w:rPr>
        <w:t>, párrs. 194 a 195, y</w:t>
      </w:r>
      <w:r w:rsidRPr="009C15B0">
        <w:rPr>
          <w:i/>
          <w:sz w:val="16"/>
          <w:szCs w:val="16"/>
          <w:lang w:eastAsia="x-none"/>
        </w:rPr>
        <w:t xml:space="preserve"> Caso Familia Pacheco Tineo Vs. Bolivia. Excepciones Preliminares, Fondo, Reparaciones y Costas. </w:t>
      </w:r>
      <w:r w:rsidRPr="009C15B0">
        <w:rPr>
          <w:sz w:val="16"/>
          <w:szCs w:val="16"/>
          <w:lang w:eastAsia="x-none"/>
        </w:rPr>
        <w:t>Sentencia de 25 de noviembre de 2013. Serie C No. 272, párr. 217</w:t>
      </w:r>
      <w:r w:rsidRPr="009C15B0">
        <w:rPr>
          <w:i/>
          <w:sz w:val="16"/>
          <w:szCs w:val="16"/>
          <w:lang w:eastAsia="x-none"/>
        </w:rPr>
        <w:t>.</w:t>
      </w:r>
    </w:p>
  </w:footnote>
  <w:footnote w:id="199">
    <w:p w14:paraId="11F21EFB" w14:textId="43EC215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w:t>
      </w:r>
      <w:r w:rsidRPr="009C15B0">
        <w:rPr>
          <w:bCs/>
          <w:sz w:val="16"/>
          <w:szCs w:val="16"/>
          <w:lang w:val="es-CR"/>
        </w:rPr>
        <w:t xml:space="preserve"> 2 de la Convención sobre los Derechos del Niño prevé la obligación de los Estados de respetar los derechos enunciados en dicho instrumento y de asegurar su aplicación a cada niña y niño sujeto a su jurisdicción, sin distinción alguna, lo cual</w:t>
      </w:r>
      <w:r w:rsidRPr="009C15B0">
        <w:rPr>
          <w:sz w:val="16"/>
          <w:szCs w:val="16"/>
          <w:lang w:val="es-CR"/>
        </w:rPr>
        <w:t xml:space="preserve"> “exige que los Estados identifiquen activamente a los niños y grupos de niños cuando el reconocimiento y la efectividad de sus derechos pueda exigir la adopción de medidas especiales”.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UN Doc. CRC/GC/2003/5, 27 de noviembre de 2003, párr. 12,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UN Doc. CRC/C/GC/13, 18 de abril de 2011, párr. 60.</w:t>
      </w:r>
    </w:p>
  </w:footnote>
  <w:footnote w:id="200">
    <w:p w14:paraId="109B44C0" w14:textId="04FCB13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párrafo 1 del artículo 3 </w:t>
      </w:r>
      <w:r w:rsidRPr="009C15B0">
        <w:rPr>
          <w:bCs/>
          <w:sz w:val="16"/>
          <w:szCs w:val="16"/>
          <w:lang w:val="es-CR"/>
        </w:rPr>
        <w:t xml:space="preserve">de la Convención sobre los Derechos del Niño </w:t>
      </w:r>
      <w:r w:rsidRPr="009C15B0">
        <w:rPr>
          <w:sz w:val="16"/>
          <w:szCs w:val="16"/>
          <w:lang w:val="es-CR"/>
        </w:rPr>
        <w:t xml:space="preserve">obliga a que el interés superior de la niña o del niño sea una consideración primordial en todas las medidas que les conciernen. </w:t>
      </w:r>
      <w:r w:rsidRPr="009C15B0">
        <w:rPr>
          <w:i/>
          <w:sz w:val="16"/>
          <w:szCs w:val="16"/>
          <w:lang w:val="es-CR"/>
        </w:rPr>
        <w:t>Cfr</w:t>
      </w:r>
      <w:r w:rsidRPr="009C15B0">
        <w:rPr>
          <w:sz w:val="16"/>
          <w:szCs w:val="16"/>
          <w:lang w:val="es-CR"/>
        </w:rPr>
        <w:t xml:space="preserve">.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12;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61, y </w:t>
      </w:r>
      <w:r w:rsidRPr="009C15B0">
        <w:rPr>
          <w:sz w:val="16"/>
          <w:szCs w:val="16"/>
          <w:shd w:val="clear" w:color="auto" w:fill="FFFFFF"/>
          <w:lang w:val="es-CR"/>
        </w:rPr>
        <w:t>Comité de los Derechos del Niño</w:t>
      </w:r>
      <w:r w:rsidRPr="009C15B0">
        <w:rPr>
          <w:sz w:val="16"/>
          <w:szCs w:val="16"/>
          <w:lang w:val="es-CR"/>
        </w:rPr>
        <w:t xml:space="preserve">, </w:t>
      </w:r>
      <w:r w:rsidRPr="009C15B0">
        <w:rPr>
          <w:i/>
          <w:sz w:val="16"/>
          <w:szCs w:val="16"/>
          <w:lang w:val="es-CR"/>
        </w:rPr>
        <w:t>Observación general N</w:t>
      </w:r>
      <w:r w:rsidRPr="009C15B0">
        <w:rPr>
          <w:rFonts w:eastAsia="Calibri"/>
          <w:i/>
          <w:sz w:val="16"/>
          <w:szCs w:val="16"/>
          <w:lang w:val="es-CR"/>
        </w:rPr>
        <w:t>º</w:t>
      </w:r>
      <w:r w:rsidRPr="009C15B0">
        <w:rPr>
          <w:i/>
          <w:sz w:val="16"/>
          <w:szCs w:val="16"/>
          <w:lang w:val="es-CR"/>
        </w:rPr>
        <w:t xml:space="preserve"> 14 sobre el derecho del niño a que su interés superior sea una consideración primordial (artículo 3, párrafo 1)</w:t>
      </w:r>
      <w:r w:rsidRPr="009C15B0">
        <w:rPr>
          <w:sz w:val="16"/>
          <w:szCs w:val="16"/>
          <w:lang w:val="es-CR"/>
        </w:rPr>
        <w:t>, UN Doc. CRC/C/CG/14, 29 de mayo de 2013.</w:t>
      </w:r>
    </w:p>
  </w:footnote>
  <w:footnote w:id="201">
    <w:p w14:paraId="2FA92AC1" w14:textId="2A01749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w:t>
      </w:r>
      <w:r w:rsidRPr="009C15B0">
        <w:rPr>
          <w:bCs/>
          <w:sz w:val="16"/>
          <w:szCs w:val="16"/>
          <w:lang w:val="es-CR"/>
        </w:rPr>
        <w:t xml:space="preserve"> 6 de la Convención sobre los Derechos del Niño reconoce </w:t>
      </w:r>
      <w:r w:rsidRPr="009C15B0">
        <w:rPr>
          <w:sz w:val="16"/>
          <w:szCs w:val="16"/>
          <w:lang w:val="es-CR"/>
        </w:rPr>
        <w:t xml:space="preserve">el derecho intrínseco de la niña y del niño a la vida y la obligación de los Estados Partes de garantizar en la máxima medida posible su supervivencia y desarrollo en su sentido más amplio, como concepto holístico que abarca el desarrollo físico, mental, espiritual, moral, psicológico y social de la niña y del niño. </w:t>
      </w:r>
      <w:r w:rsidRPr="009C15B0">
        <w:rPr>
          <w:i/>
          <w:sz w:val="16"/>
          <w:szCs w:val="16"/>
          <w:lang w:val="es-CR"/>
        </w:rPr>
        <w:t>Cfr</w:t>
      </w:r>
      <w:r w:rsidRPr="009C15B0">
        <w:rPr>
          <w:sz w:val="16"/>
          <w:szCs w:val="16"/>
          <w:lang w:val="es-CR"/>
        </w:rPr>
        <w:t xml:space="preserve">.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12,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 62.</w:t>
      </w:r>
    </w:p>
  </w:footnote>
  <w:footnote w:id="202">
    <w:p w14:paraId="07DA0003" w14:textId="54C6D5A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w:t>
      </w:r>
      <w:r w:rsidRPr="009C15B0">
        <w:rPr>
          <w:bCs/>
          <w:sz w:val="16"/>
          <w:szCs w:val="16"/>
          <w:lang w:val="es-CR"/>
        </w:rPr>
        <w:t xml:space="preserve">artículo 12 de la Convención sobre los Derechos del Niño establece el derecho del niño a expresar su opinión libremente en “todos los asuntos que afectan al niño” y a que se tengan debidamente en cuenta esas opiniones, teniendo en cuenta su edad y grado de madurez. </w:t>
      </w:r>
      <w:r w:rsidRPr="009C15B0">
        <w:rPr>
          <w:bCs/>
          <w:i/>
          <w:sz w:val="16"/>
          <w:szCs w:val="16"/>
          <w:lang w:val="es-CR"/>
        </w:rPr>
        <w:t>Cfr.</w:t>
      </w:r>
      <w:r w:rsidRPr="009C15B0">
        <w:rPr>
          <w:b/>
          <w:bCs/>
          <w:i/>
          <w:sz w:val="16"/>
          <w:szCs w:val="16"/>
          <w:lang w:val="es-CR"/>
        </w:rPr>
        <w:t xml:space="preserve">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12; </w:t>
      </w:r>
      <w:r w:rsidRPr="009C15B0">
        <w:rPr>
          <w:sz w:val="16"/>
          <w:szCs w:val="16"/>
          <w:shd w:val="clear" w:color="auto" w:fill="FFFFFF"/>
          <w:lang w:val="es-CR"/>
        </w:rPr>
        <w:t>Comité de los Derechos del Niño</w:t>
      </w:r>
      <w:r w:rsidRPr="009C15B0">
        <w:rPr>
          <w:sz w:val="16"/>
          <w:szCs w:val="16"/>
          <w:lang w:val="es-CR"/>
        </w:rPr>
        <w:t xml:space="preserve">, </w:t>
      </w:r>
      <w:r w:rsidRPr="009C15B0">
        <w:rPr>
          <w:i/>
          <w:sz w:val="16"/>
          <w:szCs w:val="16"/>
          <w:lang w:val="es-CR"/>
        </w:rPr>
        <w:t xml:space="preserve">Observación General Nº 12: El derecho del niño a ser escuchado, </w:t>
      </w:r>
      <w:r w:rsidRPr="009C15B0">
        <w:rPr>
          <w:sz w:val="16"/>
          <w:szCs w:val="16"/>
          <w:lang w:val="es-CR"/>
        </w:rPr>
        <w:t xml:space="preserve">UN Doc. CRC/C/GC/12, 20 de julio de 2009,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 63.</w:t>
      </w:r>
    </w:p>
  </w:footnote>
  <w:footnote w:id="203">
    <w:p w14:paraId="78CB1C4F" w14:textId="77777777" w:rsidR="007F7D87" w:rsidRPr="009C15B0" w:rsidRDefault="007F7D87" w:rsidP="001E6358">
      <w:pPr>
        <w:pStyle w:val="ListParagraph"/>
        <w:tabs>
          <w:tab w:val="left" w:pos="567"/>
          <w:tab w:val="left" w:pos="810"/>
        </w:tabs>
        <w:spacing w:after="60" w:line="240" w:lineRule="auto"/>
        <w:ind w:left="0" w:right="23"/>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 xml:space="preserve">El Comité de los Derechos del Niño ha señalado que “[a] nivel universal, se consideran vulnerables todos los niños hasta los 18 años de edad, porque no ha concluido aún su crecimiento y desarrollo neurológico, psicológico, social y físico. Los lactantes y los niños pequeños son los más vulnerables debido a la inmadurez de su cerebro, todavía en desarrollo, y a su completa dependencia de los adultos. Aunque corren peligro los niños de ambos sexos, la violencia suele tener un componente de género”. Comité de los Derechos del Niño, </w:t>
      </w:r>
      <w:r w:rsidRPr="009C15B0">
        <w:rPr>
          <w:i/>
          <w:sz w:val="16"/>
          <w:szCs w:val="16"/>
        </w:rPr>
        <w:t>Observación General Nº 13:</w:t>
      </w:r>
      <w:r w:rsidRPr="009C15B0">
        <w:rPr>
          <w:sz w:val="16"/>
          <w:szCs w:val="16"/>
        </w:rPr>
        <w:t xml:space="preserve"> </w:t>
      </w:r>
      <w:r w:rsidRPr="009C15B0">
        <w:rPr>
          <w:i/>
          <w:sz w:val="16"/>
          <w:szCs w:val="16"/>
        </w:rPr>
        <w:t>Derecho del niño a no ser objeto de ninguna forma de violencia</w:t>
      </w:r>
      <w:r w:rsidRPr="009C15B0">
        <w:rPr>
          <w:sz w:val="16"/>
          <w:szCs w:val="16"/>
        </w:rPr>
        <w:t xml:space="preserve">, </w:t>
      </w:r>
      <w:r w:rsidRPr="009C15B0">
        <w:rPr>
          <w:i/>
          <w:sz w:val="16"/>
          <w:szCs w:val="16"/>
        </w:rPr>
        <w:t>supra</w:t>
      </w:r>
      <w:r w:rsidRPr="009C15B0">
        <w:rPr>
          <w:sz w:val="16"/>
          <w:szCs w:val="16"/>
        </w:rPr>
        <w:t>, párr. 72.f).</w:t>
      </w:r>
    </w:p>
  </w:footnote>
  <w:footnote w:id="204">
    <w:p w14:paraId="01C8170C" w14:textId="77603607" w:rsidR="007F7D87" w:rsidRPr="009C15B0" w:rsidRDefault="007F7D87" w:rsidP="001E6358">
      <w:pPr>
        <w:pStyle w:val="ListParagraph"/>
        <w:tabs>
          <w:tab w:val="left" w:pos="567"/>
          <w:tab w:val="left" w:pos="810"/>
        </w:tabs>
        <w:spacing w:after="60" w:line="240" w:lineRule="auto"/>
        <w:ind w:left="0" w:right="23"/>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 Condición Jurídica y Derechos Humanos del Niño.</w:t>
      </w:r>
      <w:r w:rsidRPr="009C15B0">
        <w:rPr>
          <w:sz w:val="16"/>
          <w:szCs w:val="16"/>
        </w:rPr>
        <w:t xml:space="preserve"> Opinión Consultiva OC-17/02, </w:t>
      </w:r>
      <w:r w:rsidRPr="009C15B0">
        <w:rPr>
          <w:i/>
          <w:sz w:val="16"/>
          <w:szCs w:val="16"/>
        </w:rPr>
        <w:t>supra</w:t>
      </w:r>
      <w:r w:rsidRPr="009C15B0">
        <w:rPr>
          <w:sz w:val="16"/>
          <w:szCs w:val="16"/>
        </w:rPr>
        <w:t xml:space="preserve">, párr. 61, y </w:t>
      </w:r>
      <w:r w:rsidRPr="009C15B0">
        <w:rPr>
          <w:rStyle w:val="Strong"/>
          <w:b w:val="0"/>
          <w:i/>
          <w:sz w:val="16"/>
          <w:szCs w:val="16"/>
        </w:rPr>
        <w:t>Derechos y garantías de niñas y niños en el contexto de la migración y/o en necesidad de protección internacional</w:t>
      </w:r>
      <w:r w:rsidRPr="009C15B0">
        <w:rPr>
          <w:rStyle w:val="Strong"/>
          <w:b w:val="0"/>
          <w:sz w:val="16"/>
          <w:szCs w:val="16"/>
        </w:rPr>
        <w:t xml:space="preserve">. Opinión Consultiva OC-21/14, </w:t>
      </w:r>
      <w:r w:rsidRPr="009C15B0">
        <w:rPr>
          <w:rStyle w:val="Strong"/>
          <w:b w:val="0"/>
          <w:i/>
          <w:sz w:val="16"/>
          <w:szCs w:val="16"/>
        </w:rPr>
        <w:t>supra</w:t>
      </w:r>
      <w:r w:rsidRPr="009C15B0">
        <w:rPr>
          <w:rStyle w:val="Strong"/>
          <w:b w:val="0"/>
          <w:sz w:val="16"/>
          <w:szCs w:val="16"/>
        </w:rPr>
        <w:t>, párr. 71</w:t>
      </w:r>
      <w:r w:rsidRPr="009C15B0">
        <w:rPr>
          <w:sz w:val="16"/>
          <w:szCs w:val="16"/>
        </w:rPr>
        <w:t>.</w:t>
      </w:r>
    </w:p>
  </w:footnote>
  <w:footnote w:id="205">
    <w:p w14:paraId="7428CDDF" w14:textId="3ED97022" w:rsidR="007F7D87" w:rsidRPr="009C15B0" w:rsidRDefault="007F7D87" w:rsidP="001E6358">
      <w:pPr>
        <w:tabs>
          <w:tab w:val="left" w:pos="567"/>
        </w:tabs>
        <w:spacing w:after="60" w:line="240" w:lineRule="auto"/>
        <w:rPr>
          <w:sz w:val="16"/>
          <w:szCs w:val="16"/>
        </w:rPr>
      </w:pPr>
      <w:r w:rsidRPr="009C15B0">
        <w:rPr>
          <w:rStyle w:val="FootnoteReference"/>
          <w:rFonts w:eastAsia="MS ????"/>
          <w:sz w:val="16"/>
          <w:szCs w:val="16"/>
        </w:rPr>
        <w:footnoteRef/>
      </w:r>
      <w:r w:rsidRPr="009C15B0">
        <w:rPr>
          <w:sz w:val="16"/>
          <w:szCs w:val="16"/>
        </w:rPr>
        <w:t xml:space="preserve"> </w:t>
      </w:r>
      <w:r w:rsidRPr="009C15B0">
        <w:rPr>
          <w:sz w:val="16"/>
          <w:szCs w:val="16"/>
        </w:rPr>
        <w:tab/>
        <w:t xml:space="preserve">Al respecto, la Declaración sobre la eliminación de la violencia contra la mujer, adoptada por la Asamblea General de la Organización de Naciones Unidas en su resolución 48/104 del 20 de diciembre de 1993, sostiene en su Preámbulo que “la violencia contra la mujer constituye una manifestación de relaciones de poder históricamente desiguales entre el hombre y la mujer, que han conducido a la dominación de la mujer y a la discriminación en su contra por parte del hombre e impedido el adelanto pleno de la mujer, y que la violencia contra la mujer es uno de los mecanismos sociales fundamentales por los que se fuerza a la mujer a una situación de subordinación respecto del hombre”. Asimismo, la Relatora Especial de Naciones Unidas sobre la violencia contra la mujer, sus causas y consecuencias señaló los factores de discriminación histórica que afirman la situación de mayor vulnerabilidad de las mujeres frente a hechos de violencia, al indicar que “[l]a Convención sobre la Eliminación de Todas las Formas de Discriminación contra la Mujer y la Declaración sobre la Eliminación de la Violencia contra la Mujer proporcionan un marco internacional integral en el que la violencia de género contra la mujer es la manifestación de las relaciones de poder históricamente desiguales entre hombres y mujeres. […] La persistencia de la violencia de género sistémica contra la mujer, incluso en Estados que han proclamado la tolerancia cero respecto de la violencia contra la mujer, indica que la violencia de género está profundamente arraigada en nuestras sociedades, que siguen siendo predominantemente patriarcales, y se acepta porque ‘simplemente, las cosas son así’”. </w:t>
      </w:r>
      <w:r w:rsidRPr="009C15B0">
        <w:rPr>
          <w:i/>
          <w:sz w:val="16"/>
          <w:szCs w:val="16"/>
        </w:rPr>
        <w:t>Informe de la Relatora Especial sobre la violencia contra la mujer, sus causas y consecuencias</w:t>
      </w:r>
      <w:r w:rsidRPr="009C15B0">
        <w:rPr>
          <w:sz w:val="16"/>
          <w:szCs w:val="16"/>
        </w:rPr>
        <w:t>, 13 de junio de 2017, UN Doc. A/HRC/35/30, párrs. 21 y 100. En igual sentido, se ha manifestado el Comité para la Eliminación de la Discriminación contra la mujer, al sostener que: “la violencia por razón de género contra la mujer es uno de los medios sociales, políticos y económicos fundamentales a través de los cuales se perpetúa la posición subordinada de la mujer con respecto al hombre y sus papeles estereotipados”. Comité para la Eliminación de la Discriminación contra la mujer,</w:t>
      </w:r>
      <w:r w:rsidRPr="009C15B0">
        <w:rPr>
          <w:i/>
          <w:sz w:val="16"/>
          <w:szCs w:val="16"/>
        </w:rPr>
        <w:t xml:space="preserve"> Recomendación General N° 35: sobre la violencia por razón de género contra la mujer, por la que se actualiza la Recomendación General N° 19</w:t>
      </w:r>
      <w:r w:rsidRPr="009C15B0">
        <w:rPr>
          <w:sz w:val="16"/>
          <w:szCs w:val="16"/>
        </w:rPr>
        <w:t>, 26 de julio 2017, UN Doc. CEDAW/C/GC/35, párr. 10.</w:t>
      </w:r>
    </w:p>
  </w:footnote>
  <w:footnote w:id="206">
    <w:p w14:paraId="5C6ECBCA" w14:textId="726F7AC8" w:rsidR="007F7D87" w:rsidRPr="009C15B0" w:rsidRDefault="007F7D87" w:rsidP="001E6358">
      <w:pPr>
        <w:pStyle w:val="FootnoteText"/>
        <w:tabs>
          <w:tab w:val="left" w:pos="567"/>
        </w:tabs>
        <w:spacing w:after="60"/>
        <w:rPr>
          <w:i/>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t xml:space="preserve">El Comité de los Derechos del Niño ha indicado que el componente de género implícito en todas las formas de violencia determina que “las niñas pueden sufrir más violencia sexual en el hogar que los niños”.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19. En el caso de Nicaragua, según los datos aportados por el Modelo de atención integral a víctimas de violencia de género en Nicaragua, citando cifras del Instituto de Medicina Legal, “la violencia intrafamiliar y sexual por las dimensiones en que se manifiesta, debe considerarse como un problema de salud pública, lo que se expresa en los siguientes indicadores del año 2011: [… e]l 84% de las víctimas de [violencia sexual] son menores de 18 años. […] Las estadísticas de las Comisarías de la Mujer y la Niñez indican que los departamentos donde más prevalece la violencia contra las mujeres, niñas y niños son Managua, Chinandega, Matagalpa, León, Granada, Carazo, Masaya, Esteli, Jinotega, RAAN y RAAS”. UNFPA, Modelo de atención integral a víctimas de violencia de género en Nicaragua, Managua, 2012 (expediente de prueba, tomo XXI, anexo 9.d a la prueba para mejor resolver, folio 10976). Asimismo, según datos de UNICEF, “[e]n Nicaragua las niñas y adolescentes están en mayor riesgo de ser víctimas de violencia sexual. El Instituto de Medicina Legal reportó 6.069 casos de violencia sexual en 2013. El 88% de las víctimas eran mujeres y el 82% eran niños y adolescentes. El 51% niños de 13 años de edad, y el 83% eran niñas”. </w:t>
      </w:r>
      <w:r w:rsidRPr="009C15B0">
        <w:rPr>
          <w:i/>
          <w:sz w:val="16"/>
          <w:szCs w:val="16"/>
          <w:lang w:val="es-CR"/>
        </w:rPr>
        <w:t>Cfr.</w:t>
      </w:r>
      <w:r w:rsidRPr="009C15B0">
        <w:rPr>
          <w:sz w:val="16"/>
          <w:szCs w:val="16"/>
          <w:lang w:val="es-CR"/>
        </w:rPr>
        <w:t xml:space="preserve"> UNICEF, “La violencia existe aun cuando no la puedas ver. Iniciativas de fin a la violencia”, disponible en http://www.unicef.org.ni/publicacion/180/iniciativas-de-fin-la-violencia-en-nicaragua/ </w:t>
      </w:r>
    </w:p>
  </w:footnote>
  <w:footnote w:id="207">
    <w:p w14:paraId="218CE4D1" w14:textId="115D342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Condición Jurídica y Derechos Humanos del Niño.</w:t>
      </w:r>
      <w:r w:rsidRPr="009C15B0">
        <w:rPr>
          <w:sz w:val="16"/>
          <w:szCs w:val="16"/>
          <w:lang w:val="es-CR"/>
        </w:rPr>
        <w:t xml:space="preserve"> Opinión Consultiva OC-17/02, </w:t>
      </w:r>
      <w:r w:rsidRPr="009C15B0">
        <w:rPr>
          <w:i/>
          <w:sz w:val="16"/>
          <w:szCs w:val="16"/>
          <w:lang w:val="es-CR"/>
        </w:rPr>
        <w:t>supra</w:t>
      </w:r>
      <w:r w:rsidRPr="009C15B0">
        <w:rPr>
          <w:sz w:val="16"/>
          <w:szCs w:val="16"/>
          <w:lang w:val="es-CR"/>
        </w:rPr>
        <w:t xml:space="preserve">, párr. 96, y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xml:space="preserve">. Opinión Consultiva OC-21/14, </w:t>
      </w:r>
      <w:r w:rsidRPr="009C15B0">
        <w:rPr>
          <w:rStyle w:val="Strong"/>
          <w:b w:val="0"/>
          <w:i/>
          <w:sz w:val="16"/>
          <w:szCs w:val="16"/>
          <w:lang w:val="es-CR"/>
        </w:rPr>
        <w:t>supra</w:t>
      </w:r>
      <w:r w:rsidRPr="009C15B0">
        <w:rPr>
          <w:rStyle w:val="Strong"/>
          <w:b w:val="0"/>
          <w:sz w:val="16"/>
          <w:szCs w:val="16"/>
          <w:lang w:val="es-CR"/>
        </w:rPr>
        <w:t>, párr. 114</w:t>
      </w:r>
      <w:r w:rsidRPr="009C15B0">
        <w:rPr>
          <w:sz w:val="16"/>
          <w:szCs w:val="16"/>
          <w:lang w:val="es-CR"/>
        </w:rPr>
        <w:t>.</w:t>
      </w:r>
    </w:p>
  </w:footnote>
  <w:footnote w:id="208">
    <w:p w14:paraId="7F3A8301" w14:textId="0BFFB19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Condición Jurídica y Derechos Humanos del Niño.</w:t>
      </w:r>
      <w:r w:rsidRPr="009C15B0">
        <w:rPr>
          <w:sz w:val="16"/>
          <w:szCs w:val="16"/>
          <w:lang w:val="es-CR"/>
        </w:rPr>
        <w:t xml:space="preserve"> Opinión Consultiva OC-17/02, </w:t>
      </w:r>
      <w:r w:rsidRPr="009C15B0">
        <w:rPr>
          <w:i/>
          <w:sz w:val="16"/>
          <w:szCs w:val="16"/>
          <w:lang w:val="es-CR"/>
        </w:rPr>
        <w:t>supra</w:t>
      </w:r>
      <w:r w:rsidRPr="009C15B0">
        <w:rPr>
          <w:sz w:val="16"/>
          <w:szCs w:val="16"/>
          <w:lang w:val="es-CR"/>
        </w:rPr>
        <w:t xml:space="preserve">, párrs. 96 y 98, y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xml:space="preserve">. Opinión Consultiva OC-21/14, </w:t>
      </w:r>
      <w:r w:rsidRPr="009C15B0">
        <w:rPr>
          <w:rStyle w:val="Strong"/>
          <w:b w:val="0"/>
          <w:i/>
          <w:sz w:val="16"/>
          <w:szCs w:val="16"/>
          <w:lang w:val="es-CR"/>
        </w:rPr>
        <w:t>supra</w:t>
      </w:r>
      <w:r w:rsidRPr="009C15B0">
        <w:rPr>
          <w:sz w:val="16"/>
          <w:szCs w:val="16"/>
          <w:lang w:val="es-CR"/>
        </w:rPr>
        <w:t>, párr. 115.</w:t>
      </w:r>
    </w:p>
  </w:footnote>
  <w:footnote w:id="209">
    <w:p w14:paraId="02C0AC9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12 de la Convención sobre los Derechos del Niño dispone que:</w:t>
      </w:r>
    </w:p>
    <w:p w14:paraId="34A8B2B5" w14:textId="7777777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1. Los Estados Partes garantizarán al niño que esté en condiciones de formarse un juicio propio el derecho de expresar su opinión libremente en todos los asuntos que afectan al niño, teniéndose debidamente en cuenta las opiniones del niño, en función de la edad y madurez del niño.</w:t>
      </w:r>
    </w:p>
    <w:p w14:paraId="46DC8B8B" w14:textId="7777777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2. Con tal fin, se dará en particular al niño oportunidad de ser escuchado, en todo procedimiento judicial o administrativo que afecte al niño, ya sea directamente o por medio de un representante o de un órgano apropiado, en consonancia con las normas de procedimiento de la ley nacional.</w:t>
      </w:r>
    </w:p>
    <w:p w14:paraId="15E23069" w14:textId="29487D69" w:rsidR="007F7D87" w:rsidRPr="009C15B0" w:rsidRDefault="007F7D87" w:rsidP="001E6358">
      <w:pPr>
        <w:pStyle w:val="FootnoteText"/>
        <w:tabs>
          <w:tab w:val="left" w:pos="567"/>
        </w:tabs>
        <w:spacing w:after="60"/>
        <w:rPr>
          <w:sz w:val="16"/>
          <w:szCs w:val="16"/>
          <w:lang w:val="es-CR"/>
        </w:rPr>
      </w:pPr>
      <w:r w:rsidRPr="009C15B0">
        <w:rPr>
          <w:bCs/>
          <w:sz w:val="16"/>
          <w:szCs w:val="16"/>
          <w:lang w:val="es-CR"/>
        </w:rPr>
        <w:t xml:space="preserve">Véase también, </w:t>
      </w:r>
      <w:r w:rsidRPr="009C15B0">
        <w:rPr>
          <w:sz w:val="16"/>
          <w:szCs w:val="16"/>
          <w:shd w:val="clear" w:color="auto" w:fill="FFFFFF"/>
          <w:lang w:val="es-CR"/>
        </w:rPr>
        <w:t>Comité de los Derechos del Niño</w:t>
      </w:r>
      <w:r w:rsidRPr="009C15B0">
        <w:rPr>
          <w:sz w:val="16"/>
          <w:szCs w:val="16"/>
          <w:lang w:val="es-CR"/>
        </w:rPr>
        <w:t xml:space="preserve">, </w:t>
      </w:r>
      <w:r w:rsidRPr="009C15B0">
        <w:rPr>
          <w:i/>
          <w:sz w:val="16"/>
          <w:szCs w:val="16"/>
          <w:lang w:val="es-CR"/>
        </w:rPr>
        <w:t>Observación General Nº 12: El derecho del niño a ser escuchado, supra</w:t>
      </w:r>
      <w:r w:rsidRPr="009C15B0">
        <w:rPr>
          <w:sz w:val="16"/>
          <w:szCs w:val="16"/>
          <w:lang w:val="es-CR"/>
        </w:rPr>
        <w:t>, párrs. 62 a 64, en la cual se señala que “[e]l niño víctima y el niño testigo de un delito deben tener la oportunidad de ejercer plenamente su derecho a expresar libremente sus opiniones de conformidad con la resolución 2005/20 del Consejo Económico y Social, ‘Directrices sobre la justicia en asuntos concernientes a los niños víctimas y testigos de delitos’”.</w:t>
      </w:r>
    </w:p>
  </w:footnote>
  <w:footnote w:id="210">
    <w:p w14:paraId="2167E89D" w14:textId="09400BF3"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 Condición Jurídica y Derechos Humanos del Niño.</w:t>
      </w:r>
      <w:r w:rsidRPr="009C15B0">
        <w:rPr>
          <w:sz w:val="16"/>
          <w:szCs w:val="16"/>
        </w:rPr>
        <w:t xml:space="preserve"> Opinión Consultiva OC-17/02, </w:t>
      </w:r>
      <w:r w:rsidRPr="009C15B0">
        <w:rPr>
          <w:i/>
          <w:sz w:val="16"/>
          <w:szCs w:val="16"/>
        </w:rPr>
        <w:t>supra</w:t>
      </w:r>
      <w:r w:rsidRPr="009C15B0">
        <w:rPr>
          <w:sz w:val="16"/>
          <w:szCs w:val="16"/>
        </w:rPr>
        <w:t xml:space="preserve">, párr. 99, y </w:t>
      </w:r>
      <w:r w:rsidRPr="009C15B0">
        <w:rPr>
          <w:rStyle w:val="Strong"/>
          <w:b w:val="0"/>
          <w:i/>
          <w:sz w:val="16"/>
          <w:szCs w:val="16"/>
        </w:rPr>
        <w:t>Derechos y garantías de niñas y niños en el contexto de la migración y/o en necesidad de protección internacional</w:t>
      </w:r>
      <w:r w:rsidRPr="009C15B0">
        <w:rPr>
          <w:rStyle w:val="Strong"/>
          <w:b w:val="0"/>
          <w:sz w:val="16"/>
          <w:szCs w:val="16"/>
        </w:rPr>
        <w:t xml:space="preserve">. Opinión Consultiva OC-21/14, </w:t>
      </w:r>
      <w:r w:rsidRPr="009C15B0">
        <w:rPr>
          <w:rStyle w:val="Strong"/>
          <w:b w:val="0"/>
          <w:i/>
          <w:sz w:val="16"/>
          <w:szCs w:val="16"/>
        </w:rPr>
        <w:t>supra</w:t>
      </w:r>
      <w:r w:rsidRPr="009C15B0">
        <w:rPr>
          <w:sz w:val="16"/>
          <w:szCs w:val="16"/>
        </w:rPr>
        <w:t>, párr. 122.</w:t>
      </w:r>
    </w:p>
  </w:footnote>
  <w:footnote w:id="211">
    <w:p w14:paraId="2A5398EB" w14:textId="7218640B"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Declaración pericial rendida por Miguel Cillero Bruñol ante la Corte Interamericana en la audiencia pública celebrada el 16 y 17 de octubre de 2017.</w:t>
      </w:r>
    </w:p>
  </w:footnote>
  <w:footnote w:id="212">
    <w:p w14:paraId="641E2697" w14:textId="0E2C213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UN Doc. E/2005/INF/2/Add.1, 22 de julio de 2005, directrices 19 y 20;</w:t>
      </w:r>
      <w:r w:rsidRPr="009C15B0">
        <w:rPr>
          <w:i/>
          <w:sz w:val="16"/>
          <w:szCs w:val="16"/>
          <w:lang w:val="es-CR"/>
        </w:rPr>
        <w:t xml:space="preserve"> </w:t>
      </w:r>
      <w:r w:rsidRPr="009C15B0">
        <w:rPr>
          <w:sz w:val="16"/>
          <w:szCs w:val="16"/>
          <w:shd w:val="clear" w:color="auto" w:fill="FFFFFF"/>
          <w:lang w:val="es-CR"/>
        </w:rPr>
        <w:t xml:space="preserve">Comité de los Derechos del Niño, </w:t>
      </w:r>
      <w:r w:rsidRPr="009C15B0">
        <w:rPr>
          <w:i/>
          <w:sz w:val="16"/>
          <w:szCs w:val="16"/>
          <w:lang w:val="es-CR"/>
        </w:rPr>
        <w:t>Observación General Nº 5: Medidas generales de aplicación de la Convención sobre los Derechos del Niño (artículos 4, 42 y párrafo 6 del artículo 44)</w:t>
      </w:r>
      <w:r w:rsidRPr="009C15B0">
        <w:rPr>
          <w:sz w:val="16"/>
          <w:szCs w:val="16"/>
          <w:lang w:val="es-CR"/>
        </w:rPr>
        <w:t xml:space="preserve">, </w:t>
      </w:r>
      <w:r w:rsidRPr="009C15B0">
        <w:rPr>
          <w:i/>
          <w:sz w:val="16"/>
          <w:szCs w:val="16"/>
          <w:lang w:val="es-CR"/>
        </w:rPr>
        <w:t>supra</w:t>
      </w:r>
      <w:r w:rsidRPr="009C15B0">
        <w:rPr>
          <w:bCs/>
          <w:sz w:val="16"/>
          <w:szCs w:val="16"/>
          <w:lang w:val="es-CR"/>
        </w:rPr>
        <w:t xml:space="preserve">, párr. 24, y </w:t>
      </w:r>
      <w:r w:rsidRPr="009C15B0">
        <w:rPr>
          <w:sz w:val="16"/>
          <w:szCs w:val="16"/>
          <w:shd w:val="clear" w:color="auto" w:fill="FFFFFF"/>
          <w:lang w:val="es-CR"/>
        </w:rPr>
        <w:t>Comité de los Derechos del Niño</w:t>
      </w:r>
      <w:r w:rsidRPr="009C15B0">
        <w:rPr>
          <w:sz w:val="16"/>
          <w:szCs w:val="16"/>
          <w:lang w:val="es-CR"/>
        </w:rPr>
        <w:t xml:space="preserve">, </w:t>
      </w:r>
      <w:r w:rsidRPr="009C15B0">
        <w:rPr>
          <w:i/>
          <w:sz w:val="16"/>
          <w:szCs w:val="16"/>
          <w:lang w:val="es-CR"/>
        </w:rPr>
        <w:t>Observación General Nº 12: El derecho del niño a ser escuchado, supra</w:t>
      </w:r>
      <w:r w:rsidRPr="009C15B0">
        <w:rPr>
          <w:bCs/>
          <w:sz w:val="16"/>
          <w:szCs w:val="16"/>
          <w:lang w:val="es-CR"/>
        </w:rPr>
        <w:t>, párr. 64.</w:t>
      </w:r>
    </w:p>
  </w:footnote>
  <w:footnote w:id="213">
    <w:p w14:paraId="73BB6A09" w14:textId="72372399"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t xml:space="preserve">En este sentido, véase: </w:t>
      </w:r>
      <w:r w:rsidRPr="009C15B0">
        <w:rPr>
          <w:bCs/>
          <w:sz w:val="16"/>
          <w:szCs w:val="16"/>
        </w:rPr>
        <w:t xml:space="preserve">Consejo de Derechos Humanos, UN Doc. A/HRC/25/L.10, 25 de marzo de 2014, </w:t>
      </w:r>
      <w:r w:rsidRPr="009C15B0">
        <w:rPr>
          <w:sz w:val="16"/>
          <w:szCs w:val="16"/>
        </w:rPr>
        <w:t>punto 9 [“Reafirma la necesidad de respetar todas las seguridades y salvaguardias jurídicas en todas las etapas de todos los procesos judiciales que afectan a niños, incluidas las debidas garantías procesales, el derecho a la intimidad, la garantía de la asistencia jurídica y otra asistencia adecuada, en condiciones iguales o menos estrictas que las aplicables a los adultos, y el derecho a recurrir las decisiones ante una autoridad judicial superior”] y punto 13.k [“Velando por que todos los niños tengan acceso a asistencia jurídica y de otra índole adecuadas, por ejemplo apoyando el establecimiento de sistemas de asistencia letrada adaptados a los niños”];</w:t>
      </w:r>
      <w:r w:rsidRPr="009C15B0">
        <w:rPr>
          <w:bCs/>
          <w:sz w:val="16"/>
          <w:szCs w:val="16"/>
        </w:rPr>
        <w:t xml:space="preserve">Comité de los Derechos del Niño, </w:t>
      </w:r>
      <w:r w:rsidRPr="009C15B0">
        <w:rPr>
          <w:bCs/>
          <w:i/>
          <w:sz w:val="16"/>
          <w:szCs w:val="16"/>
        </w:rPr>
        <w:t>Observación General Nº 12: El derecho del niño a ser escuchado, supra</w:t>
      </w:r>
      <w:r w:rsidRPr="009C15B0">
        <w:rPr>
          <w:bCs/>
          <w:sz w:val="16"/>
          <w:szCs w:val="16"/>
        </w:rPr>
        <w:t>, párr. 64</w:t>
      </w:r>
      <w:r w:rsidRPr="009C15B0">
        <w:rPr>
          <w:sz w:val="16"/>
          <w:szCs w:val="16"/>
        </w:rPr>
        <w:t xml:space="preserve"> [“El derecho del niño víctima y testigo también está vinculado al derecho a ser informado de cuestiones tales como la disponibilidad de servicios médicos, psicológicos y sociales, el papel del niño víctima y/o testigo, la forma en que se realizará el ´interrogatorio´, los mecanismos de apoyo a disposición del niño cuando haga una denuncia y participe en la investigación y en el proceso judicial, las fechas y los lugares específicos de las vistas, la disponibilidad de medidas de protección, las posibilidades de recibir reparación y las disposiciones relativas a la apelación”]; </w:t>
      </w:r>
      <w:r w:rsidRPr="009C15B0">
        <w:rPr>
          <w:sz w:val="16"/>
          <w:szCs w:val="16"/>
          <w:shd w:val="clear" w:color="auto" w:fill="FFFFFF"/>
        </w:rPr>
        <w:t xml:space="preserve">Comité de los Derechos del Niño, </w:t>
      </w:r>
      <w:r w:rsidRPr="009C15B0">
        <w:rPr>
          <w:i/>
          <w:sz w:val="16"/>
          <w:szCs w:val="16"/>
        </w:rPr>
        <w:t>Observación General Nº 5: Medidas generales de aplicación de la Convención sobre los Derechos del Niño (artículos 4, 42 y párrafo 6 del artículo 44)</w:t>
      </w:r>
      <w:r w:rsidRPr="009C15B0">
        <w:rPr>
          <w:sz w:val="16"/>
          <w:szCs w:val="16"/>
        </w:rPr>
        <w:t xml:space="preserve">, </w:t>
      </w:r>
      <w:r w:rsidRPr="009C15B0">
        <w:rPr>
          <w:i/>
          <w:sz w:val="16"/>
          <w:szCs w:val="16"/>
        </w:rPr>
        <w:t>supra,</w:t>
      </w:r>
      <w:r w:rsidRPr="009C15B0">
        <w:rPr>
          <w:sz w:val="16"/>
          <w:szCs w:val="16"/>
        </w:rPr>
        <w:t xml:space="preserve"> párr. 24 [“Para que los derechos cobren sentido, se debe disponer de recursos efectivos para reparar sus violaciones. Esta exigencia está implícita en la Convención, y se hace referencia a ella sistemáticamente en los otros seis principales instrumentos internacionales relativos a los derechos humanos. La situación especial y dependiente de los niños les crea dificultades reales cuando los niños quieren interponer recursos por la violación de sus derechos. Por consiguiente, los Estados deben tratar particularmente de lograr que los niños y sus representantes puedan recurrir a procedimientos eficaces que tengan en cuenta las circunstancias de los niños. Ello debería incluir el suministro de información adaptada a las necesidades del niño, el asesoramiento, la promoción, incluido el apoyo a la autopromoción, y el acceso a procedimientos independientes de denuncia y a los tribunales con la asistencia letrada y de otra índole necesaria”]; </w:t>
      </w:r>
      <w:r w:rsidRPr="009C15B0">
        <w:rPr>
          <w:sz w:val="16"/>
          <w:szCs w:val="16"/>
          <w:shd w:val="clear" w:color="auto" w:fill="FFFFFF"/>
        </w:rPr>
        <w:t>Comité de los Derechos del Niño</w:t>
      </w:r>
      <w:r w:rsidRPr="009C15B0">
        <w:rPr>
          <w:sz w:val="16"/>
          <w:szCs w:val="16"/>
        </w:rPr>
        <w:t xml:space="preserve">, </w:t>
      </w:r>
      <w:r w:rsidRPr="009C15B0">
        <w:rPr>
          <w:i/>
          <w:sz w:val="16"/>
          <w:szCs w:val="16"/>
        </w:rPr>
        <w:t>Observación General N° 14 sobre el derecho del niño a que su interés superior sea una consideración primordial (artículo 3, párrafo 1)</w:t>
      </w:r>
      <w:r w:rsidRPr="009C15B0">
        <w:rPr>
          <w:sz w:val="16"/>
          <w:szCs w:val="16"/>
        </w:rPr>
        <w:t xml:space="preserve">, UN Doc. CRC/C/GC/14, 29 de mayo de 2013, párr. 96 [“El niño necesitará representación letrada adecuada cuando los tribunales y órganos equivalentes hayan de evaluar y determinar oficialmente su interés superior. En particular, cuando se someta a un niño a un procedimiento judicial o administrativo que conlleve la determinación de su interés superior, el niño debe disponer de representación letrada, además de un curador o representante de su opinión, cuando pueda haber un conflicto entre las partes en la decisión”], y </w:t>
      </w:r>
      <w:r w:rsidRPr="009C15B0">
        <w:rPr>
          <w:sz w:val="16"/>
          <w:szCs w:val="16"/>
          <w:shd w:val="clear" w:color="auto" w:fill="FFFFFF"/>
        </w:rPr>
        <w:t>Comité de los Derechos del Niño</w:t>
      </w:r>
      <w:r w:rsidRPr="009C15B0">
        <w:rPr>
          <w:sz w:val="16"/>
          <w:szCs w:val="16"/>
        </w:rPr>
        <w:t xml:space="preserve">, </w:t>
      </w:r>
      <w:r w:rsidRPr="009C15B0">
        <w:rPr>
          <w:i/>
          <w:sz w:val="16"/>
          <w:szCs w:val="16"/>
        </w:rPr>
        <w:t>Observación General N° 20 sobre</w:t>
      </w:r>
      <w:r w:rsidRPr="009C15B0">
        <w:rPr>
          <w:bCs/>
          <w:sz w:val="16"/>
          <w:szCs w:val="16"/>
        </w:rPr>
        <w:t xml:space="preserve"> </w:t>
      </w:r>
      <w:r w:rsidRPr="009C15B0">
        <w:rPr>
          <w:bCs/>
          <w:i/>
          <w:sz w:val="16"/>
          <w:szCs w:val="16"/>
        </w:rPr>
        <w:t>la efectividad de los derechos del niño durante la adolescencia</w:t>
      </w:r>
      <w:r w:rsidRPr="009C15B0">
        <w:rPr>
          <w:sz w:val="16"/>
          <w:szCs w:val="16"/>
        </w:rPr>
        <w:t xml:space="preserve">, UN Doc. CRC/C/GC/20, 6 de diciembre de 2016, párr. 23 [“De conformidad con el artículo 12 de la Convención, los Estados partes deben adoptar medidas para garantizar el derecho de los adolescentes a expresar sus opiniones sobre todas las cuestiones que los afecten, en función de su edad y madurez, y velar por que estas se tengan debidamente en cuenta, por ejemplo, en decisiones relativas a su educación, salud, sexualidad, vida familiar y a los procedimientos judiciales y administrativos. […] Como complemento de las medidas, es necesario introducir mecanismos de denuncia y reparación seguros y accesibles con competencia para examinar las denuncias formuladas por los adolescentes y brindarles acceso a servicios jurídicos gratuitos o subvencionados y otros tipos de asistencia apropiada”], y </w:t>
      </w:r>
      <w:r w:rsidRPr="009C15B0">
        <w:rPr>
          <w:bCs/>
          <w:sz w:val="16"/>
          <w:szCs w:val="16"/>
        </w:rPr>
        <w:t xml:space="preserve">UNICEF-UNODC, </w:t>
      </w:r>
      <w:r w:rsidRPr="009C15B0">
        <w:rPr>
          <w:bCs/>
          <w:i/>
          <w:sz w:val="16"/>
          <w:szCs w:val="16"/>
        </w:rPr>
        <w:t>Manual sobre la justicia en asuntos concernientes a los niños víctimas y testigos de delitos para uso de profesionales y encargados de la formulación de políticas</w:t>
      </w:r>
      <w:r w:rsidRPr="009C15B0">
        <w:rPr>
          <w:bCs/>
          <w:sz w:val="16"/>
          <w:szCs w:val="16"/>
        </w:rPr>
        <w:t xml:space="preserve">, 2010, </w:t>
      </w:r>
      <w:r w:rsidRPr="009C15B0">
        <w:rPr>
          <w:sz w:val="16"/>
          <w:szCs w:val="16"/>
        </w:rPr>
        <w:t>págs. 54-5 [“La asistencia para los niños víctimas y testigos de delitos durante los procedimientos debería incluir el acceso a la asistencia jurídica. [E]l derecho de los niños víctimas y testigos de delitos a recibir asistencia eficaz es algo más que la presencia de estas personas de apoyo. […] La mayoría de los países de derecho civil reconocen el derecho de los niños víctimas a la asistencia jurídica. La asistencia es gratuita para los beneficiarios que no pueden permitirse pagar a un abogado”].</w:t>
      </w:r>
    </w:p>
  </w:footnote>
  <w:footnote w:id="214">
    <w:p w14:paraId="5FC01C0D" w14:textId="2C59C0DD"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UNODC, </w:t>
      </w:r>
      <w:r w:rsidRPr="009C15B0">
        <w:rPr>
          <w:i/>
          <w:sz w:val="16"/>
          <w:szCs w:val="16"/>
          <w:lang w:val="es-CR"/>
        </w:rPr>
        <w:t>Principios y directrices de las Naciones Unidas sobre el acceso a la asistencia jurídica en los sistemas de justicia penal</w:t>
      </w:r>
      <w:r w:rsidRPr="009C15B0">
        <w:rPr>
          <w:sz w:val="16"/>
          <w:szCs w:val="16"/>
          <w:lang w:val="es-CR"/>
        </w:rPr>
        <w:t xml:space="preserve">, 2013, </w:t>
      </w:r>
      <w:r w:rsidRPr="009C15B0">
        <w:rPr>
          <w:iCs/>
          <w:sz w:val="16"/>
          <w:szCs w:val="16"/>
          <w:lang w:val="es-CR"/>
        </w:rPr>
        <w:t>Principio 2</w:t>
      </w:r>
      <w:r w:rsidRPr="009C15B0">
        <w:rPr>
          <w:i/>
          <w:iCs/>
          <w:sz w:val="16"/>
          <w:szCs w:val="16"/>
          <w:lang w:val="es-CR"/>
        </w:rPr>
        <w:t xml:space="preserve"> </w:t>
      </w:r>
      <w:r w:rsidRPr="009C15B0">
        <w:rPr>
          <w:iCs/>
          <w:sz w:val="16"/>
          <w:szCs w:val="16"/>
          <w:lang w:val="es-CR"/>
        </w:rPr>
        <w:t>[“</w:t>
      </w:r>
      <w:r w:rsidRPr="009C15B0">
        <w:rPr>
          <w:i/>
          <w:iCs/>
          <w:sz w:val="16"/>
          <w:szCs w:val="16"/>
          <w:lang w:val="es-CR"/>
        </w:rPr>
        <w:t>Responsabilidades del Estado</w:t>
      </w:r>
      <w:r w:rsidRPr="009C15B0">
        <w:rPr>
          <w:sz w:val="16"/>
          <w:szCs w:val="16"/>
          <w:lang w:val="es-CR"/>
        </w:rPr>
        <w:t xml:space="preserve">. 15. Los Estados deben considerar la prestación de asistencia jurídica como un deber y una responsabilidad. Con ese fin, deben, cuando sea el caso, estudiar la posibilidad de promulgar legislación y reglamentos específicos y velar por que exista un sistema de asistencia jurídica completo que sea asequible, eficaz, sostenible y digno de crédito. Los Estados deben asignar al sistema de asistencia jurídica los recursos humanos y financieros necesarios”], y </w:t>
      </w:r>
      <w:r w:rsidRPr="009C15B0">
        <w:rPr>
          <w:iCs/>
          <w:sz w:val="16"/>
          <w:szCs w:val="16"/>
          <w:lang w:val="es-CR"/>
        </w:rPr>
        <w:t>Directriz 1 [“</w:t>
      </w:r>
      <w:r w:rsidRPr="009C15B0">
        <w:rPr>
          <w:i/>
          <w:iCs/>
          <w:sz w:val="16"/>
          <w:szCs w:val="16"/>
          <w:lang w:val="es-CR"/>
        </w:rPr>
        <w:t>Prestación de la asistencia jurídica</w:t>
      </w:r>
      <w:r w:rsidRPr="009C15B0">
        <w:rPr>
          <w:sz w:val="16"/>
          <w:szCs w:val="16"/>
          <w:lang w:val="es-CR"/>
        </w:rPr>
        <w:t xml:space="preserve">. 41. Cuando los Estados aplican condiciones relativas a los medios de vida de las personas para determinar si tienen derecho a recibir asistencia jurídica, deben asegurarse de que: […] c) Las personas que requieran asistencia jurídica urgente en las comisarías, los centros de detención o los tribunales reciban una asistencia jurídica preliminar hasta que se determine si tienen derecho a esa asistencia. </w:t>
      </w:r>
      <w:r w:rsidRPr="009C15B0">
        <w:rPr>
          <w:bCs/>
          <w:sz w:val="16"/>
          <w:szCs w:val="16"/>
          <w:lang w:val="es-CR"/>
        </w:rPr>
        <w:t>Los niños están siempre exentos de la condición relativa a los medios de vida”</w:t>
      </w:r>
      <w:r w:rsidRPr="009C15B0">
        <w:rPr>
          <w:sz w:val="16"/>
          <w:szCs w:val="16"/>
          <w:lang w:val="es-CR"/>
        </w:rPr>
        <w:t>].</w:t>
      </w:r>
    </w:p>
  </w:footnote>
  <w:footnote w:id="215">
    <w:p w14:paraId="68010140" w14:textId="485D9E1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ante la Corte Interamericana por Miguel Cillero Bruñol en la audiencia pública celebrada el 16 y 17 de octubre de 2017.</w:t>
      </w:r>
    </w:p>
  </w:footnote>
  <w:footnote w:id="216">
    <w:p w14:paraId="0999EEFC" w14:textId="7764611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Rosendo Cantú y otra Vs. México.</w:t>
      </w:r>
      <w:r w:rsidRPr="009C15B0">
        <w:rPr>
          <w:sz w:val="16"/>
          <w:szCs w:val="16"/>
          <w:lang w:val="es-CR"/>
        </w:rPr>
        <w:t xml:space="preserve"> </w:t>
      </w:r>
      <w:r w:rsidRPr="009C15B0">
        <w:rPr>
          <w:i/>
          <w:sz w:val="16"/>
          <w:szCs w:val="16"/>
          <w:lang w:val="es-CR"/>
        </w:rPr>
        <w:t>Excepción Preliminar, Fondo, Reparaciones y Costas</w:t>
      </w:r>
      <w:r w:rsidRPr="009C15B0">
        <w:rPr>
          <w:sz w:val="16"/>
          <w:szCs w:val="16"/>
          <w:lang w:val="es-CR"/>
        </w:rPr>
        <w:t xml:space="preserve">. Sentencia de 31 de agosto de 2010. Serie C No. 216, párr. 201, y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UN Doc. E/2005/INF/2/Add.1, 22 de julio de 2005, directriz 31.b). Véase también,</w:t>
      </w:r>
      <w:r w:rsidRPr="009C15B0">
        <w:rPr>
          <w:i/>
          <w:sz w:val="16"/>
          <w:szCs w:val="16"/>
          <w:lang w:val="es-CR"/>
        </w:rPr>
        <w:t xml:space="preserve"> </w:t>
      </w:r>
      <w:r w:rsidRPr="009C15B0">
        <w:rPr>
          <w:sz w:val="16"/>
          <w:szCs w:val="16"/>
          <w:lang w:val="es-CR"/>
        </w:rPr>
        <w:t>Declaraciones periciales rendidas ante la Corte Interamericana por Enrique Oscar Stola y Miguel Cillero Bruñol en la audiencia pública celebrada el 16 y 17 de octubre de 2017.</w:t>
      </w:r>
    </w:p>
  </w:footnote>
  <w:footnote w:id="217">
    <w:p w14:paraId="71720140" w14:textId="7F21DC69" w:rsidR="007F7D87" w:rsidRPr="009C15B0" w:rsidRDefault="007F7D87" w:rsidP="001E6358">
      <w:pPr>
        <w:tabs>
          <w:tab w:val="left" w:pos="567"/>
        </w:tabs>
        <w:spacing w:after="60" w:line="240" w:lineRule="auto"/>
        <w:rPr>
          <w:i/>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Caso del Penal Miguel Castro Castro Vs. Perú. Fondo, Reparaciones y Costas. </w:t>
      </w:r>
      <w:r w:rsidRPr="009C15B0">
        <w:rPr>
          <w:sz w:val="16"/>
          <w:szCs w:val="16"/>
        </w:rPr>
        <w:t>Sentencia de 25 de noviembre de 2006. Serie C No. 160, párr. 311,</w:t>
      </w:r>
      <w:r w:rsidRPr="009C15B0">
        <w:rPr>
          <w:i/>
          <w:sz w:val="16"/>
          <w:szCs w:val="16"/>
        </w:rPr>
        <w:t xml:space="preserve"> </w:t>
      </w:r>
      <w:r w:rsidRPr="009C15B0">
        <w:rPr>
          <w:sz w:val="16"/>
          <w:szCs w:val="16"/>
        </w:rPr>
        <w:t>y</w:t>
      </w:r>
      <w:r w:rsidRPr="009C15B0">
        <w:rPr>
          <w:i/>
          <w:sz w:val="16"/>
          <w:szCs w:val="16"/>
        </w:rPr>
        <w:t xml:space="preserve"> Caso Favela Nova Brasilia Vs. Brasil, supra</w:t>
      </w:r>
      <w:r w:rsidRPr="009C15B0">
        <w:rPr>
          <w:sz w:val="16"/>
          <w:szCs w:val="16"/>
        </w:rPr>
        <w:t>, párr. 255.</w:t>
      </w:r>
    </w:p>
  </w:footnote>
  <w:footnote w:id="218">
    <w:p w14:paraId="3DA6EDEF" w14:textId="3C464D1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ante la Corte Interamericana por Enrique Oscar Stola en la audiencia pública celebrada el 16 y 17 de octubre de 2017.</w:t>
      </w:r>
    </w:p>
  </w:footnote>
  <w:footnote w:id="219">
    <w:p w14:paraId="5AA89845" w14:textId="411C895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 57.b)</w:t>
      </w:r>
    </w:p>
  </w:footnote>
  <w:footnote w:id="220">
    <w:p w14:paraId="4802C310" w14:textId="70072BD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xml:space="preserve">, UN Doc. E/2005/INF/2/Add.1, 22 de julio de 2005, directriz 23, y UNODC, </w:t>
      </w:r>
      <w:r w:rsidRPr="009C15B0">
        <w:rPr>
          <w:i/>
          <w:sz w:val="16"/>
          <w:szCs w:val="16"/>
          <w:lang w:val="es-CR"/>
        </w:rPr>
        <w:t>Principios y directrices de las Naciones Unidas sobre el acceso a la asistencia jurídica en los sistemas de justicia penal</w:t>
      </w:r>
      <w:r w:rsidRPr="009C15B0">
        <w:rPr>
          <w:sz w:val="16"/>
          <w:szCs w:val="16"/>
          <w:lang w:val="es-CR"/>
        </w:rPr>
        <w:t>, 2013, directriz 11.c). Véase también, Declaración pericial rendida ante la Corte Interamericana por Miguel Cillero Bruñol en la audiencia pública celebrada el 16 y 17 de octubre de 2017.</w:t>
      </w:r>
    </w:p>
  </w:footnote>
  <w:footnote w:id="221">
    <w:p w14:paraId="4617603A" w14:textId="732BCE5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La Corte ha señalado que, en casos de violencia contra la mujer, </w:t>
      </w:r>
      <w:r w:rsidRPr="009C15B0">
        <w:rPr>
          <w:rFonts w:eastAsia="Batang"/>
          <w:sz w:val="16"/>
          <w:szCs w:val="16"/>
          <w:lang w:val="es-CR"/>
        </w:rPr>
        <w:t xml:space="preserve">al tomar conocimiento de los actos alegados, </w:t>
      </w:r>
      <w:r w:rsidRPr="009C15B0">
        <w:rPr>
          <w:sz w:val="16"/>
          <w:szCs w:val="16"/>
          <w:lang w:val="es-CR"/>
        </w:rPr>
        <w:t xml:space="preserve">es necesario que </w:t>
      </w:r>
      <w:r w:rsidRPr="009C15B0">
        <w:rPr>
          <w:rFonts w:eastAsia="Batang"/>
          <w:sz w:val="16"/>
          <w:szCs w:val="16"/>
          <w:lang w:val="es-CR"/>
        </w:rPr>
        <w:t xml:space="preserve">se realice inmediatamente un examen médico y psicológico completo y detallado por personal idóneo y capacitado, en lo posible del sexo que la víctima indique, ofreciéndole que sea acompañada por alguien de su confianza si así lo desea. Dicho examen deberá ser realizado de conformidad con protocolos dirigidos específicamente a documentar evidencias en casos de violencia de género. </w:t>
      </w:r>
      <w:r w:rsidRPr="009C15B0">
        <w:rPr>
          <w:i/>
          <w:sz w:val="16"/>
          <w:szCs w:val="16"/>
          <w:lang w:val="es-CR"/>
        </w:rPr>
        <w:t>Cfr. Caso Fernández Ortega y otros Vs. México, supra</w:t>
      </w:r>
      <w:r w:rsidRPr="009C15B0">
        <w:rPr>
          <w:sz w:val="16"/>
          <w:szCs w:val="16"/>
          <w:lang w:val="es-CR"/>
        </w:rPr>
        <w:t xml:space="preserve">, párr. 194, y </w:t>
      </w:r>
      <w:r w:rsidRPr="009C15B0">
        <w:rPr>
          <w:i/>
          <w:sz w:val="16"/>
          <w:szCs w:val="16"/>
          <w:lang w:val="es-CR"/>
        </w:rPr>
        <w:t>Caso Favela Nova Brasilia Vs. Brasil, supra</w:t>
      </w:r>
      <w:r w:rsidRPr="009C15B0">
        <w:rPr>
          <w:sz w:val="16"/>
          <w:szCs w:val="16"/>
          <w:lang w:val="es-CR"/>
        </w:rPr>
        <w:t>, párr. 254.</w:t>
      </w:r>
      <w:r w:rsidRPr="009C15B0">
        <w:rPr>
          <w:i/>
          <w:sz w:val="16"/>
          <w:szCs w:val="16"/>
          <w:lang w:val="es-CR"/>
        </w:rPr>
        <w:t xml:space="preserve"> </w:t>
      </w:r>
      <w:r w:rsidRPr="009C15B0">
        <w:rPr>
          <w:sz w:val="16"/>
          <w:szCs w:val="16"/>
          <w:lang w:val="es-CR"/>
        </w:rPr>
        <w:t>Véase también,</w:t>
      </w:r>
      <w:r w:rsidRPr="009C15B0">
        <w:rPr>
          <w:i/>
          <w:sz w:val="16"/>
          <w:szCs w:val="16"/>
          <w:lang w:val="es-CR"/>
        </w:rPr>
        <w:t xml:space="preserve"> </w:t>
      </w:r>
      <w:r w:rsidRPr="009C15B0">
        <w:rPr>
          <w:sz w:val="16"/>
          <w:szCs w:val="16"/>
          <w:lang w:val="es-CR"/>
        </w:rPr>
        <w:t xml:space="preserve">Organización Mundial de la Salud, </w:t>
      </w:r>
      <w:r w:rsidRPr="009C15B0">
        <w:rPr>
          <w:i/>
          <w:sz w:val="16"/>
          <w:szCs w:val="16"/>
          <w:lang w:val="es-CR"/>
        </w:rPr>
        <w:t>Guidelines for medico-legal care for victims of sexual violence</w:t>
      </w:r>
      <w:r w:rsidRPr="009C15B0">
        <w:rPr>
          <w:sz w:val="16"/>
          <w:szCs w:val="16"/>
          <w:lang w:val="es-CR"/>
        </w:rPr>
        <w:t xml:space="preserve">, 2003, págs. </w:t>
      </w:r>
      <w:r w:rsidRPr="00C946D6">
        <w:rPr>
          <w:sz w:val="16"/>
          <w:szCs w:val="16"/>
          <w:lang w:val="en-US"/>
        </w:rPr>
        <w:t xml:space="preserve">81 y 82 </w:t>
      </w:r>
      <w:r w:rsidRPr="00C946D6">
        <w:rPr>
          <w:rStyle w:val="shorttext"/>
          <w:sz w:val="16"/>
          <w:szCs w:val="16"/>
          <w:lang w:val="en-US"/>
        </w:rPr>
        <w:t xml:space="preserve">y </w:t>
      </w:r>
      <w:r w:rsidRPr="00C946D6">
        <w:rPr>
          <w:i/>
          <w:sz w:val="16"/>
          <w:szCs w:val="16"/>
          <w:lang w:val="en-US"/>
        </w:rPr>
        <w:t xml:space="preserve">Responding to children and adolescents who have been sexually abused. </w:t>
      </w:r>
      <w:r w:rsidRPr="009C15B0">
        <w:rPr>
          <w:i/>
          <w:sz w:val="16"/>
          <w:szCs w:val="16"/>
          <w:lang w:val="es-CR"/>
        </w:rPr>
        <w:t>WHO Clinical Guidelines</w:t>
      </w:r>
      <w:r w:rsidRPr="009C15B0">
        <w:rPr>
          <w:sz w:val="16"/>
          <w:szCs w:val="16"/>
          <w:lang w:val="es-CR"/>
        </w:rPr>
        <w:t>, 2017, pág. 18.</w:t>
      </w:r>
    </w:p>
  </w:footnote>
  <w:footnote w:id="222">
    <w:p w14:paraId="09D35C4D" w14:textId="497744A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Comité de los Derechos del Niño, </w:t>
      </w:r>
      <w:r w:rsidRPr="009C15B0">
        <w:rPr>
          <w:i/>
          <w:sz w:val="16"/>
          <w:szCs w:val="16"/>
          <w:lang w:val="es-CR"/>
        </w:rPr>
        <w:t>Observación General Nº 13: Derecho del niño a no ser objeto de ninguna forma de violencia, supra</w:t>
      </w:r>
      <w:r w:rsidRPr="009C15B0">
        <w:rPr>
          <w:sz w:val="16"/>
          <w:szCs w:val="16"/>
          <w:lang w:val="es-CR"/>
        </w:rPr>
        <w:t>, párr. 54.b).</w:t>
      </w:r>
    </w:p>
  </w:footnote>
  <w:footnote w:id="223">
    <w:p w14:paraId="0C88B78A" w14:textId="458C799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xml:space="preserve">, UN Doc. E/2005/INF/2/Add.1, 22 de julio de 2005, directrices 8, 10 a 14, 16, 17, 19, 21 a 31 y 40;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párrs. </w:t>
      </w:r>
      <w:r w:rsidRPr="00C946D6">
        <w:rPr>
          <w:sz w:val="16"/>
          <w:szCs w:val="16"/>
          <w:lang w:val="en-US"/>
        </w:rPr>
        <w:t>51 y 54, y Organización Mundial de la Salud,</w:t>
      </w:r>
      <w:r w:rsidRPr="00C946D6">
        <w:rPr>
          <w:i/>
          <w:sz w:val="16"/>
          <w:szCs w:val="16"/>
          <w:lang w:val="en-US"/>
        </w:rPr>
        <w:t xml:space="preserve"> Responding to children and adolescents who have been sexually abused. WHO Clinical Guidelines</w:t>
      </w:r>
      <w:r w:rsidRPr="00C946D6">
        <w:rPr>
          <w:sz w:val="16"/>
          <w:szCs w:val="16"/>
          <w:lang w:val="en-US"/>
        </w:rPr>
        <w:t xml:space="preserve">, 2017, págs. </w:t>
      </w:r>
      <w:r w:rsidRPr="009C15B0">
        <w:rPr>
          <w:sz w:val="16"/>
          <w:szCs w:val="16"/>
          <w:lang w:val="es-CR"/>
        </w:rPr>
        <w:t>15 a 22.</w:t>
      </w:r>
    </w:p>
  </w:footnote>
  <w:footnote w:id="224">
    <w:p w14:paraId="39BE429D" w14:textId="5FDE08C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Rosendo Cantú y otra Vs. México, supra</w:t>
      </w:r>
      <w:r w:rsidRPr="009C15B0">
        <w:rPr>
          <w:sz w:val="16"/>
          <w:szCs w:val="16"/>
          <w:lang w:val="es-CR"/>
        </w:rPr>
        <w:t xml:space="preserve">, párr. 201, y </w:t>
      </w:r>
      <w:r w:rsidRPr="009C15B0">
        <w:rPr>
          <w:rStyle w:val="Strong"/>
          <w:b w:val="0"/>
          <w:i/>
          <w:sz w:val="16"/>
          <w:szCs w:val="16"/>
          <w:lang w:val="es-CR"/>
        </w:rPr>
        <w:t>Derechos y garantías de niñas y niños en el contexto de la migración y/o en necesidad de protección internacional</w:t>
      </w:r>
      <w:r w:rsidRPr="009C15B0">
        <w:rPr>
          <w:rStyle w:val="Strong"/>
          <w:b w:val="0"/>
          <w:sz w:val="16"/>
          <w:szCs w:val="16"/>
          <w:lang w:val="es-CR"/>
        </w:rPr>
        <w:t xml:space="preserve">. Opinión Consultiva OC-21/14, </w:t>
      </w:r>
      <w:r w:rsidRPr="009C15B0">
        <w:rPr>
          <w:rStyle w:val="Strong"/>
          <w:b w:val="0"/>
          <w:i/>
          <w:sz w:val="16"/>
          <w:szCs w:val="16"/>
          <w:lang w:val="es-CR"/>
        </w:rPr>
        <w:t>supra</w:t>
      </w:r>
      <w:r w:rsidRPr="009C15B0">
        <w:rPr>
          <w:rFonts w:eastAsia="Arial" w:cs="Arial"/>
          <w:sz w:val="16"/>
          <w:szCs w:val="16"/>
          <w:lang w:val="es-CR"/>
        </w:rPr>
        <w:t>, párr. 123.</w:t>
      </w:r>
      <w:r w:rsidRPr="009C15B0">
        <w:rPr>
          <w:sz w:val="16"/>
          <w:szCs w:val="16"/>
          <w:shd w:val="clear" w:color="auto" w:fill="FFFFFF"/>
          <w:lang w:val="es-CR"/>
        </w:rPr>
        <w:t xml:space="preserve"> Véase también, Comité de los Derechos del Niño</w:t>
      </w:r>
      <w:r w:rsidRPr="009C15B0">
        <w:rPr>
          <w:sz w:val="16"/>
          <w:szCs w:val="16"/>
          <w:lang w:val="es-CR"/>
        </w:rPr>
        <w:t xml:space="preserve">, </w:t>
      </w:r>
      <w:r w:rsidRPr="009C15B0">
        <w:rPr>
          <w:i/>
          <w:sz w:val="16"/>
          <w:szCs w:val="16"/>
          <w:lang w:val="es-CR"/>
        </w:rPr>
        <w:t>Observación General Nº 12: El derecho del niño a ser escuchado, supra</w:t>
      </w:r>
      <w:r w:rsidRPr="009C15B0">
        <w:rPr>
          <w:sz w:val="16"/>
          <w:szCs w:val="16"/>
          <w:lang w:val="es-CR"/>
        </w:rPr>
        <w:t xml:space="preserve">, párr. 34,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 supra</w:t>
      </w:r>
      <w:r w:rsidRPr="009C15B0">
        <w:rPr>
          <w:sz w:val="16"/>
          <w:szCs w:val="16"/>
          <w:lang w:val="es-CR"/>
        </w:rPr>
        <w:t>, párrs. 51 y 54.b).</w:t>
      </w:r>
    </w:p>
  </w:footnote>
  <w:footnote w:id="225">
    <w:p w14:paraId="6BF3911F" w14:textId="4CF33D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Directrices sobre la justicia en asuntos concernientes a los niños víctimas y testigos de delitos</w:t>
      </w:r>
      <w:r w:rsidRPr="009C15B0">
        <w:rPr>
          <w:sz w:val="16"/>
          <w:szCs w:val="16"/>
          <w:lang w:val="es-CR"/>
        </w:rPr>
        <w:t xml:space="preserve">, UN Doc. E/2005/INF/2/Add.1, 22 de julio de 2005, directriz 10, y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 54.b).</w:t>
      </w:r>
    </w:p>
  </w:footnote>
  <w:footnote w:id="226">
    <w:p w14:paraId="36282A06" w14:textId="44E6481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Directrices sobre la justicia en asuntos concernientes a los niños víctimas y testigos de delitos</w:t>
      </w:r>
      <w:r w:rsidRPr="009C15B0">
        <w:rPr>
          <w:sz w:val="16"/>
          <w:szCs w:val="16"/>
          <w:lang w:val="es-CR"/>
        </w:rPr>
        <w:t>, UN Doc. E/2005/INF/2/Add.1, 22 de julio de 2005, directrices 19 y 30.b).</w:t>
      </w:r>
    </w:p>
  </w:footnote>
  <w:footnote w:id="227">
    <w:p w14:paraId="530E490A" w14:textId="4D586AD2" w:rsidR="007F7D87" w:rsidRPr="00C946D6" w:rsidRDefault="007F7D87" w:rsidP="001E6358">
      <w:pPr>
        <w:pStyle w:val="FootnoteText"/>
        <w:tabs>
          <w:tab w:val="left" w:pos="567"/>
        </w:tabs>
        <w:spacing w:after="60"/>
        <w:rPr>
          <w:sz w:val="16"/>
          <w:szCs w:val="16"/>
          <w:lang w:val="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w:t>
      </w:r>
      <w:r w:rsidRPr="00C946D6">
        <w:rPr>
          <w:sz w:val="16"/>
          <w:szCs w:val="16"/>
          <w:lang w:val="en-US"/>
        </w:rPr>
        <w:t>51.</w:t>
      </w:r>
    </w:p>
  </w:footnote>
  <w:footnote w:id="228">
    <w:p w14:paraId="6614F3D3" w14:textId="5406D69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C946D6">
        <w:rPr>
          <w:sz w:val="16"/>
          <w:szCs w:val="16"/>
          <w:lang w:val="en-US"/>
        </w:rPr>
        <w:t xml:space="preserve"> </w:t>
      </w:r>
      <w:r w:rsidRPr="00C946D6">
        <w:rPr>
          <w:sz w:val="16"/>
          <w:szCs w:val="16"/>
          <w:lang w:val="en-US"/>
        </w:rPr>
        <w:tab/>
      </w:r>
      <w:r w:rsidRPr="00C946D6">
        <w:rPr>
          <w:i/>
          <w:sz w:val="16"/>
          <w:szCs w:val="16"/>
          <w:lang w:val="en-US"/>
        </w:rPr>
        <w:t>Cfr.</w:t>
      </w:r>
      <w:r w:rsidRPr="00C946D6">
        <w:rPr>
          <w:sz w:val="16"/>
          <w:szCs w:val="16"/>
          <w:lang w:val="en-US"/>
        </w:rPr>
        <w:t xml:space="preserve"> Organización Mundial de la Salud,</w:t>
      </w:r>
      <w:r w:rsidRPr="00C946D6" w:rsidDel="00EA458A">
        <w:rPr>
          <w:i/>
          <w:sz w:val="16"/>
          <w:szCs w:val="16"/>
          <w:lang w:val="en-US"/>
        </w:rPr>
        <w:t xml:space="preserve"> </w:t>
      </w:r>
      <w:r w:rsidRPr="00C946D6">
        <w:rPr>
          <w:i/>
          <w:sz w:val="16"/>
          <w:szCs w:val="16"/>
          <w:lang w:val="en-US"/>
        </w:rPr>
        <w:t xml:space="preserve">Responding to children and adolescents who have been sexually abused. </w:t>
      </w:r>
      <w:r w:rsidRPr="009C15B0">
        <w:rPr>
          <w:i/>
          <w:sz w:val="16"/>
          <w:szCs w:val="16"/>
          <w:lang w:val="es-CR"/>
        </w:rPr>
        <w:t>WHO Clinical Guidelines</w:t>
      </w:r>
      <w:r w:rsidRPr="009C15B0">
        <w:rPr>
          <w:sz w:val="16"/>
          <w:szCs w:val="16"/>
          <w:lang w:val="es-CR"/>
        </w:rPr>
        <w:t>, 2017, págs. 20 y 21.</w:t>
      </w:r>
    </w:p>
  </w:footnote>
  <w:footnote w:id="229">
    <w:p w14:paraId="6B806BEE" w14:textId="70D1F52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xml:space="preserve">, UN Doc. E/2005/INF/2/Add.1, 22 de julio de 2005, directriz 31.c). Véase también, UNICEF y Asociación por los Derechos Civiles (ADC), </w:t>
      </w:r>
      <w:r w:rsidRPr="009C15B0">
        <w:rPr>
          <w:i/>
          <w:sz w:val="16"/>
          <w:szCs w:val="16"/>
          <w:lang w:val="es-CR"/>
        </w:rPr>
        <w:t>Guía de buenas prácticas para el abordaje de niños/as, adolescentes víctimas o testigos de abuso sexual y otros delitos</w:t>
      </w:r>
      <w:r w:rsidRPr="009C15B0">
        <w:rPr>
          <w:sz w:val="16"/>
          <w:szCs w:val="16"/>
          <w:lang w:val="es-CR"/>
        </w:rPr>
        <w:t>, septiembre de 2013, págs. 41 a 42.</w:t>
      </w:r>
    </w:p>
  </w:footnote>
  <w:footnote w:id="230">
    <w:p w14:paraId="3B255A5D" w14:textId="2B34532D" w:rsidR="007F7D87" w:rsidRPr="007F7D87" w:rsidRDefault="007F7D87" w:rsidP="001E6358">
      <w:pPr>
        <w:pStyle w:val="FootnoteText"/>
        <w:tabs>
          <w:tab w:val="left" w:pos="567"/>
        </w:tabs>
        <w:spacing w:after="60"/>
        <w:rPr>
          <w:i/>
          <w:sz w:val="16"/>
          <w:szCs w:val="16"/>
          <w:highlight w:val="green"/>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La Corte ha señalado, en casos de mujeres adultas, que es necesario que la declaración de una víctima de actos de violencia o violación sexual se realice en un ambiente cómodo y seguro, que le brinde privacidad y confianza, y que la declaración se registre de forma tal que se evite o limite la necesidad de su repetición.</w:t>
      </w:r>
      <w:r w:rsidRPr="009C15B0">
        <w:rPr>
          <w:b/>
          <w:sz w:val="16"/>
          <w:szCs w:val="16"/>
          <w:lang w:val="es-CR"/>
        </w:rPr>
        <w:t xml:space="preserve"> </w:t>
      </w:r>
      <w:r w:rsidRPr="009C15B0">
        <w:rPr>
          <w:sz w:val="16"/>
          <w:szCs w:val="16"/>
          <w:lang w:val="es-CR"/>
        </w:rPr>
        <w:t xml:space="preserve">Dicha declaración deberá contener, con el consentimiento de la víctima: i) la fecha, hora y lugar del acto de violencia sexual perpetrado, incluyendo la descripción del lugar donde ocurrió el acto; ii) el nombre, identidad y número de agresores; iii) la naturaleza de los contactos físicos de los que habría sido víctima; iv) si existió uso de armas o retenedores; v) el uso de medicación, drogas, alcohol u otras substancias; vi) la forma en la que la ropa fue removida, de ser el caso; vii) los detalles sobre las actividades sexuales perpetradas o intentadas en contra de la víctima; viii) si existió el uso de preservativos o lubricantes; ix) si existieron otras conductas que podrían alterar la evidencia, y x) detalles sobre los síntomas que ha padecido la víctima desde ese momento. </w:t>
      </w:r>
      <w:r w:rsidRPr="009C15B0">
        <w:rPr>
          <w:i/>
          <w:sz w:val="16"/>
          <w:szCs w:val="16"/>
          <w:lang w:val="es-CR"/>
        </w:rPr>
        <w:t>Cfr. Caso Fernández Ortega y otros Vs. México, supra</w:t>
      </w:r>
      <w:r w:rsidRPr="009C15B0">
        <w:rPr>
          <w:sz w:val="16"/>
          <w:szCs w:val="16"/>
          <w:lang w:val="es-CR"/>
        </w:rPr>
        <w:t xml:space="preserve">, párr. 194, y </w:t>
      </w:r>
      <w:r w:rsidRPr="009C15B0">
        <w:rPr>
          <w:i/>
          <w:sz w:val="16"/>
          <w:szCs w:val="16"/>
          <w:lang w:val="es-CR"/>
        </w:rPr>
        <w:t>Caso Espinoza Gonzáles Vs. Perú, supra</w:t>
      </w:r>
      <w:r w:rsidRPr="009C15B0">
        <w:rPr>
          <w:sz w:val="16"/>
          <w:szCs w:val="16"/>
          <w:lang w:val="es-CR"/>
        </w:rPr>
        <w:t xml:space="preserve">, párr. 249. Véase también, Organización Mundial de la Salud, </w:t>
      </w:r>
      <w:r w:rsidRPr="009C15B0">
        <w:rPr>
          <w:i/>
          <w:sz w:val="16"/>
          <w:szCs w:val="16"/>
          <w:lang w:val="es-CR"/>
        </w:rPr>
        <w:t>Guidelines for medico-legal care for victims of sexual violence</w:t>
      </w:r>
      <w:r w:rsidRPr="009C15B0">
        <w:rPr>
          <w:sz w:val="16"/>
          <w:szCs w:val="16"/>
          <w:lang w:val="es-CR"/>
        </w:rPr>
        <w:t>, 2003</w:t>
      </w:r>
      <w:r w:rsidRPr="009C15B0">
        <w:rPr>
          <w:i/>
          <w:sz w:val="16"/>
          <w:szCs w:val="16"/>
          <w:lang w:val="es-CR"/>
        </w:rPr>
        <w:t>,</w:t>
      </w:r>
      <w:r w:rsidRPr="009C15B0">
        <w:rPr>
          <w:sz w:val="16"/>
          <w:szCs w:val="16"/>
          <w:lang w:val="es-CR"/>
        </w:rPr>
        <w:t xml:space="preserve"> </w:t>
      </w:r>
      <w:r w:rsidRPr="009C15B0">
        <w:rPr>
          <w:rStyle w:val="shorttext"/>
          <w:sz w:val="16"/>
          <w:szCs w:val="16"/>
          <w:lang w:val="es-CR"/>
        </w:rPr>
        <w:t xml:space="preserve">págs. 36 y 37. La Corte estima que, si bien estos estándares pueden ser aplicables a casos de violencia contra las niñas, niños y adolescentes, existen otros criterios reforzados a tener en cuenta al entrevistarlos como, por ejemplo, el deber de no revictimización. </w:t>
      </w:r>
      <w:r w:rsidRPr="007F7D87">
        <w:rPr>
          <w:rStyle w:val="shorttext"/>
          <w:sz w:val="16"/>
          <w:szCs w:val="16"/>
          <w:lang w:val="es-CR"/>
        </w:rPr>
        <w:t xml:space="preserve">Véase a este respecto, </w:t>
      </w:r>
      <w:r w:rsidRPr="007F7D87">
        <w:rPr>
          <w:sz w:val="16"/>
          <w:szCs w:val="16"/>
          <w:lang w:val="es-CR"/>
        </w:rPr>
        <w:t>Organización Mundial de la Salud,</w:t>
      </w:r>
      <w:r w:rsidRPr="007F7D87">
        <w:rPr>
          <w:i/>
          <w:sz w:val="16"/>
          <w:szCs w:val="16"/>
          <w:lang w:val="es-CR"/>
        </w:rPr>
        <w:t xml:space="preserve"> Responding to children and adolescents who have been sexually abused. WHO Clinical Guidelines</w:t>
      </w:r>
      <w:r w:rsidRPr="007F7D87">
        <w:rPr>
          <w:sz w:val="16"/>
          <w:szCs w:val="16"/>
          <w:lang w:val="es-CR"/>
        </w:rPr>
        <w:t>, 2017, pág. 20.</w:t>
      </w:r>
    </w:p>
  </w:footnote>
  <w:footnote w:id="231">
    <w:p w14:paraId="23087662" w14:textId="094C431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r>
      <w:r w:rsidRPr="00C946D6">
        <w:rPr>
          <w:i/>
          <w:sz w:val="16"/>
          <w:szCs w:val="16"/>
          <w:lang w:val="pt-BR"/>
        </w:rPr>
        <w:t>Cfr</w:t>
      </w:r>
      <w:r w:rsidRPr="00C946D6">
        <w:rPr>
          <w:sz w:val="16"/>
          <w:szCs w:val="16"/>
          <w:lang w:val="pt-BR"/>
        </w:rPr>
        <w:t xml:space="preserve">. </w:t>
      </w:r>
      <w:r w:rsidRPr="00C946D6">
        <w:rPr>
          <w:i/>
          <w:sz w:val="16"/>
          <w:szCs w:val="16"/>
          <w:lang w:val="pt-BR"/>
        </w:rPr>
        <w:t xml:space="preserve">Caso Rosendo Cantú Vs. </w:t>
      </w:r>
      <w:r w:rsidRPr="009C15B0">
        <w:rPr>
          <w:i/>
          <w:sz w:val="16"/>
          <w:szCs w:val="16"/>
          <w:lang w:val="es-CR"/>
        </w:rPr>
        <w:t>México, supra,</w:t>
      </w:r>
      <w:r w:rsidRPr="009C15B0">
        <w:rPr>
          <w:sz w:val="16"/>
          <w:szCs w:val="16"/>
          <w:lang w:val="es-CR"/>
        </w:rPr>
        <w:t xml:space="preserve"> párr. 201; Comité de los Derechos del Niño, </w:t>
      </w:r>
      <w:r w:rsidRPr="009C15B0">
        <w:rPr>
          <w:i/>
          <w:sz w:val="16"/>
          <w:szCs w:val="16"/>
          <w:lang w:val="es-CR"/>
        </w:rPr>
        <w:t>Observación General Nº 12: El derecho del niño a ser escuchado,</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 24;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UN Doc. E/2005/INF/2/Add.1, 22 de julio de 2005, directrices 23 y 31.a), y Organización Mundial de la Salud,</w:t>
      </w:r>
      <w:r w:rsidRPr="009C15B0">
        <w:rPr>
          <w:i/>
          <w:sz w:val="16"/>
          <w:szCs w:val="16"/>
          <w:lang w:val="es-CR"/>
        </w:rPr>
        <w:t xml:space="preserve"> Responding to children and adolescents who have been sexually abused. WHO Clinical Guidelines</w:t>
      </w:r>
      <w:r w:rsidRPr="009C15B0">
        <w:rPr>
          <w:sz w:val="16"/>
          <w:szCs w:val="16"/>
          <w:lang w:val="es-CR"/>
        </w:rPr>
        <w:t>, 2017, pág. 20.</w:t>
      </w:r>
    </w:p>
  </w:footnote>
  <w:footnote w:id="232">
    <w:p w14:paraId="30349C3F" w14:textId="54772FE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Directrices sobre la justicia en asuntos concernientes a los niños víctimas y testigos de delitos</w:t>
      </w:r>
      <w:r w:rsidRPr="009C15B0">
        <w:rPr>
          <w:sz w:val="16"/>
          <w:szCs w:val="16"/>
          <w:lang w:val="es-CR"/>
        </w:rPr>
        <w:t>, UN Doc. E/2005/INF/2/Add.1, 22 de julio de 2005, directriz 30.d).</w:t>
      </w:r>
    </w:p>
  </w:footnote>
  <w:footnote w:id="233">
    <w:p w14:paraId="6E07A194" w14:textId="7EA1AB79"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Argentina, la utilización de la Cámara de Gesell se incorporó al Código Procesal Penal con los artículos 250 bis y 250 ter mediante Ley 25.852, sancionada el 4 de diciembre de 2003, promulgada el 6 de enero de 2004. Véase también, UNICEF y Asociación por los Derechos Civiles (ADC),</w:t>
      </w:r>
      <w:r w:rsidRPr="009C15B0">
        <w:rPr>
          <w:i/>
          <w:iCs/>
          <w:sz w:val="16"/>
          <w:szCs w:val="16"/>
          <w:lang w:val="es-CR"/>
        </w:rPr>
        <w:t xml:space="preserve"> Guía de buenas prácticas para el abordaje de niños/as adolescentes víctimas o testigos de abuso sexual y otros delitos</w:t>
      </w:r>
      <w:r w:rsidRPr="009C15B0">
        <w:rPr>
          <w:sz w:val="16"/>
          <w:szCs w:val="16"/>
          <w:lang w:val="es-CR"/>
        </w:rPr>
        <w:t>, septiembre de 2013.</w:t>
      </w:r>
    </w:p>
  </w:footnote>
  <w:footnote w:id="234">
    <w:p w14:paraId="35CE9517" w14:textId="17422A0D"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Bolivia, se reguló el uso de la Cámara de Gesell a través de la Ley integral contra la trata y tráfico de personas, Ley N° 263, de 31 de julio de 2012, específicamente a través de los artículos 29.2) y 30.7).</w:t>
      </w:r>
    </w:p>
  </w:footnote>
  <w:footnote w:id="235">
    <w:p w14:paraId="480BF964" w14:textId="10191041"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t>En Brasil, se utiliza el circuito cerrado de televisión (CCTV). En 2003, en la Vara da Infância e Juventude de Porto Alegre, Rio Grande do Sul, se inició la experiencia del "</w:t>
      </w:r>
      <w:r w:rsidRPr="009C15B0">
        <w:rPr>
          <w:i/>
          <w:iCs/>
          <w:sz w:val="16"/>
          <w:szCs w:val="16"/>
        </w:rPr>
        <w:t>Depoimento Sem Dano</w:t>
      </w:r>
      <w:r w:rsidRPr="009C15B0">
        <w:rPr>
          <w:sz w:val="16"/>
          <w:szCs w:val="16"/>
        </w:rPr>
        <w:t>". El 23 de noviembre de 2010 el Conselho Nacional de Justiça emitió la Recomendação Nº 33, en la cual se recomienda la utilización del “</w:t>
      </w:r>
      <w:r w:rsidRPr="009C15B0">
        <w:rPr>
          <w:rFonts w:cs="Helvetica"/>
          <w:sz w:val="16"/>
          <w:szCs w:val="16"/>
          <w:shd w:val="clear" w:color="auto" w:fill="FFFFFF"/>
        </w:rPr>
        <w:t>Depoimento Especial” en los procesos judiciales para niñas, niños y adolescentes víctimas o testigos de violencia.</w:t>
      </w:r>
      <w:r w:rsidRPr="009C15B0">
        <w:rPr>
          <w:sz w:val="16"/>
          <w:szCs w:val="16"/>
        </w:rPr>
        <w:t xml:space="preserve"> El 4 de abril de 2017 Brasil sancionó la Ley N° 13.431 que regula la escucha especializada en el “</w:t>
      </w:r>
      <w:r w:rsidRPr="009C15B0">
        <w:rPr>
          <w:i/>
          <w:iCs/>
          <w:sz w:val="16"/>
          <w:szCs w:val="16"/>
        </w:rPr>
        <w:t>Depoimento especial</w:t>
      </w:r>
      <w:r w:rsidRPr="009C15B0">
        <w:rPr>
          <w:sz w:val="16"/>
          <w:szCs w:val="16"/>
        </w:rPr>
        <w:t>”.</w:t>
      </w:r>
    </w:p>
  </w:footnote>
  <w:footnote w:id="236">
    <w:p w14:paraId="0E6B4121" w14:textId="24A91545"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t>En Chile, se implementó en el año 2012 como proyecto piloto la primera Cámara de Gesell. El 9 de enero de 2018 se promulgó la Ley N° 21.057 que estableció las entrevistas grabadas en video y otras medidas de resguardo para personas menores de edad víctimas de delitos sexuales.</w:t>
      </w:r>
    </w:p>
  </w:footnote>
  <w:footnote w:id="237">
    <w:p w14:paraId="43AE539F" w14:textId="0BE656F7"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En Colombia, la Cámara de Gesell y la videograbación fue implementada el 12 de julio de 2013, mediante Ley N° 1652.</w:t>
      </w:r>
    </w:p>
  </w:footnote>
  <w:footnote w:id="238">
    <w:p w14:paraId="2F7E5045" w14:textId="0A9112E2" w:rsidR="007F7D87" w:rsidRPr="009C15B0" w:rsidRDefault="007F7D87" w:rsidP="001E6358">
      <w:pPr>
        <w:pStyle w:val="FootnoteText"/>
        <w:tabs>
          <w:tab w:val="left" w:pos="567"/>
        </w:tabs>
        <w:spacing w:after="60"/>
        <w:rPr>
          <w:sz w:val="16"/>
          <w:szCs w:val="16"/>
          <w:u w:val="single"/>
          <w:lang w:val="es-CR" w:eastAsia="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Costa Rica, la Cámara de Gesell fue implementada desde el año 2005. Asimismo, mediante la Circular N° 24 – 2012 de 14 de febrero de 2012, la Corte Suprema de Justicia aprobó el Manual de Uso de las Cámaras de Gesell. Además, posee un Protocolo para utilizar en sala de entrevistas.</w:t>
      </w:r>
    </w:p>
  </w:footnote>
  <w:footnote w:id="239">
    <w:p w14:paraId="1BDA3E5C" w14:textId="2C1F1A5A"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Ecuador, en el año 2014, el Consejo de la Judicatura mediante Resolución 117-2014 estableció el “Protocolo para el uso de la Cámara de Gesell”.</w:t>
      </w:r>
    </w:p>
  </w:footnote>
  <w:footnote w:id="240">
    <w:p w14:paraId="1E971A5A" w14:textId="5D4A9EFC"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2009, El Salvador inauguró su primera Cámara de Gesell.</w:t>
      </w:r>
    </w:p>
  </w:footnote>
  <w:footnote w:id="241">
    <w:p w14:paraId="25DABAC0" w14:textId="37BB2221"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Desde 2013, la Corte Suprema de Justicia de Guatemala, mediante Acuerdo Número 16-2013, dictó el Instructivo para el uso y funcionamiento de la Cámara de Gesell, Circuito cerrado y otras herramientas para recibir las declaraciones de niños, niñas y adolescentes víctimas y/o testigos.</w:t>
      </w:r>
    </w:p>
  </w:footnote>
  <w:footnote w:id="242">
    <w:p w14:paraId="533B193D" w14:textId="2F721027"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2015, mediante Decreto N° 22-2015, Honduras reformó su Código Procesal Penal, el cual en su artículo 237.b) dispuso que: “[l]a participación de las personas en el proceso en condición de vulnerabilidad será llevada a cabo en espacio o sala con espejo unidireccional o especialmente acondicionada o en la Cámara de Gesell u otros medios análogos, con la facilitación de un profesional de la psicología y, en aquellos lugares donde no se encuentren, por un profesional instruido en la materia y un traductor en aquellos casos que resulte necesario. Estas diligencias serán grabadas, realizadas o registradas a través de circuito cerrado de televisión, Cámara de Gesell u otros medios análogos y grabados o registrados por cualquier medio audiovisual o técnico. La práctica de esta diligencia se realizará con las formalidades de la prueba anticipada”.</w:t>
      </w:r>
    </w:p>
  </w:footnote>
  <w:footnote w:id="243">
    <w:p w14:paraId="158F04A8" w14:textId="454680D7"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México, según información del Consejo de la Judicatura Federal, algunos centros de justicia del país cuentan con salas especializadas con Cámara de Gesell. Por otra parte, la legislación mexicana relacionada con delitos de trata menciona la comparecencia de las víctimas a través de la Cámara de Gesell, en el artículo 74 de la Ley General para Prevenir, Sancionar y Erradicar los Delitos en Materia de Trata de Personas y para la Protección y Asistencia a las Víctimas de estos Delitos de 14 de junio de 2012.</w:t>
      </w:r>
    </w:p>
  </w:footnote>
  <w:footnote w:id="244">
    <w:p w14:paraId="1D440990" w14:textId="4420EEE1"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t>En Nicaragua, se creó la primera Cámara de Gesell en el año 2012 en la Región Autónoma del Atlántico Norte.</w:t>
      </w:r>
    </w:p>
  </w:footnote>
  <w:footnote w:id="245">
    <w:p w14:paraId="562F88F7" w14:textId="147A2AD6"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Paraguay, el Centro de Atención a Víctimas que cumple, de acuerdo a la ley orgánica del Ministerio Público N° 1562/00, “todas las funciones de asistencia a las personas ofendidas por los hechos punibles, a los efectos de encarar el correspondiente proceso criminal”, cuenta con cuatro Cámaras de Gesell. Asimismo, según la Oficina técnico forense de la Corte Suprema de Justicia de Paraguay, “[l]a Cámara Gesell tiene por finalidad evitar la re-victimización de las personas en estado de vulnerabilidad, dando así cumplimiento a lo preceptuado en el marco de la Acordada N° 633 [2010] que ratifica las Cien Reglas de Brasilia, para producir eficazmente los anticipos jurisdiccionales de pruebas y/o toma de declaración en juicios orales, evitando así las reiteradas declaraciones de dichas personas con las consecuencias que se mencionan antecedentemente”.</w:t>
      </w:r>
    </w:p>
  </w:footnote>
  <w:footnote w:id="246">
    <w:p w14:paraId="20CA210E" w14:textId="1EF746B4"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Perú, el Ministerio Público elaboró en el año 2016 una Guía del procedimiento de entrevista única a víctimas en el marco de la Ley N° 30364 para prevenir, sancionar y erradicar la violencia contra las mujeres y los integrantes del grupo familiar; y, a niños y adolescentes varones víctimas de violencia. Dicha ley, sancionada el 23 de noviembre de 2015, en su artículo 242, dispone que las declaraciones de las niñas, niños y adolescentes serán realizadas con la intervención de psicólogos especializados en Cámaras de Gesell o salas de entrevistas implementadas por el Ministerio Público y que las mismas serán filmadas y grabadas a fin de evitar la revictimización de los agraviados.</w:t>
      </w:r>
    </w:p>
  </w:footnote>
  <w:footnote w:id="247">
    <w:p w14:paraId="0562D135" w14:textId="104ED605"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Desde el 20 de diciembre de 2007, la Suprema Corte de Justicia de la República Dominicana mediante Resolución N° 3687-2007, cuyo objeto es la adopción de reglas mínimas de procedimiento para obtener las declaraciones de la persona menor de edad víctima, testigo o coimputada en un proceso penal ordinario, dispuso la implementación de la Cámara de Gesell y Circuito Cerrado de Televisión.</w:t>
      </w:r>
    </w:p>
  </w:footnote>
  <w:footnote w:id="248">
    <w:p w14:paraId="3B009DCB" w14:textId="31FF597F"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En Uruguay, el Código del Proceso Penal, aprobado por Ley Nº 19.293 de 19 de diciembre de 2014, establece en sus artículos 160 y 164, relativos a los testigos menores de dieciocho años de edad y a la declaración de la víctima, que a los efectos de contemplar sus derechos y brindar su testimonio en el proceso deberán adoptarse una o más de las siguientes medidas, entre ellas, “pantallas de cristal para ocultar al testigo del imputado u otros elementos que constituyan barrera física con el mismo efecto [o] prestar testimonio desde una sala adyacente al tribunal a través de un circuito cerrado de televisión u otra tecnología con similar efecto”. Existen Cámara de Gesell en las instalaciones del Instituto Técnico Forense, los Juzgados Letrados de Familia Especializados y el Departamento de Asistencia Social.</w:t>
      </w:r>
    </w:p>
  </w:footnote>
  <w:footnote w:id="249">
    <w:p w14:paraId="4FE8AE33" w14:textId="07A8F24B"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sz w:val="16"/>
          <w:szCs w:val="16"/>
        </w:rPr>
        <w:t xml:space="preserve"> Declaración pericial rendida por Miguel Cillero Bruñol ante la Corte Interamericana en la audiencia pública celebrada el 16 y 17 de octubre de 2017, y Organización Mundial de la Salud,</w:t>
      </w:r>
      <w:r w:rsidRPr="009C15B0">
        <w:rPr>
          <w:i/>
          <w:sz w:val="16"/>
          <w:szCs w:val="16"/>
        </w:rPr>
        <w:t xml:space="preserve"> Responding to children and adolescents who have been sexually abused. WHO Clinical Guidelines</w:t>
      </w:r>
      <w:r w:rsidRPr="009C15B0">
        <w:rPr>
          <w:sz w:val="16"/>
          <w:szCs w:val="16"/>
        </w:rPr>
        <w:t>, 2017, pág. 21.</w:t>
      </w:r>
    </w:p>
  </w:footnote>
  <w:footnote w:id="250">
    <w:p w14:paraId="2C6FC886" w14:textId="4EFB43A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pericial rendida ante la Corte Interamericana por Miguel Cillero Bruñol en la audiencia pública celebrada el 16 y 17 de octubre de 2017.</w:t>
      </w:r>
    </w:p>
  </w:footnote>
  <w:footnote w:id="251">
    <w:p w14:paraId="576C8908" w14:textId="4BD5E9CD" w:rsidR="007F7D87" w:rsidRPr="00E93F30" w:rsidRDefault="007F7D87" w:rsidP="001E6358">
      <w:pPr>
        <w:pStyle w:val="FootnoteText"/>
        <w:tabs>
          <w:tab w:val="left" w:pos="567"/>
        </w:tabs>
        <w:spacing w:after="60"/>
        <w:rPr>
          <w:sz w:val="16"/>
          <w:szCs w:val="16"/>
          <w:lang w:val="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De conformidad con la Organización Mundial de la Salud, los exámenes físicos a cargo de especialistas en salud deben procurar minimizar daños adicionales, traumas, temor, estrés, y respetar la autonomía y derechos de los niños, niñas y adolescentes. </w:t>
      </w:r>
      <w:r w:rsidRPr="00C946D6">
        <w:rPr>
          <w:i/>
          <w:sz w:val="16"/>
          <w:szCs w:val="16"/>
          <w:lang w:val="en-US"/>
        </w:rPr>
        <w:t xml:space="preserve">Cfr. </w:t>
      </w:r>
      <w:r w:rsidRPr="00C946D6">
        <w:rPr>
          <w:sz w:val="16"/>
          <w:szCs w:val="16"/>
          <w:lang w:val="en-US"/>
        </w:rPr>
        <w:t>Organización Mundial de la Salud,</w:t>
      </w:r>
      <w:r w:rsidRPr="00C946D6">
        <w:rPr>
          <w:i/>
          <w:sz w:val="16"/>
          <w:szCs w:val="16"/>
          <w:lang w:val="en-US"/>
        </w:rPr>
        <w:t xml:space="preserve"> Responding to children and adolescents who have been sexually abused. </w:t>
      </w:r>
      <w:r w:rsidRPr="009C15B0">
        <w:rPr>
          <w:i/>
          <w:sz w:val="16"/>
          <w:szCs w:val="16"/>
          <w:lang w:val="es-CR"/>
        </w:rPr>
        <w:t>WHO Clinical Guidelines</w:t>
      </w:r>
      <w:r w:rsidRPr="009C15B0">
        <w:rPr>
          <w:sz w:val="16"/>
          <w:szCs w:val="16"/>
          <w:lang w:val="es-CR"/>
        </w:rPr>
        <w:t xml:space="preserve">, 2017, págs. 20 a 21. Véase también, UNICEF y Asociación por los Derechos Civiles (ADC), </w:t>
      </w:r>
      <w:r w:rsidRPr="009C15B0">
        <w:rPr>
          <w:i/>
          <w:sz w:val="16"/>
          <w:szCs w:val="16"/>
          <w:lang w:val="es-CR"/>
        </w:rPr>
        <w:t>Guía de buenas prácticas para el abordaje de niños/as, adolescentes víctimas o testigos de abuso sexual y otros delitos</w:t>
      </w:r>
      <w:r w:rsidRPr="009C15B0">
        <w:rPr>
          <w:sz w:val="16"/>
          <w:szCs w:val="16"/>
          <w:lang w:val="es-CR"/>
        </w:rPr>
        <w:t xml:space="preserve">, septiembre de 2013, págs. </w:t>
      </w:r>
      <w:r w:rsidRPr="00E93F30">
        <w:rPr>
          <w:sz w:val="16"/>
          <w:szCs w:val="16"/>
          <w:lang w:val="en-US"/>
        </w:rPr>
        <w:t>33 a 34.</w:t>
      </w:r>
    </w:p>
  </w:footnote>
  <w:footnote w:id="252">
    <w:p w14:paraId="79D1D544" w14:textId="6877307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C946D6">
        <w:rPr>
          <w:sz w:val="16"/>
          <w:szCs w:val="16"/>
          <w:lang w:val="en-US"/>
        </w:rPr>
        <w:t xml:space="preserve"> </w:t>
      </w:r>
      <w:r w:rsidRPr="00C946D6">
        <w:rPr>
          <w:sz w:val="16"/>
          <w:szCs w:val="16"/>
          <w:lang w:val="en-US"/>
        </w:rPr>
        <w:tab/>
      </w:r>
      <w:r w:rsidRPr="00C946D6">
        <w:rPr>
          <w:i/>
          <w:sz w:val="16"/>
          <w:szCs w:val="16"/>
          <w:lang w:val="en-US"/>
        </w:rPr>
        <w:t xml:space="preserve">Cfr. </w:t>
      </w:r>
      <w:r w:rsidRPr="00C946D6">
        <w:rPr>
          <w:sz w:val="16"/>
          <w:szCs w:val="16"/>
          <w:lang w:val="en-US"/>
        </w:rPr>
        <w:t>Organización Mundial de la Salud,</w:t>
      </w:r>
      <w:r w:rsidRPr="00C946D6">
        <w:rPr>
          <w:i/>
          <w:sz w:val="16"/>
          <w:szCs w:val="16"/>
          <w:lang w:val="en-US"/>
        </w:rPr>
        <w:t xml:space="preserve"> Responding to children and adolescents who have been sexually abused. </w:t>
      </w:r>
      <w:r w:rsidRPr="009C15B0">
        <w:rPr>
          <w:i/>
          <w:sz w:val="16"/>
          <w:szCs w:val="16"/>
          <w:lang w:val="es-CR"/>
        </w:rPr>
        <w:t>WHO Clinical Guidelines</w:t>
      </w:r>
      <w:r w:rsidRPr="009C15B0">
        <w:rPr>
          <w:sz w:val="16"/>
          <w:szCs w:val="16"/>
          <w:lang w:val="es-CR"/>
        </w:rPr>
        <w:t>, 2017, pág. 21.</w:t>
      </w:r>
    </w:p>
  </w:footnote>
  <w:footnote w:id="253">
    <w:p w14:paraId="01EF77FC" w14:textId="173046B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pericial rendida ante la Corte Interamericana por Miguel Cillero Bruñol en la audiencia pública celebrada el 16 y 17 de octubre de 2017.</w:t>
      </w:r>
    </w:p>
  </w:footnote>
  <w:footnote w:id="254">
    <w:p w14:paraId="129625BD" w14:textId="7A1E645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Consejo Económico y Social, Resolución 2005/20, </w:t>
      </w:r>
      <w:r w:rsidRPr="009C15B0">
        <w:rPr>
          <w:i/>
          <w:sz w:val="16"/>
          <w:szCs w:val="16"/>
          <w:lang w:val="es-CR"/>
        </w:rPr>
        <w:t>Directrices sobre la justicia en asuntos concernientes a los niños víctimas y testigos de delitos</w:t>
      </w:r>
      <w:r w:rsidRPr="009C15B0">
        <w:rPr>
          <w:sz w:val="16"/>
          <w:szCs w:val="16"/>
          <w:lang w:val="es-CR"/>
        </w:rPr>
        <w:t>, UN Doc. E/2005/INF/2/Add.1, 22 de julio de 2005, directrices 19 y 30.d); Organización Mundial de la Salud</w:t>
      </w:r>
      <w:r w:rsidRPr="009C15B0">
        <w:rPr>
          <w:i/>
          <w:sz w:val="16"/>
          <w:szCs w:val="16"/>
          <w:lang w:val="es-CR"/>
        </w:rPr>
        <w:t>, Responding to children and adolescents who have been sexually abused. WHO Clinical Guidelines</w:t>
      </w:r>
      <w:r w:rsidRPr="009C15B0">
        <w:rPr>
          <w:sz w:val="16"/>
          <w:szCs w:val="16"/>
          <w:lang w:val="es-CR"/>
        </w:rPr>
        <w:t xml:space="preserve">, 2017, pág. 21, y Declaración pericial rendida por Miguel Cillero Bruñol ante la Corte Interamericana en la audiencia pública celebrada el 16 y 17 de octubre de 2017. Véase también, UNICEF y Asociación por los Derechos Civiles (ADC), </w:t>
      </w:r>
      <w:r w:rsidRPr="009C15B0">
        <w:rPr>
          <w:i/>
          <w:sz w:val="16"/>
          <w:szCs w:val="16"/>
          <w:lang w:val="es-CR"/>
        </w:rPr>
        <w:t>Guía de buenas prácticas para el abordaje de niños/as, adolescentes víctimas o testigos de abuso sexual y otros delitos</w:t>
      </w:r>
      <w:r w:rsidRPr="009C15B0">
        <w:rPr>
          <w:sz w:val="16"/>
          <w:szCs w:val="16"/>
          <w:lang w:val="es-CR"/>
        </w:rPr>
        <w:t>, septiembre de 2013, págs. 33 a 34.</w:t>
      </w:r>
    </w:p>
  </w:footnote>
  <w:footnote w:id="255">
    <w:p w14:paraId="25326FDF" w14:textId="5C5A949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Espinoza Gonzáles Vs. Perú, supra</w:t>
      </w:r>
      <w:r w:rsidRPr="009C15B0">
        <w:rPr>
          <w:sz w:val="16"/>
          <w:szCs w:val="16"/>
          <w:lang w:val="es-CR"/>
        </w:rPr>
        <w:t>, párr. 256. Véase también,</w:t>
      </w:r>
      <w:r w:rsidRPr="009C15B0">
        <w:rPr>
          <w:i/>
          <w:sz w:val="16"/>
          <w:szCs w:val="16"/>
          <w:lang w:val="es-CR"/>
        </w:rPr>
        <w:t xml:space="preserve"> </w:t>
      </w:r>
      <w:r w:rsidRPr="009C15B0">
        <w:rPr>
          <w:sz w:val="16"/>
          <w:szCs w:val="16"/>
          <w:lang w:val="es-CR"/>
        </w:rPr>
        <w:t xml:space="preserve">Organización Mundial de la Salud, </w:t>
      </w:r>
      <w:r w:rsidRPr="009C15B0">
        <w:rPr>
          <w:i/>
          <w:sz w:val="16"/>
          <w:szCs w:val="16"/>
          <w:lang w:val="es-CR"/>
        </w:rPr>
        <w:t>Guidelines for medico-legal care for victims of sexual violence</w:t>
      </w:r>
      <w:r w:rsidRPr="009C15B0">
        <w:rPr>
          <w:sz w:val="16"/>
          <w:szCs w:val="16"/>
          <w:lang w:val="es-CR"/>
        </w:rPr>
        <w:t>,</w:t>
      </w:r>
      <w:r w:rsidRPr="009C15B0">
        <w:rPr>
          <w:i/>
          <w:sz w:val="16"/>
          <w:szCs w:val="16"/>
          <w:lang w:val="es-CR"/>
        </w:rPr>
        <w:t xml:space="preserve"> </w:t>
      </w:r>
      <w:r w:rsidRPr="009C15B0">
        <w:rPr>
          <w:sz w:val="16"/>
          <w:szCs w:val="16"/>
          <w:lang w:val="es-CR"/>
        </w:rPr>
        <w:t>2003</w:t>
      </w:r>
      <w:r w:rsidRPr="009C15B0">
        <w:rPr>
          <w:i/>
          <w:sz w:val="16"/>
          <w:szCs w:val="16"/>
          <w:lang w:val="es-CR"/>
        </w:rPr>
        <w:t>,</w:t>
      </w:r>
      <w:r w:rsidRPr="009C15B0">
        <w:rPr>
          <w:sz w:val="16"/>
          <w:szCs w:val="16"/>
          <w:lang w:val="es-CR"/>
        </w:rPr>
        <w:t xml:space="preserve"> </w:t>
      </w:r>
      <w:r w:rsidRPr="009C15B0">
        <w:rPr>
          <w:rStyle w:val="shorttext"/>
          <w:sz w:val="16"/>
          <w:szCs w:val="16"/>
          <w:lang w:val="es-CR"/>
        </w:rPr>
        <w:t>págs. 18, 43 y 58</w:t>
      </w:r>
      <w:r w:rsidRPr="009C15B0">
        <w:rPr>
          <w:sz w:val="16"/>
          <w:szCs w:val="16"/>
          <w:lang w:val="es-CR"/>
        </w:rPr>
        <w:t>.</w:t>
      </w:r>
    </w:p>
  </w:footnote>
  <w:footnote w:id="256">
    <w:p w14:paraId="1AFA77EF" w14:textId="4A970E6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párrs. 52 y 53.</w:t>
      </w:r>
    </w:p>
  </w:footnote>
  <w:footnote w:id="257">
    <w:p w14:paraId="15D7CEF6" w14:textId="76BCD08B" w:rsidR="007F7D87" w:rsidRPr="009C15B0" w:rsidRDefault="007F7D87" w:rsidP="001E6358">
      <w:pPr>
        <w:pStyle w:val="FootnoteText"/>
        <w:tabs>
          <w:tab w:val="left" w:pos="567"/>
        </w:tabs>
        <w:spacing w:after="60"/>
        <w:rPr>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Comité de los Derechos del Niño, </w:t>
      </w:r>
      <w:r w:rsidRPr="009C15B0">
        <w:rPr>
          <w:i/>
          <w:sz w:val="16"/>
          <w:szCs w:val="16"/>
          <w:lang w:val="es-CR"/>
        </w:rPr>
        <w:t>Observación General Nº 13:</w:t>
      </w:r>
      <w:r w:rsidRPr="009C15B0">
        <w:rPr>
          <w:sz w:val="16"/>
          <w:szCs w:val="16"/>
          <w:lang w:val="es-CR"/>
        </w:rPr>
        <w:t xml:space="preserve"> </w:t>
      </w:r>
      <w:r w:rsidRPr="009C15B0">
        <w:rPr>
          <w:i/>
          <w:sz w:val="16"/>
          <w:szCs w:val="16"/>
          <w:lang w:val="es-CR"/>
        </w:rPr>
        <w:t>Derecho del niño a no ser objeto de ninguna forma de violencia</w:t>
      </w:r>
      <w:r w:rsidRPr="009C15B0">
        <w:rPr>
          <w:sz w:val="16"/>
          <w:szCs w:val="16"/>
          <w:lang w:val="es-CR"/>
        </w:rPr>
        <w:t xml:space="preserve">, </w:t>
      </w:r>
      <w:r w:rsidRPr="009C15B0">
        <w:rPr>
          <w:i/>
          <w:sz w:val="16"/>
          <w:szCs w:val="16"/>
          <w:lang w:val="es-CR"/>
        </w:rPr>
        <w:t>supra</w:t>
      </w:r>
      <w:r w:rsidRPr="009C15B0">
        <w:rPr>
          <w:sz w:val="16"/>
          <w:szCs w:val="16"/>
          <w:lang w:val="es-CR"/>
        </w:rPr>
        <w:t>, párrs. 15, 59 y 62.</w:t>
      </w:r>
    </w:p>
  </w:footnote>
  <w:footnote w:id="258">
    <w:p w14:paraId="132B839E" w14:textId="31DE33CC"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rFonts w:eastAsia="MS Mincho"/>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Fernández Ortega y otros Vs. México, supra</w:t>
      </w:r>
      <w:r w:rsidRPr="009C15B0">
        <w:rPr>
          <w:sz w:val="16"/>
          <w:szCs w:val="16"/>
          <w:lang w:val="es-CR"/>
        </w:rPr>
        <w:t xml:space="preserve">, párr. 196, y </w:t>
      </w:r>
      <w:r w:rsidRPr="009C15B0">
        <w:rPr>
          <w:i/>
          <w:sz w:val="16"/>
          <w:szCs w:val="16"/>
          <w:lang w:val="es-CR"/>
        </w:rPr>
        <w:t>Caso Espinoza Gonzáles Vs. Perú, supra</w:t>
      </w:r>
      <w:r w:rsidRPr="009C15B0">
        <w:rPr>
          <w:sz w:val="16"/>
          <w:szCs w:val="16"/>
          <w:lang w:val="es-CR"/>
        </w:rPr>
        <w:t>, párr. 256.</w:t>
      </w:r>
    </w:p>
  </w:footnote>
  <w:footnote w:id="259">
    <w:p w14:paraId="07650C7C" w14:textId="7AFD9B34" w:rsidR="007F7D87" w:rsidRPr="009C15B0" w:rsidRDefault="007F7D87" w:rsidP="001E6358">
      <w:pPr>
        <w:tabs>
          <w:tab w:val="left" w:pos="567"/>
        </w:tabs>
        <w:autoSpaceDE w:val="0"/>
        <w:autoSpaceDN w:val="0"/>
        <w:spacing w:after="60" w:line="240" w:lineRule="auto"/>
        <w:rPr>
          <w:rFonts w:cs="Arial"/>
          <w:sz w:val="16"/>
          <w:szCs w:val="16"/>
        </w:rPr>
      </w:pPr>
      <w:r w:rsidRPr="009C15B0">
        <w:rPr>
          <w:rStyle w:val="FootnoteReference"/>
          <w:sz w:val="16"/>
          <w:szCs w:val="16"/>
        </w:rPr>
        <w:footnoteRef/>
      </w:r>
      <w:r w:rsidRPr="009C15B0">
        <w:rPr>
          <w:sz w:val="16"/>
          <w:szCs w:val="16"/>
        </w:rPr>
        <w:t xml:space="preserve"> </w:t>
      </w:r>
      <w:r w:rsidRPr="009C15B0">
        <w:rPr>
          <w:sz w:val="16"/>
          <w:szCs w:val="16"/>
        </w:rPr>
        <w:tab/>
        <w:t xml:space="preserve">La señora V.P.C. declaró ante esta Corte que el examen médico forense fue ordenado por la jueza, a pesar de que la madre le explicó sobre la existencia de una epicrisis del hospital, ante lo cual la jueza ordenó la diligencia con la presencia de una junta médica. </w:t>
      </w:r>
      <w:r w:rsidRPr="009C15B0">
        <w:rPr>
          <w:i/>
          <w:sz w:val="16"/>
          <w:szCs w:val="16"/>
        </w:rPr>
        <w:t>Cfr.</w:t>
      </w:r>
      <w:r w:rsidRPr="009C15B0">
        <w:rPr>
          <w:sz w:val="16"/>
          <w:szCs w:val="16"/>
        </w:rPr>
        <w:t xml:space="preserve"> Declaración rendida por V.P.C. ante la Corte Interamericana en la audiencia pública celebrada el 16 y 17 de octubre de 2017. Asimismo, el perito Miguel Cillero Bruñol señaló que:</w:t>
      </w:r>
      <w:r w:rsidRPr="009C15B0">
        <w:rPr>
          <w:rFonts w:cs="Arial"/>
          <w:sz w:val="16"/>
          <w:szCs w:val="16"/>
        </w:rPr>
        <w:t xml:space="preserve"> </w:t>
      </w:r>
      <w:r w:rsidRPr="009C15B0">
        <w:rPr>
          <w:sz w:val="16"/>
          <w:szCs w:val="16"/>
        </w:rPr>
        <w:t>“se repite dos veces más el mismo examen, lo cual también es contrario a todos los estándares, teniendo como base que ya existía desde el comienzo un informe privado, el cual toda la normativa internacional recomienda y la normativa de la OMS, que basta un examen que sea con los protocolos adecuados y es responsabilidad del Estado que ese examen aunque se haga en un recinto privado, sea válido para todo el juicio y no tenga que someterse a la víctima a ningún tipo de nuevo procedimiento”. Declaración pericial rendida por Miguel Cillero Bruñol ante la Corte Interamericana en la audiencia pública celebrada el 16 y 17 de octubre de 2017.</w:t>
      </w:r>
    </w:p>
  </w:footnote>
  <w:footnote w:id="260">
    <w:p w14:paraId="4A9C9A7B" w14:textId="664CD7A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Es preciso resaltar que, para el segundo examen médico que no se pudo concretar, se designó a una forense suplente mujer, conforme a lo solicitado por V.P.C., quien sería una médica forense de la Comisaría de la Mujer y la Niñez con experiencia en víctimas de abuso sexual. </w:t>
      </w:r>
      <w:r w:rsidRPr="009C15B0">
        <w:rPr>
          <w:i/>
          <w:sz w:val="16"/>
          <w:szCs w:val="16"/>
          <w:lang w:val="es-CR"/>
        </w:rPr>
        <w:t>Cfr.</w:t>
      </w:r>
      <w:r w:rsidRPr="009C15B0">
        <w:rPr>
          <w:sz w:val="16"/>
          <w:szCs w:val="16"/>
          <w:lang w:val="es-CR"/>
        </w:rPr>
        <w:t xml:space="preserve"> Solicitud de la Fiscal Departamental de Jinotega de 23 de noviembre de 2001 (expediente de prueba, tomo XVII, anexo 12 al escrito de contestación, folio 8215). Asimismo, el examen médico legal realizado en Managua estuvo a cargo de una médica forense, bajo sedación.</w:t>
      </w:r>
    </w:p>
  </w:footnote>
  <w:footnote w:id="261">
    <w:p w14:paraId="74DF4BAE" w14:textId="2B840EE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Acta judicial de 22 de noviembre de 2001 (expediente de prueba, tomo XVI, anexo E.11 al escrito de solicitudes, argumentos y pruebas, folios 7308 a 7309). La señora V.P.C. declaró ante esta Corte que la psiquiatra estuvo presente durante la primera diligencia médica, por pedido propio. Sin embargo, de dicha declaración se desprende que el actuar de la psiquiatra se limitó a señalar a la jueza, ante los alegados maltratos del médico forense que “no p[odían] hacerle esto [a la niña]”. </w:t>
      </w:r>
      <w:r w:rsidRPr="009C15B0">
        <w:rPr>
          <w:i/>
          <w:sz w:val="16"/>
          <w:szCs w:val="16"/>
          <w:lang w:val="es-CR"/>
        </w:rPr>
        <w:t>Cfr.</w:t>
      </w:r>
      <w:r w:rsidRPr="009C15B0">
        <w:rPr>
          <w:sz w:val="16"/>
          <w:szCs w:val="16"/>
          <w:lang w:val="es-CR"/>
        </w:rPr>
        <w:t xml:space="preserve"> Declaración rendida por V.P.C. ante la Corte Interamericana en la audiencia pública celebrada el 16 y 17 de octubre de 2017.</w:t>
      </w:r>
    </w:p>
  </w:footnote>
  <w:footnote w:id="262">
    <w:p w14:paraId="35673ABD" w14:textId="43663AB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en la audiencia pública celebrada el 16 y 17 de octubre de 2017.</w:t>
      </w:r>
    </w:p>
  </w:footnote>
  <w:footnote w:id="263">
    <w:p w14:paraId="5445271F" w14:textId="0051C71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Cabe clarificar que, conforme al acervo probatorio del expediente, quien solicitó la conformación de la junta médica durante el primer examen médico, fue la jueza a cargo del caso. La señora V.P.C. solicitó que se mantuvieran los mismos médicos durante el intento de realización del segundo examen médico, con el fin de que no se designaran otros para proteger los derechos de su hija. </w:t>
      </w:r>
      <w:r w:rsidRPr="009C15B0">
        <w:rPr>
          <w:i/>
          <w:sz w:val="16"/>
          <w:szCs w:val="16"/>
          <w:lang w:val="es-CR"/>
        </w:rPr>
        <w:t>Cfr.</w:t>
      </w:r>
      <w:r w:rsidRPr="009C15B0">
        <w:rPr>
          <w:sz w:val="16"/>
          <w:szCs w:val="16"/>
          <w:lang w:val="es-CR"/>
        </w:rPr>
        <w:t xml:space="preserve"> Escrito de V.P.C. presentado ante el Juzgado de Distrito de lo Criminal de 23 de noviembre de 2001 (expediente de prueba, tomo XVII, anexo 12 al escrito de contestación, folio 8213). Asimismo, el 21 de octubre de 2002 V.P.C. presentó una queja ante la Fiscalía General de la República aduciendo que la jueza permitió que durante el primer reconocimiento médico legal estuvieran presentes más de 10 personas y no adoptó ninguna medida para evitar la revictimización de su hija. </w:t>
      </w:r>
      <w:r w:rsidRPr="009C15B0">
        <w:rPr>
          <w:i/>
          <w:sz w:val="16"/>
          <w:szCs w:val="16"/>
          <w:lang w:val="es-CR"/>
        </w:rPr>
        <w:t>Cfr</w:t>
      </w:r>
      <w:r w:rsidRPr="009C15B0">
        <w:rPr>
          <w:sz w:val="16"/>
          <w:szCs w:val="16"/>
          <w:lang w:val="es-CR"/>
        </w:rPr>
        <w:t>. Presentación efectuada por la señora V.P.C. ante la Fiscalía General de la República el 21 de octubre de 2002 (expediente de prueba, tomo XV, anexo 22 al sometimiento del caso, folio 6877).</w:t>
      </w:r>
    </w:p>
  </w:footnote>
  <w:footnote w:id="264">
    <w:p w14:paraId="7BFAAE85" w14:textId="61F83F3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Presentación efectuada por la señora V.P.C. ante el Director del Sistema Local de Atención Integral en Salud el 22 de noviembre de 2001 (expediente de prueba, tomo XV, anexo 9 al sometimiento del caso, folio 6769).</w:t>
      </w:r>
    </w:p>
  </w:footnote>
  <w:footnote w:id="265">
    <w:p w14:paraId="12D9B4EA" w14:textId="1DDEFB3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Escrito de V.P.C. presentado ante Juzgado de Distrito de lo Criminal de 23 de noviembre de 2001 (expediente de prueba, tomo XVII, anexo 12 al escrito de contestación, folio 8213).</w:t>
      </w:r>
    </w:p>
  </w:footnote>
  <w:footnote w:id="266">
    <w:p w14:paraId="44FE39F1" w14:textId="55557BE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en la audiencia pública celebrada el 16 y 17 de octubre de 2017. La abuela de V.R.P. declaró a nivel interno que su nieta no se sintió cómoda con el examen médico ya que sintió que “los dedos del doctor en sus partes como que le hacía muy duro y no aguantaba el ardor que tenía tanto por delante como por detrás”. Declaración testimonial prestada el 23 de noviembre de 2001 (expediente de prueba, tomo XVI, anexo E.12 al escrito de solicitudes, argumentos y pruebas, folio 7313).</w:t>
      </w:r>
    </w:p>
  </w:footnote>
  <w:footnote w:id="267">
    <w:p w14:paraId="6801B095" w14:textId="555B04C7"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Declaración rendida ante la Corte Interamericana por V.R.P. en la audiencia privada celebrada el 16 de octubre de 2017.</w:t>
      </w:r>
    </w:p>
  </w:footnote>
  <w:footnote w:id="268">
    <w:p w14:paraId="23E042C2" w14:textId="3C704BC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rendida ante la Corte Interamericana por V.R.P. en la audiencia privada celebrada el 16 de octubre de 2017.</w:t>
      </w:r>
    </w:p>
  </w:footnote>
  <w:footnote w:id="269">
    <w:p w14:paraId="6D6DE544" w14:textId="7BB90830"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El perito Enrique Oscar Stola consideró que el primer examen médico fue un hecho grave de violencia institucional en perjuicio de V.R.P. ya que el médico legista “no cuidó en absoluto establecer el mínimo de empatía, de cuidado, una cantidad de personas presentes, de funcionarios judiciales que no iban a aportar absolutamente nada a la evaluación que se tenía que hacer y, sin embargo, estaban presentes. Esto es una pérdida de intimidad y es una reactualización del trauma”.</w:t>
      </w:r>
      <w:r w:rsidRPr="009C15B0">
        <w:rPr>
          <w:i/>
          <w:sz w:val="16"/>
          <w:szCs w:val="16"/>
        </w:rPr>
        <w:t xml:space="preserve"> </w:t>
      </w:r>
      <w:r w:rsidRPr="009C15B0">
        <w:rPr>
          <w:sz w:val="16"/>
          <w:szCs w:val="16"/>
        </w:rPr>
        <w:t>Declaración pericial rendida por Enrique Oscar Stola ante la Corte Interamericana en la audiencia pública celebrada el 16 y 17 de octubre de 2017.</w:t>
      </w:r>
    </w:p>
  </w:footnote>
  <w:footnote w:id="270">
    <w:p w14:paraId="2C0144E9" w14:textId="29018DF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rendida ante la Corte Interamericana por V.R.P. en la audiencia privada celebrada el 16 de octubre de 2017.</w:t>
      </w:r>
    </w:p>
  </w:footnote>
  <w:footnote w:id="271">
    <w:p w14:paraId="6402CF20" w14:textId="40ECEB5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pericial rendida por Enrique Oscar Stola ante la Corte Interamericana en la audiencia pública celebrada el 16 y 17 de octubre de 2017, y Declaración pericial rendida ante la Corte Interamericana por Miguel Cillero Bruñol en la audiencia pública celebrada el 16 y 17 de octubre de 2017.</w:t>
      </w:r>
    </w:p>
  </w:footnote>
  <w:footnote w:id="272">
    <w:p w14:paraId="47BD6501" w14:textId="46368B5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por Enrique Oscar Stola ante la Corte Interamericana en la audiencia pública celebrada el 16 y 17 de octubre de 2017.</w:t>
      </w:r>
    </w:p>
  </w:footnote>
  <w:footnote w:id="273">
    <w:p w14:paraId="47D8A058" w14:textId="358D1AE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de V.R.P. de 21 de noviembre de 2001 (expediente de prueba, tomo XVII, anexo 9 al escrito de contestación, folios 8201 a 8202).</w:t>
      </w:r>
    </w:p>
  </w:footnote>
  <w:footnote w:id="274">
    <w:p w14:paraId="5EBABC5B" w14:textId="3CD8DF8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rendida ante la Corte Interamericana por V.R.P. en la audiencia privada celebrada el 16 de octubre de 2017.</w:t>
      </w:r>
    </w:p>
  </w:footnote>
  <w:footnote w:id="275">
    <w:p w14:paraId="44AB9C21" w14:textId="3BF86132"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t>Declaración pericial rendida ante la Corte Interamericana por Enrique Oscar Stola en la audiencia pública celebrada el 16 y 17 de octubre de 2017.</w:t>
      </w:r>
    </w:p>
  </w:footnote>
  <w:footnote w:id="276">
    <w:p w14:paraId="06916433" w14:textId="49A3D5B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ante la Corte Interamericana por Miguel Cillero Bruñol en la audiencia pública celebrada el 16 y 17 de octubre de 2017.</w:t>
      </w:r>
    </w:p>
  </w:footnote>
  <w:footnote w:id="277">
    <w:p w14:paraId="12BDB393" w14:textId="6532667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Declaración rendida ante la Corte Interamericana por V.R.P. en la audiencia privada celebrada el 16 de octubre de 2017.</w:t>
      </w:r>
    </w:p>
  </w:footnote>
  <w:footnote w:id="278">
    <w:p w14:paraId="525CF331" w14:textId="16AD6C43" w:rsidR="007F7D87" w:rsidRPr="009C15B0" w:rsidRDefault="007F7D87">
      <w:pPr>
        <w:pStyle w:val="FootnoteText"/>
        <w:rPr>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pericial rendida ante la Corte Interamericana por Miguel Cillero Bruñol en la audiencia pública celebrada el 16 y 17 de octubre de 2017.</w:t>
      </w:r>
    </w:p>
  </w:footnote>
  <w:footnote w:id="279">
    <w:p w14:paraId="129EC6FA" w14:textId="42C52AC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Oficio dirigido al Ministerio de la Familia de 30 de abril de 2002 (expediente de prueba, tomo XVII, anexo 18 a la contestación del Estado, folio 8235).</w:t>
      </w:r>
    </w:p>
  </w:footnote>
  <w:footnote w:id="280">
    <w:p w14:paraId="70441D9D"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Oficio dirigido al Juez Civil del Distrito de 30 de abril de 2002 (expediente de prueba, tomo XVII, anexo 18 a la contestación del Estado, folio 8236).</w:t>
      </w:r>
    </w:p>
  </w:footnote>
  <w:footnote w:id="281">
    <w:p w14:paraId="0031041A" w14:textId="18022804" w:rsidR="007F7D87" w:rsidRPr="009C15B0" w:rsidRDefault="007F7D87" w:rsidP="001E6358">
      <w:pPr>
        <w:pStyle w:val="FootnoteText"/>
        <w:tabs>
          <w:tab w:val="left" w:pos="567"/>
          <w:tab w:val="left" w:pos="709"/>
        </w:tabs>
        <w:spacing w:after="60"/>
        <w:rPr>
          <w:rFonts w:eastAsiaTheme="minorHAnsi" w:cstheme="minorBidi"/>
          <w:sz w:val="16"/>
          <w:szCs w:val="16"/>
          <w:lang w:val="es-CR" w:eastAsia="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Theme="minorHAnsi" w:cstheme="minorBidi"/>
          <w:i/>
          <w:sz w:val="16"/>
          <w:szCs w:val="16"/>
          <w:lang w:val="es-CR" w:eastAsia="en-US"/>
        </w:rPr>
        <w:t>Cfr. Caso del Tribunal Constitucional Vs. Perú. Fondo, Reparaciones y Costas</w:t>
      </w:r>
      <w:r w:rsidRPr="009C15B0">
        <w:rPr>
          <w:rFonts w:eastAsiaTheme="minorHAnsi" w:cstheme="minorBidi"/>
          <w:sz w:val="16"/>
          <w:szCs w:val="16"/>
          <w:lang w:val="es-CR" w:eastAsia="en-US"/>
        </w:rPr>
        <w:t xml:space="preserve">. Sentencia de 31 de enero de 2001. Serie C No. 71, párr. 69, y </w:t>
      </w:r>
      <w:r w:rsidRPr="009C15B0">
        <w:rPr>
          <w:rFonts w:eastAsiaTheme="minorHAnsi" w:cstheme="minorBidi"/>
          <w:i/>
          <w:sz w:val="16"/>
          <w:szCs w:val="16"/>
          <w:lang w:val="es-CR" w:eastAsia="en-US"/>
        </w:rPr>
        <w:t>Caso Pollo Rivera y otros Vs. Perú. Fondo, Reparaciones y Costas</w:t>
      </w:r>
      <w:r w:rsidRPr="009C15B0">
        <w:rPr>
          <w:rFonts w:eastAsiaTheme="minorHAnsi" w:cstheme="minorBidi"/>
          <w:sz w:val="16"/>
          <w:szCs w:val="16"/>
          <w:lang w:val="es-CR" w:eastAsia="en-US"/>
        </w:rPr>
        <w:t>. Sentencia de 21 de octubre de 2016. Serie C No. 319, párr. 209.</w:t>
      </w:r>
    </w:p>
  </w:footnote>
  <w:footnote w:id="282">
    <w:p w14:paraId="73771ADB" w14:textId="7398100D"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Excepciones al Agotamiento de los Recursos Internos (arts. 46.1, 46.2.a y 46.2.b, Convención Americana sobre Derechos Humanos). </w:t>
      </w:r>
      <w:r w:rsidRPr="009C15B0">
        <w:rPr>
          <w:sz w:val="16"/>
          <w:szCs w:val="16"/>
          <w:lang w:val="es-CR"/>
        </w:rPr>
        <w:t xml:space="preserve">Opinión Consultiva OC-11/90 de 10 de agosto de 1990. Serie A No. 11, párr. 28, y </w:t>
      </w:r>
      <w:r w:rsidRPr="009C15B0">
        <w:rPr>
          <w:rFonts w:cs="Courier New"/>
          <w:i/>
          <w:sz w:val="16"/>
          <w:szCs w:val="16"/>
          <w:lang w:val="es-CR"/>
        </w:rPr>
        <w:t>Caso Ruano Torres y otros Vs. El Salvador. Fondo, Reparaciones y Costas</w:t>
      </w:r>
      <w:r w:rsidRPr="009C15B0">
        <w:rPr>
          <w:rFonts w:cs="Courier New"/>
          <w:sz w:val="16"/>
          <w:szCs w:val="16"/>
          <w:lang w:val="es-CR"/>
        </w:rPr>
        <w:t>. Sentencia de 5 de octubre de 2015. Serie C No. 303, párr. 152.</w:t>
      </w:r>
    </w:p>
  </w:footnote>
  <w:footnote w:id="283">
    <w:p w14:paraId="3B4E335B" w14:textId="14B46FC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García Ibarra y otros Vs. Ecuador</w:t>
      </w:r>
      <w:r w:rsidRPr="009C15B0">
        <w:rPr>
          <w:sz w:val="16"/>
          <w:szCs w:val="16"/>
          <w:lang w:val="es-CR"/>
        </w:rPr>
        <w:t xml:space="preserve">. </w:t>
      </w:r>
      <w:r w:rsidRPr="009C15B0">
        <w:rPr>
          <w:i/>
          <w:sz w:val="16"/>
          <w:szCs w:val="16"/>
          <w:lang w:val="es-CR"/>
        </w:rPr>
        <w:t>Excepciones Preliminares, Fondo, Reparaciones y Costas</w:t>
      </w:r>
      <w:r w:rsidRPr="009C15B0">
        <w:rPr>
          <w:sz w:val="16"/>
          <w:szCs w:val="16"/>
          <w:lang w:val="es-CR"/>
        </w:rPr>
        <w:t>. Sentencia de 17 de noviembre de 2015. Serie C No. 306,</w:t>
      </w:r>
      <w:r w:rsidRPr="009C15B0">
        <w:rPr>
          <w:i/>
          <w:sz w:val="16"/>
          <w:szCs w:val="16"/>
          <w:lang w:val="es-CR"/>
        </w:rPr>
        <w:t xml:space="preserve"> </w:t>
      </w:r>
      <w:r w:rsidRPr="009C15B0">
        <w:rPr>
          <w:sz w:val="16"/>
          <w:szCs w:val="16"/>
          <w:lang w:val="es-CR"/>
        </w:rPr>
        <w:t xml:space="preserve">párrs. 156 y 157, y </w:t>
      </w:r>
      <w:r w:rsidRPr="009C15B0">
        <w:rPr>
          <w:i/>
          <w:sz w:val="16"/>
          <w:szCs w:val="16"/>
          <w:lang w:val="es-CR"/>
        </w:rPr>
        <w:t>Caso Acosta y otros Vs. Nicaragua, supra</w:t>
      </w:r>
      <w:r w:rsidRPr="009C15B0">
        <w:rPr>
          <w:sz w:val="16"/>
          <w:szCs w:val="16"/>
          <w:lang w:val="es-CR"/>
        </w:rPr>
        <w:t>, párr. 133.</w:t>
      </w:r>
    </w:p>
  </w:footnote>
  <w:footnote w:id="284">
    <w:p w14:paraId="4214EC38"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Caso Fermín Ramírez Vs. Guatemala. Fondo, Reparaciones y Costas</w:t>
      </w:r>
      <w:r w:rsidRPr="009C15B0">
        <w:rPr>
          <w:sz w:val="16"/>
          <w:szCs w:val="16"/>
          <w:lang w:val="es-CR"/>
        </w:rPr>
        <w:t>. Sentencia de 20 de junio de 2005. Serie C No. 126, párr. 66.</w:t>
      </w:r>
    </w:p>
  </w:footnote>
  <w:footnote w:id="285">
    <w:p w14:paraId="37B70918" w14:textId="64288B0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TEDH, </w:t>
      </w:r>
      <w:r w:rsidRPr="009C15B0">
        <w:rPr>
          <w:i/>
          <w:sz w:val="16"/>
          <w:szCs w:val="16"/>
          <w:lang w:val="es-CR"/>
        </w:rPr>
        <w:t>Caso</w:t>
      </w:r>
      <w:r w:rsidRPr="009C15B0">
        <w:rPr>
          <w:sz w:val="16"/>
          <w:szCs w:val="16"/>
          <w:lang w:val="es-CR"/>
        </w:rPr>
        <w:t xml:space="preserve"> </w:t>
      </w:r>
      <w:r w:rsidRPr="009C15B0">
        <w:rPr>
          <w:i/>
          <w:sz w:val="16"/>
          <w:szCs w:val="16"/>
          <w:lang w:val="es-CR" w:eastAsia="en-US"/>
        </w:rPr>
        <w:t>Taxquet Vs. Bélgica</w:t>
      </w:r>
      <w:r w:rsidRPr="009C15B0" w:rsidDel="00FD5E2A">
        <w:rPr>
          <w:sz w:val="16"/>
          <w:szCs w:val="16"/>
          <w:lang w:val="es-CR"/>
        </w:rPr>
        <w:t xml:space="preserve"> </w:t>
      </w:r>
      <w:r w:rsidRPr="009C15B0">
        <w:rPr>
          <w:sz w:val="16"/>
          <w:szCs w:val="16"/>
          <w:lang w:val="es-CR"/>
        </w:rPr>
        <w:t xml:space="preserve">[GS], No. 926/05. Sentencia de 16 de noviembre de 2010, párr. 83. Véase también, TEDH, Caso </w:t>
      </w:r>
      <w:r w:rsidRPr="009C15B0">
        <w:rPr>
          <w:i/>
          <w:sz w:val="16"/>
          <w:szCs w:val="16"/>
          <w:lang w:val="es-CR"/>
        </w:rPr>
        <w:t>Achour Vs. Francia</w:t>
      </w:r>
      <w:r w:rsidRPr="009C15B0">
        <w:rPr>
          <w:sz w:val="16"/>
          <w:szCs w:val="16"/>
          <w:lang w:val="es-CR"/>
        </w:rPr>
        <w:t xml:space="preserve"> [GS], No. 67335/01. Sentencia de 29 de marzo de 2006, párr. 51.</w:t>
      </w:r>
    </w:p>
  </w:footnote>
  <w:footnote w:id="286">
    <w:p w14:paraId="03E4B504" w14:textId="54B6CF9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TEDH, </w:t>
      </w:r>
      <w:r w:rsidRPr="009C15B0">
        <w:rPr>
          <w:i/>
          <w:sz w:val="16"/>
          <w:szCs w:val="16"/>
          <w:lang w:val="es-CR"/>
        </w:rPr>
        <w:t>Caso</w:t>
      </w:r>
      <w:r w:rsidRPr="009C15B0">
        <w:rPr>
          <w:sz w:val="16"/>
          <w:szCs w:val="16"/>
          <w:lang w:val="es-CR"/>
        </w:rPr>
        <w:t xml:space="preserve"> </w:t>
      </w:r>
      <w:r w:rsidRPr="009C15B0">
        <w:rPr>
          <w:i/>
          <w:sz w:val="16"/>
          <w:szCs w:val="16"/>
          <w:lang w:val="es-CR" w:eastAsia="en-US"/>
        </w:rPr>
        <w:t>Taxquet Vs. Bélgica</w:t>
      </w:r>
      <w:r w:rsidRPr="009C15B0" w:rsidDel="00FD5E2A">
        <w:rPr>
          <w:sz w:val="16"/>
          <w:szCs w:val="16"/>
          <w:lang w:val="es-CR"/>
        </w:rPr>
        <w:t xml:space="preserve"> </w:t>
      </w:r>
      <w:r w:rsidRPr="009C15B0">
        <w:rPr>
          <w:sz w:val="16"/>
          <w:szCs w:val="16"/>
          <w:lang w:val="es-CR"/>
        </w:rPr>
        <w:t xml:space="preserve">[GS], </w:t>
      </w:r>
      <w:r w:rsidRPr="009C15B0">
        <w:rPr>
          <w:i/>
          <w:sz w:val="16"/>
          <w:szCs w:val="16"/>
          <w:lang w:val="es-CR"/>
        </w:rPr>
        <w:t>supra</w:t>
      </w:r>
      <w:r w:rsidRPr="009C15B0">
        <w:rPr>
          <w:sz w:val="16"/>
          <w:szCs w:val="16"/>
          <w:lang w:val="es-CR"/>
        </w:rPr>
        <w:t>, párr. 84.</w:t>
      </w:r>
    </w:p>
  </w:footnote>
  <w:footnote w:id="287">
    <w:p w14:paraId="7800FF04" w14:textId="783317F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Comité Derechos Humanos, </w:t>
      </w:r>
      <w:r w:rsidRPr="009C15B0">
        <w:rPr>
          <w:i/>
          <w:sz w:val="16"/>
          <w:szCs w:val="16"/>
          <w:lang w:val="es-CR"/>
        </w:rPr>
        <w:t>Saso John Wilson c. Australia</w:t>
      </w:r>
      <w:r w:rsidRPr="009C15B0">
        <w:rPr>
          <w:sz w:val="16"/>
          <w:szCs w:val="16"/>
          <w:lang w:val="es-CR"/>
        </w:rPr>
        <w:t xml:space="preserve"> (Comunicación No. 1239/2004). Decisión sobre la admisibilidad adoptada el 1 de abril de 2004, UN Doc. CCPR/C/80/D/1239/2004, 29 de abril de 2004, párr. 4.4. Véase también, Comité de Derechos Humanos, </w:t>
      </w:r>
      <w:r w:rsidRPr="009C15B0">
        <w:rPr>
          <w:i/>
          <w:iCs/>
          <w:sz w:val="16"/>
          <w:szCs w:val="16"/>
          <w:lang w:val="es-CR"/>
        </w:rPr>
        <w:t>Kavanagh c. Irlanda</w:t>
      </w:r>
      <w:r w:rsidRPr="009C15B0">
        <w:rPr>
          <w:sz w:val="16"/>
          <w:szCs w:val="16"/>
          <w:lang w:val="es-CR"/>
        </w:rPr>
        <w:t xml:space="preserve"> (Comunicación No. 819/1998), UN Doc. CCPR/C/71/D/819/1998, dictamen adoptado el 4 de abril de 2001, párr. 10.1.</w:t>
      </w:r>
    </w:p>
  </w:footnote>
  <w:footnote w:id="288">
    <w:p w14:paraId="59442EDE" w14:textId="043BE4D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Antigua y Barbuda, Argentina (el sistema se aplica en tres de las 23 provincias que la conforman, esto es Buenos Aires, Córdoba y Neuquén, mientras que en otras dos provincias, Río Negro y Chaco, aún se encuentra en fase de implementación, y existen proyectos para hacerlo extensivo a otras), Bahamas, Barbados, Belice, Bolivia, Brasil, Canadá, Estados Unidos, Dominica, El Salvador, Granada, Haití, Jamaica, Nicaragua, Panamá, San Vicente y las Granadinas, Santa Lucia, Trinidad y Tobago, San Cristóbal y Nieves, y Guyana.</w:t>
      </w:r>
    </w:p>
  </w:footnote>
  <w:footnote w:id="289">
    <w:p w14:paraId="27C6E29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 caracteriza porque los legos y el juez técnico tienen funciones diferentes. Le corresponde a los primeros deliberar y emitir un veredicto de culpabilidad o inocencia, y al segundo determinar la sentencia aplicable en caso que el jurado encuentre al acusado culpable.</w:t>
      </w:r>
    </w:p>
  </w:footnote>
  <w:footnote w:id="290">
    <w:p w14:paraId="51CA6F76" w14:textId="3E7F857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Excepciones al Agotamiento de los Recursos Internos</w:t>
      </w:r>
      <w:r w:rsidRPr="009C15B0">
        <w:rPr>
          <w:sz w:val="16"/>
          <w:szCs w:val="16"/>
          <w:lang w:val="es-CR"/>
        </w:rPr>
        <w:t xml:space="preserve"> </w:t>
      </w:r>
      <w:r w:rsidRPr="009C15B0">
        <w:rPr>
          <w:i/>
          <w:sz w:val="16"/>
          <w:szCs w:val="16"/>
          <w:lang w:val="es-CR"/>
        </w:rPr>
        <w:t>(arts. 46.1, 46.2.a y 46.2.b Convención Americana sobre Derechos Humanos).</w:t>
      </w:r>
      <w:r w:rsidRPr="009C15B0">
        <w:rPr>
          <w:sz w:val="16"/>
          <w:szCs w:val="16"/>
          <w:lang w:val="es-CR"/>
        </w:rPr>
        <w:t xml:space="preserve"> Opinión Consultiva OC-11/90</w:t>
      </w:r>
      <w:r w:rsidRPr="009C15B0">
        <w:rPr>
          <w:i/>
          <w:sz w:val="16"/>
          <w:szCs w:val="16"/>
          <w:lang w:val="es-CR"/>
        </w:rPr>
        <w:t>, supra</w:t>
      </w:r>
      <w:r w:rsidRPr="009C15B0">
        <w:rPr>
          <w:sz w:val="16"/>
          <w:szCs w:val="16"/>
          <w:lang w:val="es-CR"/>
        </w:rPr>
        <w:t>, párr. 28.</w:t>
      </w:r>
    </w:p>
  </w:footnote>
  <w:footnote w:id="291">
    <w:p w14:paraId="5E22F029" w14:textId="5B57948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166 de la Constitución Política de Nicaragua (expediente de prueba, tomo XVII, anexo 1 a la contestación, folio 8017).</w:t>
      </w:r>
    </w:p>
  </w:footnote>
  <w:footnote w:id="292">
    <w:p w14:paraId="7D643D1E" w14:textId="21171C2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Dicho cuerpo normativo estuvo vigente desde el año 1879 hasta la entrada en vigencia del Código Procesal Penal el 23 de diciembre de 2002, conforme a lo señalado por el Estado.</w:t>
      </w:r>
    </w:p>
  </w:footnote>
  <w:footnote w:id="293">
    <w:p w14:paraId="09899B24" w14:textId="3B2B118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22 del Código de Instrucción Criminal (expediente de prueba, tomo XVII, anexo 2 a la contestación, folio 8028).</w:t>
      </w:r>
    </w:p>
  </w:footnote>
  <w:footnote w:id="294">
    <w:p w14:paraId="7F1175A3" w14:textId="74574B4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23 del Código de Instrucción Criminal (expediente de prueba, tomo XVII, anexo 2 a la contestación, folio 8028).</w:t>
      </w:r>
    </w:p>
  </w:footnote>
  <w:footnote w:id="295">
    <w:p w14:paraId="5BDAEBF1" w14:textId="5A8E8F2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274 del Código de Instrucción Criminal (expediente de prueba, tomo XVII, anexo 2 a la contestación, folio 8066).</w:t>
      </w:r>
    </w:p>
  </w:footnote>
  <w:footnote w:id="296">
    <w:p w14:paraId="789A74F5" w14:textId="6DD0313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275 del Código de Instrucción Criminal (expediente de prueba, tomo XVII, anexo 2 a la contestación, folio 8066).</w:t>
      </w:r>
    </w:p>
  </w:footnote>
  <w:footnote w:id="297">
    <w:p w14:paraId="5885D73C" w14:textId="3410052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275 del Código de Instrucción Criminal (expediente de prueba, tomo XVII, anexo 2 a la contestación, folio 8066).</w:t>
      </w:r>
    </w:p>
  </w:footnote>
  <w:footnote w:id="298">
    <w:p w14:paraId="219EF8EF" w14:textId="778F1A4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277 del Código de Instrucción Criminal (expediente de prueba, tomo XVII, anexo 2 a la contestación, folio 8066).</w:t>
      </w:r>
    </w:p>
  </w:footnote>
  <w:footnote w:id="299">
    <w:p w14:paraId="6AC09E05" w14:textId="235A598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277 del Código de Instrucción Criminal (expediente de prueba, tomo XVII, anexo 2 a la contestación, folio 8066).</w:t>
      </w:r>
    </w:p>
  </w:footnote>
  <w:footnote w:id="300">
    <w:p w14:paraId="7A7B24AB" w14:textId="293D6AA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278 y 284 del Código de Instrucción Criminal (expediente de prueba, tomo XVII, anexo 2 a la contestación, folios 8066 a 8067).</w:t>
      </w:r>
    </w:p>
  </w:footnote>
  <w:footnote w:id="301">
    <w:p w14:paraId="613AA1D0" w14:textId="2E5CABF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282 del Código de Instrucción Criminal (expediente de prueba, tomo XVII, anexo 2 a la contestación, folio 8067).</w:t>
      </w:r>
    </w:p>
  </w:footnote>
  <w:footnote w:id="302">
    <w:p w14:paraId="505B7681" w14:textId="6B4975D6" w:rsidR="007F7D87" w:rsidRPr="009C15B0" w:rsidRDefault="007F7D87" w:rsidP="001E6358">
      <w:pPr>
        <w:pStyle w:val="FootnoteText"/>
        <w:tabs>
          <w:tab w:val="left" w:pos="567"/>
        </w:tabs>
        <w:spacing w:after="60"/>
        <w:rPr>
          <w:bCs/>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w:t>
      </w:r>
      <w:r w:rsidRPr="009C15B0">
        <w:rPr>
          <w:bCs/>
          <w:sz w:val="16"/>
          <w:szCs w:val="16"/>
          <w:lang w:val="es-CR"/>
        </w:rPr>
        <w:t xml:space="preserve"> 290 del Código de Instrucción Criminal dispone que: </w:t>
      </w:r>
    </w:p>
    <w:p w14:paraId="2FFB4171" w14:textId="1ACA55F3"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Una vez reunidos los jurados, el Juez recibirá la promesa de todos ellos en la forma siguiente: “¿Prometéis delante de Dios y delante de los hombres, examinar con escrupulosa atención el proceso que se os va a someter; no traicionar ni los intereses del acusado ni los de la sociedad que le acusa; no dejaros llevar por el odio, ni por la antipatía, por la malevolencia, por el temor ni por el afecto; resolver siguiendo vuestra conciencia e íntima convicción con la imparcialidad y firmeza que conviene a un hombre probo y libre?”. Cada uno de los jurados llamados individualmente por el Juez responderá: “Lo prometo”. (Arto. 24 de la misma Ley).</w:t>
      </w:r>
    </w:p>
    <w:p w14:paraId="215EA5C5" w14:textId="08F4611E" w:rsidR="007F7D87" w:rsidRPr="009C15B0" w:rsidRDefault="007F7D87" w:rsidP="001E6358">
      <w:pPr>
        <w:pStyle w:val="FootnoteText"/>
        <w:tabs>
          <w:tab w:val="left" w:pos="567"/>
        </w:tabs>
        <w:spacing w:after="60"/>
        <w:rPr>
          <w:sz w:val="16"/>
          <w:szCs w:val="16"/>
          <w:lang w:val="es-CR"/>
        </w:rPr>
      </w:pPr>
      <w:r w:rsidRPr="009C15B0">
        <w:rPr>
          <w:sz w:val="16"/>
          <w:szCs w:val="16"/>
          <w:lang w:val="es-CR"/>
        </w:rPr>
        <w:t>(expediente de prueba, tomo XVII, anexo 2 a la contestación, folio 8068).</w:t>
      </w:r>
    </w:p>
  </w:footnote>
  <w:footnote w:id="303">
    <w:p w14:paraId="470A3E0C" w14:textId="4033EBA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291 del Código de Instrucción Criminal (expediente de prueba, tomo XVII, anexo 2 a la contestación, folio 8068).</w:t>
      </w:r>
    </w:p>
  </w:footnote>
  <w:footnote w:id="304">
    <w:p w14:paraId="6EFB3723" w14:textId="55C752B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292 a 303 del Código de Instrucción Criminal (expediente de prueba, tomo XVII, anexo 2 a la contestación, folios 8068 a 8069).</w:t>
      </w:r>
    </w:p>
  </w:footnote>
  <w:footnote w:id="305">
    <w:p w14:paraId="367F1F52" w14:textId="45F04B0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304 y 306 del Código de Instrucción Criminal (expediente de prueba, tomo XVII, anexo 2 a la contestación, folios 8069 a 8070).</w:t>
      </w:r>
    </w:p>
  </w:footnote>
  <w:footnote w:id="306">
    <w:p w14:paraId="73375EA7" w14:textId="7A7C681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305 del Código de Instrucción Criminal (expediente de prueba, tomo XVII, anexo 2 a la contestación, folio 8069).</w:t>
      </w:r>
    </w:p>
  </w:footnote>
  <w:footnote w:id="307">
    <w:p w14:paraId="45E14BF4" w14:textId="7A08017B"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307 del Código de Instrucción Criminal (expediente de prueba, tomo XVII, anexo 2 a la contestación, folio 8070).</w:t>
      </w:r>
    </w:p>
  </w:footnote>
  <w:footnote w:id="308">
    <w:p w14:paraId="6F2BAE33" w14:textId="202DC69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307 del Código de Instrucción Criminal (expediente de prueba, tomo XVII, anexo 2 a la contestación, folio 8070).</w:t>
      </w:r>
    </w:p>
  </w:footnote>
  <w:footnote w:id="309">
    <w:p w14:paraId="673AE1F6" w14:textId="154A61C0" w:rsidR="007F7D87" w:rsidRPr="009C15B0" w:rsidRDefault="007F7D87" w:rsidP="001E6358">
      <w:pPr>
        <w:pStyle w:val="FootnoteText"/>
        <w:tabs>
          <w:tab w:val="left" w:pos="567"/>
        </w:tabs>
        <w:spacing w:after="60"/>
        <w:rPr>
          <w:bCs/>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w:t>
      </w:r>
      <w:r w:rsidRPr="009C15B0">
        <w:rPr>
          <w:bCs/>
          <w:sz w:val="16"/>
          <w:szCs w:val="16"/>
          <w:lang w:val="es-CR"/>
        </w:rPr>
        <w:t xml:space="preserve"> 309 del Código de Instrucción Criminal dispone que: </w:t>
      </w:r>
    </w:p>
    <w:p w14:paraId="79C6BD34" w14:textId="2633647E"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El veredicto se escribirá en la siguiente e indispensable fórmula: “En la ciudad de ... (Nombre de la ciudad, la hora, fecha, mes y año). El jurado, habiendo examinado la presente causa, declara: (si es absolviendo) que fulano o fulanos es o no inocentes del delito o delitos, falta o faltas porque les ha proveído auto de prisión: (si es condenatorio) que fulano o fulanos es o son culpables del delito o delitos, falta o faltas, porque se les ha proveído auto de prisión, fulano su cómplice y fulano su encubridor”. Si se absuelve por un delito o falta y se condena por otro u otra, deben designarse claramente ambos. (Arto. 43 de la misma Ley).</w:t>
      </w:r>
    </w:p>
    <w:p w14:paraId="462612DF" w14:textId="3F562488" w:rsidR="007F7D87" w:rsidRPr="009C15B0" w:rsidRDefault="007F7D87" w:rsidP="001E6358">
      <w:pPr>
        <w:pStyle w:val="FootnoteText"/>
        <w:tabs>
          <w:tab w:val="left" w:pos="567"/>
        </w:tabs>
        <w:spacing w:after="60"/>
        <w:rPr>
          <w:sz w:val="16"/>
          <w:szCs w:val="16"/>
          <w:lang w:val="es-CR"/>
        </w:rPr>
      </w:pPr>
      <w:r w:rsidRPr="009C15B0">
        <w:rPr>
          <w:sz w:val="16"/>
          <w:szCs w:val="16"/>
          <w:lang w:val="es-CR"/>
        </w:rPr>
        <w:t>(expediente de prueba, tomo XVII, anexo 2 a la contestación, folio 8070).</w:t>
      </w:r>
    </w:p>
  </w:footnote>
  <w:footnote w:id="310">
    <w:p w14:paraId="58557CA2" w14:textId="44F7192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310 y 311 del Código de Instrucción Criminal (expediente de prueba, tomo XVII, anexo 2 a la contestación, folio 8070).</w:t>
      </w:r>
    </w:p>
  </w:footnote>
  <w:footnote w:id="311">
    <w:p w14:paraId="629B3FB8" w14:textId="17277E5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321 del Código de Instrucción Criminal (expediente de prueba, tomo XVII, anexo 2 a la contestación, folio 8072).</w:t>
      </w:r>
    </w:p>
  </w:footnote>
  <w:footnote w:id="312">
    <w:p w14:paraId="78E8731F" w14:textId="3422167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322 del Código de Instrucción Criminal (expediente de prueba, tomo XVII, anexo 2 a la contestación, folio 8072).</w:t>
      </w:r>
    </w:p>
  </w:footnote>
  <w:footnote w:id="313">
    <w:p w14:paraId="08956114" w14:textId="1AC3FE7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326 del Código de Instrucción Criminal (expediente de prueba, tomo XVII, anexo 2 a la contestación, folio 8073).</w:t>
      </w:r>
    </w:p>
  </w:footnote>
  <w:footnote w:id="314">
    <w:p w14:paraId="65B9F6A2" w14:textId="4AB84B9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Artículo 444 del Código de Instrucción Criminal (expediente de prueba, tomo XVII, anexo 2 a la contestación, folios 8090 a 8091).</w:t>
      </w:r>
    </w:p>
  </w:footnote>
  <w:footnote w:id="315">
    <w:p w14:paraId="2A3791CD" w14:textId="5334FD8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446 del Código de Instrucción Criminal (expediente de prueba, tomo XVII, anexo 2 a la contestación, folio 8091).</w:t>
      </w:r>
    </w:p>
  </w:footnote>
  <w:footnote w:id="316">
    <w:p w14:paraId="30E11CFF" w14:textId="655D37F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Considerando I de la Ley N° 779,</w:t>
      </w:r>
      <w:r w:rsidRPr="009C15B0">
        <w:rPr>
          <w:sz w:val="16"/>
          <w:szCs w:val="16"/>
          <w:lang w:val="es-CR" w:eastAsia="es-CR"/>
        </w:rPr>
        <w:t xml:space="preserve"> </w:t>
      </w:r>
      <w:r w:rsidRPr="009C15B0">
        <w:rPr>
          <w:sz w:val="16"/>
          <w:szCs w:val="16"/>
          <w:lang w:val="es-CR"/>
        </w:rPr>
        <w:t>“Ley Integral Contra la Violencia hacia las Mujeres y de Reformas a la Ley No. 641, ‘Código Penal’” (expediente de prueba, tomo XX, anexo 3 de la prueba para mejor resolver, folio 9457).</w:t>
      </w:r>
    </w:p>
  </w:footnote>
  <w:footnote w:id="317">
    <w:p w14:paraId="5DDBFC0C" w14:textId="0AFCC9D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artículo 30 de la Ley N° 779 establece lo siguiente: </w:t>
      </w:r>
    </w:p>
    <w:p w14:paraId="47222CF7" w14:textId="7DC9A137"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Órganos especializados.- Créense los Juzgados de Distrito Especializados en Violencia, integrados por un Juez o Jueza especializada en la materia. Deberá existir como mínimo un Juzgado de Distrito Especializado en Violencia en cada cabecera departamental y Regiones Autónomas y en los municipios en que, por su ubicación, sea difícil el acceso a los Juzgados ubicados en las cabeceras departamentales.</w:t>
      </w:r>
    </w:p>
    <w:p w14:paraId="4C727B4C" w14:textId="749C382E" w:rsidR="007F7D87" w:rsidRPr="009C15B0" w:rsidRDefault="007F7D87" w:rsidP="001E6358">
      <w:pPr>
        <w:pStyle w:val="FootnoteText"/>
        <w:tabs>
          <w:tab w:val="left" w:pos="567"/>
        </w:tabs>
        <w:spacing w:after="60"/>
        <w:ind w:left="567"/>
        <w:rPr>
          <w:sz w:val="16"/>
          <w:szCs w:val="16"/>
          <w:lang w:val="es-CR"/>
        </w:rPr>
      </w:pPr>
      <w:r w:rsidRPr="009C15B0">
        <w:rPr>
          <w:sz w:val="16"/>
          <w:szCs w:val="16"/>
          <w:lang w:val="es-CR"/>
        </w:rPr>
        <w:t>Adscritos a los Juzgados de Distrito Especializado en Violencia, se crearán equipos interdisciplinarios integrados al menos por una psicóloga y una trabajadora social, encargados de brindar asistencia especializada a las víctimas, en apoyo a la función jurisdiccional en las audiencias; y para brindar seguimiento y control de las medidas de protección impuestas por el juzgado.</w:t>
      </w:r>
    </w:p>
    <w:p w14:paraId="003945FA" w14:textId="0CE8E669" w:rsidR="007F7D87" w:rsidRPr="009C15B0" w:rsidRDefault="007F7D87" w:rsidP="001E6358">
      <w:pPr>
        <w:pStyle w:val="FootnoteText"/>
        <w:tabs>
          <w:tab w:val="left" w:pos="567"/>
        </w:tabs>
        <w:spacing w:after="60"/>
        <w:rPr>
          <w:sz w:val="16"/>
          <w:szCs w:val="16"/>
          <w:lang w:val="es-CR"/>
        </w:rPr>
      </w:pPr>
      <w:r w:rsidRPr="009C15B0">
        <w:rPr>
          <w:sz w:val="16"/>
          <w:szCs w:val="16"/>
          <w:lang w:val="es-CR"/>
        </w:rPr>
        <w:t>(expediente de prueba, tomo XX, anexo 3 de la prueba para mejor resolver, folio 9464).</w:t>
      </w:r>
    </w:p>
  </w:footnote>
  <w:footnote w:id="318">
    <w:p w14:paraId="5EF0E002" w14:textId="24491A52"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56 de la Ley N° 779 dispone que: “[s]e realizará con Jueza o Juez técnico los juicios por los delitos a los que se refiere la presente Ley” (expediente de prueba, tomo XX, anexo 3 de la prueba para mejor resolver, folio 9468).</w:t>
      </w:r>
    </w:p>
  </w:footnote>
  <w:footnote w:id="319">
    <w:p w14:paraId="59CE9EEB" w14:textId="11C7203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i/>
          <w:sz w:val="16"/>
          <w:szCs w:val="16"/>
          <w:lang w:val="es-CR"/>
        </w:rPr>
        <w:tab/>
        <w:t xml:space="preserve">Cfr. Caso Apitz Barbera y otros (“Corte Primera de lo Contencioso Administrativo”) Vs. Venezuela. Excepción Preliminar, Fondo, Reparaciones y Costas. </w:t>
      </w:r>
      <w:r w:rsidRPr="009C15B0">
        <w:rPr>
          <w:iCs/>
          <w:sz w:val="16"/>
          <w:szCs w:val="16"/>
          <w:lang w:val="es-CR"/>
        </w:rPr>
        <w:t xml:space="preserve">Sentencia de 5 de agosto de 2008. Serie C </w:t>
      </w:r>
      <w:r w:rsidRPr="009C15B0">
        <w:rPr>
          <w:bCs/>
          <w:iCs/>
          <w:sz w:val="16"/>
          <w:szCs w:val="16"/>
          <w:lang w:val="es-CR"/>
        </w:rPr>
        <w:t>No. 182</w:t>
      </w:r>
      <w:r w:rsidRPr="009C15B0">
        <w:rPr>
          <w:iCs/>
          <w:sz w:val="16"/>
          <w:szCs w:val="16"/>
          <w:lang w:val="es-CR"/>
        </w:rPr>
        <w:t>, párr. 56,</w:t>
      </w:r>
      <w:r w:rsidRPr="009C15B0">
        <w:rPr>
          <w:i/>
          <w:sz w:val="16"/>
          <w:szCs w:val="16"/>
          <w:lang w:val="es-CR"/>
        </w:rPr>
        <w:t xml:space="preserve"> </w:t>
      </w:r>
      <w:r w:rsidRPr="009C15B0">
        <w:rPr>
          <w:sz w:val="16"/>
          <w:szCs w:val="16"/>
          <w:lang w:val="es-CR"/>
        </w:rPr>
        <w:t>y</w:t>
      </w:r>
      <w:r w:rsidRPr="009C15B0">
        <w:rPr>
          <w:i/>
          <w:sz w:val="16"/>
          <w:szCs w:val="16"/>
          <w:lang w:val="es-CR"/>
        </w:rPr>
        <w:t xml:space="preserve"> Caso Acosta y otros Vs. Nicaragua, supra</w:t>
      </w:r>
      <w:r w:rsidRPr="009C15B0">
        <w:rPr>
          <w:sz w:val="16"/>
          <w:szCs w:val="16"/>
          <w:lang w:val="es-CR"/>
        </w:rPr>
        <w:t>, párr. 172.</w:t>
      </w:r>
    </w:p>
  </w:footnote>
  <w:footnote w:id="320">
    <w:p w14:paraId="66B37051" w14:textId="6D77D69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Apitz Barbera y otros (“Corte Primera de lo Contencioso Administrativo”) Vs. Venezuela, supra</w:t>
      </w:r>
      <w:r w:rsidRPr="009C15B0">
        <w:rPr>
          <w:sz w:val="16"/>
          <w:szCs w:val="16"/>
          <w:lang w:val="es-CR"/>
        </w:rPr>
        <w:t>, párr. 56,</w:t>
      </w:r>
      <w:r w:rsidRPr="009C15B0">
        <w:rPr>
          <w:i/>
          <w:sz w:val="16"/>
          <w:szCs w:val="16"/>
          <w:lang w:val="es-CR"/>
        </w:rPr>
        <w:t xml:space="preserve"> </w:t>
      </w:r>
      <w:r w:rsidRPr="009C15B0">
        <w:rPr>
          <w:sz w:val="16"/>
          <w:szCs w:val="16"/>
          <w:lang w:val="es-CR"/>
        </w:rPr>
        <w:t xml:space="preserve">y </w:t>
      </w:r>
      <w:r w:rsidRPr="009C15B0">
        <w:rPr>
          <w:i/>
          <w:sz w:val="16"/>
          <w:szCs w:val="16"/>
          <w:lang w:val="es-CR"/>
        </w:rPr>
        <w:t>Caso Acosta y otros Vs. Nicaragua, supra</w:t>
      </w:r>
      <w:r w:rsidRPr="009C15B0">
        <w:rPr>
          <w:sz w:val="16"/>
          <w:szCs w:val="16"/>
          <w:lang w:val="es-CR"/>
        </w:rPr>
        <w:t>, párr. 172.</w:t>
      </w:r>
    </w:p>
  </w:footnote>
  <w:footnote w:id="321">
    <w:p w14:paraId="0CE8B031" w14:textId="3EA41CE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bCs/>
          <w:i/>
          <w:sz w:val="16"/>
          <w:szCs w:val="16"/>
          <w:lang w:val="es-CR"/>
        </w:rPr>
        <w:t>Caso Apitz Barbera y otros (“Corte Primera de lo Contencioso Administrativo”) Vs. Venezuela, supra</w:t>
      </w:r>
      <w:r w:rsidRPr="009C15B0">
        <w:rPr>
          <w:sz w:val="16"/>
          <w:szCs w:val="16"/>
          <w:lang w:val="es-CR"/>
        </w:rPr>
        <w:t xml:space="preserve">, párr. 56, y </w:t>
      </w:r>
      <w:r w:rsidRPr="009C15B0">
        <w:rPr>
          <w:i/>
          <w:sz w:val="16"/>
          <w:szCs w:val="16"/>
          <w:lang w:val="es-CR"/>
        </w:rPr>
        <w:t>Caso López Lone y otros Vs. Honduras</w:t>
      </w:r>
      <w:r w:rsidRPr="009C15B0">
        <w:rPr>
          <w:sz w:val="16"/>
          <w:szCs w:val="16"/>
          <w:lang w:val="es-CR"/>
        </w:rPr>
        <w:t xml:space="preserve">. </w:t>
      </w:r>
      <w:r w:rsidRPr="009C15B0">
        <w:rPr>
          <w:i/>
          <w:sz w:val="16"/>
          <w:szCs w:val="16"/>
          <w:lang w:val="es-CR"/>
        </w:rPr>
        <w:t xml:space="preserve">Excepción Preliminar, Fondo, Reparaciones y Costas. </w:t>
      </w:r>
      <w:r w:rsidRPr="009C15B0">
        <w:rPr>
          <w:sz w:val="16"/>
          <w:szCs w:val="16"/>
          <w:lang w:val="es-CR"/>
        </w:rPr>
        <w:t>Sentencia de 5 de octubre de 2015. Serie C No. 302, párr. 233.</w:t>
      </w:r>
    </w:p>
  </w:footnote>
  <w:footnote w:id="322">
    <w:p w14:paraId="55BBF655" w14:textId="0EB2FB1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En igual sentido se han expedido tanto el Tribunal Europeo de Derechos Humanos como el Comité de Derechos Humanos. </w:t>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Gregory Vs. Reino Unido</w:t>
      </w:r>
      <w:r w:rsidRPr="009C15B0">
        <w:rPr>
          <w:sz w:val="16"/>
          <w:szCs w:val="16"/>
          <w:lang w:val="es-CR"/>
        </w:rPr>
        <w:t xml:space="preserve">, No. 22299/93. Sentencia de 25 de febrero de 1997, párrs. 22 a 25, y </w:t>
      </w:r>
      <w:r w:rsidRPr="009C15B0">
        <w:rPr>
          <w:i/>
          <w:sz w:val="16"/>
          <w:szCs w:val="16"/>
          <w:lang w:val="es-CR"/>
        </w:rPr>
        <w:t>Caso Sanders Vs. Reino Unido</w:t>
      </w:r>
      <w:r w:rsidRPr="009C15B0">
        <w:rPr>
          <w:sz w:val="16"/>
          <w:szCs w:val="16"/>
          <w:lang w:val="es-CR"/>
        </w:rPr>
        <w:t xml:space="preserve">, No. 34129/96. Sentencia de 9 de mayo de 2000, párrs. 22 a 25. Véase también, Comité de Derechos Humanos, Caso </w:t>
      </w:r>
      <w:r w:rsidRPr="009C15B0">
        <w:rPr>
          <w:i/>
          <w:sz w:val="16"/>
          <w:szCs w:val="16"/>
          <w:lang w:val="es-CR"/>
        </w:rPr>
        <w:t>Mulai c. Guayna</w:t>
      </w:r>
      <w:r w:rsidRPr="009C15B0">
        <w:rPr>
          <w:sz w:val="16"/>
          <w:szCs w:val="16"/>
          <w:lang w:val="es-CR"/>
        </w:rPr>
        <w:t xml:space="preserve"> (Comunicación No. 811/1998), UN Doc. CCPR/C/81/D/811/1998, dictamen adoptado el 20 de julio de 2004, párr. 6.1,</w:t>
      </w:r>
      <w:r w:rsidRPr="009C15B0">
        <w:rPr>
          <w:i/>
          <w:sz w:val="16"/>
          <w:szCs w:val="16"/>
          <w:lang w:val="es-CR"/>
        </w:rPr>
        <w:t xml:space="preserve"> </w:t>
      </w:r>
      <w:r w:rsidRPr="009C15B0">
        <w:rPr>
          <w:sz w:val="16"/>
          <w:szCs w:val="16"/>
          <w:lang w:val="es-CR"/>
        </w:rPr>
        <w:t xml:space="preserve">y </w:t>
      </w:r>
      <w:r w:rsidRPr="009C15B0">
        <w:rPr>
          <w:i/>
          <w:sz w:val="16"/>
          <w:szCs w:val="16"/>
          <w:lang w:val="es-CR"/>
        </w:rPr>
        <w:t>Dole Chadee y otros c. Trinidad y Tobago</w:t>
      </w:r>
      <w:r w:rsidRPr="009C15B0">
        <w:rPr>
          <w:sz w:val="16"/>
          <w:szCs w:val="16"/>
          <w:lang w:val="es-CR"/>
        </w:rPr>
        <w:t xml:space="preserve"> (Comunicación No. 813/1998), UN Doc. CCPR/C/63/D/813/1998, dictamen adoptado el 29 de julio de 1998, párr. 10.1.</w:t>
      </w:r>
    </w:p>
  </w:footnote>
  <w:footnote w:id="323">
    <w:p w14:paraId="26E5ED01" w14:textId="74B4FF7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Hanif y Khan Vs. Reino Unido</w:t>
      </w:r>
      <w:r w:rsidRPr="009C15B0">
        <w:rPr>
          <w:sz w:val="16"/>
          <w:szCs w:val="16"/>
          <w:lang w:val="es-CR"/>
        </w:rPr>
        <w:t>, Nos. 52999/08 y 61779/08. Sentencia de 20 de diciembre de 2011, párr. 138.</w:t>
      </w:r>
    </w:p>
  </w:footnote>
  <w:footnote w:id="324">
    <w:p w14:paraId="5DC1F5D6" w14:textId="2F4E2B7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Hanif y Khan Vs. Reino Unido</w:t>
      </w:r>
      <w:r w:rsidRPr="009C15B0">
        <w:rPr>
          <w:sz w:val="16"/>
          <w:szCs w:val="16"/>
          <w:lang w:val="es-CR"/>
        </w:rPr>
        <w:t xml:space="preserve">, </w:t>
      </w:r>
      <w:r w:rsidRPr="009C15B0">
        <w:rPr>
          <w:i/>
          <w:sz w:val="16"/>
          <w:szCs w:val="16"/>
          <w:lang w:val="es-CR"/>
        </w:rPr>
        <w:t>supra</w:t>
      </w:r>
      <w:r w:rsidRPr="009C15B0">
        <w:rPr>
          <w:sz w:val="16"/>
          <w:szCs w:val="16"/>
          <w:lang w:val="es-CR"/>
        </w:rPr>
        <w:t>, párr. 139.</w:t>
      </w:r>
    </w:p>
  </w:footnote>
  <w:footnote w:id="325">
    <w:p w14:paraId="7500EE9A" w14:textId="171CFF7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Hanif y Khan Vs. Reino Unido</w:t>
      </w:r>
      <w:r w:rsidRPr="009C15B0">
        <w:rPr>
          <w:sz w:val="16"/>
          <w:szCs w:val="16"/>
          <w:lang w:val="es-CR"/>
        </w:rPr>
        <w:t xml:space="preserve">, </w:t>
      </w:r>
      <w:r w:rsidRPr="009C15B0">
        <w:rPr>
          <w:i/>
          <w:sz w:val="16"/>
          <w:szCs w:val="16"/>
          <w:lang w:val="es-CR"/>
        </w:rPr>
        <w:t>supra</w:t>
      </w:r>
      <w:r w:rsidRPr="009C15B0">
        <w:rPr>
          <w:sz w:val="16"/>
          <w:szCs w:val="16"/>
          <w:lang w:val="es-CR"/>
        </w:rPr>
        <w:t>, párr. 140.</w:t>
      </w:r>
    </w:p>
  </w:footnote>
  <w:footnote w:id="326">
    <w:p w14:paraId="3FCE7E4F" w14:textId="7D8FB61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 xml:space="preserve">Caso Pabla Ky Vs. Finlandia, </w:t>
      </w:r>
      <w:r w:rsidRPr="009C15B0">
        <w:rPr>
          <w:sz w:val="16"/>
          <w:szCs w:val="16"/>
          <w:lang w:val="es-CR"/>
        </w:rPr>
        <w:t>No. 47221/99. Sentencia de 22 de junio de 2004, párr. 27.</w:t>
      </w:r>
    </w:p>
  </w:footnote>
  <w:footnote w:id="327">
    <w:p w14:paraId="6FD079FB" w14:textId="2ACB530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En el auto de 15 de abril de 2002, la jueza señaló que V.P.C. estuvo representada por su abogado, por lo que no se violó el procedimiento en la desinsaculación. </w:t>
      </w:r>
      <w:r w:rsidRPr="009C15B0">
        <w:rPr>
          <w:i/>
          <w:sz w:val="16"/>
          <w:szCs w:val="16"/>
          <w:lang w:val="es-CR"/>
        </w:rPr>
        <w:t>Cfr.</w:t>
      </w:r>
      <w:r w:rsidRPr="009C15B0">
        <w:rPr>
          <w:sz w:val="16"/>
          <w:szCs w:val="16"/>
          <w:lang w:val="es-CR"/>
        </w:rPr>
        <w:t xml:space="preserve"> Auto emitido por el Juez del Distrito para lo Penal de Jinotega el 15 de abril de 2002 (expediente de prueba, tomo XVI, anexo D.2 al escrito de solicitudes, argumentos y pruebas, folios 7136 a 7137).</w:t>
      </w:r>
    </w:p>
  </w:footnote>
  <w:footnote w:id="328">
    <w:p w14:paraId="2BE497D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Se solicitó el video al Estado como prueba para mejor resolver, el cual aclaró que la ley en aquél momento no establecía la grabación de las audiencias en video. Agregó que estaba imposibilitado de proveer dicho video por el tiempo transcurrido de 15 años desde que se denunció el caso ante la Comisión IDH en el año 2002, hasta esta fecha. Sin embargo, señaló que prueba de que si existió dicho video y que fue inspeccionado por las partes en el proceso es el acta de inspección que el Estado proveyó a la Corte.</w:t>
      </w:r>
    </w:p>
  </w:footnote>
  <w:footnote w:id="329">
    <w:p w14:paraId="7BA28831" w14:textId="63ED28C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La señora V.P.C. señaló que: “[y]a casi cuando llevábamos alrededor de 23-24 horas, entró el secretario, estaba la juez, la que siempre estuvo al frente del caso, que a pesar de que si él dice que si fue recusado o no recusado, ella siempre volvía otra vez, pasaba de jueces en jueces pero los casos siempre se los volvían a pasar a ella y en ese momento llevaron, como lo que se llama una bolsas como plateadas, que se miraba que lo que había eran como fajos de billetes, porque está el video que lo examinó el juez y todo, y se acercó uno de los tantos abogados que tenía el agresor y le dijo: ‘miren señores miembros del jurado, aquí está este sobre para que sea leído en una sesión privada’. Entonces en ese momento, me entiende, se le dijo que por favor mostraran el documento, dijeron que como habían indicado de que se leyera en la sesión privada, tampoco quisieron mostrar lo que había dentro de esa bolsa, pero cuando ellos entraron a deliberar en ese momento ellos llevaban la bolsa y llevaban el documento. Cuando ellos salieron y posterior a eso, la bolsa y el documento tenían que agregarse al documento porque formaban parte del expediente y nunca aparecieron. Y por esa razón es que se había promovido como un incidente de nulidad por el cohecho que era para los miembros del jurado […]. Era una bolsa plateada, o sea cubierta, me entiende, estaba como así sellada, pero se miraba por fuera, porque era una bolsa que contenía dinero y había un video, ese video no sé qué fue lo que pasó con este video pero el video se desapareció en el Juzgado”. Declaración rendida ante la Corte Interamericana por V.P.C. en la audiencia pública celebrada el 16 y 17 de octubre de 2017. Por su parte</w:t>
      </w:r>
      <w:r>
        <w:rPr>
          <w:sz w:val="16"/>
          <w:szCs w:val="16"/>
          <w:lang w:val="es-CR"/>
        </w:rPr>
        <w:t>, la jueza de d</w:t>
      </w:r>
      <w:r w:rsidRPr="009C15B0">
        <w:rPr>
          <w:sz w:val="16"/>
          <w:szCs w:val="16"/>
          <w:lang w:val="es-CR"/>
        </w:rPr>
        <w:t>erecho indicó en su descargo ante la queja pro</w:t>
      </w:r>
      <w:r>
        <w:rPr>
          <w:sz w:val="16"/>
          <w:szCs w:val="16"/>
          <w:lang w:val="es-CR"/>
        </w:rPr>
        <w:t>movida en su contra: “que el d[í]a trece de [a]</w:t>
      </w:r>
      <w:r w:rsidRPr="009C15B0">
        <w:rPr>
          <w:sz w:val="16"/>
          <w:szCs w:val="16"/>
          <w:lang w:val="es-CR"/>
        </w:rPr>
        <w:t>bril entre las diez y treinta y once minutos de la mañana por una necesidad imperiosa de carácter personal ya que me encontraba en mi período menstrual mi esposo hizo llegar una bolsa color gris que decía Lucky Strick con Ropa, un blumer y toallas sanitarias”. Descargo presentado el 29 de enero de 2003 (expediente de prueba, tomo XX, anexo 7.a de la prueba para mejor resolver, folios 9666 a 9669).</w:t>
      </w:r>
    </w:p>
  </w:footnote>
  <w:footnote w:id="330">
    <w:p w14:paraId="254FC5A0" w14:textId="3D723177"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Caso Apitz Barbera y otros (“Corte Primera de lo Contencioso Administrativo”) Vs. Venezuela, supra</w:t>
      </w:r>
      <w:r w:rsidRPr="009C15B0">
        <w:rPr>
          <w:sz w:val="16"/>
          <w:szCs w:val="16"/>
          <w:lang w:val="es-CR"/>
        </w:rPr>
        <w:t>, párr. 78, y</w:t>
      </w:r>
      <w:r w:rsidRPr="009C15B0">
        <w:rPr>
          <w:i/>
          <w:sz w:val="16"/>
          <w:szCs w:val="16"/>
          <w:lang w:val="es-CR"/>
        </w:rPr>
        <w:t xml:space="preserve"> Caso Trabajadores Cesados de Petroperú y otros Vs. Perú, supra</w:t>
      </w:r>
      <w:r w:rsidRPr="009C15B0">
        <w:rPr>
          <w:sz w:val="16"/>
          <w:szCs w:val="16"/>
          <w:lang w:val="es-CR"/>
        </w:rPr>
        <w:t>, párr. 168.</w:t>
      </w:r>
    </w:p>
  </w:footnote>
  <w:footnote w:id="331">
    <w:p w14:paraId="005D4E7D" w14:textId="4908620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Caso Chaparro Álvarez y Lapo Íñiguez Vs. Ecuador. Excepción Preliminar, Fondo, Reparaciones y Costas</w:t>
      </w:r>
      <w:r w:rsidRPr="009C15B0">
        <w:rPr>
          <w:sz w:val="16"/>
          <w:szCs w:val="16"/>
          <w:lang w:val="es-CR"/>
        </w:rPr>
        <w:t xml:space="preserve">. Sentencia de 21 de noviembre de 2007. Serie C No. 170, párr. 107, y </w:t>
      </w:r>
      <w:r w:rsidRPr="009C15B0">
        <w:rPr>
          <w:i/>
          <w:sz w:val="16"/>
          <w:szCs w:val="16"/>
          <w:lang w:val="es-CR"/>
        </w:rPr>
        <w:t>Caso Trabajadores Cesados de Petroperú y otros Vs. Perú, supra</w:t>
      </w:r>
      <w:r w:rsidRPr="009C15B0">
        <w:rPr>
          <w:sz w:val="16"/>
          <w:szCs w:val="16"/>
          <w:lang w:val="es-CR"/>
        </w:rPr>
        <w:t>, párr. 168.</w:t>
      </w:r>
    </w:p>
  </w:footnote>
  <w:footnote w:id="332">
    <w:p w14:paraId="1698D034" w14:textId="77F33A16" w:rsidR="007F7D87" w:rsidRPr="009C15B0" w:rsidRDefault="007F7D87" w:rsidP="001E6358">
      <w:pPr>
        <w:tabs>
          <w:tab w:val="left" w:pos="567"/>
        </w:tabs>
        <w:spacing w:after="60" w:line="240" w:lineRule="auto"/>
        <w:rPr>
          <w:i/>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 Caso Apitz Barbera y otros (“Corte Primera de lo Contencioso Administrativo”) Vs. Venezuela, supra</w:t>
      </w:r>
      <w:r w:rsidRPr="009C15B0">
        <w:rPr>
          <w:sz w:val="16"/>
          <w:szCs w:val="16"/>
        </w:rPr>
        <w:t>, párr. 78, y</w:t>
      </w:r>
      <w:r w:rsidRPr="009C15B0">
        <w:rPr>
          <w:i/>
          <w:sz w:val="16"/>
          <w:szCs w:val="16"/>
        </w:rPr>
        <w:t xml:space="preserve"> Caso Trabajadores Cesados de Petroperú y otros Vs. Perú, supra</w:t>
      </w:r>
      <w:r w:rsidRPr="009C15B0">
        <w:rPr>
          <w:sz w:val="16"/>
          <w:szCs w:val="16"/>
        </w:rPr>
        <w:t>, párr. 168.</w:t>
      </w:r>
    </w:p>
  </w:footnote>
  <w:footnote w:id="333">
    <w:p w14:paraId="7F78169B" w14:textId="70581CEA" w:rsidR="007F7D87" w:rsidRPr="009C15B0" w:rsidRDefault="007F7D87" w:rsidP="001E6358">
      <w:pPr>
        <w:pStyle w:val="FootnoteText"/>
        <w:tabs>
          <w:tab w:val="left" w:pos="567"/>
        </w:tabs>
        <w:spacing w:after="60"/>
        <w:rPr>
          <w:b/>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Courier New"/>
          <w:i/>
          <w:sz w:val="16"/>
          <w:szCs w:val="16"/>
          <w:lang w:val="es-CR"/>
        </w:rPr>
        <w:t>Caso Chaparro Álvarez y Lapo Íñiguez Vs. Ecuador, supra</w:t>
      </w:r>
      <w:r w:rsidRPr="009C15B0">
        <w:rPr>
          <w:sz w:val="16"/>
          <w:szCs w:val="16"/>
          <w:lang w:val="es-CR"/>
        </w:rPr>
        <w:t xml:space="preserve">, párr. 118, y </w:t>
      </w:r>
      <w:r w:rsidRPr="009C15B0">
        <w:rPr>
          <w:rStyle w:val="Strong"/>
          <w:b w:val="0"/>
          <w:i/>
          <w:sz w:val="16"/>
          <w:szCs w:val="16"/>
          <w:shd w:val="clear" w:color="auto" w:fill="FFFFFF"/>
          <w:lang w:val="es-CR"/>
        </w:rPr>
        <w:t>Caso Zegarra Marín Vs. Perú, supra</w:t>
      </w:r>
      <w:r w:rsidRPr="009C15B0">
        <w:rPr>
          <w:rStyle w:val="Strong"/>
          <w:b w:val="0"/>
          <w:sz w:val="16"/>
          <w:szCs w:val="16"/>
          <w:shd w:val="clear" w:color="auto" w:fill="FFFFFF"/>
          <w:lang w:val="es-CR"/>
        </w:rPr>
        <w:t>, párrs. 147 y 155.</w:t>
      </w:r>
    </w:p>
  </w:footnote>
  <w:footnote w:id="334">
    <w:p w14:paraId="3D083DF6" w14:textId="7C8AA20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Theme="minorHAnsi" w:cstheme="minorBidi"/>
          <w:i/>
          <w:sz w:val="16"/>
          <w:szCs w:val="16"/>
          <w:lang w:val="es-CR" w:eastAsia="en-US"/>
        </w:rPr>
        <w:t>Cfr. Caso Apitz Barbera y otros (“Corte Primera de lo Contencioso Administrativo”) Vs. Venezuela, supra</w:t>
      </w:r>
      <w:r w:rsidRPr="009C15B0">
        <w:rPr>
          <w:rFonts w:eastAsiaTheme="minorHAnsi" w:cstheme="minorBidi"/>
          <w:sz w:val="16"/>
          <w:szCs w:val="16"/>
          <w:lang w:val="es-CR" w:eastAsia="en-US"/>
        </w:rPr>
        <w:t xml:space="preserve">, párr. 90, y </w:t>
      </w:r>
      <w:r w:rsidRPr="009C15B0">
        <w:rPr>
          <w:i/>
          <w:sz w:val="16"/>
          <w:szCs w:val="16"/>
          <w:lang w:val="es-CR"/>
        </w:rPr>
        <w:t>Caso Zegarra Marín Vs. Perú, supra</w:t>
      </w:r>
      <w:r w:rsidRPr="009C15B0">
        <w:rPr>
          <w:sz w:val="16"/>
          <w:szCs w:val="16"/>
          <w:lang w:val="es-CR"/>
        </w:rPr>
        <w:t>, párr. 178.</w:t>
      </w:r>
    </w:p>
  </w:footnote>
  <w:footnote w:id="335">
    <w:p w14:paraId="003DE9F3" w14:textId="0AB6F575" w:rsidR="007F7D87" w:rsidRPr="009C15B0" w:rsidRDefault="007F7D87" w:rsidP="001E6358">
      <w:pPr>
        <w:pStyle w:val="FootnoteText"/>
        <w:tabs>
          <w:tab w:val="left" w:pos="567"/>
        </w:tabs>
        <w:spacing w:after="60"/>
        <w:rPr>
          <w:b/>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Style w:val="Strong"/>
          <w:b w:val="0"/>
          <w:i/>
          <w:sz w:val="16"/>
          <w:szCs w:val="16"/>
          <w:shd w:val="clear" w:color="auto" w:fill="FFFFFF"/>
          <w:lang w:val="es-CR"/>
        </w:rPr>
        <w:t>Caso Zegarra Marín Vs. Perú, supra</w:t>
      </w:r>
      <w:r w:rsidRPr="009C15B0">
        <w:rPr>
          <w:rStyle w:val="Strong"/>
          <w:b w:val="0"/>
          <w:sz w:val="16"/>
          <w:szCs w:val="16"/>
          <w:shd w:val="clear" w:color="auto" w:fill="FFFFFF"/>
          <w:lang w:val="es-CR"/>
        </w:rPr>
        <w:t>, párrs. 147 y 155.</w:t>
      </w:r>
    </w:p>
  </w:footnote>
  <w:footnote w:id="336">
    <w:p w14:paraId="6244D21D" w14:textId="5163DE0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Ello sin perjuicio de que en el derecho comparado existen las experiencias de Suiza y España en donde se exige la motivación de jurado. </w:t>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w:t>
      </w:r>
      <w:r w:rsidRPr="009C15B0">
        <w:rPr>
          <w:sz w:val="16"/>
          <w:szCs w:val="16"/>
          <w:lang w:val="es-CR"/>
        </w:rPr>
        <w:t xml:space="preserve"> </w:t>
      </w:r>
      <w:r w:rsidRPr="009C15B0">
        <w:rPr>
          <w:i/>
          <w:sz w:val="16"/>
          <w:szCs w:val="16"/>
          <w:lang w:val="es-CR" w:eastAsia="en-US"/>
        </w:rPr>
        <w:t>Taxquet Vs. Bélgica</w:t>
      </w:r>
      <w:r w:rsidRPr="009C15B0" w:rsidDel="00FD5E2A">
        <w:rPr>
          <w:sz w:val="16"/>
          <w:szCs w:val="16"/>
          <w:lang w:val="es-CR"/>
        </w:rPr>
        <w:t xml:space="preserve"> </w:t>
      </w:r>
      <w:r w:rsidRPr="009C15B0">
        <w:rPr>
          <w:sz w:val="16"/>
          <w:szCs w:val="16"/>
          <w:lang w:val="es-CR"/>
        </w:rPr>
        <w:t xml:space="preserve">[GS], </w:t>
      </w:r>
      <w:r w:rsidRPr="009C15B0">
        <w:rPr>
          <w:i/>
          <w:sz w:val="16"/>
          <w:szCs w:val="16"/>
          <w:lang w:val="es-CR"/>
        </w:rPr>
        <w:t>supra</w:t>
      </w:r>
      <w:r w:rsidRPr="009C15B0">
        <w:rPr>
          <w:sz w:val="16"/>
          <w:szCs w:val="16"/>
          <w:lang w:val="es-CR"/>
        </w:rPr>
        <w:t>, párrs. 56 a 58.</w:t>
      </w:r>
    </w:p>
  </w:footnote>
  <w:footnote w:id="337">
    <w:p w14:paraId="053D7D47" w14:textId="0113C4B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TEDH, </w:t>
      </w:r>
      <w:r w:rsidRPr="009C15B0">
        <w:rPr>
          <w:i/>
          <w:sz w:val="16"/>
          <w:szCs w:val="16"/>
          <w:lang w:val="es-CR"/>
        </w:rPr>
        <w:t>Caso Saric Vs. Dinamarca</w:t>
      </w:r>
      <w:r w:rsidRPr="009C15B0">
        <w:rPr>
          <w:sz w:val="16"/>
          <w:szCs w:val="16"/>
          <w:lang w:val="es-CR"/>
        </w:rPr>
        <w:t>, No. 31913/96. Decisión de admisibilidad de 2 de febrero de 1999, págs. 14 a 15.</w:t>
      </w:r>
    </w:p>
  </w:footnote>
  <w:footnote w:id="338">
    <w:p w14:paraId="22FBCD62" w14:textId="26F455C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Artículo 650.1 del Código Penal de Canadá. </w:t>
      </w:r>
    </w:p>
  </w:footnote>
  <w:footnote w:id="339">
    <w:p w14:paraId="3102F21C" w14:textId="125011C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Regla 30 de las Reglas Federales de Procedimiento Penal de Estados Unidos de América.</w:t>
      </w:r>
    </w:p>
  </w:footnote>
  <w:footnote w:id="340">
    <w:p w14:paraId="590ED6EA" w14:textId="626E240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194, 298, 316, 317 y 318 de la Ley N° 406, Código Procesal Penal de la República de Nicaragua.</w:t>
      </w:r>
    </w:p>
  </w:footnote>
  <w:footnote w:id="341">
    <w:p w14:paraId="2957B86F" w14:textId="058E2CE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2358.8 y 2358.12 del Código Judicial de la República de Panamá.</w:t>
      </w:r>
    </w:p>
  </w:footnote>
  <w:footnote w:id="342">
    <w:p w14:paraId="254B439B" w14:textId="6F18FBE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411 del Código Procesal Penal de El Salvador.</w:t>
      </w:r>
    </w:p>
  </w:footnote>
  <w:footnote w:id="343">
    <w:p w14:paraId="536D5D83" w14:textId="6AC99C7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371 bis y 371 ter del Código Procesal Penal de la Provincia de Buenos Aires (Ley Provincial N° 11.922 y modificaciones). El artículo 210 establece que la decisión del jurado se basa en su íntima convicción; no obstante, su artículo 106 agrega que: “[e]n el caso del juicio por jurados las instrucciones del juez al jurado constituyen plena y suficiente motivación del veredicto”.</w:t>
      </w:r>
    </w:p>
  </w:footnote>
  <w:footnote w:id="344">
    <w:p w14:paraId="25A93A04" w14:textId="0CDC307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Pr>
          <w:sz w:val="16"/>
          <w:szCs w:val="16"/>
          <w:lang w:val="es-CR"/>
        </w:rPr>
        <w:t>Artículos 53 y</w:t>
      </w:r>
      <w:r w:rsidRPr="009C15B0">
        <w:rPr>
          <w:sz w:val="16"/>
          <w:szCs w:val="16"/>
          <w:lang w:val="es-CR"/>
        </w:rPr>
        <w:t xml:space="preserve"> 68 a 71 de la Ley Provincial de Chaco N° 7661. Además, el artículo 92 establece que “[l]a sentencia se ajustará a las reglas del Código Procesal Penal de la Provincia del Chaco, con la siguiente modificación: en lugar de los fundamentos de la decisión sobre los hechos probados, la culpabilidad del imputado y la calificación legal, contendrá la transcripción de las instrucciones dadas al jurado sobre las disposiciones aplicables al caso y el veredicto del jurado”. Asimismo, el artículo 83 prevé que: “[s]i el veredicto fuere tan defectuoso que el juez no pudiere determinar la intención del jurado de absolver o condenar al acusado por el delito bajo el cual el acusado pudiera ser condenado de acuerdo con la acusación, o no pudiere determinar en qué hecho o hechos el jurado quiso absolver o condenar al acusado, el juez, previa opinión de las partes, podrá instruir al jurado para que reconsidere dicho veredicto y exprese claramente su intención. Pero si el jurado persistiere en rendir el veredicto defectuoso, tal veredicto será aceptado, y el juez dictará un fallo absolutorio”.</w:t>
      </w:r>
    </w:p>
  </w:footnote>
  <w:footnote w:id="345">
    <w:p w14:paraId="6823739B" w14:textId="22722A68" w:rsidR="007F7D87" w:rsidRPr="009C15B0" w:rsidRDefault="007F7D87" w:rsidP="001E6358">
      <w:pPr>
        <w:pStyle w:val="FootnoteText"/>
        <w:tabs>
          <w:tab w:val="left" w:pos="0"/>
          <w:tab w:val="left" w:pos="567"/>
        </w:tabs>
        <w:spacing w:after="60"/>
        <w:rPr>
          <w:sz w:val="16"/>
          <w:szCs w:val="16"/>
          <w:lang w:val="es-CR"/>
        </w:rPr>
      </w:pPr>
      <w:r w:rsidRPr="009C15B0">
        <w:rPr>
          <w:rStyle w:val="FootnoteReference"/>
          <w:rFonts w:eastAsiaTheme="majorEastAsia"/>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205 y 206 de la Ley N°. 2784, Código Procesal Penal de la Provincia de Neuquén.</w:t>
      </w:r>
    </w:p>
  </w:footnote>
  <w:footnote w:id="346">
    <w:p w14:paraId="7F9033DB" w14:textId="0E8DD5DB"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201 y 202 del Código Procesal Penal de Río Negro.</w:t>
      </w:r>
    </w:p>
  </w:footnote>
  <w:footnote w:id="347">
    <w:p w14:paraId="3316FE71" w14:textId="39CB217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2374 a 2377 del Código Judicial de la República de Panamá.</w:t>
      </w:r>
    </w:p>
  </w:footnote>
  <w:footnote w:id="348">
    <w:p w14:paraId="142BF591" w14:textId="63CF981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Pr>
          <w:sz w:val="16"/>
          <w:szCs w:val="16"/>
          <w:lang w:val="es-CR"/>
        </w:rPr>
        <w:t>Artículo</w:t>
      </w:r>
      <w:r w:rsidRPr="009C15B0">
        <w:rPr>
          <w:sz w:val="16"/>
          <w:szCs w:val="16"/>
          <w:lang w:val="es-CR"/>
        </w:rPr>
        <w:t xml:space="preserve"> 375 bis del Código Procesal Penal de la Provincia de Buenos Aires (Ley Provincial N° 11.922 y modificaciones).</w:t>
      </w:r>
    </w:p>
  </w:footnote>
  <w:footnote w:id="349">
    <w:p w14:paraId="75787E36" w14:textId="3819F74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2344.3 del Código Judicial de la República de Panamá.</w:t>
      </w:r>
    </w:p>
  </w:footnote>
  <w:footnote w:id="350">
    <w:p w14:paraId="2A8EC2D9" w14:textId="57E2DDF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34 a 40 y 43 de la Ley Provincial de Chaco N° 7661. El artículo 29, párrafo segundo, de esta ley establece, además, como garantía de representación ciudadana, que “[c]uando el jurado deba integrarse con hombres y mujeres de los pueblos indígenas, los convocados como potenciales jurados a la audiencia pertenecerán al Pueblo Indígena respectivo, en su mitad”.</w:t>
      </w:r>
    </w:p>
  </w:footnote>
  <w:footnote w:id="351">
    <w:p w14:paraId="41D5C198" w14:textId="649EB39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18, 23 y 24 de la Ley Provincial de Córdoba N° 9182.</w:t>
      </w:r>
    </w:p>
  </w:footnote>
  <w:footnote w:id="352">
    <w:p w14:paraId="00E2D342" w14:textId="77777777"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194.3 del Código Procesal Penal de Río Negro.</w:t>
      </w:r>
    </w:p>
  </w:footnote>
  <w:footnote w:id="353">
    <w:p w14:paraId="4070B7FD" w14:textId="7E31ADA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Regla 24 de las Reglas Federales de Procedimiento Penal de Estados Unidos de América.</w:t>
      </w:r>
    </w:p>
  </w:footnote>
  <w:footnote w:id="354">
    <w:p w14:paraId="3F4F4199" w14:textId="67BACD5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296 de la Ley N° 406, Código Procesal Penal de la República de Nicaragua.</w:t>
      </w:r>
    </w:p>
  </w:footnote>
  <w:footnote w:id="355">
    <w:p w14:paraId="5E945882" w14:textId="23A1C89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338 quáter del Código Procesal Penal de la Provincia de Buenos Aires (Ley Provincial N° 11.922 y modificaciones).</w:t>
      </w:r>
    </w:p>
  </w:footnote>
  <w:footnote w:id="356">
    <w:p w14:paraId="7C144977" w14:textId="2E0A76B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23, 26, 32, 33 y 34</w:t>
      </w:r>
      <w:r>
        <w:rPr>
          <w:sz w:val="16"/>
          <w:szCs w:val="16"/>
          <w:lang w:val="es-CR"/>
        </w:rPr>
        <w:t xml:space="preserve"> </w:t>
      </w:r>
      <w:r w:rsidRPr="009C15B0">
        <w:rPr>
          <w:sz w:val="16"/>
          <w:szCs w:val="16"/>
          <w:lang w:val="es-CR"/>
        </w:rPr>
        <w:t>de la Ley Provincial de Chaco N° 7661.</w:t>
      </w:r>
    </w:p>
  </w:footnote>
  <w:footnote w:id="357">
    <w:p w14:paraId="31535D0E" w14:textId="162E6EC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197 y 198 del Código Procesal Penal de la Provincia del Neuquén (Ley Provincial N° 2784). El artículo 198.6 establece, además, como garantía de integración plural, que “[e]l jurado deberá quedar integrado, incluyendo los suplentes, por hombres y mujeres en partes iguales. Se tratará de que, como mínimo, la mitad del jurado pertenezca al mismo entorno social y cultural del imputado. Se tratará también, en lo posible, que en el panel de jurados haya personas mayores, adultas y jóvenes”.</w:t>
      </w:r>
    </w:p>
  </w:footnote>
  <w:footnote w:id="358">
    <w:p w14:paraId="701E9F17" w14:textId="5852A7E8"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194.3 del Código Procesal Penal de Río Negro.</w:t>
      </w:r>
    </w:p>
  </w:footnote>
  <w:footnote w:id="359">
    <w:p w14:paraId="6625C19E" w14:textId="21B3D80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Artículos 33 y 34 de la Ley Provincial de Chaco N° 7661.</w:t>
      </w:r>
    </w:p>
  </w:footnote>
  <w:footnote w:id="360">
    <w:p w14:paraId="5181BAF1" w14:textId="3FD940D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Regla 31.d de las Reglas Federales de Procedimiento Penal de Estados Unidos de América.</w:t>
      </w:r>
    </w:p>
  </w:footnote>
  <w:footnote w:id="361">
    <w:p w14:paraId="78ED82A5" w14:textId="5925A3F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85 de la Ley Provincial de Chaco N° 7661.</w:t>
      </w:r>
    </w:p>
  </w:footnote>
  <w:footnote w:id="362">
    <w:p w14:paraId="4AB9DEA4" w14:textId="2892A00D"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Artículo 51 de la Ley de Córdoba N° 9182.</w:t>
      </w:r>
    </w:p>
  </w:footnote>
  <w:footnote w:id="363">
    <w:p w14:paraId="579F063B" w14:textId="451CC451" w:rsidR="007F7D87" w:rsidRPr="00C946D6" w:rsidRDefault="007F7D87" w:rsidP="001E6358">
      <w:pPr>
        <w:pStyle w:val="FootnoteText"/>
        <w:tabs>
          <w:tab w:val="left" w:pos="567"/>
        </w:tabs>
        <w:spacing w:after="60"/>
        <w:rPr>
          <w:sz w:val="16"/>
          <w:szCs w:val="16"/>
          <w:lang w:val="pt-BR"/>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r>
      <w:r w:rsidRPr="00C946D6">
        <w:rPr>
          <w:i/>
          <w:sz w:val="16"/>
          <w:szCs w:val="16"/>
          <w:lang w:val="pt-BR"/>
        </w:rPr>
        <w:t xml:space="preserve">Cfr. </w:t>
      </w:r>
      <w:r w:rsidRPr="00C946D6">
        <w:rPr>
          <w:sz w:val="16"/>
          <w:szCs w:val="16"/>
          <w:lang w:val="pt-BR"/>
        </w:rPr>
        <w:t xml:space="preserve">TEDH, </w:t>
      </w:r>
      <w:r w:rsidRPr="00C946D6">
        <w:rPr>
          <w:i/>
          <w:sz w:val="16"/>
          <w:szCs w:val="16"/>
          <w:lang w:val="pt-BR"/>
        </w:rPr>
        <w:t>Caso Lhermitte Vs. Bélgica</w:t>
      </w:r>
      <w:r w:rsidRPr="00C946D6">
        <w:rPr>
          <w:sz w:val="16"/>
          <w:szCs w:val="16"/>
          <w:lang w:val="pt-BR"/>
        </w:rPr>
        <w:t>, No. 34238/09. Sentencia de 29 de noviembre de 2016, párr. 80.</w:t>
      </w:r>
    </w:p>
  </w:footnote>
  <w:footnote w:id="364">
    <w:p w14:paraId="0ABED84F" w14:textId="48753A71" w:rsidR="007F7D87" w:rsidRPr="00C946D6" w:rsidRDefault="007F7D87" w:rsidP="001E6358">
      <w:pPr>
        <w:pStyle w:val="FootnoteText"/>
        <w:tabs>
          <w:tab w:val="left" w:pos="567"/>
        </w:tabs>
        <w:spacing w:after="60"/>
        <w:rPr>
          <w:sz w:val="16"/>
          <w:szCs w:val="16"/>
          <w:lang w:val="pt-BR"/>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t xml:space="preserve">TEDH, </w:t>
      </w:r>
      <w:r w:rsidRPr="00C946D6">
        <w:rPr>
          <w:i/>
          <w:sz w:val="16"/>
          <w:szCs w:val="16"/>
          <w:lang w:val="pt-BR"/>
        </w:rPr>
        <w:t>Caso</w:t>
      </w:r>
      <w:r w:rsidRPr="00C946D6">
        <w:rPr>
          <w:sz w:val="16"/>
          <w:szCs w:val="16"/>
          <w:lang w:val="pt-BR"/>
        </w:rPr>
        <w:t xml:space="preserve"> </w:t>
      </w:r>
      <w:r w:rsidRPr="00C946D6">
        <w:rPr>
          <w:i/>
          <w:sz w:val="16"/>
          <w:szCs w:val="16"/>
          <w:lang w:val="pt-BR" w:eastAsia="en-US"/>
        </w:rPr>
        <w:t>Taxquet Vs. Bélgica</w:t>
      </w:r>
      <w:r w:rsidRPr="00C946D6" w:rsidDel="00FD5E2A">
        <w:rPr>
          <w:sz w:val="16"/>
          <w:szCs w:val="16"/>
          <w:lang w:val="pt-BR"/>
        </w:rPr>
        <w:t xml:space="preserve"> </w:t>
      </w:r>
      <w:r w:rsidRPr="00C946D6">
        <w:rPr>
          <w:sz w:val="16"/>
          <w:szCs w:val="16"/>
          <w:lang w:val="pt-BR"/>
        </w:rPr>
        <w:t xml:space="preserve">[GS], </w:t>
      </w:r>
      <w:r w:rsidRPr="00C946D6">
        <w:rPr>
          <w:i/>
          <w:sz w:val="16"/>
          <w:szCs w:val="16"/>
          <w:lang w:val="pt-BR"/>
        </w:rPr>
        <w:t>supra</w:t>
      </w:r>
      <w:r w:rsidRPr="00C946D6">
        <w:rPr>
          <w:sz w:val="16"/>
          <w:szCs w:val="16"/>
          <w:lang w:val="pt-BR"/>
        </w:rPr>
        <w:t>, párr. 93.</w:t>
      </w:r>
    </w:p>
  </w:footnote>
  <w:footnote w:id="365">
    <w:p w14:paraId="567CFE21" w14:textId="6C2D5D4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r>
      <w:r w:rsidRPr="00C946D6">
        <w:rPr>
          <w:i/>
          <w:sz w:val="16"/>
          <w:szCs w:val="16"/>
          <w:lang w:val="pt-BR"/>
        </w:rPr>
        <w:t xml:space="preserve">Cfr. </w:t>
      </w:r>
      <w:r w:rsidRPr="00C946D6">
        <w:rPr>
          <w:sz w:val="16"/>
          <w:szCs w:val="16"/>
          <w:lang w:val="pt-BR"/>
        </w:rPr>
        <w:t xml:space="preserve">TEDH, </w:t>
      </w:r>
      <w:r w:rsidRPr="00C946D6">
        <w:rPr>
          <w:i/>
          <w:sz w:val="16"/>
          <w:szCs w:val="16"/>
          <w:lang w:val="pt-BR"/>
        </w:rPr>
        <w:t>Caso</w:t>
      </w:r>
      <w:r w:rsidRPr="00C946D6">
        <w:rPr>
          <w:sz w:val="16"/>
          <w:szCs w:val="16"/>
          <w:lang w:val="pt-BR"/>
        </w:rPr>
        <w:t xml:space="preserve"> </w:t>
      </w:r>
      <w:r w:rsidRPr="00C946D6">
        <w:rPr>
          <w:i/>
          <w:sz w:val="16"/>
          <w:szCs w:val="16"/>
          <w:lang w:val="pt-BR" w:eastAsia="en-US"/>
        </w:rPr>
        <w:t xml:space="preserve">Taxquet Vs. </w:t>
      </w:r>
      <w:r w:rsidRPr="009C15B0">
        <w:rPr>
          <w:i/>
          <w:sz w:val="16"/>
          <w:szCs w:val="16"/>
          <w:lang w:val="es-CR" w:eastAsia="en-US"/>
        </w:rPr>
        <w:t>Bélgica</w:t>
      </w:r>
      <w:r w:rsidRPr="009C15B0" w:rsidDel="00FD5E2A">
        <w:rPr>
          <w:sz w:val="16"/>
          <w:szCs w:val="16"/>
          <w:lang w:val="es-CR"/>
        </w:rPr>
        <w:t xml:space="preserve"> </w:t>
      </w:r>
      <w:r w:rsidRPr="009C15B0">
        <w:rPr>
          <w:sz w:val="16"/>
          <w:szCs w:val="16"/>
          <w:lang w:val="es-CR"/>
        </w:rPr>
        <w:t xml:space="preserve">[GS], </w:t>
      </w:r>
      <w:r w:rsidRPr="009C15B0">
        <w:rPr>
          <w:i/>
          <w:sz w:val="16"/>
          <w:szCs w:val="16"/>
          <w:lang w:val="es-CR"/>
        </w:rPr>
        <w:t>supra</w:t>
      </w:r>
      <w:r w:rsidRPr="009C15B0">
        <w:rPr>
          <w:sz w:val="16"/>
          <w:szCs w:val="16"/>
          <w:lang w:val="es-CR"/>
        </w:rPr>
        <w:t>, párr. 90, 91 y 92.</w:t>
      </w:r>
    </w:p>
  </w:footnote>
  <w:footnote w:id="366">
    <w:p w14:paraId="142E1102" w14:textId="4418F5F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Descargo presentado el 29 de enero de 2003 (expediente de prueba, tomo XX, anexo 7.a de la prueba para mejor resolver, folios 9666 a 9669).</w:t>
      </w:r>
    </w:p>
  </w:footnote>
  <w:footnote w:id="367">
    <w:p w14:paraId="464F251C" w14:textId="5F449CB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Fairén Garbi y Solís Corrales Vs. Honduras. Excepciones Preliminares</w:t>
      </w:r>
      <w:r w:rsidRPr="009C15B0">
        <w:rPr>
          <w:iCs/>
          <w:sz w:val="16"/>
          <w:szCs w:val="16"/>
          <w:lang w:val="es-CR"/>
        </w:rPr>
        <w:t>. Sentencia de 26 de junio de 1987. Serie C No. 2, párr. 90,</w:t>
      </w:r>
      <w:r w:rsidRPr="009C15B0">
        <w:rPr>
          <w:sz w:val="16"/>
          <w:szCs w:val="16"/>
          <w:lang w:val="es-CR"/>
        </w:rPr>
        <w:t xml:space="preserve"> y</w:t>
      </w:r>
      <w:r w:rsidRPr="009C15B0">
        <w:rPr>
          <w:i/>
          <w:sz w:val="16"/>
          <w:szCs w:val="16"/>
          <w:lang w:val="es-CR"/>
        </w:rPr>
        <w:t xml:space="preserve"> Caso Pacheco León y otros Vs. Honduras, supra</w:t>
      </w:r>
      <w:r w:rsidRPr="009C15B0">
        <w:rPr>
          <w:iCs/>
          <w:sz w:val="16"/>
          <w:szCs w:val="16"/>
          <w:lang w:val="es-CR"/>
        </w:rPr>
        <w:t>, párr. 118.</w:t>
      </w:r>
    </w:p>
  </w:footnote>
  <w:footnote w:id="368">
    <w:p w14:paraId="654F8387" w14:textId="5FB1740A"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iCs/>
          <w:sz w:val="16"/>
          <w:szCs w:val="16"/>
        </w:rPr>
        <w:t>Cfr. Caso Suárez Rosero Vs. Ecuador. Fondo</w:t>
      </w:r>
      <w:r w:rsidRPr="009C15B0">
        <w:rPr>
          <w:sz w:val="16"/>
          <w:szCs w:val="16"/>
        </w:rPr>
        <w:t xml:space="preserve">. Sentencia de 12 de noviembre de 1997. Serie C No. 35, párr. 71, y </w:t>
      </w:r>
      <w:r w:rsidRPr="009C15B0">
        <w:rPr>
          <w:i/>
          <w:sz w:val="16"/>
          <w:szCs w:val="16"/>
        </w:rPr>
        <w:t>Caso Wong Ho Wing Vs. Perú, supra</w:t>
      </w:r>
      <w:r w:rsidRPr="009C15B0">
        <w:rPr>
          <w:sz w:val="16"/>
          <w:szCs w:val="16"/>
        </w:rPr>
        <w:t>, párr. 209.</w:t>
      </w:r>
    </w:p>
  </w:footnote>
  <w:footnote w:id="369">
    <w:p w14:paraId="3675C283" w14:textId="7179E330"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 Caso Hilaire, Constantine y Benjamin y otros Vs. Trinidad y Tobago. Fondo, Reparaciones y Costas</w:t>
      </w:r>
      <w:r w:rsidRPr="009C15B0">
        <w:rPr>
          <w:iCs/>
          <w:sz w:val="16"/>
          <w:szCs w:val="16"/>
        </w:rPr>
        <w:t>. Sentencia de 21 de junio de 2002. Serie C No. 94</w:t>
      </w:r>
      <w:r w:rsidRPr="009C15B0">
        <w:rPr>
          <w:sz w:val="16"/>
          <w:szCs w:val="16"/>
        </w:rPr>
        <w:t xml:space="preserve">, párr. 145, y </w:t>
      </w:r>
      <w:r w:rsidRPr="009C15B0">
        <w:rPr>
          <w:i/>
          <w:sz w:val="16"/>
          <w:szCs w:val="16"/>
        </w:rPr>
        <w:t xml:space="preserve">Caso Acosta y otros Vs. Nicaragua, supra, </w:t>
      </w:r>
      <w:r w:rsidRPr="009C15B0">
        <w:rPr>
          <w:sz w:val="16"/>
          <w:szCs w:val="16"/>
        </w:rPr>
        <w:t>párr. 177.</w:t>
      </w:r>
    </w:p>
  </w:footnote>
  <w:footnote w:id="370">
    <w:p w14:paraId="5EB3E7B7" w14:textId="24371DAB" w:rsidR="007F7D87" w:rsidRPr="009C15B0" w:rsidRDefault="007F7D87" w:rsidP="001E6358">
      <w:pPr>
        <w:pStyle w:val="FootnoteText"/>
        <w:tabs>
          <w:tab w:val="left" w:pos="567"/>
        </w:tabs>
        <w:spacing w:after="60"/>
        <w:rPr>
          <w:rFonts w:eastAsia="Batang" w:cs="Times"/>
          <w:sz w:val="16"/>
          <w:szCs w:val="16"/>
          <w:lang w:val="es-CR" w:eastAsia="en-US"/>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 xml:space="preserve">Cfr. Caso </w:t>
      </w:r>
      <w:r w:rsidRPr="009C15B0">
        <w:rPr>
          <w:i/>
          <w:sz w:val="16"/>
          <w:szCs w:val="16"/>
          <w:lang w:val="es-CR"/>
        </w:rPr>
        <w:t>Suárez</w:t>
      </w:r>
      <w:r w:rsidRPr="009C15B0">
        <w:rPr>
          <w:i/>
          <w:iCs/>
          <w:sz w:val="16"/>
          <w:szCs w:val="16"/>
          <w:lang w:val="es-CR"/>
        </w:rPr>
        <w:t xml:space="preserve"> Rosero Vs. Ecuador. Fondo</w:t>
      </w:r>
      <w:r w:rsidRPr="009C15B0">
        <w:rPr>
          <w:sz w:val="16"/>
          <w:szCs w:val="16"/>
          <w:lang w:val="es-CR"/>
        </w:rPr>
        <w:t xml:space="preserve">, </w:t>
      </w:r>
      <w:r w:rsidRPr="009C15B0">
        <w:rPr>
          <w:i/>
          <w:sz w:val="16"/>
          <w:szCs w:val="16"/>
          <w:lang w:val="es-CR"/>
        </w:rPr>
        <w:t>supra</w:t>
      </w:r>
      <w:r w:rsidRPr="009C15B0">
        <w:rPr>
          <w:sz w:val="16"/>
          <w:szCs w:val="16"/>
          <w:lang w:val="es-CR"/>
        </w:rPr>
        <w:t>, párr. 71, y</w:t>
      </w:r>
      <w:r w:rsidRPr="009C15B0">
        <w:rPr>
          <w:i/>
          <w:sz w:val="16"/>
          <w:szCs w:val="16"/>
          <w:lang w:val="es-CR"/>
        </w:rPr>
        <w:t xml:space="preserve"> Caso Pacheco León y otros Vs. Honduras, supra</w:t>
      </w:r>
      <w:r w:rsidRPr="009C15B0">
        <w:rPr>
          <w:sz w:val="16"/>
          <w:szCs w:val="16"/>
          <w:lang w:val="es-CR"/>
        </w:rPr>
        <w:t>, párr. 159.</w:t>
      </w:r>
    </w:p>
  </w:footnote>
  <w:footnote w:id="371">
    <w:p w14:paraId="36CD464D" w14:textId="46DDF1C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i/>
          <w:sz w:val="16"/>
          <w:szCs w:val="16"/>
          <w:lang w:val="es-CR"/>
        </w:rPr>
        <w:t xml:space="preserve">Caso de las comunidades afrodescendientes desplazadas de la cuenca del río Cacarica (Operación Génesis) Vs. Colombia. Excepciones Preliminares, Fondo, Reparaciones y Costas. </w:t>
      </w:r>
      <w:r w:rsidRPr="009C15B0">
        <w:rPr>
          <w:sz w:val="16"/>
          <w:szCs w:val="16"/>
          <w:lang w:val="es-CR"/>
        </w:rPr>
        <w:t xml:space="preserve">Sentencia de 20 de noviembre de 2013. Serie C No. 270, párr. 403, y </w:t>
      </w:r>
      <w:r w:rsidRPr="009C15B0">
        <w:rPr>
          <w:i/>
          <w:sz w:val="16"/>
          <w:szCs w:val="16"/>
          <w:lang w:val="es-CR"/>
        </w:rPr>
        <w:t xml:space="preserve">Caso Vereda La Esperanza Vs. Colombia. Excepciones Preliminares, Fondo, Reparaciones y Costas. </w:t>
      </w:r>
      <w:r w:rsidRPr="009C15B0">
        <w:rPr>
          <w:sz w:val="16"/>
          <w:szCs w:val="16"/>
          <w:lang w:val="es-CR"/>
        </w:rPr>
        <w:t>Sentencia de 31 de agosto de 2017. Serie C No. 341, párr. 194.</w:t>
      </w:r>
    </w:p>
  </w:footnote>
  <w:footnote w:id="372">
    <w:p w14:paraId="7C0EC43F" w14:textId="11B81383"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Genie Lacayo Vs. Nicaragua</w:t>
      </w:r>
      <w:r w:rsidRPr="009C15B0">
        <w:rPr>
          <w:sz w:val="16"/>
          <w:szCs w:val="16"/>
          <w:lang w:val="es-CR"/>
        </w:rPr>
        <w:t xml:space="preserve">. </w:t>
      </w:r>
      <w:r w:rsidRPr="009C15B0">
        <w:rPr>
          <w:i/>
          <w:sz w:val="16"/>
          <w:szCs w:val="16"/>
          <w:lang w:val="es-CR"/>
        </w:rPr>
        <w:t>Fondo, Reparaciones y Costas.</w:t>
      </w:r>
      <w:r w:rsidRPr="009C15B0">
        <w:rPr>
          <w:sz w:val="16"/>
          <w:szCs w:val="16"/>
          <w:lang w:val="es-CR"/>
        </w:rPr>
        <w:t xml:space="preserve"> Sentencia del 29 de enero de 1997. Serie C No. 30, párr. 77, y</w:t>
      </w:r>
      <w:r w:rsidRPr="009C15B0">
        <w:rPr>
          <w:i/>
          <w:sz w:val="16"/>
          <w:szCs w:val="16"/>
          <w:lang w:val="es-CR"/>
        </w:rPr>
        <w:t xml:space="preserve"> Caso Trabajadores Cesados de Petroperú y otros Vs. Perú, supra</w:t>
      </w:r>
      <w:r w:rsidRPr="009C15B0">
        <w:rPr>
          <w:sz w:val="16"/>
          <w:szCs w:val="16"/>
          <w:lang w:val="es-CR"/>
        </w:rPr>
        <w:t>, párr. 182.</w:t>
      </w:r>
    </w:p>
  </w:footnote>
  <w:footnote w:id="373">
    <w:p w14:paraId="5D8BA1A4" w14:textId="5DD14A9A" w:rsidR="007F7D87" w:rsidRPr="00C946D6" w:rsidRDefault="007F7D87" w:rsidP="001E6358">
      <w:pPr>
        <w:pStyle w:val="FootnoteText"/>
        <w:tabs>
          <w:tab w:val="left" w:pos="567"/>
          <w:tab w:val="left" w:pos="709"/>
        </w:tabs>
        <w:spacing w:after="60"/>
        <w:rPr>
          <w:rFonts w:eastAsiaTheme="minorHAnsi" w:cstheme="minorBidi"/>
          <w:sz w:val="16"/>
          <w:szCs w:val="16"/>
          <w:lang w:val="pt-BR" w:eastAsia="en-US"/>
        </w:rPr>
      </w:pPr>
      <w:r w:rsidRPr="009C15B0">
        <w:rPr>
          <w:rStyle w:val="FootnoteReference"/>
          <w:sz w:val="16"/>
          <w:szCs w:val="16"/>
          <w:lang w:val="es-CR"/>
        </w:rPr>
        <w:footnoteRef/>
      </w:r>
      <w:r w:rsidRPr="009C15B0">
        <w:rPr>
          <w:i/>
          <w:sz w:val="16"/>
          <w:szCs w:val="16"/>
          <w:lang w:val="es-CR"/>
        </w:rPr>
        <w:t xml:space="preserve"> </w:t>
      </w:r>
      <w:r w:rsidRPr="009C15B0">
        <w:rPr>
          <w:i/>
          <w:sz w:val="16"/>
          <w:szCs w:val="16"/>
          <w:lang w:val="es-CR"/>
        </w:rPr>
        <w:tab/>
      </w:r>
      <w:r w:rsidRPr="009C15B0">
        <w:rPr>
          <w:rFonts w:eastAsiaTheme="minorHAnsi" w:cstheme="minorBidi"/>
          <w:i/>
          <w:sz w:val="16"/>
          <w:szCs w:val="16"/>
          <w:lang w:val="es-CR" w:eastAsia="en-US"/>
        </w:rPr>
        <w:t xml:space="preserve">Cfr. Caso Anzualdo Castro Vs. Perú. Excepción Preliminar, Fondo, Reparaciones y Costas. </w:t>
      </w:r>
      <w:r w:rsidRPr="009C15B0">
        <w:rPr>
          <w:rFonts w:eastAsiaTheme="minorHAnsi" w:cstheme="minorBidi"/>
          <w:sz w:val="16"/>
          <w:szCs w:val="16"/>
          <w:lang w:val="es-CR" w:eastAsia="en-US"/>
        </w:rPr>
        <w:t>Sentencia de 22 de septiembre de 2009. Serie C No. 202, párr. 156,</w:t>
      </w:r>
      <w:r w:rsidRPr="009C15B0">
        <w:rPr>
          <w:rFonts w:eastAsiaTheme="minorHAnsi" w:cstheme="minorBidi"/>
          <w:i/>
          <w:sz w:val="16"/>
          <w:szCs w:val="16"/>
          <w:lang w:val="es-CR" w:eastAsia="en-US"/>
        </w:rPr>
        <w:t xml:space="preserve"> </w:t>
      </w:r>
      <w:r w:rsidRPr="009C15B0">
        <w:rPr>
          <w:rFonts w:eastAsiaTheme="minorHAnsi" w:cstheme="minorBidi"/>
          <w:sz w:val="16"/>
          <w:szCs w:val="16"/>
          <w:lang w:val="es-CR" w:eastAsia="en-US"/>
        </w:rPr>
        <w:t>y</w:t>
      </w:r>
      <w:r w:rsidRPr="009C15B0">
        <w:rPr>
          <w:rFonts w:eastAsiaTheme="minorHAnsi" w:cstheme="minorBidi"/>
          <w:i/>
          <w:sz w:val="16"/>
          <w:szCs w:val="16"/>
          <w:lang w:val="es-CR" w:eastAsia="en-US"/>
        </w:rPr>
        <w:t xml:space="preserve"> </w:t>
      </w:r>
      <w:r w:rsidRPr="009C15B0">
        <w:rPr>
          <w:i/>
          <w:sz w:val="16"/>
          <w:szCs w:val="16"/>
          <w:lang w:val="es-CR"/>
        </w:rPr>
        <w:t xml:space="preserve">Caso Trabajadores Cesados de Petroperú y otros Vs. </w:t>
      </w:r>
      <w:r w:rsidRPr="00C946D6">
        <w:rPr>
          <w:i/>
          <w:sz w:val="16"/>
          <w:szCs w:val="16"/>
          <w:lang w:val="pt-BR"/>
        </w:rPr>
        <w:t>Perú, supra</w:t>
      </w:r>
      <w:r w:rsidRPr="00C946D6">
        <w:rPr>
          <w:rFonts w:eastAsiaTheme="minorHAnsi" w:cstheme="minorBidi"/>
          <w:sz w:val="16"/>
          <w:szCs w:val="16"/>
          <w:lang w:val="pt-BR" w:eastAsia="en-US"/>
        </w:rPr>
        <w:t>, párr. 182.</w:t>
      </w:r>
    </w:p>
  </w:footnote>
  <w:footnote w:id="374">
    <w:p w14:paraId="50C4FB0D" w14:textId="0FD4652A" w:rsidR="007F7D87" w:rsidRPr="009C15B0" w:rsidRDefault="007F7D87" w:rsidP="001E6358">
      <w:pPr>
        <w:pStyle w:val="FootnoteText"/>
        <w:tabs>
          <w:tab w:val="left" w:pos="567"/>
          <w:tab w:val="left" w:pos="709"/>
        </w:tabs>
        <w:spacing w:after="60"/>
        <w:rPr>
          <w:rFonts w:eastAsiaTheme="minorHAnsi" w:cstheme="minorBidi"/>
          <w:sz w:val="16"/>
          <w:szCs w:val="16"/>
          <w:lang w:val="es-CR" w:eastAsia="en-US"/>
        </w:rPr>
      </w:pPr>
      <w:r w:rsidRPr="009C15B0">
        <w:rPr>
          <w:rStyle w:val="FootnoteReference"/>
          <w:sz w:val="16"/>
          <w:szCs w:val="16"/>
          <w:lang w:val="es-CR"/>
        </w:rPr>
        <w:footnoteRef/>
      </w:r>
      <w:r w:rsidRPr="00C946D6">
        <w:rPr>
          <w:sz w:val="16"/>
          <w:szCs w:val="16"/>
          <w:lang w:val="pt-BR"/>
        </w:rPr>
        <w:t xml:space="preserve"> </w:t>
      </w:r>
      <w:r w:rsidRPr="00C946D6">
        <w:rPr>
          <w:sz w:val="16"/>
          <w:szCs w:val="16"/>
          <w:lang w:val="pt-BR"/>
        </w:rPr>
        <w:tab/>
      </w:r>
      <w:r w:rsidRPr="00C946D6">
        <w:rPr>
          <w:rFonts w:eastAsiaTheme="minorHAnsi" w:cstheme="minorBidi"/>
          <w:i/>
          <w:sz w:val="16"/>
          <w:szCs w:val="16"/>
          <w:lang w:val="pt-BR" w:eastAsia="en-US"/>
        </w:rPr>
        <w:t>Cfr. Caso Genie Lacayo Vs. Nicaragua, supra</w:t>
      </w:r>
      <w:r w:rsidRPr="00C946D6">
        <w:rPr>
          <w:rFonts w:eastAsiaTheme="minorHAnsi" w:cstheme="minorBidi"/>
          <w:sz w:val="16"/>
          <w:szCs w:val="16"/>
          <w:lang w:val="pt-BR" w:eastAsia="en-US"/>
        </w:rPr>
        <w:t xml:space="preserve">, párr. </w:t>
      </w:r>
      <w:r w:rsidRPr="009C15B0">
        <w:rPr>
          <w:rFonts w:eastAsiaTheme="minorHAnsi" w:cstheme="minorBidi"/>
          <w:sz w:val="16"/>
          <w:szCs w:val="16"/>
          <w:lang w:val="es-CR" w:eastAsia="en-US"/>
        </w:rPr>
        <w:t>78, y</w:t>
      </w:r>
      <w:r w:rsidRPr="009C15B0">
        <w:rPr>
          <w:rFonts w:eastAsiaTheme="minorHAnsi" w:cstheme="minorBidi"/>
          <w:i/>
          <w:sz w:val="16"/>
          <w:szCs w:val="16"/>
          <w:lang w:val="es-CR" w:eastAsia="en-US"/>
        </w:rPr>
        <w:t xml:space="preserve"> Caso Pacheco León y otros Vs. Honduras, supra</w:t>
      </w:r>
      <w:r w:rsidRPr="009C15B0">
        <w:rPr>
          <w:rFonts w:eastAsiaTheme="minorHAnsi" w:cstheme="minorBidi"/>
          <w:sz w:val="16"/>
          <w:szCs w:val="16"/>
          <w:lang w:val="es-CR" w:eastAsia="en-US"/>
        </w:rPr>
        <w:t>, párr. 122.</w:t>
      </w:r>
    </w:p>
  </w:footnote>
  <w:footnote w:id="375">
    <w:p w14:paraId="2FDFFFD5" w14:textId="22838FB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cs="Verdana-Italic"/>
          <w:i/>
          <w:iCs/>
          <w:sz w:val="16"/>
          <w:szCs w:val="16"/>
          <w:lang w:val="es-CR" w:bidi="en-US"/>
        </w:rPr>
        <w:t>Caso Myrna Mack Chang Vs. Guatemala. Fondo, Reparaciones y Costas</w:t>
      </w:r>
      <w:r w:rsidRPr="009C15B0">
        <w:rPr>
          <w:rFonts w:cs="Verdana-Italic"/>
          <w:sz w:val="16"/>
          <w:szCs w:val="16"/>
          <w:lang w:val="es-CR" w:bidi="en-US"/>
        </w:rPr>
        <w:t>. Sentencia de 25 de noviembre de 2003. Serie C No. 101</w:t>
      </w:r>
      <w:r w:rsidRPr="009C15B0">
        <w:rPr>
          <w:sz w:val="16"/>
          <w:szCs w:val="16"/>
          <w:lang w:val="es-CR" w:bidi="en-US"/>
        </w:rPr>
        <w:t xml:space="preserve">, párr. 211, y </w:t>
      </w:r>
      <w:r w:rsidRPr="009C15B0">
        <w:rPr>
          <w:i/>
          <w:sz w:val="16"/>
          <w:szCs w:val="16"/>
          <w:lang w:val="es-CR" w:bidi="en-US"/>
        </w:rPr>
        <w:t>Caso Ortiz Hernández y otros Vs. Venezuela, supra,</w:t>
      </w:r>
      <w:r w:rsidRPr="009C15B0">
        <w:rPr>
          <w:sz w:val="16"/>
          <w:szCs w:val="16"/>
          <w:lang w:val="es-CR"/>
        </w:rPr>
        <w:t xml:space="preserve"> párr. 145.</w:t>
      </w:r>
    </w:p>
  </w:footnote>
  <w:footnote w:id="376">
    <w:p w14:paraId="3F666D9D" w14:textId="1F5AC7E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Valle Jaramillo y otros Vs. Colombia. Fondo, Reparaciones y Costas. </w:t>
      </w:r>
      <w:r w:rsidRPr="009C15B0">
        <w:rPr>
          <w:sz w:val="16"/>
          <w:szCs w:val="16"/>
          <w:lang w:val="es-CR"/>
        </w:rPr>
        <w:t xml:space="preserve">Sentencia de 27 de noviembre de 2008. Serie C No. 192, párr. 155, y </w:t>
      </w:r>
      <w:r w:rsidRPr="009C15B0">
        <w:rPr>
          <w:rFonts w:eastAsiaTheme="minorHAnsi" w:cstheme="minorBidi"/>
          <w:i/>
          <w:sz w:val="16"/>
          <w:szCs w:val="16"/>
          <w:lang w:val="es-CR" w:eastAsia="en-US"/>
        </w:rPr>
        <w:t>Caso Pacheco León y otros Vs. Honduras, supra</w:t>
      </w:r>
      <w:r w:rsidRPr="009C15B0">
        <w:rPr>
          <w:iCs/>
          <w:sz w:val="16"/>
          <w:szCs w:val="16"/>
          <w:lang w:val="es-CR"/>
        </w:rPr>
        <w:t>, párr. 120</w:t>
      </w:r>
      <w:r w:rsidRPr="009C15B0">
        <w:rPr>
          <w:sz w:val="16"/>
          <w:szCs w:val="16"/>
          <w:lang w:val="es-CR"/>
        </w:rPr>
        <w:t>.</w:t>
      </w:r>
    </w:p>
  </w:footnote>
  <w:footnote w:id="377">
    <w:p w14:paraId="7FB54582" w14:textId="1C01EE2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Calibri"/>
          <w:i/>
          <w:sz w:val="16"/>
          <w:szCs w:val="16"/>
          <w:lang w:val="es-CR" w:eastAsia="de-DE"/>
        </w:rPr>
        <w:t xml:space="preserve">Cfr. </w:t>
      </w:r>
      <w:r w:rsidRPr="009C15B0">
        <w:rPr>
          <w:rStyle w:val="apple-style-span"/>
          <w:bCs/>
          <w:i/>
          <w:sz w:val="16"/>
          <w:szCs w:val="16"/>
          <w:lang w:val="es-CR"/>
        </w:rPr>
        <w:t>Caso Apitz Barbera y otros (“Corte Primera de lo Contencioso Administrativo”) Vs. Venezuela, supra</w:t>
      </w:r>
      <w:r w:rsidRPr="009C15B0">
        <w:rPr>
          <w:rStyle w:val="apple-style-span"/>
          <w:bCs/>
          <w:sz w:val="16"/>
          <w:szCs w:val="16"/>
          <w:lang w:val="es-CR"/>
        </w:rPr>
        <w:t xml:space="preserve">, </w:t>
      </w:r>
      <w:r w:rsidRPr="009C15B0">
        <w:rPr>
          <w:sz w:val="16"/>
          <w:szCs w:val="16"/>
          <w:lang w:val="es-CR"/>
        </w:rPr>
        <w:t>párr. 209</w:t>
      </w:r>
      <w:r w:rsidRPr="009C15B0">
        <w:rPr>
          <w:rStyle w:val="Strong"/>
          <w:b w:val="0"/>
          <w:color w:val="000000"/>
          <w:sz w:val="16"/>
          <w:szCs w:val="16"/>
          <w:shd w:val="clear" w:color="auto" w:fill="FFFFFF"/>
          <w:lang w:val="es-CR"/>
        </w:rPr>
        <w:t>, y</w:t>
      </w:r>
      <w:r w:rsidRPr="009C15B0">
        <w:rPr>
          <w:rFonts w:cs="Vrinda"/>
          <w:i/>
          <w:sz w:val="16"/>
          <w:szCs w:val="16"/>
          <w:lang w:val="es-CR"/>
        </w:rPr>
        <w:t xml:space="preserve"> </w:t>
      </w:r>
      <w:r w:rsidRPr="009C15B0">
        <w:rPr>
          <w:rFonts w:cs="Courier New"/>
          <w:i/>
          <w:sz w:val="16"/>
          <w:szCs w:val="16"/>
          <w:lang w:val="es-CR"/>
        </w:rPr>
        <w:t>Caso Veliz Franco y otros Vs. Guatemala. Excepciones Preliminares, Fondo, Reparaciones y Costas</w:t>
      </w:r>
      <w:r w:rsidRPr="009C15B0">
        <w:rPr>
          <w:rFonts w:cs="Courier New"/>
          <w:sz w:val="16"/>
          <w:szCs w:val="16"/>
          <w:lang w:val="es-CR"/>
        </w:rPr>
        <w:t>. Sentencia de 19 de mayo de 2014. Serie C No. 277, párr. 214</w:t>
      </w:r>
      <w:r w:rsidRPr="009C15B0">
        <w:rPr>
          <w:rStyle w:val="Strong"/>
          <w:b w:val="0"/>
          <w:sz w:val="16"/>
          <w:szCs w:val="16"/>
          <w:lang w:val="es-CR"/>
        </w:rPr>
        <w:t>.</w:t>
      </w:r>
    </w:p>
  </w:footnote>
  <w:footnote w:id="378">
    <w:p w14:paraId="4AB14739" w14:textId="239AB2D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Cfr.</w:t>
      </w:r>
      <w:r w:rsidRPr="009C15B0">
        <w:rPr>
          <w:color w:val="000000"/>
          <w:sz w:val="16"/>
          <w:szCs w:val="16"/>
          <w:lang w:val="es-CR"/>
        </w:rPr>
        <w:t xml:space="preserve"> </w:t>
      </w:r>
      <w:r w:rsidRPr="009C15B0">
        <w:rPr>
          <w:rFonts w:cs="Courier New"/>
          <w:i/>
          <w:sz w:val="16"/>
          <w:szCs w:val="16"/>
          <w:lang w:val="es-CR"/>
        </w:rPr>
        <w:t>Caso Yatama Vs. Nicaragua. Excepciones Preliminares, Fondo, Reparaciones y Costas.</w:t>
      </w:r>
      <w:r w:rsidRPr="009C15B0">
        <w:rPr>
          <w:rFonts w:cs="Courier New"/>
          <w:sz w:val="16"/>
          <w:szCs w:val="16"/>
          <w:lang w:val="es-CR"/>
        </w:rPr>
        <w:t xml:space="preserve"> Sentencia de 23 de junio de 2005. Serie C No. 127</w:t>
      </w:r>
      <w:r w:rsidRPr="009C15B0">
        <w:rPr>
          <w:sz w:val="16"/>
          <w:szCs w:val="16"/>
          <w:lang w:val="es-CR"/>
        </w:rPr>
        <w:t xml:space="preserve">, párr. 185, y </w:t>
      </w:r>
      <w:r w:rsidRPr="009C15B0">
        <w:rPr>
          <w:rFonts w:cs="Courier New"/>
          <w:i/>
          <w:sz w:val="16"/>
          <w:szCs w:val="16"/>
          <w:lang w:val="es-CR"/>
        </w:rPr>
        <w:t>Caso Vélez Loor Vs. Panamá. Excepciones Preliminares, Fondo, Reparaciones y Costas</w:t>
      </w:r>
      <w:r w:rsidRPr="009C15B0">
        <w:rPr>
          <w:rFonts w:cs="Courier New"/>
          <w:sz w:val="16"/>
          <w:szCs w:val="16"/>
          <w:lang w:val="es-CR"/>
        </w:rPr>
        <w:t>. Sentencia de 23 de noviembre de 2010. Serie C No. 218</w:t>
      </w:r>
      <w:r w:rsidRPr="009C15B0">
        <w:rPr>
          <w:sz w:val="16"/>
          <w:szCs w:val="16"/>
          <w:lang w:val="es-CR"/>
        </w:rPr>
        <w:t>, párr. 248.</w:t>
      </w:r>
    </w:p>
  </w:footnote>
  <w:footnote w:id="379">
    <w:p w14:paraId="33C25D13" w14:textId="6A8D4566"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J. Vs. Perú. Excepción Preliminar, Fondo, Reparaciones y Costas. </w:t>
      </w:r>
      <w:r w:rsidRPr="009C15B0">
        <w:rPr>
          <w:sz w:val="16"/>
          <w:szCs w:val="16"/>
          <w:lang w:val="es-CR"/>
        </w:rPr>
        <w:t>Sentencia de 27 de noviembre de 2013. Serie C No. 275</w:t>
      </w:r>
      <w:r w:rsidRPr="009C15B0">
        <w:rPr>
          <w:i/>
          <w:sz w:val="16"/>
          <w:szCs w:val="16"/>
          <w:lang w:val="es-CR"/>
        </w:rPr>
        <w:t>,</w:t>
      </w:r>
      <w:r w:rsidRPr="009C15B0">
        <w:rPr>
          <w:sz w:val="16"/>
          <w:szCs w:val="16"/>
          <w:lang w:val="es-CR"/>
        </w:rPr>
        <w:t xml:space="preserve"> párr. 359, y </w:t>
      </w:r>
      <w:r w:rsidRPr="009C15B0">
        <w:rPr>
          <w:i/>
          <w:sz w:val="16"/>
          <w:szCs w:val="16"/>
          <w:lang w:val="es-CR"/>
        </w:rPr>
        <w:t>Caso Espinoza Gonzáles Vs. Perú, supra</w:t>
      </w:r>
      <w:r w:rsidRPr="009C15B0">
        <w:rPr>
          <w:sz w:val="16"/>
          <w:szCs w:val="16"/>
          <w:lang w:val="es-CR"/>
        </w:rPr>
        <w:t>, párr. 192.</w:t>
      </w:r>
    </w:p>
  </w:footnote>
  <w:footnote w:id="380">
    <w:p w14:paraId="15C380F9" w14:textId="6E043A71" w:rsidR="007F7D87" w:rsidRPr="009C15B0" w:rsidRDefault="007F7D87" w:rsidP="001E6358">
      <w:pPr>
        <w:pStyle w:val="FootnoteText"/>
        <w:tabs>
          <w:tab w:val="left" w:pos="567"/>
          <w:tab w:val="left" w:pos="720"/>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González y otras (“Campo Algodonero”) Vs. México, supra</w:t>
      </w:r>
      <w:r w:rsidRPr="009C15B0">
        <w:rPr>
          <w:sz w:val="16"/>
          <w:szCs w:val="16"/>
          <w:lang w:val="es-CR"/>
        </w:rPr>
        <w:t xml:space="preserve">, párrs. 394 y 395, citando la Convención de Belém do Pará, preámbulo y artículo 6; la Convención sobre la eliminación de todas las formas de discriminación contra la mujer, de 18 de diciembre de 1979, artículo 1, y el Comité para la Eliminación de la Discriminación contra la Mujer, </w:t>
      </w:r>
      <w:r w:rsidRPr="009C15B0">
        <w:rPr>
          <w:i/>
          <w:sz w:val="16"/>
          <w:szCs w:val="16"/>
          <w:lang w:val="es-CR"/>
        </w:rPr>
        <w:t>Recomendación General N° 19: La Violencia contra la Mujer</w:t>
      </w:r>
      <w:r w:rsidRPr="009C15B0">
        <w:rPr>
          <w:sz w:val="16"/>
          <w:szCs w:val="16"/>
          <w:lang w:val="es-CR"/>
        </w:rPr>
        <w:t>, UN Doc. A/47/38, 29 de enero de 1992, párrs. 1 y 6.</w:t>
      </w:r>
    </w:p>
  </w:footnote>
  <w:footnote w:id="381">
    <w:p w14:paraId="0837934C" w14:textId="179293A1" w:rsidR="007F7D87" w:rsidRPr="009C15B0" w:rsidRDefault="007F7D87" w:rsidP="001E6358">
      <w:pPr>
        <w:pStyle w:val="FootnoteText"/>
        <w:tabs>
          <w:tab w:val="left" w:pos="567"/>
          <w:tab w:val="left" w:pos="720"/>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cs="Vrinda"/>
          <w:i/>
          <w:sz w:val="16"/>
          <w:szCs w:val="16"/>
          <w:lang w:val="es-CR"/>
        </w:rPr>
        <w:t xml:space="preserve">Cfr. </w:t>
      </w:r>
      <w:r w:rsidRPr="009C15B0">
        <w:rPr>
          <w:i/>
          <w:sz w:val="16"/>
          <w:szCs w:val="16"/>
          <w:lang w:val="es-CR"/>
        </w:rPr>
        <w:t>Caso González y otras (“Campo Algodonero”) Vs. México, supra</w:t>
      </w:r>
      <w:r w:rsidRPr="009C15B0">
        <w:rPr>
          <w:sz w:val="16"/>
          <w:szCs w:val="16"/>
          <w:lang w:val="es-CR"/>
        </w:rPr>
        <w:t xml:space="preserve">, párrs. 388 y 400, y </w:t>
      </w:r>
      <w:r w:rsidRPr="009C15B0">
        <w:rPr>
          <w:rFonts w:cs="Courier New"/>
          <w:i/>
          <w:sz w:val="16"/>
          <w:szCs w:val="16"/>
          <w:lang w:val="es-CR"/>
        </w:rPr>
        <w:t>Caso Gutiérrez Hernández y otros Vs. Guatemala, supra</w:t>
      </w:r>
      <w:r w:rsidRPr="009C15B0">
        <w:rPr>
          <w:rFonts w:cs="Courier New"/>
          <w:sz w:val="16"/>
          <w:szCs w:val="16"/>
          <w:lang w:val="es-CR"/>
        </w:rPr>
        <w:t>, párr. 176</w:t>
      </w:r>
      <w:r w:rsidRPr="009C15B0">
        <w:rPr>
          <w:sz w:val="16"/>
          <w:szCs w:val="16"/>
          <w:lang w:val="es-CR"/>
        </w:rPr>
        <w:t>.</w:t>
      </w:r>
    </w:p>
  </w:footnote>
  <w:footnote w:id="382">
    <w:p w14:paraId="571A7EFC" w14:textId="0C45D831" w:rsidR="007F7D87" w:rsidRPr="009C15B0" w:rsidRDefault="007F7D87" w:rsidP="001E6358">
      <w:pPr>
        <w:tabs>
          <w:tab w:val="left" w:pos="567"/>
        </w:tabs>
        <w:spacing w:after="60" w:line="240" w:lineRule="auto"/>
        <w:rPr>
          <w:color w:val="000000" w:themeColor="text1"/>
          <w:sz w:val="16"/>
          <w:szCs w:val="16"/>
        </w:rPr>
      </w:pPr>
      <w:r w:rsidRPr="009C15B0">
        <w:rPr>
          <w:rStyle w:val="FootnoteReference"/>
          <w:rFonts w:eastAsia="Calibri"/>
          <w:color w:val="000000" w:themeColor="text1"/>
          <w:sz w:val="16"/>
          <w:szCs w:val="16"/>
        </w:rPr>
        <w:footnoteRef/>
      </w:r>
      <w:r w:rsidRPr="009C15B0">
        <w:rPr>
          <w:color w:val="000000" w:themeColor="text1"/>
          <w:sz w:val="16"/>
          <w:szCs w:val="16"/>
        </w:rPr>
        <w:t xml:space="preserve"> </w:t>
      </w:r>
      <w:r w:rsidRPr="009C15B0">
        <w:rPr>
          <w:color w:val="000000" w:themeColor="text1"/>
          <w:sz w:val="16"/>
          <w:szCs w:val="16"/>
        </w:rPr>
        <w:tab/>
        <w:t>A</w:t>
      </w:r>
      <w:r w:rsidRPr="009C15B0">
        <w:rPr>
          <w:rFonts w:cs="MinionPro-Bold"/>
          <w:bCs/>
          <w:color w:val="000000" w:themeColor="text1"/>
          <w:sz w:val="16"/>
          <w:szCs w:val="16"/>
        </w:rPr>
        <w:t>rtículo 1 de la Convención de Belém do Pará.</w:t>
      </w:r>
    </w:p>
  </w:footnote>
  <w:footnote w:id="383">
    <w:p w14:paraId="2E86621D" w14:textId="45FF901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22.1 establece que: “[t]oda persona que se halle legalmente en el territorio de un Estado tiene derecho a circular por el mismo y, a residir en él con sujeción a las disposiciones legales”.</w:t>
      </w:r>
    </w:p>
  </w:footnote>
  <w:footnote w:id="384">
    <w:p w14:paraId="746EC0D5" w14:textId="687A7E4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17.1 dispone que: “</w:t>
      </w:r>
      <w:r w:rsidRPr="009C15B0">
        <w:rPr>
          <w:rFonts w:cs="Tahoma"/>
          <w:sz w:val="16"/>
          <w:szCs w:val="16"/>
          <w:lang w:val="es-CR"/>
        </w:rPr>
        <w:t>[l]a familia es el elemento natural y fundamental de la sociedad y debe ser protegida por la sociedad y el Estado</w:t>
      </w:r>
      <w:r w:rsidRPr="009C15B0">
        <w:rPr>
          <w:sz w:val="16"/>
          <w:szCs w:val="16"/>
          <w:lang w:val="es-CR"/>
        </w:rPr>
        <w:t>”.</w:t>
      </w:r>
    </w:p>
  </w:footnote>
  <w:footnote w:id="385">
    <w:p w14:paraId="57E8A476" w14:textId="1797505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19 prevé que: “</w:t>
      </w:r>
      <w:r w:rsidRPr="009C15B0">
        <w:rPr>
          <w:rFonts w:cs="Tahoma"/>
          <w:sz w:val="16"/>
          <w:szCs w:val="16"/>
          <w:lang w:val="es-CR"/>
        </w:rPr>
        <w:t>[t]odo niño tiene derecho a las medidas de protección que su condición de menor requieren por parte de su familia, de la sociedad y del Estado</w:t>
      </w:r>
      <w:r w:rsidRPr="009C15B0">
        <w:rPr>
          <w:sz w:val="16"/>
          <w:szCs w:val="16"/>
          <w:lang w:val="es-CR"/>
        </w:rPr>
        <w:t>”.</w:t>
      </w:r>
    </w:p>
  </w:footnote>
  <w:footnote w:id="386">
    <w:p w14:paraId="1C21373C" w14:textId="2FEC487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bCs/>
          <w:i/>
          <w:sz w:val="16"/>
          <w:szCs w:val="16"/>
          <w:lang w:val="es-CR"/>
        </w:rPr>
        <w:t>Caso Masacres de El Mozote y lugares aledaños Vs. El Salvador. Fondo, Reparaciones y Costas</w:t>
      </w:r>
      <w:r w:rsidRPr="009C15B0">
        <w:rPr>
          <w:bCs/>
          <w:sz w:val="16"/>
          <w:szCs w:val="16"/>
          <w:lang w:val="es-CR"/>
        </w:rPr>
        <w:t>. Sentencia de 25 de octubre de 2012. Serie C No. 252, párr. 186, y</w:t>
      </w:r>
      <w:r w:rsidRPr="009C15B0">
        <w:rPr>
          <w:sz w:val="16"/>
          <w:szCs w:val="16"/>
          <w:lang w:val="es-CR"/>
        </w:rPr>
        <w:t xml:space="preserve"> </w:t>
      </w:r>
      <w:r w:rsidRPr="009C15B0">
        <w:rPr>
          <w:bCs/>
          <w:i/>
          <w:sz w:val="16"/>
          <w:szCs w:val="16"/>
          <w:lang w:val="es-CR"/>
        </w:rPr>
        <w:t>Caso Yarce y otras Vs. Colombia, supra</w:t>
      </w:r>
      <w:r w:rsidRPr="009C15B0">
        <w:rPr>
          <w:bCs/>
          <w:sz w:val="16"/>
          <w:szCs w:val="16"/>
          <w:lang w:val="es-CR"/>
        </w:rPr>
        <w:t>, párr. 214.</w:t>
      </w:r>
    </w:p>
  </w:footnote>
  <w:footnote w:id="387">
    <w:p w14:paraId="2339FA40" w14:textId="3D09756E"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Theme="minorHAnsi" w:cstheme="minorBidi"/>
          <w:i/>
          <w:sz w:val="16"/>
          <w:szCs w:val="16"/>
          <w:lang w:val="es-CR" w:eastAsia="en-US"/>
        </w:rPr>
        <w:t xml:space="preserve">Cfr. </w:t>
      </w:r>
      <w:r w:rsidRPr="009C15B0">
        <w:rPr>
          <w:bCs/>
          <w:i/>
          <w:sz w:val="16"/>
          <w:szCs w:val="16"/>
          <w:lang w:val="es-CR"/>
        </w:rPr>
        <w:t>Caso Ricardo Canese Vs. Paraguay.</w:t>
      </w:r>
      <w:r w:rsidRPr="009C15B0">
        <w:rPr>
          <w:b/>
          <w:bCs/>
          <w:i/>
          <w:sz w:val="16"/>
          <w:szCs w:val="16"/>
          <w:lang w:val="es-CR"/>
        </w:rPr>
        <w:t xml:space="preserve"> </w:t>
      </w:r>
      <w:r w:rsidRPr="009C15B0">
        <w:rPr>
          <w:i/>
          <w:sz w:val="16"/>
          <w:szCs w:val="16"/>
          <w:lang w:val="es-CR"/>
        </w:rPr>
        <w:t>Fondo, Reparaciones y Costas</w:t>
      </w:r>
      <w:r w:rsidRPr="009C15B0">
        <w:rPr>
          <w:sz w:val="16"/>
          <w:szCs w:val="16"/>
          <w:lang w:val="es-CR"/>
        </w:rPr>
        <w:t xml:space="preserve">. Sentencia de 31 de agosto de 2004. Serie C No. 111, párr. 115, </w:t>
      </w:r>
      <w:r w:rsidRPr="009C15B0">
        <w:rPr>
          <w:rFonts w:eastAsiaTheme="minorHAnsi" w:cstheme="minorBidi"/>
          <w:sz w:val="16"/>
          <w:szCs w:val="16"/>
          <w:lang w:val="es-CR" w:eastAsia="en-US"/>
        </w:rPr>
        <w:t>y</w:t>
      </w:r>
      <w:r w:rsidRPr="009C15B0">
        <w:rPr>
          <w:rFonts w:eastAsiaTheme="minorHAnsi" w:cstheme="minorBidi"/>
          <w:i/>
          <w:sz w:val="16"/>
          <w:szCs w:val="16"/>
          <w:lang w:val="es-CR" w:eastAsia="en-US"/>
        </w:rPr>
        <w:t xml:space="preserve"> Caso Yarce y otras Vs. Colombia, supra</w:t>
      </w:r>
      <w:r w:rsidRPr="009C15B0">
        <w:rPr>
          <w:rFonts w:eastAsiaTheme="minorHAnsi" w:cstheme="minorBidi"/>
          <w:sz w:val="16"/>
          <w:szCs w:val="16"/>
          <w:lang w:val="es-CR" w:eastAsia="en-US"/>
        </w:rPr>
        <w:t>, párr. 214.</w:t>
      </w:r>
    </w:p>
  </w:footnote>
  <w:footnote w:id="388">
    <w:p w14:paraId="02423A40" w14:textId="0E3A05D1" w:rsidR="007F7D87" w:rsidRPr="009C15B0" w:rsidRDefault="007F7D87" w:rsidP="001E6358">
      <w:pPr>
        <w:pStyle w:val="FootnoteText"/>
        <w:tabs>
          <w:tab w:val="left" w:pos="567"/>
        </w:tabs>
        <w:spacing w:after="60"/>
        <w:ind w:right="49"/>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Calibri" w:cs="Verdana"/>
          <w:i/>
          <w:iCs/>
          <w:sz w:val="16"/>
          <w:szCs w:val="16"/>
          <w:lang w:val="es-CR"/>
        </w:rPr>
        <w:t xml:space="preserve">Cfr. Caso de la Comunidad Moiwana Vs. Surinam. Excepciones Preliminares, Fondo, Reparaciones y Costas. </w:t>
      </w:r>
      <w:r w:rsidRPr="009C15B0">
        <w:rPr>
          <w:rFonts w:eastAsia="Calibri" w:cs="Verdana"/>
          <w:iCs/>
          <w:sz w:val="16"/>
          <w:szCs w:val="16"/>
          <w:lang w:val="es-CR"/>
        </w:rPr>
        <w:t xml:space="preserve">Sentencia 15 de junio de 2005. Serie C No. 124, </w:t>
      </w:r>
      <w:r w:rsidRPr="009C15B0">
        <w:rPr>
          <w:rFonts w:eastAsia="Calibri" w:cs="Verdana"/>
          <w:sz w:val="16"/>
          <w:szCs w:val="16"/>
          <w:lang w:val="es-CR"/>
        </w:rPr>
        <w:t xml:space="preserve">párrs. 119 y 120, y </w:t>
      </w:r>
      <w:r w:rsidRPr="009C15B0">
        <w:rPr>
          <w:bCs/>
          <w:i/>
          <w:sz w:val="16"/>
          <w:szCs w:val="16"/>
          <w:lang w:val="es-CR"/>
        </w:rPr>
        <w:t xml:space="preserve">Caso Miembros de la Aldea Chichupac y comunidades vecinas del Municipio de Rabinal Vs. Guatemala. Excepciones Preliminares, Fondo, Reparaciones y Costas. </w:t>
      </w:r>
      <w:r w:rsidRPr="009C15B0">
        <w:rPr>
          <w:bCs/>
          <w:sz w:val="16"/>
          <w:szCs w:val="16"/>
          <w:lang w:val="es-CR"/>
        </w:rPr>
        <w:t>Sentencia de 30 de noviembre de 2016. Serie C No. 328, párr. 174.</w:t>
      </w:r>
    </w:p>
  </w:footnote>
  <w:footnote w:id="389">
    <w:p w14:paraId="41C16A4A" w14:textId="3F28F669" w:rsidR="007F7D87" w:rsidRPr="009C15B0" w:rsidRDefault="007F7D87" w:rsidP="001E6358">
      <w:pPr>
        <w:pStyle w:val="FootnoteText"/>
        <w:tabs>
          <w:tab w:val="left" w:pos="567"/>
        </w:tabs>
        <w:spacing w:after="60"/>
        <w:ind w:right="49"/>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eastAsia="Calibri" w:cs="Verdana"/>
          <w:i/>
          <w:iCs/>
          <w:sz w:val="16"/>
          <w:szCs w:val="16"/>
          <w:lang w:val="es-CR"/>
        </w:rPr>
        <w:t>Caso Valle Jaramillo y otros Vs. Colombia, supra</w:t>
      </w:r>
      <w:r w:rsidRPr="009C15B0">
        <w:rPr>
          <w:rFonts w:eastAsia="Calibri" w:cs="Verdana"/>
          <w:sz w:val="16"/>
          <w:szCs w:val="16"/>
          <w:lang w:val="es-CR"/>
        </w:rPr>
        <w:t xml:space="preserve">, </w:t>
      </w:r>
      <w:r w:rsidRPr="009C15B0">
        <w:rPr>
          <w:sz w:val="16"/>
          <w:szCs w:val="16"/>
          <w:lang w:val="es-CR"/>
        </w:rPr>
        <w:t xml:space="preserve">párr. 139, y </w:t>
      </w:r>
      <w:r w:rsidRPr="009C15B0">
        <w:rPr>
          <w:bCs/>
          <w:i/>
          <w:sz w:val="16"/>
          <w:szCs w:val="16"/>
          <w:lang w:val="es-CR"/>
        </w:rPr>
        <w:t>Caso Miembros de la Aldea Chichupac y comunidades vecinas del Municipio de Rabinal Vs. Guatemala, supra</w:t>
      </w:r>
      <w:r w:rsidRPr="009C15B0">
        <w:rPr>
          <w:bCs/>
          <w:sz w:val="16"/>
          <w:szCs w:val="16"/>
          <w:lang w:val="es-CR"/>
        </w:rPr>
        <w:t>, párr. 174.</w:t>
      </w:r>
    </w:p>
  </w:footnote>
  <w:footnote w:id="390">
    <w:p w14:paraId="341765D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bCs/>
          <w:i/>
          <w:sz w:val="16"/>
          <w:szCs w:val="16"/>
          <w:lang w:val="es-CR"/>
        </w:rPr>
        <w:t>Caso Manuel Cepeda Vargas Vs. Colombia. Excepciones Preliminares, Fondo, Reparaciones y Costas</w:t>
      </w:r>
      <w:r w:rsidRPr="009C15B0">
        <w:rPr>
          <w:bCs/>
          <w:sz w:val="16"/>
          <w:szCs w:val="16"/>
          <w:lang w:val="es-CR"/>
        </w:rPr>
        <w:t>. Sentencia de 26 de mayo de 2010. Serie C No. 213, párr. 201.</w:t>
      </w:r>
    </w:p>
  </w:footnote>
  <w:footnote w:id="391">
    <w:p w14:paraId="00AAA221" w14:textId="05DEAD95" w:rsidR="007F7D87" w:rsidRPr="009C15B0" w:rsidRDefault="007F7D87" w:rsidP="001E6358">
      <w:pPr>
        <w:pStyle w:val="FootnoteText"/>
        <w:tabs>
          <w:tab w:val="left" w:pos="567"/>
        </w:tabs>
        <w:spacing w:after="60"/>
        <w:ind w:right="49"/>
        <w:rPr>
          <w:rFonts w:eastAsiaTheme="minorHAnsi" w:cstheme="minorBidi"/>
          <w:sz w:val="16"/>
          <w:szCs w:val="16"/>
          <w:lang w:val="es-CR" w:eastAsia="en-US"/>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w:t>
      </w:r>
      <w:r w:rsidRPr="009C15B0">
        <w:rPr>
          <w:bCs/>
          <w:i/>
          <w:sz w:val="16"/>
          <w:szCs w:val="16"/>
          <w:lang w:val="es-CR"/>
        </w:rPr>
        <w:t xml:space="preserve"> </w:t>
      </w:r>
      <w:r w:rsidRPr="009C15B0">
        <w:rPr>
          <w:rFonts w:eastAsia="Calibri" w:cs="Verdana"/>
          <w:i/>
          <w:iCs/>
          <w:sz w:val="16"/>
          <w:szCs w:val="16"/>
          <w:lang w:val="es-CR"/>
        </w:rPr>
        <w:t>Caso de la Comunidad Moiwana Vs. Surinam, supra</w:t>
      </w:r>
      <w:r w:rsidRPr="009C15B0">
        <w:rPr>
          <w:rFonts w:eastAsia="Calibri" w:cs="Verdana"/>
          <w:iCs/>
          <w:sz w:val="16"/>
          <w:szCs w:val="16"/>
          <w:lang w:val="es-CR"/>
        </w:rPr>
        <w:t xml:space="preserve">, </w:t>
      </w:r>
      <w:r w:rsidRPr="009C15B0">
        <w:rPr>
          <w:rFonts w:eastAsia="Calibri" w:cs="Verdana"/>
          <w:sz w:val="16"/>
          <w:szCs w:val="16"/>
          <w:lang w:val="es-CR"/>
        </w:rPr>
        <w:t>párrs. 119 y 120,</w:t>
      </w:r>
      <w:r w:rsidRPr="009C15B0">
        <w:rPr>
          <w:rFonts w:cs="Verdana"/>
          <w:sz w:val="16"/>
          <w:szCs w:val="16"/>
          <w:lang w:val="es-CR"/>
        </w:rPr>
        <w:t xml:space="preserve"> y </w:t>
      </w:r>
      <w:r w:rsidRPr="009C15B0">
        <w:rPr>
          <w:bCs/>
          <w:i/>
          <w:sz w:val="16"/>
          <w:szCs w:val="16"/>
          <w:lang w:val="es-CR"/>
        </w:rPr>
        <w:t>Caso Miembros de la Aldea Chichupac y comunidades vecinas del Municipio de Rabinal Vs. Guatemala, supra</w:t>
      </w:r>
      <w:r w:rsidRPr="009C15B0">
        <w:rPr>
          <w:bCs/>
          <w:sz w:val="16"/>
          <w:szCs w:val="16"/>
          <w:lang w:val="es-CR"/>
        </w:rPr>
        <w:t>, párr. 174.</w:t>
      </w:r>
    </w:p>
  </w:footnote>
  <w:footnote w:id="392">
    <w:p w14:paraId="2D1A883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rStyle w:val="Strong"/>
          <w:b w:val="0"/>
          <w:i/>
          <w:sz w:val="16"/>
          <w:szCs w:val="16"/>
          <w:shd w:val="clear" w:color="auto" w:fill="FFFFFF"/>
          <w:lang w:val="es-CR"/>
        </w:rPr>
        <w:t>Caso Vélez Restrepo y familiares Vs. Colombia. Excepción Preliminar, Fondo, Reparaciones y Costas</w:t>
      </w:r>
      <w:r w:rsidRPr="009C15B0">
        <w:rPr>
          <w:rStyle w:val="Strong"/>
          <w:b w:val="0"/>
          <w:sz w:val="16"/>
          <w:szCs w:val="16"/>
          <w:shd w:val="clear" w:color="auto" w:fill="FFFFFF"/>
          <w:lang w:val="es-CR"/>
        </w:rPr>
        <w:t>. Sentencia de 3 de septiembre de 2012. Serie C No. 248, párr. 161.</w:t>
      </w:r>
    </w:p>
  </w:footnote>
  <w:footnote w:id="393">
    <w:p w14:paraId="6DE91AC5" w14:textId="043C1142" w:rsidR="007F7D87" w:rsidRPr="009C15B0" w:rsidRDefault="007F7D87" w:rsidP="001E6358">
      <w:pPr>
        <w:pStyle w:val="FootnoteText"/>
        <w:tabs>
          <w:tab w:val="left" w:pos="567"/>
          <w:tab w:val="left" w:pos="709"/>
        </w:tabs>
        <w:spacing w:after="60"/>
        <w:rPr>
          <w:bCs/>
          <w:sz w:val="16"/>
          <w:szCs w:val="16"/>
          <w:lang w:val="es-CR"/>
        </w:rPr>
      </w:pPr>
      <w:r w:rsidRPr="009C15B0">
        <w:rPr>
          <w:sz w:val="16"/>
          <w:szCs w:val="16"/>
          <w:vertAlign w:val="superscript"/>
          <w:lang w:val="es-CR"/>
        </w:rPr>
        <w:footnoteRef/>
      </w:r>
      <w:r w:rsidRPr="009C15B0">
        <w:rPr>
          <w:rFonts w:cs="Verdana"/>
          <w:bCs/>
          <w:sz w:val="16"/>
          <w:szCs w:val="16"/>
          <w:lang w:val="es-CR"/>
        </w:rPr>
        <w:t xml:space="preserve"> </w:t>
      </w:r>
      <w:r w:rsidRPr="009C15B0">
        <w:rPr>
          <w:rFonts w:cs="Verdana"/>
          <w:bCs/>
          <w:sz w:val="16"/>
          <w:szCs w:val="16"/>
          <w:lang w:val="es-CR"/>
        </w:rPr>
        <w:tab/>
      </w:r>
      <w:r w:rsidRPr="009C15B0">
        <w:rPr>
          <w:i/>
          <w:sz w:val="16"/>
          <w:szCs w:val="16"/>
          <w:lang w:val="es-CR"/>
        </w:rPr>
        <w:t>Cfr.</w:t>
      </w:r>
      <w:r w:rsidRPr="009C15B0">
        <w:rPr>
          <w:bCs/>
          <w:i/>
          <w:sz w:val="16"/>
          <w:szCs w:val="16"/>
          <w:lang w:val="es-CR"/>
        </w:rPr>
        <w:t xml:space="preserve"> </w:t>
      </w:r>
      <w:r w:rsidRPr="009C15B0">
        <w:rPr>
          <w:i/>
          <w:sz w:val="16"/>
          <w:szCs w:val="16"/>
          <w:lang w:val="es-CR"/>
        </w:rPr>
        <w:t>Condición Jurídica y Derechos Humanos del Niño.</w:t>
      </w:r>
      <w:r w:rsidRPr="009C15B0">
        <w:rPr>
          <w:sz w:val="16"/>
          <w:szCs w:val="16"/>
          <w:lang w:val="es-CR"/>
        </w:rPr>
        <w:t xml:space="preserve"> Opinión Consultiva OC-17/02, </w:t>
      </w:r>
      <w:r w:rsidRPr="009C15B0">
        <w:rPr>
          <w:i/>
          <w:sz w:val="16"/>
          <w:szCs w:val="16"/>
          <w:lang w:val="es-CR"/>
        </w:rPr>
        <w:t>supra</w:t>
      </w:r>
      <w:r w:rsidRPr="009C15B0">
        <w:rPr>
          <w:sz w:val="16"/>
          <w:szCs w:val="16"/>
          <w:lang w:val="es-CR"/>
        </w:rPr>
        <w:t xml:space="preserve">, párr. 71, y </w:t>
      </w:r>
      <w:r w:rsidRPr="009C15B0">
        <w:rPr>
          <w:rFonts w:eastAsiaTheme="minorHAnsi" w:cstheme="minorBidi"/>
          <w:i/>
          <w:sz w:val="16"/>
          <w:szCs w:val="16"/>
          <w:lang w:val="es-CR" w:eastAsia="en-US"/>
        </w:rPr>
        <w:t>Caso Yarce y otras Vs. Colombia, supra</w:t>
      </w:r>
      <w:r w:rsidRPr="009C15B0">
        <w:rPr>
          <w:rFonts w:eastAsiaTheme="minorHAnsi" w:cstheme="minorBidi"/>
          <w:sz w:val="16"/>
          <w:szCs w:val="16"/>
          <w:lang w:val="es-CR" w:eastAsia="en-US"/>
        </w:rPr>
        <w:t>, párr. 246</w:t>
      </w:r>
      <w:r w:rsidRPr="009C15B0">
        <w:rPr>
          <w:bCs/>
          <w:sz w:val="16"/>
          <w:szCs w:val="16"/>
          <w:lang w:val="es-CR"/>
        </w:rPr>
        <w:t>.</w:t>
      </w:r>
    </w:p>
  </w:footnote>
  <w:footnote w:id="394">
    <w:p w14:paraId="22B4ED05" w14:textId="32DD9AF7" w:rsidR="007F7D87" w:rsidRPr="009C15B0" w:rsidRDefault="007F7D87" w:rsidP="001E6358">
      <w:pPr>
        <w:pStyle w:val="FootnoteText"/>
        <w:tabs>
          <w:tab w:val="left" w:pos="567"/>
        </w:tabs>
        <w:spacing w:after="60"/>
        <w:ind w:right="51"/>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bCs/>
          <w:i/>
          <w:sz w:val="16"/>
          <w:szCs w:val="16"/>
          <w:lang w:val="es-CR"/>
        </w:rPr>
        <w:t xml:space="preserve"> </w:t>
      </w:r>
      <w:r w:rsidRPr="009C15B0">
        <w:rPr>
          <w:rFonts w:cs="Courier New"/>
          <w:i/>
          <w:sz w:val="16"/>
          <w:szCs w:val="16"/>
          <w:lang w:val="es-CR"/>
        </w:rPr>
        <w:t>Caso de las Hermanas Serrano Cruz Vs. El Salvador. Fondo, Reparaciones y Costas, supra</w:t>
      </w:r>
      <w:r w:rsidRPr="009C15B0">
        <w:rPr>
          <w:rFonts w:cs="Courier New"/>
          <w:sz w:val="16"/>
          <w:szCs w:val="16"/>
          <w:lang w:val="es-CR"/>
        </w:rPr>
        <w:t>,</w:t>
      </w:r>
      <w:r w:rsidRPr="009C15B0">
        <w:rPr>
          <w:rFonts w:cs="Calibri"/>
          <w:sz w:val="16"/>
          <w:szCs w:val="16"/>
          <w:lang w:val="es-CR"/>
        </w:rPr>
        <w:t xml:space="preserve"> </w:t>
      </w:r>
      <w:r w:rsidRPr="009C15B0">
        <w:rPr>
          <w:sz w:val="16"/>
          <w:szCs w:val="16"/>
          <w:lang w:val="es-CR"/>
        </w:rPr>
        <w:t>párr. 142, y</w:t>
      </w:r>
      <w:r w:rsidRPr="009C15B0">
        <w:rPr>
          <w:rFonts w:cs="Courier New"/>
          <w:i/>
          <w:sz w:val="16"/>
          <w:szCs w:val="16"/>
          <w:lang w:val="es-CR"/>
        </w:rPr>
        <w:t xml:space="preserve"> Caso Rochac Hernández y otros Vs. El Salvador. Fondo, Reparaciones y Costas.</w:t>
      </w:r>
      <w:r w:rsidRPr="009C15B0">
        <w:rPr>
          <w:rFonts w:cs="Courier New"/>
          <w:sz w:val="16"/>
          <w:szCs w:val="16"/>
          <w:lang w:val="es-CR"/>
        </w:rPr>
        <w:t xml:space="preserve"> Sentencia de 14 de octubre de 2014. Serie C No. 285,</w:t>
      </w:r>
      <w:r w:rsidRPr="009C15B0">
        <w:rPr>
          <w:bCs/>
          <w:sz w:val="16"/>
          <w:szCs w:val="16"/>
          <w:lang w:val="es-CR"/>
        </w:rPr>
        <w:t xml:space="preserve"> párr. 104.</w:t>
      </w:r>
    </w:p>
  </w:footnote>
  <w:footnote w:id="395">
    <w:p w14:paraId="11F594D6" w14:textId="7E2C4BF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Alto Comisionado de Naciones Unidas para los Refugiados (ACNUR),</w:t>
      </w:r>
      <w:r w:rsidRPr="009C15B0">
        <w:rPr>
          <w:i/>
          <w:sz w:val="16"/>
          <w:szCs w:val="16"/>
          <w:lang w:val="es-CR"/>
        </w:rPr>
        <w:t xml:space="preserve"> Directrices sobre protección internacional: La persecución por motivos de género en el contexto del Artículo 1A(2) de la Convención de 1951 sobre el Estatuto de los Refugiados, y/o su Protocolo de 1967</w:t>
      </w:r>
      <w:r w:rsidRPr="009C15B0">
        <w:rPr>
          <w:sz w:val="16"/>
          <w:szCs w:val="16"/>
          <w:lang w:val="es-CR"/>
        </w:rPr>
        <w:t>, UN Doc. HCR/619/02/01, 7 de mayo de 2002, en las cuales se establece que: “[e]s un principio básico que la definición de refugiado se debe interpretar con una perspectiva de género” (párr. 2).</w:t>
      </w:r>
    </w:p>
  </w:footnote>
  <w:footnote w:id="396">
    <w:p w14:paraId="155B9C2D" w14:textId="6FBACBC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Comité de los Derechos del Niño,</w:t>
      </w:r>
      <w:r w:rsidRPr="009C15B0">
        <w:rPr>
          <w:i/>
          <w:sz w:val="16"/>
          <w:szCs w:val="16"/>
          <w:lang w:val="es-CR"/>
        </w:rPr>
        <w:t xml:space="preserve"> Observación General N° 6, Trato de los menores no acompañados y separados de su familia fuera de su país de origen</w:t>
      </w:r>
      <w:r w:rsidRPr="009C15B0">
        <w:rPr>
          <w:sz w:val="16"/>
          <w:szCs w:val="16"/>
          <w:lang w:val="es-CR"/>
        </w:rPr>
        <w:t>, UN Doc. CRC/GC/2005/6, 1 de septiembre de 2005, párr. 74.</w:t>
      </w:r>
    </w:p>
  </w:footnote>
  <w:footnote w:id="397">
    <w:p w14:paraId="76833A4B" w14:textId="7353F00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Alto Comisionado de Naciones Unidas para los Refugiados (ACNUR),</w:t>
      </w:r>
      <w:r w:rsidRPr="009C15B0">
        <w:rPr>
          <w:i/>
          <w:sz w:val="16"/>
          <w:szCs w:val="16"/>
          <w:lang w:val="es-CR"/>
        </w:rPr>
        <w:t xml:space="preserve"> Directrices sobre protección internacional: La persecución por motivos de género en el contexto del Artículo 1A(2) de la Convención de 1951 sobre el Estatuto de los Refugiados, y/o su Protocolo de 1967</w:t>
      </w:r>
      <w:r w:rsidRPr="009C15B0">
        <w:rPr>
          <w:sz w:val="16"/>
          <w:szCs w:val="16"/>
          <w:lang w:val="es-CR"/>
        </w:rPr>
        <w:t>, HCR/619/02/01, 7 de mayo de 2002, párr. 9, el cual señala que “[e]l derecho internacional de los derechos humanos y el derecho penal internacional reconocen claramente que ciertos actos, como la violencia sexual, incumplen con estos estándares, y defienden su inclusión como forma grave de abuso equivalente a persecución. En este sentido, el derecho internacional puede asistir a los encargados de la toma de decisiones a determinar el carácter persecutorio de ciertos actos. No cabe duda de que la violación y otras formas de violencia de género, tales como la violencia relacionada con la dote, la mutilación genital femenina, la violencia doméstica y la trata de personas, constituyen actos que ocasionan un profundo sufrimiento y daño tanto mental como físico, y que han sido utilizadas como mecanismos de persecución, ya sea por agentes estatales o particulares</w:t>
      </w:r>
      <w:r w:rsidRPr="009C15B0">
        <w:rPr>
          <w:rFonts w:cs="Arial"/>
          <w:sz w:val="16"/>
          <w:szCs w:val="16"/>
          <w:lang w:val="es-CR"/>
        </w:rPr>
        <w:t>”.</w:t>
      </w:r>
    </w:p>
  </w:footnote>
  <w:footnote w:id="398">
    <w:p w14:paraId="2360482F" w14:textId="350EBBAD" w:rsidR="007F7D87" w:rsidRPr="009C15B0" w:rsidRDefault="007F7D87" w:rsidP="001E6358">
      <w:pPr>
        <w:tabs>
          <w:tab w:val="left" w:pos="567"/>
        </w:tabs>
        <w:autoSpaceDE w:val="0"/>
        <w:autoSpaceDN w:val="0"/>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sz w:val="16"/>
          <w:szCs w:val="16"/>
        </w:rPr>
        <w:t>Alto Comisionado de Naciones Unidas para los Refugiados (ACNUR),</w:t>
      </w:r>
      <w:r w:rsidRPr="009C15B0">
        <w:rPr>
          <w:i/>
          <w:sz w:val="16"/>
          <w:szCs w:val="16"/>
        </w:rPr>
        <w:t xml:space="preserve"> Directrices sobre protección internacional: La persecución por motivos de género en el contexto del Artículo 1A(2) de la Convención de 1951 sobre el Estatuto de los Refugiados, y/o su Protocolo de 1967</w:t>
      </w:r>
      <w:r w:rsidRPr="009C15B0">
        <w:rPr>
          <w:sz w:val="16"/>
          <w:szCs w:val="16"/>
        </w:rPr>
        <w:t>, HCR/619/02/01, 7 de mayo de 2002, párr. 19, el cual indica que: “</w:t>
      </w:r>
      <w:r w:rsidRPr="009C15B0">
        <w:rPr>
          <w:rFonts w:cs="TimesNewRoman"/>
          <w:sz w:val="16"/>
          <w:szCs w:val="16"/>
        </w:rPr>
        <w:t xml:space="preserve">[d]entro de la definición de refugiado cabe reconocer agentes de persecución tanto estatales como no estatales. Si bien los actos de persecución son normalmente perpetrados por las autoridades de un país, el trato gravemente discriminatorio y otro tipo de ofensas perpetradas por la población local o por individuos pueden equipararse a persecución si las autoridades los toleran de manera deliberada o si éstas se niegan a proporcionar una protección eficaz o son incapaces de hacerlo”. En igual sentido, </w:t>
      </w:r>
      <w:r w:rsidRPr="009C15B0">
        <w:rPr>
          <w:sz w:val="16"/>
          <w:szCs w:val="16"/>
        </w:rPr>
        <w:t>Alto Comisionado de Naciones Unidas para los Refugiados (ACNUR),</w:t>
      </w:r>
      <w:r w:rsidRPr="009C15B0">
        <w:rPr>
          <w:i/>
          <w:sz w:val="16"/>
          <w:szCs w:val="16"/>
        </w:rPr>
        <w:t xml:space="preserve"> Manual y directrices sobre procedimientos y criterios para determinar la condición de refugiado en virtud de la Convención de 1951 y el protocolo de 1967 sobre el estatuto de los refugiados, </w:t>
      </w:r>
      <w:r w:rsidRPr="009C15B0">
        <w:rPr>
          <w:sz w:val="16"/>
          <w:szCs w:val="16"/>
        </w:rPr>
        <w:t>HCR/19/4/Spa/Rev.3, diciembre de 2011, que en su párrafo 65 señala que: “[l]a persecución suele ser resultado de la actuación de las autoridades de un país. Puede también emanar de sectores de la población que no respetan las normas establecidas por las leyes de su país. […] El comportamiento vejatorio o gravemente discriminatorio observado por ciertos sectores de la población local puede equipararse a la persecución si es deliberadamente tolerado por las autoridades o si éstas se niegan a proporcionar una protección eficaz o son incapaces de hacerlo”.</w:t>
      </w:r>
    </w:p>
  </w:footnote>
  <w:footnote w:id="399">
    <w:p w14:paraId="3FBDED25" w14:textId="7C2CD48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Boletas de citación judicial dirigidas a V.P.C. y L.A.C.G. por denuncias interpuestas en su contra: 1) boleta de citación judicial dirigida a V.P.C. de 19 de diciembre de 2001, en proceso penal por calumnias iniciado por la fiscal auxiliar del Departamento de Jinotega (expediente de trámite </w:t>
      </w:r>
      <w:r w:rsidRPr="009C15B0">
        <w:rPr>
          <w:rFonts w:cs="Verdana"/>
          <w:sz w:val="16"/>
          <w:szCs w:val="16"/>
          <w:lang w:val="es-CR"/>
        </w:rPr>
        <w:t>ante la Comisión</w:t>
      </w:r>
      <w:r w:rsidRPr="009C15B0">
        <w:rPr>
          <w:sz w:val="16"/>
          <w:szCs w:val="16"/>
          <w:lang w:val="es-CR"/>
        </w:rPr>
        <w:t xml:space="preserve">, tomo VII, folio 2862); 2) boletas de citación judicial dirigidas a V.P.C. de 29 de abril de 2002, 8 de mayo de 2002, 14 de mayo de 2002, en proceso penal por injurias iniciado por el médico forense (expediente de prueba, tomo XX, anexo 7.b de la prueba para mejor resolver, folios 9699, 9711, 9721); 3) boleta de citación judicial dirigida a V.P.C. de 22 de julio de 2002, en proceso penal por calumnias iniciado por el médico forense (expediente de trámite </w:t>
      </w:r>
      <w:r w:rsidRPr="009C15B0">
        <w:rPr>
          <w:rFonts w:cs="Verdana"/>
          <w:sz w:val="16"/>
          <w:szCs w:val="16"/>
          <w:lang w:val="es-CR"/>
        </w:rPr>
        <w:t>ante la Comisión</w:t>
      </w:r>
      <w:r w:rsidRPr="009C15B0">
        <w:rPr>
          <w:sz w:val="16"/>
          <w:szCs w:val="16"/>
          <w:lang w:val="es-CR"/>
        </w:rPr>
        <w:t xml:space="preserve">, tomo VII, folio 2495); 4) boleta de citación judicial dirigida a V.P.C. de 8 de mayo de 2002, en proceso penal por injurias y calumnias iniciado por la jueza de derecho y presidenta del Tribunal de Jurados (expediente de trámite </w:t>
      </w:r>
      <w:r w:rsidRPr="009C15B0">
        <w:rPr>
          <w:rFonts w:cs="Verdana"/>
          <w:sz w:val="16"/>
          <w:szCs w:val="16"/>
          <w:lang w:val="es-CR"/>
        </w:rPr>
        <w:t>ante la Comisión</w:t>
      </w:r>
      <w:r w:rsidRPr="009C15B0">
        <w:rPr>
          <w:sz w:val="16"/>
          <w:szCs w:val="16"/>
          <w:lang w:val="es-CR"/>
        </w:rPr>
        <w:t>, tomo VII, folio 2586); 5) boleta de citación judicial dirigida a V.P.C. de 8 de mayo de 2002, en proceso penal por calumnias iniciado por una integrante del Tribunal de Jurados (expediente de trámite</w:t>
      </w:r>
      <w:r w:rsidRPr="009C15B0">
        <w:rPr>
          <w:rFonts w:cs="Verdana"/>
          <w:sz w:val="16"/>
          <w:szCs w:val="16"/>
          <w:lang w:val="es-CR"/>
        </w:rPr>
        <w:t xml:space="preserve"> ante la Comisión</w:t>
      </w:r>
      <w:r w:rsidRPr="009C15B0">
        <w:rPr>
          <w:sz w:val="16"/>
          <w:szCs w:val="16"/>
          <w:lang w:val="es-CR"/>
        </w:rPr>
        <w:t>, tomo VII, folio 2587), y 6) boleta de citación judicial dirigida a L.A.C.G. de 5 de junio de 2002 (expediente de trámite</w:t>
      </w:r>
      <w:r w:rsidRPr="009C15B0">
        <w:rPr>
          <w:rFonts w:cs="Verdana"/>
          <w:sz w:val="16"/>
          <w:szCs w:val="16"/>
          <w:lang w:val="es-CR"/>
        </w:rPr>
        <w:t xml:space="preserve"> ante la Comisión</w:t>
      </w:r>
      <w:r w:rsidRPr="009C15B0">
        <w:rPr>
          <w:sz w:val="16"/>
          <w:szCs w:val="16"/>
          <w:lang w:val="es-CR"/>
        </w:rPr>
        <w:t>, tomo VII, folio 2496).</w:t>
      </w:r>
    </w:p>
  </w:footnote>
  <w:footnote w:id="400">
    <w:p w14:paraId="743F758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en la audiencia pública celebrada el 16 y 17 de octubre de 2017.</w:t>
      </w:r>
    </w:p>
  </w:footnote>
  <w:footnote w:id="401">
    <w:p w14:paraId="418C10F6" w14:textId="360F4141"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rendida ante la Corte Interamericana por V.R.P. en la audiencia privada celebrada el 16 de octubre de 2017, en la cual sostuvo que: “[a su] mamá la empezaron a acusar de que lo que se había dicho del doctor, de la jueza eran calumnias. [Ella] tenía miedo que metieran a [su] mamá a la cárcel, de que [la] entregaran a [su] papá. Tenía miedo de que lo sacaran y [la] entregaran a él y que le hicieran algo a [su] mamá. [Se] tuvi[eron que ir, tuv[o] que dejar a [sus] hermanos, [quienes] eran [su] apoyo, eran los que [la] hacía[n] sentir que estaba protegida, que [se] sintiera segura”.</w:t>
      </w:r>
    </w:p>
  </w:footnote>
  <w:footnote w:id="402">
    <w:p w14:paraId="35737646" w14:textId="675E146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Declaración rendida ante fedatario público por H.J.R.P. el 9 de octubre de 2017 (expediente de prueba, tomo XVIII, </w:t>
      </w:r>
      <w:r w:rsidRPr="009C15B0">
        <w:rPr>
          <w:i/>
          <w:sz w:val="16"/>
          <w:szCs w:val="16"/>
          <w:lang w:val="es-CR"/>
        </w:rPr>
        <w:t>affidávits</w:t>
      </w:r>
      <w:r w:rsidRPr="009C15B0">
        <w:rPr>
          <w:sz w:val="16"/>
          <w:szCs w:val="16"/>
          <w:lang w:val="es-CR"/>
        </w:rPr>
        <w:t>, folio 8349).</w:t>
      </w:r>
    </w:p>
  </w:footnote>
  <w:footnote w:id="403">
    <w:p w14:paraId="298D2B28" w14:textId="0FB9890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bCs/>
          <w:i/>
          <w:sz w:val="16"/>
          <w:szCs w:val="16"/>
          <w:lang w:val="es-CR"/>
        </w:rPr>
        <w:t>Caso Acosta y otros Vs. Nicaragua, supra</w:t>
      </w:r>
      <w:r w:rsidRPr="009C15B0">
        <w:rPr>
          <w:bCs/>
          <w:sz w:val="16"/>
          <w:szCs w:val="16"/>
          <w:lang w:val="es-CR"/>
        </w:rPr>
        <w:t>, párr. 192.</w:t>
      </w:r>
    </w:p>
  </w:footnote>
  <w:footnote w:id="404">
    <w:p w14:paraId="266079D0" w14:textId="5B33106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 xml:space="preserve">Consejo de Derechos Humanos, </w:t>
      </w:r>
      <w:r w:rsidRPr="009C15B0">
        <w:rPr>
          <w:i/>
          <w:sz w:val="16"/>
          <w:szCs w:val="16"/>
          <w:lang w:val="es-CR"/>
        </w:rPr>
        <w:t>Informe del Grupo de Trabajo sobre el Examen Periódico Universal: Nicaragua</w:t>
      </w:r>
      <w:r w:rsidRPr="009C15B0">
        <w:rPr>
          <w:sz w:val="16"/>
          <w:szCs w:val="16"/>
          <w:lang w:val="es-CR"/>
        </w:rPr>
        <w:t xml:space="preserve">, UN Doc. A/HRC/14/3, 17 de marzo de 2010, párrs. 82, 92.36 a 92.39; Comité CEDAW, </w:t>
      </w:r>
      <w:r w:rsidRPr="009C15B0">
        <w:rPr>
          <w:i/>
          <w:sz w:val="16"/>
          <w:szCs w:val="16"/>
          <w:lang w:val="es-CR"/>
        </w:rPr>
        <w:t>Observaciones finales del Comité para la Eliminación de la Discriminación contra la Mujer: Nicaragua</w:t>
      </w:r>
      <w:r w:rsidRPr="009C15B0">
        <w:rPr>
          <w:sz w:val="16"/>
          <w:szCs w:val="16"/>
          <w:lang w:val="es-CR"/>
        </w:rPr>
        <w:t xml:space="preserve">, 2 de febrero de 2007, UN Doc. CEDAW/C/NIC/CO/6, párrs. 19 y 20; Comité de Derechos Humanos, </w:t>
      </w:r>
      <w:r w:rsidRPr="009C15B0">
        <w:rPr>
          <w:i/>
          <w:sz w:val="16"/>
          <w:szCs w:val="16"/>
          <w:lang w:val="es-CR"/>
        </w:rPr>
        <w:t>Examen de los informes presentados por los Estados Partes con arreglo al artículo 40 del Pacto. Observaciones Finales del Comité de Derechos Humanos: Nicaragua,</w:t>
      </w:r>
      <w:r w:rsidRPr="009C15B0">
        <w:rPr>
          <w:sz w:val="16"/>
          <w:szCs w:val="16"/>
          <w:lang w:val="es-CR"/>
        </w:rPr>
        <w:t xml:space="preserve"> UN Doc. CCPR/C/NIC/CO/3, 12 de diciembre de 2008, párrs. 8, 12 y 19, y Comité de los Derechos del Niño, </w:t>
      </w:r>
      <w:r w:rsidRPr="009C15B0">
        <w:rPr>
          <w:i/>
          <w:sz w:val="16"/>
          <w:szCs w:val="16"/>
          <w:lang w:val="es-CR"/>
        </w:rPr>
        <w:t>Examen de los informes presentados por los Estados partes en virtud del artículo 12, párrafo 1, del Protocolo facultativo de la Convención sobre los Derechos del Niño relativo a la venta de niños, la prostitución infantil y la utilización de niños en la pornografía</w:t>
      </w:r>
      <w:r w:rsidRPr="009C15B0">
        <w:rPr>
          <w:sz w:val="16"/>
          <w:szCs w:val="16"/>
          <w:lang w:val="es-CR"/>
        </w:rPr>
        <w:t>, UN Doc. CRC/C/OPSC/NIC/CO/1, 21 de octubre de 2010, párrs. 33 a 36.</w:t>
      </w:r>
    </w:p>
  </w:footnote>
  <w:footnote w:id="405">
    <w:p w14:paraId="5E2DE293"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rFonts w:eastAsiaTheme="majorEastAsia"/>
          <w:sz w:val="16"/>
          <w:szCs w:val="16"/>
          <w:lang w:val="es-CR"/>
        </w:rPr>
        <w:footnoteRef/>
      </w:r>
      <w:r w:rsidRPr="009C15B0">
        <w:rPr>
          <w:sz w:val="16"/>
          <w:szCs w:val="16"/>
          <w:lang w:val="es-CR"/>
        </w:rPr>
        <w:t xml:space="preserve"> </w:t>
      </w:r>
      <w:r w:rsidRPr="009C15B0">
        <w:rPr>
          <w:sz w:val="16"/>
          <w:szCs w:val="16"/>
          <w:lang w:val="es-CR"/>
        </w:rPr>
        <w:tab/>
        <w:t>El artículo 5.1 de la Convención dispone que: “[t]oda persona tiene derecho a que se respete su integridad física, psíquica y moral”.</w:t>
      </w:r>
    </w:p>
  </w:footnote>
  <w:footnote w:id="406">
    <w:p w14:paraId="2159FC38" w14:textId="2C8FFBF5" w:rsidR="007F7D87" w:rsidRPr="009C15B0" w:rsidRDefault="007F7D87" w:rsidP="001E6358">
      <w:pPr>
        <w:tabs>
          <w:tab w:val="left" w:pos="426"/>
          <w:tab w:val="left" w:pos="567"/>
        </w:tabs>
        <w:spacing w:after="60" w:line="240" w:lineRule="auto"/>
        <w:rPr>
          <w:sz w:val="16"/>
          <w:szCs w:val="16"/>
        </w:rPr>
      </w:pPr>
      <w:r w:rsidRPr="009C15B0">
        <w:rPr>
          <w:rStyle w:val="FootnoteReference"/>
          <w:sz w:val="16"/>
          <w:szCs w:val="16"/>
        </w:rPr>
        <w:footnoteRef/>
      </w:r>
      <w:r w:rsidRPr="00C946D6">
        <w:rPr>
          <w:sz w:val="16"/>
          <w:szCs w:val="16"/>
          <w:lang w:val="pt-BR"/>
        </w:rPr>
        <w:t xml:space="preserve"> </w:t>
      </w:r>
      <w:r w:rsidRPr="00C946D6">
        <w:rPr>
          <w:sz w:val="16"/>
          <w:szCs w:val="16"/>
          <w:lang w:val="pt-BR"/>
        </w:rPr>
        <w:tab/>
      </w:r>
      <w:r w:rsidRPr="00C946D6">
        <w:rPr>
          <w:i/>
          <w:sz w:val="16"/>
          <w:szCs w:val="16"/>
          <w:lang w:val="pt-BR"/>
        </w:rPr>
        <w:t xml:space="preserve">Cfr. Caso Ximenes Lopes Vs. Brasil. </w:t>
      </w:r>
      <w:r w:rsidRPr="009C15B0">
        <w:rPr>
          <w:sz w:val="16"/>
          <w:szCs w:val="16"/>
        </w:rPr>
        <w:t xml:space="preserve">Sentencia de 4 de julio de 2006. Serie C No. 149, párr. 156, y </w:t>
      </w:r>
      <w:r w:rsidRPr="009C15B0">
        <w:rPr>
          <w:i/>
          <w:sz w:val="16"/>
          <w:szCs w:val="16"/>
        </w:rPr>
        <w:t>Caso Vereda La Esperanza Vs. Colombia, supra</w:t>
      </w:r>
      <w:r w:rsidRPr="009C15B0">
        <w:rPr>
          <w:sz w:val="16"/>
          <w:szCs w:val="16"/>
        </w:rPr>
        <w:t>,</w:t>
      </w:r>
      <w:r w:rsidRPr="009C15B0">
        <w:rPr>
          <w:i/>
          <w:sz w:val="16"/>
          <w:szCs w:val="16"/>
        </w:rPr>
        <w:t xml:space="preserve"> </w:t>
      </w:r>
      <w:r w:rsidRPr="009C15B0">
        <w:rPr>
          <w:sz w:val="16"/>
          <w:szCs w:val="16"/>
        </w:rPr>
        <w:t>párr. 249.</w:t>
      </w:r>
    </w:p>
  </w:footnote>
  <w:footnote w:id="407">
    <w:p w14:paraId="142DA984" w14:textId="77777777" w:rsidR="007F7D87" w:rsidRPr="009C15B0" w:rsidRDefault="007F7D87" w:rsidP="001E6358">
      <w:pPr>
        <w:pStyle w:val="Footer"/>
        <w:tabs>
          <w:tab w:val="left" w:pos="426"/>
          <w:tab w:val="left" w:pos="567"/>
          <w:tab w:val="left" w:pos="720"/>
        </w:tabs>
        <w:spacing w:after="60"/>
        <w:jc w:val="both"/>
        <w:rPr>
          <w:rFonts w:ascii="Verdana" w:hAnsi="Verdana"/>
          <w:sz w:val="16"/>
          <w:szCs w:val="16"/>
          <w:lang w:val="es-CR"/>
        </w:rPr>
      </w:pPr>
      <w:r w:rsidRPr="009C15B0">
        <w:rPr>
          <w:rStyle w:val="FootnoteReference"/>
          <w:rFonts w:ascii="Verdana" w:hAnsi="Verdana"/>
          <w:sz w:val="16"/>
          <w:szCs w:val="16"/>
          <w:lang w:val="es-CR"/>
        </w:rPr>
        <w:footnoteRef/>
      </w:r>
      <w:r w:rsidRPr="009C15B0">
        <w:rPr>
          <w:rFonts w:ascii="Verdana" w:hAnsi="Verdana"/>
          <w:sz w:val="16"/>
          <w:szCs w:val="16"/>
          <w:lang w:val="es-CR"/>
        </w:rPr>
        <w:t xml:space="preserve"> </w:t>
      </w:r>
      <w:r w:rsidRPr="009C15B0">
        <w:rPr>
          <w:rFonts w:ascii="Verdana" w:hAnsi="Verdana"/>
          <w:sz w:val="16"/>
          <w:szCs w:val="16"/>
          <w:lang w:val="es-CR"/>
        </w:rPr>
        <w:tab/>
      </w:r>
      <w:r w:rsidRPr="009C15B0">
        <w:rPr>
          <w:rFonts w:ascii="Verdana" w:hAnsi="Verdana"/>
          <w:i/>
          <w:sz w:val="16"/>
          <w:szCs w:val="16"/>
          <w:lang w:val="es-CR"/>
        </w:rPr>
        <w:t xml:space="preserve">Cfr. Caso Blake Vs. Guatemala. Fondo. </w:t>
      </w:r>
      <w:r w:rsidRPr="009C15B0">
        <w:rPr>
          <w:rFonts w:ascii="Verdana" w:hAnsi="Verdana"/>
          <w:sz w:val="16"/>
          <w:szCs w:val="16"/>
          <w:lang w:val="es-CR"/>
        </w:rPr>
        <w:t>Sentencia de 24 de enero de 1998.</w:t>
      </w:r>
      <w:r w:rsidRPr="009C15B0">
        <w:rPr>
          <w:rFonts w:ascii="Verdana" w:hAnsi="Verdana"/>
          <w:i/>
          <w:sz w:val="16"/>
          <w:szCs w:val="16"/>
          <w:lang w:val="es-CR"/>
        </w:rPr>
        <w:t xml:space="preserve"> </w:t>
      </w:r>
      <w:r w:rsidRPr="009C15B0">
        <w:rPr>
          <w:rFonts w:ascii="Verdana" w:hAnsi="Verdana"/>
          <w:sz w:val="16"/>
          <w:szCs w:val="16"/>
          <w:lang w:val="es-CR"/>
        </w:rPr>
        <w:t xml:space="preserve">Serie C No. 36, párr. 114, y </w:t>
      </w:r>
      <w:r w:rsidRPr="009C15B0">
        <w:rPr>
          <w:rFonts w:ascii="Verdana" w:hAnsi="Verdana"/>
          <w:i/>
          <w:sz w:val="16"/>
          <w:szCs w:val="16"/>
          <w:lang w:val="es-CR"/>
        </w:rPr>
        <w:t>Caso Valencia Hinojosa y otra Vs. Ecuador. Excepciones Preliminares, Fondo, Reparaciones y Costas</w:t>
      </w:r>
      <w:r w:rsidRPr="009C15B0">
        <w:rPr>
          <w:rFonts w:ascii="Verdana" w:hAnsi="Verdana"/>
          <w:sz w:val="16"/>
          <w:szCs w:val="16"/>
          <w:lang w:val="es-CR"/>
        </w:rPr>
        <w:t>. Sentencia de 29 de noviembre de 2016. Serie C No. 327, párr. 142.</w:t>
      </w:r>
    </w:p>
  </w:footnote>
  <w:footnote w:id="408">
    <w:p w14:paraId="36CCF722" w14:textId="400F1EA7" w:rsidR="007F7D87" w:rsidRPr="009C15B0" w:rsidRDefault="007F7D87" w:rsidP="001E6358">
      <w:pPr>
        <w:tabs>
          <w:tab w:val="left" w:pos="426"/>
          <w:tab w:val="left" w:pos="567"/>
        </w:tabs>
        <w:spacing w:after="60" w:line="240" w:lineRule="auto"/>
        <w:rPr>
          <w:rFonts w:eastAsiaTheme="minorEastAsia" w:cstheme="minorBidi"/>
          <w:i/>
          <w:sz w:val="16"/>
          <w:szCs w:val="16"/>
          <w:lang w:eastAsia="es-PE"/>
        </w:rPr>
      </w:pPr>
      <w:r w:rsidRPr="009C15B0">
        <w:rPr>
          <w:rStyle w:val="FootnoteReference"/>
          <w:sz w:val="16"/>
          <w:szCs w:val="16"/>
        </w:rPr>
        <w:footnoteRef/>
      </w:r>
      <w:r w:rsidRPr="009C15B0">
        <w:rPr>
          <w:sz w:val="16"/>
          <w:szCs w:val="16"/>
        </w:rPr>
        <w:tab/>
      </w:r>
      <w:r w:rsidRPr="009C15B0">
        <w:rPr>
          <w:rFonts w:eastAsiaTheme="minorEastAsia" w:cstheme="minorBidi"/>
          <w:i/>
          <w:sz w:val="16"/>
          <w:szCs w:val="16"/>
          <w:lang w:eastAsia="es-PE"/>
        </w:rPr>
        <w:t xml:space="preserve">Cfr. Caso Bámaca Velásquez Vs. Guatemala. Fondo. </w:t>
      </w:r>
      <w:r w:rsidRPr="009C15B0">
        <w:rPr>
          <w:rFonts w:eastAsiaTheme="minorEastAsia" w:cstheme="minorBidi"/>
          <w:sz w:val="16"/>
          <w:szCs w:val="16"/>
          <w:lang w:eastAsia="es-PE"/>
        </w:rPr>
        <w:t xml:space="preserve">Sentencia de 25 de noviembre de 2000. Serie C No. 70, párr. 163, y </w:t>
      </w:r>
      <w:r w:rsidRPr="009C15B0">
        <w:rPr>
          <w:i/>
          <w:sz w:val="16"/>
          <w:szCs w:val="16"/>
        </w:rPr>
        <w:t>Caso Valencia Hinojosa y otra Vs. Ecuador, supra</w:t>
      </w:r>
      <w:r w:rsidRPr="009C15B0">
        <w:rPr>
          <w:sz w:val="16"/>
          <w:szCs w:val="16"/>
        </w:rPr>
        <w:t>, párr. 142.</w:t>
      </w:r>
    </w:p>
  </w:footnote>
  <w:footnote w:id="409">
    <w:p w14:paraId="06419654" w14:textId="60005B61" w:rsidR="007F7D87" w:rsidRPr="009C15B0" w:rsidRDefault="007F7D87" w:rsidP="001E6358">
      <w:pPr>
        <w:pStyle w:val="FootnoteText"/>
        <w:tabs>
          <w:tab w:val="left" w:pos="567"/>
          <w:tab w:val="left" w:pos="709"/>
        </w:tabs>
        <w:spacing w:after="60"/>
        <w:rPr>
          <w:rFonts w:eastAsiaTheme="minorEastAsia" w:cstheme="minorBidi"/>
          <w:sz w:val="16"/>
          <w:szCs w:val="16"/>
          <w:lang w:val="es-CR" w:eastAsia="es-PE"/>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La Corte ha </w:t>
      </w:r>
      <w:r w:rsidRPr="009C15B0">
        <w:rPr>
          <w:rFonts w:eastAsia="MS Mincho"/>
          <w:sz w:val="16"/>
          <w:szCs w:val="16"/>
          <w:lang w:val="es-CR"/>
        </w:rPr>
        <w:t xml:space="preserve">aplicado una presunción </w:t>
      </w:r>
      <w:r w:rsidRPr="009C15B0">
        <w:rPr>
          <w:rFonts w:eastAsia="MS Mincho"/>
          <w:i/>
          <w:sz w:val="16"/>
          <w:szCs w:val="16"/>
          <w:lang w:val="es-CR"/>
        </w:rPr>
        <w:t>iuris tantum</w:t>
      </w:r>
      <w:r w:rsidRPr="009C15B0">
        <w:rPr>
          <w:rFonts w:eastAsia="MS Mincho"/>
          <w:sz w:val="16"/>
          <w:szCs w:val="16"/>
          <w:lang w:val="es-CR"/>
        </w:rPr>
        <w:t xml:space="preserve"> respecto de madres y padres, hijas e hijos, esposos y esposas, y compañeros y compañeras permanentes, por ejemplo, en casos de masacres, desapariciones forzadas de personas y ejecuciones extrajudiciales. </w:t>
      </w:r>
      <w:r w:rsidRPr="009C15B0">
        <w:rPr>
          <w:rFonts w:eastAsia="MS Mincho"/>
          <w:i/>
          <w:sz w:val="16"/>
          <w:szCs w:val="16"/>
          <w:lang w:val="es-CR"/>
        </w:rPr>
        <w:t>Cfr. Caso Valle Jaramillo y otros Vs. Colombia, supra,</w:t>
      </w:r>
      <w:r w:rsidRPr="009C15B0">
        <w:rPr>
          <w:rFonts w:eastAsia="MS Mincho"/>
          <w:sz w:val="16"/>
          <w:szCs w:val="16"/>
          <w:lang w:val="es-CR"/>
        </w:rPr>
        <w:t xml:space="preserve"> párr. 119, y </w:t>
      </w:r>
      <w:r w:rsidRPr="009C15B0">
        <w:rPr>
          <w:i/>
          <w:sz w:val="16"/>
          <w:szCs w:val="16"/>
          <w:lang w:val="es-CR"/>
        </w:rPr>
        <w:t>Caso Espinoza Gonzáles Vs. Perú, supra</w:t>
      </w:r>
      <w:r w:rsidRPr="009C15B0">
        <w:rPr>
          <w:sz w:val="16"/>
          <w:szCs w:val="16"/>
          <w:lang w:val="es-CR"/>
        </w:rPr>
        <w:t>, párr. 296</w:t>
      </w:r>
      <w:r w:rsidRPr="009C15B0">
        <w:rPr>
          <w:rFonts w:cs="Courier New"/>
          <w:sz w:val="16"/>
          <w:szCs w:val="16"/>
          <w:lang w:val="es-CR"/>
        </w:rPr>
        <w:t>.</w:t>
      </w:r>
    </w:p>
  </w:footnote>
  <w:footnote w:id="410">
    <w:p w14:paraId="01807B31" w14:textId="45D07D36" w:rsidR="007F7D87" w:rsidRPr="009C15B0" w:rsidRDefault="007F7D87" w:rsidP="001E6358">
      <w:pPr>
        <w:pStyle w:val="FootnoteText"/>
        <w:tabs>
          <w:tab w:val="left" w:pos="567"/>
        </w:tabs>
        <w:spacing w:after="60"/>
        <w:rPr>
          <w:rFonts w:eastAsiaTheme="minorEastAsia"/>
          <w:i/>
          <w:sz w:val="16"/>
          <w:szCs w:val="16"/>
          <w:lang w:val="es-CR" w:eastAsia="es-PE"/>
        </w:rPr>
      </w:pPr>
      <w:r w:rsidRPr="009C15B0">
        <w:rPr>
          <w:rFonts w:eastAsiaTheme="minorEastAsia"/>
          <w:sz w:val="16"/>
          <w:szCs w:val="16"/>
          <w:vertAlign w:val="superscript"/>
          <w:lang w:val="es-CR" w:eastAsia="es-PE"/>
        </w:rPr>
        <w:footnoteRef/>
      </w:r>
      <w:r w:rsidRPr="009C15B0">
        <w:rPr>
          <w:rFonts w:eastAsiaTheme="minorEastAsia"/>
          <w:i/>
          <w:sz w:val="16"/>
          <w:szCs w:val="16"/>
          <w:lang w:val="es-CR" w:eastAsia="es-PE"/>
        </w:rPr>
        <w:t xml:space="preserve"> </w:t>
      </w:r>
      <w:r w:rsidRPr="009C15B0">
        <w:rPr>
          <w:rFonts w:eastAsiaTheme="minorEastAsia"/>
          <w:i/>
          <w:sz w:val="16"/>
          <w:szCs w:val="16"/>
          <w:lang w:val="es-CR" w:eastAsia="es-PE"/>
        </w:rPr>
        <w:tab/>
        <w:t>Cfr. Caso Valle Jaramillo y otros Vs. Colombia, supra</w:t>
      </w:r>
      <w:r w:rsidRPr="009C15B0">
        <w:rPr>
          <w:rFonts w:eastAsiaTheme="minorEastAsia"/>
          <w:sz w:val="16"/>
          <w:szCs w:val="16"/>
          <w:lang w:val="es-CR" w:eastAsia="es-PE"/>
        </w:rPr>
        <w:t xml:space="preserve">, párr. 119, y </w:t>
      </w:r>
      <w:r w:rsidRPr="009C15B0">
        <w:rPr>
          <w:rFonts w:eastAsiaTheme="minorEastAsia"/>
          <w:i/>
          <w:sz w:val="16"/>
          <w:szCs w:val="16"/>
          <w:lang w:val="es-CR" w:eastAsia="es-PE"/>
        </w:rPr>
        <w:t>Caso Valencia Hinojosa y otra Vs. Ecuador, supra</w:t>
      </w:r>
      <w:r w:rsidRPr="009C15B0">
        <w:rPr>
          <w:rFonts w:eastAsiaTheme="minorEastAsia"/>
          <w:sz w:val="16"/>
          <w:szCs w:val="16"/>
          <w:lang w:val="es-CR" w:eastAsia="es-PE"/>
        </w:rPr>
        <w:t>, párr. 143.</w:t>
      </w:r>
    </w:p>
  </w:footnote>
  <w:footnote w:id="411">
    <w:p w14:paraId="3902B34F" w14:textId="2D79A2E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durante la audiencia pública celebrada el 17 de octubre de 2017.</w:t>
      </w:r>
    </w:p>
  </w:footnote>
  <w:footnote w:id="412">
    <w:p w14:paraId="37A5B37E" w14:textId="087B80F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el perito Enrique Oscar Stola durante la audiencia pública celebrada el 16 y 17 de octubre de 2017.</w:t>
      </w:r>
    </w:p>
  </w:footnote>
  <w:footnote w:id="413">
    <w:p w14:paraId="3615A771" w14:textId="766AF19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Declaración rendida ante la Corte Interamericana por V.P.C. durante la audiencia pública celebrada el 17 de octubre de 2017.</w:t>
      </w:r>
    </w:p>
  </w:footnote>
  <w:footnote w:id="414">
    <w:p w14:paraId="6AE3CD40"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rendida ante la Corte Interamericana por V.P.C. durante la audiencia pública celebrada el 17 de octubre de 2017.</w:t>
      </w:r>
    </w:p>
  </w:footnote>
  <w:footnote w:id="415">
    <w:p w14:paraId="208771D3" w14:textId="6E4AFCC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Declaración rendida ante fedatario público por H.J.R.P. el 9 de octubre de 2017 (expediente de prueba, tomo XVIII, </w:t>
      </w:r>
      <w:r w:rsidRPr="009C15B0">
        <w:rPr>
          <w:i/>
          <w:sz w:val="16"/>
          <w:szCs w:val="16"/>
          <w:lang w:val="es-CR"/>
        </w:rPr>
        <w:t>afidávits</w:t>
      </w:r>
      <w:r w:rsidRPr="009C15B0">
        <w:rPr>
          <w:sz w:val="16"/>
          <w:szCs w:val="16"/>
          <w:lang w:val="es-CR"/>
        </w:rPr>
        <w:t>, folios 8352 a 8358).</w:t>
      </w:r>
    </w:p>
  </w:footnote>
  <w:footnote w:id="416">
    <w:p w14:paraId="5887FF9E" w14:textId="39BC22F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Específicamente, manifestó que: “[a]l salir [su] madre con [sus] hermanas de Nicaragua, […] perd[ió] todas las esperanzas, no tenía quien [le] diera soporte emocional de madre no tuve quien [le] diera soporte económico para seguir estudiando […] Todo se des[m]oronó, no solo producto de lo que le pasó a [su] hermanita sino por el hecho de que las personas que tenían que cuidar por ellas no lo hicieron, las dejaron solas. […E]l hecho de no haber podido estudiar [le] ha destrozado. […L]a separación y la desintegración de nuestra familia a todos nos ha afectado muy fuerte. Es algo que no podemos superar […] Ese vacío es difícil de llenar aun después de tantos años. [Su] salud se ha debilitado por esa razón. [… L]e ha impedido esta situación desarrollar[se] como persona[, … su] meta ha sido y fue el ser un profesional. No lo pud[o] concretar por no tener a [su] madre […] Todo esto [le] ha afectado [su] sistema inmunológico con situaciones repetitivas en [su] salud”. Declaración rendida ante fedatario público por V.A.R.P. el 9 de octubre de 2017 (expediente de prueba, tomo XVIII, </w:t>
      </w:r>
      <w:r w:rsidRPr="009C15B0">
        <w:rPr>
          <w:i/>
          <w:sz w:val="16"/>
          <w:szCs w:val="16"/>
          <w:lang w:val="es-CR"/>
        </w:rPr>
        <w:t>affidávits</w:t>
      </w:r>
      <w:r w:rsidRPr="009C15B0">
        <w:rPr>
          <w:sz w:val="16"/>
          <w:szCs w:val="16"/>
          <w:lang w:val="es-CR"/>
        </w:rPr>
        <w:t xml:space="preserve">, folios 8364 a 8375). </w:t>
      </w:r>
    </w:p>
  </w:footnote>
  <w:footnote w:id="417">
    <w:p w14:paraId="5F09F814" w14:textId="0195A80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En particular, señaló que: “[…] esta situación [le] ha afectado en todos los ámbitos de [su] vida. […] Y en el mes de junio [de 2017] fu[e] internada en el hospital psiquiátrico porque tuv[o] un relapso de eventos ocurridos en [su] pasado […]. Toda esta situación estresante vivida, post traumático estrés [sic], ha causado daños severos en [su] salud, pese a que [es] joven pero [su] salud [se ha] deteriorad[o] completamente”.</w:t>
      </w:r>
      <w:r w:rsidRPr="009C15B0">
        <w:rPr>
          <w:i/>
          <w:sz w:val="16"/>
          <w:szCs w:val="16"/>
          <w:lang w:val="es-CR"/>
        </w:rPr>
        <w:t xml:space="preserve"> </w:t>
      </w:r>
      <w:r w:rsidRPr="009C15B0">
        <w:rPr>
          <w:sz w:val="16"/>
          <w:szCs w:val="16"/>
          <w:lang w:val="es-CR"/>
        </w:rPr>
        <w:t xml:space="preserve">Declaración rendida ante fedatario público por N.R.P. el 10 de octubre de 2017 (expediente de prueba, tomo XVIII, </w:t>
      </w:r>
      <w:r w:rsidRPr="009C15B0">
        <w:rPr>
          <w:i/>
          <w:sz w:val="16"/>
          <w:szCs w:val="16"/>
          <w:lang w:val="es-CR"/>
        </w:rPr>
        <w:t>affidávits</w:t>
      </w:r>
      <w:r w:rsidRPr="009C15B0">
        <w:rPr>
          <w:sz w:val="16"/>
          <w:szCs w:val="16"/>
          <w:lang w:val="es-CR"/>
        </w:rPr>
        <w:t>, folios 8378 a 8398).</w:t>
      </w:r>
    </w:p>
  </w:footnote>
  <w:footnote w:id="418">
    <w:p w14:paraId="0EEAD246"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419">
    <w:p w14:paraId="61918924" w14:textId="78BFDBE5" w:rsidR="007F7D87" w:rsidRPr="009C15B0" w:rsidRDefault="007F7D87" w:rsidP="001E6358">
      <w:pPr>
        <w:tabs>
          <w:tab w:val="left" w:pos="567"/>
        </w:tabs>
        <w:spacing w:after="60" w:line="240" w:lineRule="auto"/>
        <w:rPr>
          <w:rFonts w:eastAsiaTheme="minorEastAsia"/>
          <w:i/>
          <w:sz w:val="16"/>
          <w:szCs w:val="16"/>
          <w:lang w:eastAsia="es-PE"/>
        </w:rPr>
      </w:pPr>
      <w:r w:rsidRPr="009C15B0">
        <w:rPr>
          <w:rStyle w:val="FootnoteReference"/>
          <w:sz w:val="16"/>
          <w:szCs w:val="16"/>
        </w:rPr>
        <w:footnoteRef/>
      </w:r>
      <w:r w:rsidRPr="009C15B0">
        <w:rPr>
          <w:sz w:val="16"/>
          <w:szCs w:val="16"/>
        </w:rPr>
        <w:t xml:space="preserve"> </w:t>
      </w:r>
      <w:r w:rsidRPr="009C15B0">
        <w:rPr>
          <w:sz w:val="16"/>
          <w:szCs w:val="16"/>
        </w:rPr>
        <w:tab/>
      </w:r>
      <w:r w:rsidRPr="009C15B0">
        <w:rPr>
          <w:rFonts w:eastAsiaTheme="minorEastAsia"/>
          <w:i/>
          <w:sz w:val="16"/>
          <w:szCs w:val="16"/>
          <w:lang w:eastAsia="es-PE"/>
        </w:rPr>
        <w:t xml:space="preserve">Cfr. Caso Velásquez Rodríguez Vs. Honduras. Reparaciones y Costas. </w:t>
      </w:r>
      <w:r w:rsidRPr="009C15B0">
        <w:rPr>
          <w:rFonts w:eastAsiaTheme="minorEastAsia"/>
          <w:sz w:val="16"/>
          <w:szCs w:val="16"/>
          <w:lang w:eastAsia="es-PE"/>
        </w:rPr>
        <w:t>Sentencia de 21 de julio de 1989. Serie C No. 7, párr. 25, y</w:t>
      </w:r>
      <w:r w:rsidRPr="009C15B0">
        <w:rPr>
          <w:rFonts w:eastAsiaTheme="minorEastAsia"/>
          <w:i/>
          <w:sz w:val="16"/>
          <w:szCs w:val="16"/>
          <w:lang w:eastAsia="es-PE"/>
        </w:rPr>
        <w:t xml:space="preserve"> Caso Trabajadores Cesados de Petroperú y otros Vs. Perú, supra, </w:t>
      </w:r>
      <w:r w:rsidRPr="009C15B0">
        <w:rPr>
          <w:rFonts w:eastAsiaTheme="minorEastAsia"/>
          <w:sz w:val="16"/>
          <w:szCs w:val="16"/>
          <w:lang w:eastAsia="es-PE"/>
        </w:rPr>
        <w:t>párr. 194.</w:t>
      </w:r>
    </w:p>
  </w:footnote>
  <w:footnote w:id="420">
    <w:p w14:paraId="27470F62" w14:textId="2FA78406" w:rsidR="007F7D87" w:rsidRPr="009C15B0" w:rsidRDefault="007F7D87" w:rsidP="001E6358">
      <w:pPr>
        <w:tabs>
          <w:tab w:val="left" w:pos="567"/>
        </w:tabs>
        <w:spacing w:after="60" w:line="240" w:lineRule="auto"/>
        <w:rPr>
          <w:rFonts w:eastAsiaTheme="minorEastAsia"/>
          <w:i/>
          <w:sz w:val="16"/>
          <w:szCs w:val="16"/>
          <w:lang w:eastAsia="es-PE"/>
        </w:rPr>
      </w:pPr>
      <w:r w:rsidRPr="009C15B0">
        <w:rPr>
          <w:rStyle w:val="FootnoteReference"/>
          <w:rFonts w:eastAsia="MS Mincho"/>
          <w:sz w:val="16"/>
          <w:szCs w:val="16"/>
        </w:rPr>
        <w:footnoteRef/>
      </w:r>
      <w:r w:rsidRPr="009C15B0">
        <w:rPr>
          <w:sz w:val="16"/>
          <w:szCs w:val="16"/>
        </w:rPr>
        <w:t xml:space="preserve"> </w:t>
      </w:r>
      <w:r w:rsidRPr="009C15B0">
        <w:rPr>
          <w:sz w:val="16"/>
          <w:szCs w:val="16"/>
        </w:rPr>
        <w:tab/>
      </w:r>
      <w:r w:rsidRPr="009C15B0">
        <w:rPr>
          <w:rFonts w:eastAsiaTheme="minorEastAsia"/>
          <w:i/>
          <w:sz w:val="16"/>
          <w:szCs w:val="16"/>
          <w:lang w:eastAsia="es-PE"/>
        </w:rPr>
        <w:t>Cfr. Caso Velásquez Rodríguez Vs. Honduras. Reparaciones y Costas, supra</w:t>
      </w:r>
      <w:r w:rsidRPr="009C15B0">
        <w:rPr>
          <w:rFonts w:eastAsiaTheme="minorEastAsia"/>
          <w:sz w:val="16"/>
          <w:szCs w:val="16"/>
          <w:lang w:eastAsia="es-PE"/>
        </w:rPr>
        <w:t xml:space="preserve">, párrs. 25 y 26, y </w:t>
      </w:r>
      <w:r w:rsidRPr="009C15B0">
        <w:rPr>
          <w:rFonts w:eastAsiaTheme="minorEastAsia"/>
          <w:i/>
          <w:sz w:val="16"/>
          <w:szCs w:val="16"/>
          <w:lang w:eastAsia="es-PE"/>
        </w:rPr>
        <w:t>Caso Trabajadores Cesados de Petroperú y otros Vs. Perú, supra</w:t>
      </w:r>
      <w:r w:rsidRPr="009C15B0">
        <w:rPr>
          <w:rFonts w:eastAsiaTheme="minorEastAsia"/>
          <w:sz w:val="16"/>
          <w:szCs w:val="16"/>
          <w:lang w:eastAsia="es-PE"/>
        </w:rPr>
        <w:t>, párrs. 194 y 195.</w:t>
      </w:r>
    </w:p>
  </w:footnote>
  <w:footnote w:id="421">
    <w:p w14:paraId="6C25EC41" w14:textId="48809DEA" w:rsidR="007F7D87" w:rsidRPr="009C15B0" w:rsidRDefault="007F7D87" w:rsidP="001E6358">
      <w:pPr>
        <w:tabs>
          <w:tab w:val="left" w:pos="567"/>
        </w:tabs>
        <w:spacing w:after="60" w:line="240" w:lineRule="auto"/>
        <w:rPr>
          <w:rFonts w:cs="Courier New"/>
          <w:bCs/>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bCs/>
          <w:i/>
          <w:sz w:val="16"/>
          <w:szCs w:val="16"/>
        </w:rPr>
        <w:t xml:space="preserve"> Caso Cantoral Benavides Vs. Perú. </w:t>
      </w:r>
      <w:r w:rsidRPr="009C15B0">
        <w:rPr>
          <w:i/>
          <w:sz w:val="16"/>
          <w:szCs w:val="16"/>
        </w:rPr>
        <w:t>Reparaciones y Costas</w:t>
      </w:r>
      <w:r w:rsidRPr="009C15B0">
        <w:rPr>
          <w:sz w:val="16"/>
          <w:szCs w:val="16"/>
        </w:rPr>
        <w:t xml:space="preserve">. Sentencia de 3 de diciembre de 2001. Serie C No. 88, párrs. 79 a 81, y </w:t>
      </w:r>
      <w:r w:rsidRPr="009C15B0">
        <w:rPr>
          <w:rFonts w:eastAsiaTheme="minorEastAsia"/>
          <w:i/>
          <w:sz w:val="16"/>
          <w:szCs w:val="16"/>
          <w:lang w:eastAsia="es-PE"/>
        </w:rPr>
        <w:t>Caso Trabajadores Cesados de Petroperú y otros Vs. Perú, supra</w:t>
      </w:r>
      <w:r w:rsidRPr="009C15B0">
        <w:rPr>
          <w:rFonts w:eastAsiaTheme="minorEastAsia"/>
          <w:sz w:val="16"/>
          <w:szCs w:val="16"/>
          <w:lang w:eastAsia="es-PE"/>
        </w:rPr>
        <w:t>, párr. 195.</w:t>
      </w:r>
    </w:p>
  </w:footnote>
  <w:footnote w:id="422">
    <w:p w14:paraId="05E568A9" w14:textId="09370725" w:rsidR="007F7D87" w:rsidRPr="009C15B0" w:rsidRDefault="007F7D87" w:rsidP="001E6358">
      <w:pPr>
        <w:tabs>
          <w:tab w:val="left" w:pos="567"/>
        </w:tabs>
        <w:spacing w:after="60" w:line="240" w:lineRule="auto"/>
        <w:rPr>
          <w:bCs/>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Caso Ticona Estrada Vs. Bolivia. Fondo, Reparaciones y Costas. </w:t>
      </w:r>
      <w:r w:rsidRPr="009C15B0">
        <w:rPr>
          <w:sz w:val="16"/>
          <w:szCs w:val="16"/>
        </w:rPr>
        <w:t xml:space="preserve">Sentencia de 27 de noviembre de 2008. Serie C No. 191, párr. 110, y </w:t>
      </w:r>
      <w:r w:rsidRPr="009C15B0">
        <w:rPr>
          <w:rFonts w:eastAsiaTheme="minorEastAsia"/>
          <w:i/>
          <w:sz w:val="16"/>
          <w:szCs w:val="16"/>
          <w:lang w:eastAsia="es-PE"/>
        </w:rPr>
        <w:t xml:space="preserve">Caso Trabajadores Cesados de Petroperú y otros Vs. Perú, supra, </w:t>
      </w:r>
      <w:r w:rsidRPr="009C15B0">
        <w:rPr>
          <w:rFonts w:eastAsiaTheme="minorEastAsia"/>
          <w:sz w:val="16"/>
          <w:szCs w:val="16"/>
          <w:lang w:eastAsia="es-PE"/>
        </w:rPr>
        <w:t>párr. 196.</w:t>
      </w:r>
    </w:p>
  </w:footnote>
  <w:footnote w:id="423">
    <w:p w14:paraId="4CECD65D" w14:textId="6EC8F246" w:rsidR="007F7D87" w:rsidRPr="009C15B0" w:rsidRDefault="007F7D87" w:rsidP="001E6358">
      <w:pPr>
        <w:pStyle w:val="FootnoteText"/>
        <w:tabs>
          <w:tab w:val="left" w:pos="567"/>
          <w:tab w:val="left" w:pos="709"/>
        </w:tabs>
        <w:spacing w:after="60"/>
        <w:rPr>
          <w:rFonts w:eastAsiaTheme="minorEastAsia"/>
          <w:i/>
          <w:sz w:val="16"/>
          <w:szCs w:val="16"/>
          <w:lang w:val="es-CR" w:eastAsia="es-PE"/>
        </w:rPr>
      </w:pPr>
      <w:r w:rsidRPr="009C15B0">
        <w:rPr>
          <w:rStyle w:val="FootnoteReference"/>
          <w:sz w:val="16"/>
          <w:szCs w:val="16"/>
          <w:lang w:val="es-CR"/>
        </w:rPr>
        <w:footnoteRef/>
      </w:r>
      <w:r w:rsidRPr="009C15B0">
        <w:rPr>
          <w:rFonts w:cs="Verdana"/>
          <w:bCs/>
          <w:i/>
          <w:sz w:val="16"/>
          <w:szCs w:val="16"/>
          <w:lang w:val="es-CR"/>
        </w:rPr>
        <w:tab/>
      </w:r>
      <w:r w:rsidRPr="009C15B0">
        <w:rPr>
          <w:i/>
          <w:sz w:val="16"/>
          <w:szCs w:val="16"/>
          <w:lang w:val="es-CR"/>
        </w:rPr>
        <w:t>Cfr.</w:t>
      </w:r>
      <w:r w:rsidRPr="009C15B0">
        <w:rPr>
          <w:bCs/>
          <w:i/>
          <w:sz w:val="16"/>
          <w:szCs w:val="16"/>
          <w:lang w:val="es-CR"/>
        </w:rPr>
        <w:t xml:space="preserve"> Caso Velásquez Rodríguez Vs. Honduras. </w:t>
      </w:r>
      <w:r w:rsidRPr="009C15B0">
        <w:rPr>
          <w:i/>
          <w:sz w:val="16"/>
          <w:szCs w:val="16"/>
          <w:lang w:val="es-CR"/>
        </w:rPr>
        <w:t>Reparaciones y Costas</w:t>
      </w:r>
      <w:r w:rsidRPr="009C15B0">
        <w:rPr>
          <w:sz w:val="16"/>
          <w:szCs w:val="16"/>
          <w:lang w:val="es-CR"/>
        </w:rPr>
        <w:t xml:space="preserve">, </w:t>
      </w:r>
      <w:r w:rsidRPr="009C15B0">
        <w:rPr>
          <w:i/>
          <w:sz w:val="16"/>
          <w:szCs w:val="16"/>
          <w:lang w:val="es-CR"/>
        </w:rPr>
        <w:t>supra</w:t>
      </w:r>
      <w:r w:rsidRPr="009C15B0">
        <w:rPr>
          <w:sz w:val="16"/>
          <w:szCs w:val="16"/>
          <w:lang w:val="es-CR"/>
        </w:rPr>
        <w:t xml:space="preserve">, párrs. 25 a 27, y </w:t>
      </w:r>
      <w:r w:rsidRPr="009C15B0">
        <w:rPr>
          <w:rFonts w:eastAsiaTheme="minorEastAsia"/>
          <w:i/>
          <w:sz w:val="16"/>
          <w:szCs w:val="16"/>
          <w:lang w:val="es-CR" w:eastAsia="es-PE"/>
        </w:rPr>
        <w:t>Caso Trabajadores Cesados de Petroperú y otros Vs. Perú, supra</w:t>
      </w:r>
      <w:r w:rsidRPr="009C15B0">
        <w:rPr>
          <w:rFonts w:eastAsiaTheme="minorEastAsia"/>
          <w:sz w:val="16"/>
          <w:szCs w:val="16"/>
          <w:lang w:val="es-CR" w:eastAsia="es-PE"/>
        </w:rPr>
        <w:t>,</w:t>
      </w:r>
      <w:r w:rsidRPr="009C15B0">
        <w:rPr>
          <w:rFonts w:eastAsiaTheme="minorEastAsia"/>
          <w:i/>
          <w:sz w:val="16"/>
          <w:szCs w:val="16"/>
          <w:lang w:val="es-CR" w:eastAsia="es-PE"/>
        </w:rPr>
        <w:t xml:space="preserve"> </w:t>
      </w:r>
      <w:r w:rsidRPr="009C15B0">
        <w:rPr>
          <w:rFonts w:eastAsiaTheme="minorEastAsia"/>
          <w:sz w:val="16"/>
          <w:szCs w:val="16"/>
          <w:lang w:val="es-CR" w:eastAsia="es-PE"/>
        </w:rPr>
        <w:t>párr. 197.</w:t>
      </w:r>
    </w:p>
  </w:footnote>
  <w:footnote w:id="424">
    <w:p w14:paraId="34E885C1" w14:textId="28CF329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Certificado de defunción de H.R.A. (expediente de prueba, tomo XVII, anexo 43 a la contestación del Estado, folio 8344).</w:t>
      </w:r>
    </w:p>
  </w:footnote>
  <w:footnote w:id="425">
    <w:p w14:paraId="575FFA07" w14:textId="1582C902" w:rsidR="007F7D87" w:rsidRPr="009C15B0" w:rsidRDefault="007F7D87" w:rsidP="001E6358">
      <w:pPr>
        <w:pStyle w:val="FootnoteText"/>
        <w:tabs>
          <w:tab w:val="left" w:pos="567"/>
        </w:tabs>
        <w:spacing w:after="60"/>
        <w:rPr>
          <w:sz w:val="16"/>
          <w:szCs w:val="16"/>
          <w:lang w:val="es-CR"/>
        </w:rPr>
      </w:pPr>
      <w:r w:rsidRPr="009C15B0">
        <w:rPr>
          <w:rStyle w:val="FootnoteReference"/>
          <w:rFonts w:eastAsia="MS ????"/>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w:t>
      </w:r>
      <w:r w:rsidRPr="009C15B0">
        <w:rPr>
          <w:i/>
          <w:sz w:val="16"/>
          <w:szCs w:val="16"/>
          <w:lang w:val="es-CR"/>
        </w:rPr>
        <w:t>Caso Barrios Altos Vs. Perú</w:t>
      </w:r>
      <w:r w:rsidRPr="009C15B0">
        <w:rPr>
          <w:sz w:val="16"/>
          <w:szCs w:val="16"/>
          <w:lang w:val="es-CR"/>
        </w:rPr>
        <w:t xml:space="preserve">. </w:t>
      </w:r>
      <w:r w:rsidRPr="009C15B0">
        <w:rPr>
          <w:i/>
          <w:sz w:val="16"/>
          <w:szCs w:val="16"/>
          <w:lang w:val="es-CR"/>
        </w:rPr>
        <w:t>Reparaciones y Costas.</w:t>
      </w:r>
      <w:r w:rsidRPr="009C15B0">
        <w:rPr>
          <w:sz w:val="16"/>
          <w:szCs w:val="16"/>
          <w:lang w:val="es-CR"/>
        </w:rPr>
        <w:t xml:space="preserve"> Sentencia de 30 de noviembre de 2001. Serie C No. 87, párrs. 42 y 45, y </w:t>
      </w:r>
      <w:r w:rsidRPr="009C15B0">
        <w:rPr>
          <w:rStyle w:val="Strong"/>
          <w:b w:val="0"/>
          <w:i/>
          <w:sz w:val="16"/>
          <w:szCs w:val="16"/>
          <w:lang w:val="es-CR"/>
        </w:rPr>
        <w:t xml:space="preserve">Caso </w:t>
      </w:r>
      <w:r w:rsidRPr="009C15B0">
        <w:rPr>
          <w:bCs/>
          <w:i/>
          <w:sz w:val="16"/>
          <w:szCs w:val="16"/>
          <w:lang w:val="es-CR"/>
        </w:rPr>
        <w:t>Favela Nova Brasilia Vs. Brasil, supra</w:t>
      </w:r>
      <w:r w:rsidRPr="009C15B0">
        <w:rPr>
          <w:bCs/>
          <w:sz w:val="16"/>
          <w:szCs w:val="16"/>
          <w:lang w:val="es-CR"/>
        </w:rPr>
        <w:t>, párr. 296</w:t>
      </w:r>
      <w:r w:rsidRPr="009C15B0">
        <w:rPr>
          <w:sz w:val="16"/>
          <w:szCs w:val="16"/>
          <w:lang w:val="es-CR"/>
        </w:rPr>
        <w:t>.</w:t>
      </w:r>
    </w:p>
  </w:footnote>
  <w:footnote w:id="426">
    <w:p w14:paraId="1807D23C" w14:textId="3682172C"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Cfr. Caso Heliodoro Portugal Vs. Panamá</w:t>
      </w:r>
      <w:r w:rsidRPr="009C15B0">
        <w:rPr>
          <w:sz w:val="16"/>
          <w:szCs w:val="16"/>
          <w:lang w:val="es-CR"/>
        </w:rPr>
        <w:t>.</w:t>
      </w:r>
      <w:r w:rsidRPr="009C15B0">
        <w:rPr>
          <w:rFonts w:cs="Verdana"/>
          <w:bCs/>
          <w:i/>
          <w:sz w:val="16"/>
          <w:szCs w:val="16"/>
          <w:lang w:val="es-CR"/>
        </w:rPr>
        <w:t xml:space="preserve"> Supervisión de Cumplimiento de Sentencia.</w:t>
      </w:r>
      <w:r w:rsidRPr="009C15B0">
        <w:rPr>
          <w:rFonts w:cs="Verdana"/>
          <w:bCs/>
          <w:sz w:val="16"/>
          <w:szCs w:val="16"/>
          <w:lang w:val="es-CR"/>
        </w:rPr>
        <w:t xml:space="preserve"> Resolución emitida por la Corte Interamericana el 28 de mayo de 2010, Considerando 28, y </w:t>
      </w:r>
      <w:r w:rsidRPr="009C15B0">
        <w:rPr>
          <w:bCs/>
          <w:i/>
          <w:sz w:val="16"/>
          <w:szCs w:val="16"/>
          <w:lang w:val="es-CR"/>
        </w:rPr>
        <w:t>Caso Ortiz Hernández y otros Vs. Venezuela, supra</w:t>
      </w:r>
      <w:r w:rsidRPr="009C15B0">
        <w:rPr>
          <w:sz w:val="16"/>
          <w:szCs w:val="16"/>
          <w:lang w:val="es-CR"/>
        </w:rPr>
        <w:t>, párr. 199</w:t>
      </w:r>
      <w:r w:rsidRPr="009C15B0">
        <w:rPr>
          <w:rFonts w:cs="Verdana"/>
          <w:bCs/>
          <w:sz w:val="16"/>
          <w:szCs w:val="16"/>
          <w:lang w:val="es-CR"/>
        </w:rPr>
        <w:t>.</w:t>
      </w:r>
    </w:p>
  </w:footnote>
  <w:footnote w:id="427">
    <w:p w14:paraId="7F190CA7" w14:textId="524FE146"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 xml:space="preserve">Cfr. </w:t>
      </w:r>
      <w:r w:rsidRPr="009C15B0">
        <w:rPr>
          <w:bCs/>
          <w:i/>
          <w:sz w:val="16"/>
          <w:szCs w:val="16"/>
          <w:lang w:val="es-CR"/>
        </w:rPr>
        <w:t xml:space="preserve">Caso de la Masacre de Las Dos Erres Vs. Guatemala. Excepción Preliminar, Fondo, Reparaciones y Costas. </w:t>
      </w:r>
      <w:r w:rsidRPr="009C15B0">
        <w:rPr>
          <w:bCs/>
          <w:sz w:val="16"/>
          <w:szCs w:val="16"/>
          <w:lang w:val="es-CR"/>
        </w:rPr>
        <w:t>Sentencia de 24 de noviembre de 2009. Serie C No. 211</w:t>
      </w:r>
      <w:r w:rsidRPr="009C15B0">
        <w:rPr>
          <w:sz w:val="16"/>
          <w:szCs w:val="16"/>
          <w:lang w:val="es-CR"/>
        </w:rPr>
        <w:t>, párr. 270,</w:t>
      </w:r>
      <w:r w:rsidRPr="009C15B0">
        <w:rPr>
          <w:rFonts w:cs="Verdana"/>
          <w:bCs/>
          <w:sz w:val="16"/>
          <w:szCs w:val="16"/>
          <w:lang w:val="es-CR"/>
        </w:rPr>
        <w:t xml:space="preserve"> y </w:t>
      </w:r>
      <w:r w:rsidRPr="009C15B0">
        <w:rPr>
          <w:bCs/>
          <w:i/>
          <w:sz w:val="16"/>
          <w:szCs w:val="16"/>
          <w:lang w:val="es-CR"/>
        </w:rPr>
        <w:t>Caso Ortiz Hernández y otros Vs. Venezuela, supra</w:t>
      </w:r>
      <w:r w:rsidRPr="009C15B0">
        <w:rPr>
          <w:sz w:val="16"/>
          <w:szCs w:val="16"/>
          <w:lang w:val="es-CR"/>
        </w:rPr>
        <w:t>, párr. 199</w:t>
      </w:r>
      <w:r w:rsidRPr="009C15B0">
        <w:rPr>
          <w:rFonts w:cs="Verdana"/>
          <w:bCs/>
          <w:sz w:val="16"/>
          <w:szCs w:val="16"/>
          <w:lang w:val="es-CR"/>
        </w:rPr>
        <w:t>.</w:t>
      </w:r>
    </w:p>
  </w:footnote>
  <w:footnote w:id="428">
    <w:p w14:paraId="7F076018" w14:textId="59CECC0B"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rFonts w:cs="Verdana"/>
          <w:bCs/>
          <w:sz w:val="16"/>
          <w:szCs w:val="16"/>
          <w:lang w:val="es-CR"/>
        </w:rPr>
        <w:tab/>
      </w:r>
      <w:r w:rsidRPr="009C15B0">
        <w:rPr>
          <w:i/>
          <w:iCs/>
          <w:sz w:val="16"/>
          <w:szCs w:val="16"/>
          <w:lang w:val="es-CR"/>
        </w:rPr>
        <w:t xml:space="preserve">Cfr. </w:t>
      </w:r>
      <w:r w:rsidRPr="009C15B0">
        <w:rPr>
          <w:bCs/>
          <w:i/>
          <w:sz w:val="16"/>
          <w:szCs w:val="16"/>
          <w:lang w:val="es-CR"/>
        </w:rPr>
        <w:t>Caso de la Masacre de Las Dos Erres Vs. Guatemala, supra</w:t>
      </w:r>
      <w:r w:rsidRPr="009C15B0">
        <w:rPr>
          <w:sz w:val="16"/>
          <w:szCs w:val="16"/>
          <w:lang w:val="es-CR"/>
        </w:rPr>
        <w:t>, párr. 270,</w:t>
      </w:r>
      <w:r w:rsidRPr="009C15B0">
        <w:rPr>
          <w:rFonts w:cs="Verdana"/>
          <w:bCs/>
          <w:sz w:val="16"/>
          <w:szCs w:val="16"/>
          <w:lang w:val="es-CR"/>
        </w:rPr>
        <w:t xml:space="preserve"> y </w:t>
      </w:r>
      <w:r w:rsidRPr="009C15B0">
        <w:rPr>
          <w:bCs/>
          <w:i/>
          <w:sz w:val="16"/>
          <w:szCs w:val="16"/>
          <w:lang w:val="es-CR"/>
        </w:rPr>
        <w:t>Caso Ortiz Hernández y otros Vs. Venezuela, supra</w:t>
      </w:r>
      <w:r w:rsidRPr="009C15B0">
        <w:rPr>
          <w:sz w:val="16"/>
          <w:szCs w:val="16"/>
          <w:lang w:val="es-CR"/>
        </w:rPr>
        <w:t>, párr. 199</w:t>
      </w:r>
      <w:r w:rsidRPr="009C15B0">
        <w:rPr>
          <w:rFonts w:cs="Verdana"/>
          <w:bCs/>
          <w:sz w:val="16"/>
          <w:szCs w:val="16"/>
          <w:lang w:val="es-CR"/>
        </w:rPr>
        <w:t>.</w:t>
      </w:r>
    </w:p>
  </w:footnote>
  <w:footnote w:id="429">
    <w:p w14:paraId="58FE7B9E" w14:textId="50381C1B" w:rsidR="007F7D87" w:rsidRPr="009C15B0" w:rsidRDefault="007F7D87" w:rsidP="001E6358">
      <w:pPr>
        <w:pStyle w:val="FootnoteText"/>
        <w:tabs>
          <w:tab w:val="left" w:pos="567"/>
        </w:tabs>
        <w:spacing w:after="60"/>
        <w:rPr>
          <w:i/>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Rosendo Cantú y otra Vs. México, supra</w:t>
      </w:r>
      <w:r w:rsidRPr="009C15B0">
        <w:rPr>
          <w:sz w:val="16"/>
          <w:szCs w:val="16"/>
          <w:lang w:val="es-CR"/>
        </w:rPr>
        <w:t>, párr. 253, y</w:t>
      </w:r>
      <w:r w:rsidRPr="009C15B0">
        <w:rPr>
          <w:i/>
          <w:sz w:val="16"/>
          <w:szCs w:val="16"/>
          <w:lang w:val="es-CR"/>
        </w:rPr>
        <w:t xml:space="preserve"> Caso Ortiz Hernández y otros Vs. Venezuela, supra</w:t>
      </w:r>
      <w:r w:rsidRPr="009C15B0">
        <w:rPr>
          <w:sz w:val="16"/>
          <w:szCs w:val="16"/>
          <w:lang w:val="es-CR"/>
        </w:rPr>
        <w:t>, párr. 199</w:t>
      </w:r>
      <w:r w:rsidRPr="009C15B0">
        <w:rPr>
          <w:i/>
          <w:sz w:val="16"/>
          <w:szCs w:val="16"/>
          <w:lang w:val="es-CR"/>
        </w:rPr>
        <w:t>.</w:t>
      </w:r>
    </w:p>
  </w:footnote>
  <w:footnote w:id="430">
    <w:p w14:paraId="35D942D4" w14:textId="6A256614" w:rsidR="007F7D87" w:rsidRPr="009C15B0" w:rsidRDefault="007F7D87" w:rsidP="001E6358">
      <w:pPr>
        <w:tabs>
          <w:tab w:val="left" w:pos="567"/>
        </w:tabs>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Cfr.</w:t>
      </w:r>
      <w:r w:rsidRPr="009C15B0">
        <w:rPr>
          <w:i/>
          <w:sz w:val="16"/>
          <w:szCs w:val="16"/>
          <w:lang w:eastAsia="x-none"/>
        </w:rPr>
        <w:t xml:space="preserve"> Caso Cantoral Benavides Vs. Perú, supra</w:t>
      </w:r>
      <w:r w:rsidRPr="009C15B0">
        <w:rPr>
          <w:sz w:val="16"/>
          <w:szCs w:val="16"/>
          <w:lang w:eastAsia="x-none"/>
        </w:rPr>
        <w:t xml:space="preserve">, </w:t>
      </w:r>
      <w:r w:rsidRPr="009C15B0">
        <w:rPr>
          <w:sz w:val="16"/>
          <w:szCs w:val="16"/>
        </w:rPr>
        <w:t>párr. 79, y</w:t>
      </w:r>
      <w:r w:rsidRPr="009C15B0">
        <w:rPr>
          <w:i/>
          <w:sz w:val="16"/>
          <w:szCs w:val="16"/>
        </w:rPr>
        <w:t xml:space="preserve"> Caso Trabajadores Cesados de Petroperú y otros Vs. Perú, supra</w:t>
      </w:r>
      <w:r w:rsidRPr="009C15B0">
        <w:rPr>
          <w:sz w:val="16"/>
          <w:szCs w:val="16"/>
        </w:rPr>
        <w:t>, párr. 218.</w:t>
      </w:r>
    </w:p>
  </w:footnote>
  <w:footnote w:id="431">
    <w:p w14:paraId="6AE57E1A" w14:textId="10C0836F"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Declaración rendida por V.A.R.P. ante fedatario público el 10 de octubre de 2017 (expediente de prueba, tomo XVIII, affidávits, folios 8363 a 8365).</w:t>
      </w:r>
    </w:p>
  </w:footnote>
  <w:footnote w:id="432">
    <w:p w14:paraId="0123A967" w14:textId="31A1B826"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de los Hermanos Gómez Paquiyauri Vs. Perú. Fondo, Reparaciones y Costas. </w:t>
      </w:r>
      <w:r w:rsidRPr="009C15B0">
        <w:rPr>
          <w:sz w:val="16"/>
          <w:szCs w:val="16"/>
          <w:lang w:val="es-CR"/>
        </w:rPr>
        <w:t xml:space="preserve">Sentencia de 8 de julio de 2004. Serie C No. 110, párr. 237, y </w:t>
      </w:r>
      <w:r w:rsidRPr="009C15B0">
        <w:rPr>
          <w:i/>
          <w:sz w:val="16"/>
          <w:szCs w:val="16"/>
          <w:lang w:val="es-CR"/>
        </w:rPr>
        <w:t>Caso Vereda La Esperanza Vs. Colombia, supra</w:t>
      </w:r>
      <w:r w:rsidRPr="009C15B0">
        <w:rPr>
          <w:sz w:val="16"/>
          <w:szCs w:val="16"/>
          <w:lang w:val="es-CR"/>
        </w:rPr>
        <w:t>, párr. 286.</w:t>
      </w:r>
    </w:p>
  </w:footnote>
  <w:footnote w:id="433">
    <w:p w14:paraId="7C647D7A" w14:textId="7ED0A08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iCs/>
          <w:sz w:val="16"/>
          <w:szCs w:val="16"/>
          <w:lang w:val="es-CR"/>
        </w:rPr>
        <w:t>Cfr.</w:t>
      </w:r>
      <w:r w:rsidRPr="009C15B0">
        <w:rPr>
          <w:sz w:val="16"/>
          <w:szCs w:val="16"/>
          <w:lang w:val="es-CR"/>
        </w:rPr>
        <w:t xml:space="preserve"> Disposición N° 010/03 de la Policía Nacional, Ministerio de Gobernación. “Manual de procedimientos policiales de atención especializada a víctimas y sobrevinientes de violencia intrafamiliar y sexual” (expediente de prueba, tomo XX, prueba para mejor resolver, folios 10009 a 10015); Protocolo de actuación en atención a víctimas de violencia de género de la Unidad especializada de atención a víctimas del Ministerio Público (expediente de prueba, tomo XX, prueba para mejor resolver, folios 10108 a 10112); Protocolo de actuación del Ministerio Público en la atención a las víctimas del delito (2010) (expediente de prueba, tomo XX, prueba para mejor resolver, folios 10174 a 10176); Protocolo de Actuación de la Gestión Fiscal en materia de violencia de género de la Unidad Especializada de Delitos contra la Violencia de Género (2009) (expediente de prueba, tomo XXI, prueba para mejor resolver, folios 10902 a 10906); Modelo de atención integral a víctimas de violencia de género en Nicaragua, del Equipo Técnico de Modelo de Atención Integral (MAI) (2012) (expediente de prueba, tomo XXI, prueba para mejor resolver, folios 11012 a 11013); Normativa 031 de la Dirección General de Extensión y Calidad de la Atención, Ministerio de Salud. “Normas y Protocolos para la prevención, detección y atención de la violencia intrafamiliar y sexual” (2009)</w:t>
      </w:r>
      <w:r>
        <w:rPr>
          <w:sz w:val="16"/>
          <w:szCs w:val="16"/>
          <w:lang w:val="es-CR"/>
        </w:rPr>
        <w:t xml:space="preserve"> </w:t>
      </w:r>
      <w:r w:rsidRPr="009C15B0">
        <w:rPr>
          <w:sz w:val="16"/>
          <w:szCs w:val="16"/>
          <w:lang w:val="es-CR"/>
        </w:rPr>
        <w:t>(expediente de prueba, tomo XX, prueba para mejor resolver, folios 10281 a 10342), y Protocolo de Normas y Procedimientos para la Atención Especializada a Víctimas y Sobrevivientes de Violencia de Género, Intrafamiliar y Sexual de las Comisarías de la Mujer, la Niñez y la Adolescencia de la Policía Nacional (2014) (expediente de prueba, tomo XXI, prueba para mejor resolver, folios 10726 a 10728).</w:t>
      </w:r>
    </w:p>
  </w:footnote>
  <w:footnote w:id="434">
    <w:p w14:paraId="15EA53CD" w14:textId="07969109" w:rsidR="007F7D87" w:rsidRPr="009C15B0" w:rsidRDefault="007F7D87" w:rsidP="001E6358">
      <w:pPr>
        <w:pStyle w:val="FootnoteText"/>
        <w:tabs>
          <w:tab w:val="left" w:pos="567"/>
        </w:tabs>
        <w:spacing w:after="60"/>
        <w:rPr>
          <w:i/>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Ley N° 779, “Ley Integral Contra la Violencia hacia las Mujeres y de Reformas a la Ley N° 641, ‘Código Penal’” (expediente de prueba, tomo XX, anexo 3 de la prueba para mejor resolver, folio 9464), y Reglamento a la Ley N° 779, Ley Integral contra la Violencia hacia las Mujeres, y de Reformas a la Ley No. 641 “Código Penal”, Decreto No. 42-2014 del Presidente de la República de Nicaragua (expediente de prueba, tomo XXII, anexo 9.g de la prueba para mejor resolver, folios 11160 a 11166).</w:t>
      </w:r>
    </w:p>
  </w:footnote>
  <w:footnote w:id="435">
    <w:p w14:paraId="0720551E" w14:textId="7C7FE1D6"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xml:space="preserve"> Reglamento a la Ley N° 779, Ley Integral contra la Violencia hacia las Mujeres, y de Reformas a la Ley N° 641 “Código Penal”, Decreto No. 42-2014 del Presidente de la República de Nicaragua, y Decreto No. 43-2014 del Presidente de la República de Nicaragua, “Política de Estado para el fortalecimiento de la familia nicaragüense y prevención de la violencia” (expediente de prueba, tomo XXII, anexo 9.g de la prueba para mejor resolver, folios 11160 a 11167).</w:t>
      </w:r>
    </w:p>
  </w:footnote>
  <w:footnote w:id="436">
    <w:p w14:paraId="7E6E1A90" w14:textId="3E168927" w:rsidR="007F7D87" w:rsidRPr="009C15B0" w:rsidRDefault="007F7D87" w:rsidP="001E6358">
      <w:pPr>
        <w:tabs>
          <w:tab w:val="left" w:pos="567"/>
          <w:tab w:val="left" w:pos="720"/>
        </w:tabs>
        <w:autoSpaceDE w:val="0"/>
        <w:autoSpaceDN w:val="0"/>
        <w:spacing w:after="60" w:line="240" w:lineRule="auto"/>
        <w:rPr>
          <w:sz w:val="16"/>
          <w:szCs w:val="16"/>
        </w:rPr>
      </w:pPr>
      <w:r w:rsidRPr="009C15B0">
        <w:rPr>
          <w:rStyle w:val="FootnoteReference"/>
          <w:sz w:val="16"/>
          <w:szCs w:val="16"/>
        </w:rPr>
        <w:footnoteRef/>
      </w:r>
      <w:r w:rsidRPr="009C15B0">
        <w:rPr>
          <w:sz w:val="16"/>
          <w:szCs w:val="16"/>
        </w:rPr>
        <w:t xml:space="preserve"> </w:t>
      </w:r>
      <w:r w:rsidRPr="009C15B0">
        <w:rPr>
          <w:sz w:val="16"/>
          <w:szCs w:val="16"/>
        </w:rPr>
        <w:tab/>
      </w:r>
      <w:r w:rsidRPr="009C15B0">
        <w:rPr>
          <w:i/>
          <w:sz w:val="16"/>
          <w:szCs w:val="16"/>
        </w:rPr>
        <w:t xml:space="preserve">Cfr. </w:t>
      </w:r>
      <w:r w:rsidRPr="009C15B0">
        <w:rPr>
          <w:rStyle w:val="Strong"/>
          <w:b w:val="0"/>
          <w:i/>
          <w:sz w:val="16"/>
          <w:szCs w:val="16"/>
          <w:shd w:val="clear" w:color="auto" w:fill="FFFFFF"/>
        </w:rPr>
        <w:t>Caso Veliz Franco y otros Vs. Guatemala, supra</w:t>
      </w:r>
      <w:r w:rsidRPr="009C15B0">
        <w:rPr>
          <w:rFonts w:cs="Calibri"/>
          <w:sz w:val="16"/>
          <w:szCs w:val="16"/>
        </w:rPr>
        <w:t xml:space="preserve">, párr. 264, y </w:t>
      </w:r>
      <w:r w:rsidRPr="009C15B0">
        <w:rPr>
          <w:rFonts w:cs="Calibri"/>
          <w:i/>
          <w:sz w:val="16"/>
          <w:szCs w:val="16"/>
        </w:rPr>
        <w:t xml:space="preserve">Caso Velásquez Paiz </w:t>
      </w:r>
      <w:r w:rsidRPr="009C15B0">
        <w:rPr>
          <w:rStyle w:val="Strong"/>
          <w:b w:val="0"/>
          <w:i/>
          <w:sz w:val="16"/>
          <w:szCs w:val="16"/>
          <w:shd w:val="clear" w:color="auto" w:fill="FFFFFF"/>
        </w:rPr>
        <w:t>y otros Vs. Guatemala, supra</w:t>
      </w:r>
      <w:r w:rsidRPr="009C15B0">
        <w:rPr>
          <w:rFonts w:cs="Calibri"/>
          <w:sz w:val="16"/>
          <w:szCs w:val="16"/>
        </w:rPr>
        <w:t>, párr. 252.</w:t>
      </w:r>
    </w:p>
  </w:footnote>
  <w:footnote w:id="437">
    <w:p w14:paraId="7500703A" w14:textId="5CBE6E9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10009 a 10015.</w:t>
      </w:r>
    </w:p>
  </w:footnote>
  <w:footnote w:id="438">
    <w:p w14:paraId="2CDE4DF2" w14:textId="10A5DE6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10108 a 10112.</w:t>
      </w:r>
    </w:p>
  </w:footnote>
  <w:footnote w:id="439">
    <w:p w14:paraId="6760F8EE" w14:textId="46517101"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10174 a 10176.</w:t>
      </w:r>
    </w:p>
  </w:footnote>
  <w:footnote w:id="440">
    <w:p w14:paraId="0E3AAF43" w14:textId="3D690290"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XXI, prueba para mejor resolver, folios 10902 a 10906.</w:t>
      </w:r>
    </w:p>
  </w:footnote>
  <w:footnote w:id="441">
    <w:p w14:paraId="7C6246EC" w14:textId="009427EE"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XXI, prueba para mejor resolver, folios 11012 a 11013.</w:t>
      </w:r>
    </w:p>
  </w:footnote>
  <w:footnote w:id="442">
    <w:p w14:paraId="6147C4AB" w14:textId="4ECC923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XXII, prueba para mejor resolver, folios 11273 a 11296.</w:t>
      </w:r>
    </w:p>
  </w:footnote>
  <w:footnote w:id="443">
    <w:p w14:paraId="1950B468" w14:textId="1912A0D4"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XXI, prueba para mejor resolver, folios 10726 a 10728.</w:t>
      </w:r>
    </w:p>
  </w:footnote>
  <w:footnote w:id="444">
    <w:p w14:paraId="5B17236B" w14:textId="1FC297C5"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10227 a 10279.</w:t>
      </w:r>
    </w:p>
  </w:footnote>
  <w:footnote w:id="445">
    <w:p w14:paraId="544CD757" w14:textId="1A72319A"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10181 a 10226.</w:t>
      </w:r>
    </w:p>
  </w:footnote>
  <w:footnote w:id="446">
    <w:p w14:paraId="62302908" w14:textId="3D94CB18"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Expediente de prueba, tomo XX, prueba para mejor resolver, folios 10281 a 10342.</w:t>
      </w:r>
    </w:p>
  </w:footnote>
  <w:footnote w:id="447">
    <w:p w14:paraId="60FE0F21" w14:textId="453BAFCC"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t xml:space="preserve">El Tribunal nota que existen experiencias comparadas mediante las cuales se han adoptado guías de buenas prácticas para la atención a víctimas de violencia y violación sexual en casos de niñas, niños y adolescentes. </w:t>
      </w:r>
      <w:r w:rsidRPr="009C15B0">
        <w:rPr>
          <w:i/>
          <w:iCs/>
          <w:sz w:val="16"/>
          <w:szCs w:val="16"/>
          <w:lang w:val="es-CR"/>
        </w:rPr>
        <w:t>Cfr.</w:t>
      </w:r>
      <w:r w:rsidRPr="009C15B0">
        <w:rPr>
          <w:sz w:val="16"/>
          <w:szCs w:val="16"/>
          <w:lang w:val="es-CR"/>
        </w:rPr>
        <w:t xml:space="preserve"> UNICEF y Asociación por los Derechos Civiles (ADC), </w:t>
      </w:r>
      <w:r w:rsidRPr="009C15B0">
        <w:rPr>
          <w:i/>
          <w:sz w:val="16"/>
          <w:szCs w:val="16"/>
          <w:lang w:val="es-CR"/>
        </w:rPr>
        <w:t>Guía de buenas prácticas para el abordaje de niños/as, adolescentes víctimas o testigos de abuso sexual y otros delitos</w:t>
      </w:r>
      <w:r w:rsidRPr="009C15B0">
        <w:rPr>
          <w:sz w:val="16"/>
          <w:szCs w:val="16"/>
          <w:lang w:val="es-CR"/>
        </w:rPr>
        <w:t>, septiembre de 2013, págs. 66 a 69, y MSP, SIPIAV, UNICEF, Mapa de ruta para la prevención y la atención de situaciones de maltrato y abuso sexual infantil en el sector salud, Uruguay, 2009.</w:t>
      </w:r>
    </w:p>
  </w:footnote>
  <w:footnote w:id="448">
    <w:p w14:paraId="0D9758E8" w14:textId="48F6C8C9" w:rsidR="007F7D87" w:rsidRPr="009C15B0" w:rsidRDefault="007F7D87" w:rsidP="001E6358">
      <w:pPr>
        <w:tabs>
          <w:tab w:val="left" w:pos="567"/>
        </w:tabs>
        <w:spacing w:after="60" w:line="240" w:lineRule="auto"/>
        <w:rPr>
          <w:sz w:val="16"/>
          <w:szCs w:val="16"/>
          <w:lang w:eastAsia="es-ES"/>
        </w:rPr>
      </w:pPr>
      <w:r w:rsidRPr="009C15B0">
        <w:rPr>
          <w:rStyle w:val="FootnoteReference"/>
          <w:rFonts w:eastAsia="MS ????"/>
          <w:sz w:val="16"/>
          <w:szCs w:val="16"/>
        </w:rPr>
        <w:footnoteRef/>
      </w:r>
      <w:r w:rsidRPr="009C15B0">
        <w:rPr>
          <w:sz w:val="16"/>
          <w:szCs w:val="16"/>
        </w:rPr>
        <w:tab/>
      </w:r>
      <w:r w:rsidRPr="009C15B0">
        <w:rPr>
          <w:i/>
          <w:sz w:val="16"/>
          <w:szCs w:val="16"/>
        </w:rPr>
        <w:t xml:space="preserve">Cfr. </w:t>
      </w:r>
      <w:r w:rsidRPr="009C15B0">
        <w:rPr>
          <w:bCs/>
          <w:i/>
          <w:sz w:val="16"/>
          <w:szCs w:val="16"/>
        </w:rPr>
        <w:t xml:space="preserve">Caso Bámaca Velásquez Vs. Guatemala. </w:t>
      </w:r>
      <w:r w:rsidRPr="009C15B0">
        <w:rPr>
          <w:i/>
          <w:sz w:val="16"/>
          <w:szCs w:val="16"/>
        </w:rPr>
        <w:t>Reparaciones y Costas</w:t>
      </w:r>
      <w:r w:rsidRPr="009C15B0">
        <w:rPr>
          <w:sz w:val="16"/>
          <w:szCs w:val="16"/>
        </w:rPr>
        <w:t xml:space="preserve">. Sentencia de 22 de febrero de 2002. Serie C No. 91, párr. 43, y </w:t>
      </w:r>
      <w:r w:rsidRPr="009C15B0">
        <w:rPr>
          <w:bCs/>
          <w:i/>
          <w:sz w:val="16"/>
          <w:szCs w:val="16"/>
        </w:rPr>
        <w:t>Caso Trabajadores Cesados de Petroperú y otros Vs. Perú, supra</w:t>
      </w:r>
      <w:r w:rsidRPr="009C15B0">
        <w:rPr>
          <w:bCs/>
          <w:sz w:val="16"/>
          <w:szCs w:val="16"/>
        </w:rPr>
        <w:t>, párr. 215.</w:t>
      </w:r>
    </w:p>
  </w:footnote>
  <w:footnote w:id="449">
    <w:p w14:paraId="023A6FB0" w14:textId="2287B73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Comprobantes de impuestos en Estados Unidos (expediente de prueba, tomo VXI, anexo H.2 al escrito de solicitudes, argumentos y pruebas, folios 7721 a 7730).</w:t>
      </w:r>
    </w:p>
  </w:footnote>
  <w:footnote w:id="450">
    <w:p w14:paraId="16DB5748" w14:textId="2C8918C3"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sz w:val="16"/>
          <w:szCs w:val="16"/>
          <w:lang w:val="es-CR"/>
        </w:rPr>
        <w:t>Constancia de trabajo y salario a nombre de V.P.C. (expediente de prueba, tomo XVI, anexo H.1. al escrito de solicitudes y pruebas, folio 7719).</w:t>
      </w:r>
    </w:p>
  </w:footnote>
  <w:footnote w:id="451">
    <w:p w14:paraId="266C13FD" w14:textId="107A6D46"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 Caso de los “Niños de la Calle” (Villagrán Morales y otros) Vs. Guatemala</w:t>
      </w:r>
      <w:r w:rsidRPr="009C15B0">
        <w:rPr>
          <w:sz w:val="16"/>
          <w:szCs w:val="16"/>
          <w:lang w:val="es-CR"/>
        </w:rPr>
        <w:t xml:space="preserve">. </w:t>
      </w:r>
      <w:r w:rsidRPr="009C15B0">
        <w:rPr>
          <w:i/>
          <w:sz w:val="16"/>
          <w:szCs w:val="16"/>
          <w:lang w:val="es-CR"/>
        </w:rPr>
        <w:t xml:space="preserve">Reparaciones y Costas. </w:t>
      </w:r>
      <w:r w:rsidRPr="009C15B0">
        <w:rPr>
          <w:sz w:val="16"/>
          <w:szCs w:val="16"/>
          <w:lang w:val="es-CR"/>
        </w:rPr>
        <w:t>Sentencia de 26 de mayo de 2001. Serie C No. 77</w:t>
      </w:r>
      <w:r w:rsidRPr="009C15B0">
        <w:rPr>
          <w:i/>
          <w:sz w:val="16"/>
          <w:szCs w:val="16"/>
          <w:lang w:val="es-CR"/>
        </w:rPr>
        <w:t xml:space="preserve">, </w:t>
      </w:r>
      <w:r w:rsidRPr="009C15B0">
        <w:rPr>
          <w:sz w:val="16"/>
          <w:szCs w:val="16"/>
          <w:lang w:val="es-CR"/>
        </w:rPr>
        <w:t xml:space="preserve">párr. 84, y </w:t>
      </w:r>
      <w:r w:rsidRPr="009C15B0">
        <w:rPr>
          <w:bCs/>
          <w:i/>
          <w:sz w:val="16"/>
          <w:szCs w:val="16"/>
          <w:lang w:val="es-CR"/>
        </w:rPr>
        <w:t>Caso Trabajadores Cesados de Petroperú y otros Vs. Perú, supra</w:t>
      </w:r>
      <w:r w:rsidRPr="009C15B0">
        <w:rPr>
          <w:bCs/>
          <w:sz w:val="16"/>
          <w:szCs w:val="16"/>
          <w:lang w:val="es-CR"/>
        </w:rPr>
        <w:t>,</w:t>
      </w:r>
      <w:r w:rsidRPr="009C15B0">
        <w:rPr>
          <w:sz w:val="16"/>
          <w:szCs w:val="16"/>
          <w:lang w:val="es-CR"/>
        </w:rPr>
        <w:t xml:space="preserve"> p</w:t>
      </w:r>
      <w:r w:rsidRPr="009C15B0">
        <w:rPr>
          <w:rFonts w:cs="Calibri"/>
          <w:sz w:val="16"/>
          <w:szCs w:val="16"/>
          <w:lang w:val="es-CR"/>
        </w:rPr>
        <w:t>á</w:t>
      </w:r>
      <w:r w:rsidRPr="009C15B0">
        <w:rPr>
          <w:sz w:val="16"/>
          <w:szCs w:val="16"/>
          <w:lang w:val="es-CR"/>
        </w:rPr>
        <w:t>rr. 227.</w:t>
      </w:r>
    </w:p>
  </w:footnote>
  <w:footnote w:id="452">
    <w:p w14:paraId="7B123B28" w14:textId="0BFDDC4E"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eastAsia="Calibri"/>
          <w:bCs/>
          <w:i/>
          <w:sz w:val="16"/>
          <w:szCs w:val="16"/>
          <w:shd w:val="clear" w:color="auto" w:fill="FFFFFF"/>
          <w:lang w:val="es-CR"/>
        </w:rPr>
        <w:t>Caso Garrido y Baigorria Vs. Argentina. Reparaciones y Costas.</w:t>
      </w:r>
      <w:r w:rsidRPr="009C15B0">
        <w:rPr>
          <w:rFonts w:eastAsia="Calibri"/>
          <w:bCs/>
          <w:sz w:val="16"/>
          <w:szCs w:val="16"/>
          <w:shd w:val="clear" w:color="auto" w:fill="FFFFFF"/>
          <w:lang w:val="es-CR"/>
        </w:rPr>
        <w:t xml:space="preserve"> Sentencia de 27 de agosto de 1998. Serie C No. 39, párr. 79, y </w:t>
      </w:r>
      <w:r w:rsidRPr="009C15B0">
        <w:rPr>
          <w:bCs/>
          <w:i/>
          <w:sz w:val="16"/>
          <w:szCs w:val="16"/>
          <w:lang w:val="es-CR"/>
        </w:rPr>
        <w:t>Caso Trabajadores Cesados de Petroperú y otros Vs. Perú, supra</w:t>
      </w:r>
      <w:r w:rsidRPr="009C15B0">
        <w:rPr>
          <w:bCs/>
          <w:sz w:val="16"/>
          <w:szCs w:val="16"/>
          <w:lang w:val="es-CR"/>
        </w:rPr>
        <w:t>,</w:t>
      </w:r>
      <w:r w:rsidRPr="009C15B0">
        <w:rPr>
          <w:sz w:val="16"/>
          <w:szCs w:val="16"/>
          <w:lang w:val="es-CR"/>
        </w:rPr>
        <w:t xml:space="preserve"> p</w:t>
      </w:r>
      <w:r w:rsidRPr="009C15B0">
        <w:rPr>
          <w:rFonts w:cs="Calibri"/>
          <w:sz w:val="16"/>
          <w:szCs w:val="16"/>
          <w:lang w:val="es-CR"/>
        </w:rPr>
        <w:t>á</w:t>
      </w:r>
      <w:r w:rsidRPr="009C15B0">
        <w:rPr>
          <w:sz w:val="16"/>
          <w:szCs w:val="16"/>
          <w:lang w:val="es-CR"/>
        </w:rPr>
        <w:t>rr. 242.</w:t>
      </w:r>
    </w:p>
  </w:footnote>
  <w:footnote w:id="453">
    <w:p w14:paraId="05745CE1" w14:textId="4E9EDA32"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w:t>
      </w:r>
      <w:r w:rsidRPr="009C15B0">
        <w:rPr>
          <w:rFonts w:eastAsia="Calibri"/>
          <w:bCs/>
          <w:i/>
          <w:sz w:val="16"/>
          <w:szCs w:val="16"/>
          <w:shd w:val="clear" w:color="auto" w:fill="FFFFFF"/>
          <w:lang w:val="es-CR"/>
        </w:rPr>
        <w:t>Caso Garrido y Baigorria Vs. Argentina. Reparaciones y Costas, supra</w:t>
      </w:r>
      <w:r w:rsidRPr="009C15B0">
        <w:rPr>
          <w:sz w:val="16"/>
          <w:szCs w:val="16"/>
          <w:lang w:val="es-CR"/>
        </w:rPr>
        <w:t xml:space="preserve">, párr. 82, y </w:t>
      </w:r>
      <w:r w:rsidRPr="009C15B0">
        <w:rPr>
          <w:bCs/>
          <w:i/>
          <w:sz w:val="16"/>
          <w:szCs w:val="16"/>
          <w:lang w:val="es-CR"/>
        </w:rPr>
        <w:t>Caso Trabajadores Cesados de Petroperú y otros Vs. Perú, supra</w:t>
      </w:r>
      <w:r w:rsidRPr="009C15B0">
        <w:rPr>
          <w:rFonts w:eastAsia="Calibri"/>
          <w:bCs/>
          <w:sz w:val="16"/>
          <w:szCs w:val="16"/>
          <w:shd w:val="clear" w:color="auto" w:fill="FFFFFF"/>
          <w:lang w:val="es-CR"/>
        </w:rPr>
        <w:t>, párr. 242.</w:t>
      </w:r>
    </w:p>
  </w:footnote>
  <w:footnote w:id="454">
    <w:p w14:paraId="5C1BD437" w14:textId="751FD4BF"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ab/>
      </w:r>
      <w:r w:rsidRPr="009C15B0">
        <w:rPr>
          <w:rFonts w:eastAsia="Calibri"/>
          <w:bCs/>
          <w:i/>
          <w:sz w:val="16"/>
          <w:szCs w:val="16"/>
          <w:shd w:val="clear" w:color="auto" w:fill="FFFFFF"/>
          <w:lang w:val="es-CR"/>
        </w:rPr>
        <w:t>Caso Garrido y Baigorria Vs. Argentina. Reparaciones y Costas, supra</w:t>
      </w:r>
      <w:r w:rsidRPr="009C15B0">
        <w:rPr>
          <w:sz w:val="16"/>
          <w:szCs w:val="16"/>
          <w:lang w:val="es-CR"/>
        </w:rPr>
        <w:t>, párrs. 79 y 82,</w:t>
      </w:r>
      <w:r w:rsidRPr="009C15B0">
        <w:rPr>
          <w:i/>
          <w:sz w:val="16"/>
          <w:szCs w:val="16"/>
          <w:lang w:val="es-CR"/>
        </w:rPr>
        <w:t xml:space="preserve"> </w:t>
      </w:r>
      <w:r w:rsidRPr="009C15B0">
        <w:rPr>
          <w:sz w:val="16"/>
          <w:szCs w:val="16"/>
          <w:lang w:val="es-CR"/>
        </w:rPr>
        <w:t>y</w:t>
      </w:r>
      <w:r w:rsidRPr="009C15B0">
        <w:rPr>
          <w:i/>
          <w:sz w:val="16"/>
          <w:szCs w:val="16"/>
          <w:lang w:val="es-CR"/>
        </w:rPr>
        <w:t xml:space="preserve"> Caso Trabajadores Cesados de Petroperú y otros Vs. Perú, supra</w:t>
      </w:r>
      <w:r w:rsidRPr="009C15B0">
        <w:rPr>
          <w:sz w:val="16"/>
          <w:szCs w:val="16"/>
          <w:lang w:val="es-CR"/>
        </w:rPr>
        <w:t>, párr. 243.</w:t>
      </w:r>
    </w:p>
  </w:footnote>
  <w:footnote w:id="455">
    <w:p w14:paraId="32A92FD4" w14:textId="67492314" w:rsidR="007F7D87" w:rsidRPr="009C15B0" w:rsidRDefault="007F7D87" w:rsidP="001E6358">
      <w:pPr>
        <w:tabs>
          <w:tab w:val="left" w:pos="567"/>
        </w:tabs>
        <w:spacing w:after="60" w:line="240" w:lineRule="auto"/>
        <w:rPr>
          <w:sz w:val="16"/>
          <w:szCs w:val="16"/>
        </w:rPr>
      </w:pPr>
      <w:r w:rsidRPr="009C15B0">
        <w:rPr>
          <w:rStyle w:val="FootnoteReference"/>
          <w:rFonts w:eastAsia="Calibri"/>
          <w:sz w:val="16"/>
          <w:szCs w:val="16"/>
        </w:rPr>
        <w:footnoteRef/>
      </w:r>
      <w:r w:rsidRPr="009C15B0">
        <w:rPr>
          <w:sz w:val="16"/>
          <w:szCs w:val="16"/>
        </w:rPr>
        <w:t xml:space="preserve"> </w:t>
      </w:r>
      <w:r w:rsidRPr="009C15B0">
        <w:rPr>
          <w:sz w:val="16"/>
          <w:szCs w:val="16"/>
        </w:rPr>
        <w:tab/>
      </w:r>
      <w:r w:rsidRPr="009C15B0">
        <w:rPr>
          <w:i/>
          <w:sz w:val="16"/>
          <w:szCs w:val="16"/>
        </w:rPr>
        <w:t>Cfr. Caso Chaparro Álvarez y Lapo Íñiguez Vs. Ecuador, supra</w:t>
      </w:r>
      <w:r w:rsidRPr="009C15B0">
        <w:rPr>
          <w:sz w:val="16"/>
          <w:szCs w:val="16"/>
        </w:rPr>
        <w:t>, párr. 277, y</w:t>
      </w:r>
      <w:r w:rsidRPr="009C15B0">
        <w:rPr>
          <w:bCs/>
          <w:i/>
          <w:sz w:val="16"/>
          <w:szCs w:val="16"/>
        </w:rPr>
        <w:t xml:space="preserve"> </w:t>
      </w:r>
      <w:r w:rsidRPr="009C15B0">
        <w:rPr>
          <w:i/>
          <w:sz w:val="16"/>
          <w:szCs w:val="16"/>
        </w:rPr>
        <w:t>Caso Trabajadores Cesados de Petroperú y otros Vs. Perú, supra</w:t>
      </w:r>
      <w:r w:rsidRPr="009C15B0">
        <w:rPr>
          <w:sz w:val="16"/>
          <w:szCs w:val="16"/>
        </w:rPr>
        <w:t>, párr. 243.</w:t>
      </w:r>
    </w:p>
  </w:footnote>
  <w:footnote w:id="456">
    <w:p w14:paraId="1F9C966F" w14:textId="7C99C579"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 xml:space="preserve">Cfr. Caso Comunidad Indígena Xákmok Kásek Vs. Paraguay. Fondo, Reparaciones y Costas. </w:t>
      </w:r>
      <w:r w:rsidRPr="009C15B0">
        <w:rPr>
          <w:sz w:val="16"/>
          <w:szCs w:val="16"/>
          <w:lang w:val="es-CR"/>
        </w:rPr>
        <w:t xml:space="preserve">Sentencia de 24 de agosto de 2010. Serie C No. 214, párr. 331, y </w:t>
      </w:r>
      <w:r w:rsidRPr="009C15B0">
        <w:rPr>
          <w:bCs/>
          <w:i/>
          <w:sz w:val="16"/>
          <w:szCs w:val="16"/>
          <w:lang w:val="es-CR"/>
        </w:rPr>
        <w:t>Caso Pacheco León y otros Vs. Honduras, supra</w:t>
      </w:r>
      <w:r w:rsidRPr="009C15B0">
        <w:rPr>
          <w:bCs/>
          <w:sz w:val="16"/>
          <w:szCs w:val="16"/>
          <w:lang w:val="es-CR"/>
        </w:rPr>
        <w:t>, párr. 224.</w:t>
      </w:r>
    </w:p>
  </w:footnote>
  <w:footnote w:id="457">
    <w:p w14:paraId="5543DF90" w14:textId="77777777" w:rsidR="007F7D87" w:rsidRPr="009C15B0" w:rsidRDefault="007F7D87" w:rsidP="001E6358">
      <w:pPr>
        <w:pStyle w:val="FootnoteText"/>
        <w:tabs>
          <w:tab w:val="left" w:pos="567"/>
        </w:tabs>
        <w:spacing w:after="60"/>
        <w:rPr>
          <w:sz w:val="16"/>
          <w:szCs w:val="16"/>
          <w:u w:val="single"/>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bCs/>
          <w:sz w:val="16"/>
          <w:szCs w:val="16"/>
          <w:lang w:val="es-CR"/>
        </w:rPr>
        <w:t>AG/RES. 2426 (XXXVIII-O/08),</w:t>
      </w:r>
      <w:r w:rsidRPr="009C15B0">
        <w:rPr>
          <w:rFonts w:cs="Verdana"/>
          <w:sz w:val="16"/>
          <w:szCs w:val="16"/>
          <w:lang w:val="es-CR"/>
        </w:rPr>
        <w:t xml:space="preserve"> </w:t>
      </w:r>
      <w:r w:rsidRPr="009C15B0">
        <w:rPr>
          <w:sz w:val="16"/>
          <w:szCs w:val="16"/>
          <w:lang w:val="es-CR"/>
        </w:rPr>
        <w:t xml:space="preserve">Resolución adoptada por la Asamblea General de la OEA </w:t>
      </w:r>
      <w:r w:rsidRPr="009C15B0">
        <w:rPr>
          <w:rFonts w:cs="Verdana"/>
          <w:sz w:val="16"/>
          <w:szCs w:val="16"/>
          <w:lang w:val="es-CR"/>
        </w:rPr>
        <w:t>durante la celebración del XXXVIII Período Ordinario de Sesiones de la OEA,</w:t>
      </w:r>
      <w:r w:rsidRPr="009C15B0">
        <w:rPr>
          <w:bCs/>
          <w:sz w:val="16"/>
          <w:szCs w:val="16"/>
          <w:lang w:val="es-CR"/>
        </w:rPr>
        <w:t xml:space="preserve"> </w:t>
      </w:r>
      <w:r w:rsidRPr="009C15B0">
        <w:rPr>
          <w:sz w:val="16"/>
          <w:szCs w:val="16"/>
          <w:lang w:val="es-CR"/>
        </w:rPr>
        <w:t>en la cuarta sesión plenaria,</w:t>
      </w:r>
      <w:r w:rsidRPr="009C15B0">
        <w:rPr>
          <w:bCs/>
          <w:sz w:val="16"/>
          <w:szCs w:val="16"/>
          <w:lang w:val="es-CR"/>
        </w:rPr>
        <w:t xml:space="preserve"> </w:t>
      </w:r>
      <w:r w:rsidRPr="009C15B0">
        <w:rPr>
          <w:sz w:val="16"/>
          <w:szCs w:val="16"/>
          <w:lang w:val="es-CR"/>
        </w:rPr>
        <w:t xml:space="preserve">celebrada el 3 de junio de 2008, </w:t>
      </w:r>
      <w:r w:rsidRPr="009C15B0">
        <w:rPr>
          <w:i/>
          <w:sz w:val="16"/>
          <w:szCs w:val="16"/>
          <w:lang w:val="es-CR"/>
        </w:rPr>
        <w:t>“Creación del Fondo de Asistencia Legal del Sistema Interamericano de Derechos Humanos</w:t>
      </w:r>
      <w:r w:rsidRPr="009C15B0">
        <w:rPr>
          <w:sz w:val="16"/>
          <w:szCs w:val="16"/>
          <w:lang w:val="es-CR"/>
        </w:rPr>
        <w:t>”, Punto Resolutivo 2.a</w:t>
      </w:r>
      <w:r w:rsidRPr="009C15B0">
        <w:rPr>
          <w:rFonts w:cs="Verdana"/>
          <w:sz w:val="16"/>
          <w:szCs w:val="16"/>
          <w:lang w:val="es-CR"/>
        </w:rPr>
        <w:t xml:space="preserve">), y </w:t>
      </w:r>
      <w:r w:rsidRPr="009C15B0">
        <w:rPr>
          <w:sz w:val="16"/>
          <w:szCs w:val="16"/>
          <w:lang w:val="es-CR"/>
        </w:rPr>
        <w:t>CP/RES. 963 (1728/09), Resolución adoptada el 11 de noviembre de 2009 por el Consejo Permanente de la OEA, “</w:t>
      </w:r>
      <w:r w:rsidRPr="009C15B0">
        <w:rPr>
          <w:i/>
          <w:iCs/>
          <w:sz w:val="16"/>
          <w:szCs w:val="16"/>
          <w:lang w:val="es-CR"/>
        </w:rPr>
        <w:t xml:space="preserve">Reglamento para el Funcionamiento del Fondo de Asistencia </w:t>
      </w:r>
      <w:r w:rsidRPr="009C15B0">
        <w:rPr>
          <w:iCs/>
          <w:sz w:val="16"/>
          <w:szCs w:val="16"/>
          <w:lang w:val="es-CR"/>
        </w:rPr>
        <w:t>Legal</w:t>
      </w:r>
      <w:r w:rsidRPr="009C15B0">
        <w:rPr>
          <w:i/>
          <w:iCs/>
          <w:sz w:val="16"/>
          <w:szCs w:val="16"/>
          <w:lang w:val="es-CR"/>
        </w:rPr>
        <w:t xml:space="preserve"> del Sistema Interamericano de Derechos Humanos</w:t>
      </w:r>
      <w:r w:rsidRPr="009C15B0">
        <w:rPr>
          <w:sz w:val="16"/>
          <w:szCs w:val="16"/>
          <w:lang w:val="es-CR"/>
        </w:rPr>
        <w:t>”, artículo 1.1.</w:t>
      </w:r>
    </w:p>
  </w:footnote>
  <w:footnote w:id="458">
    <w:p w14:paraId="27E47CD8"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i/>
          <w:sz w:val="16"/>
          <w:szCs w:val="16"/>
          <w:lang w:val="es-CR"/>
        </w:rPr>
        <w:t>Cfr</w:t>
      </w:r>
      <w:r w:rsidRPr="009C15B0">
        <w:rPr>
          <w:sz w:val="16"/>
          <w:szCs w:val="16"/>
          <w:lang w:val="es-CR"/>
        </w:rPr>
        <w:t>. Resolución emitida por el Presidente de la Corte Interamericana de Derechos Humanos el 21 de setiembre de 2017 (expediente de fondo, tomo I, folios 838 a 852).</w:t>
      </w:r>
    </w:p>
  </w:footnote>
  <w:footnote w:id="459">
    <w:p w14:paraId="039622AB"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rFonts w:eastAsia="Calibri"/>
          <w:sz w:val="16"/>
          <w:szCs w:val="16"/>
          <w:lang w:val="es-CR"/>
        </w:rPr>
        <w:footnoteRef/>
      </w:r>
      <w:r w:rsidRPr="009C15B0">
        <w:rPr>
          <w:sz w:val="16"/>
          <w:szCs w:val="16"/>
          <w:lang w:val="es-CR"/>
        </w:rPr>
        <w:t xml:space="preserve"> </w:t>
      </w:r>
      <w:r w:rsidRPr="009C15B0">
        <w:rPr>
          <w:sz w:val="16"/>
          <w:szCs w:val="16"/>
          <w:lang w:val="es-CR"/>
        </w:rPr>
        <w:tab/>
        <w:t xml:space="preserve">El Fondo de Asistencia de Víctimas fue aplicado por primera vez en el caso </w:t>
      </w:r>
      <w:r w:rsidRPr="009C15B0">
        <w:rPr>
          <w:i/>
          <w:sz w:val="16"/>
          <w:szCs w:val="16"/>
          <w:lang w:val="es-CR"/>
        </w:rPr>
        <w:t>Contreras y Otros Vs. El Salvador</w:t>
      </w:r>
      <w:r w:rsidRPr="009C15B0">
        <w:rPr>
          <w:sz w:val="16"/>
          <w:szCs w:val="16"/>
          <w:lang w:val="es-CR"/>
        </w:rPr>
        <w:t>, cuya Sentencia fue emitida el de 31 de agosto de 2011.</w:t>
      </w:r>
    </w:p>
  </w:footnote>
  <w:footnote w:id="460">
    <w:p w14:paraId="31BCB671" w14:textId="7F9CF7A0" w:rsidR="007F7D87" w:rsidRPr="009C15B0" w:rsidRDefault="007F7D87" w:rsidP="001E6358">
      <w:pPr>
        <w:pStyle w:val="FootnoteText"/>
        <w:tabs>
          <w:tab w:val="left" w:pos="567"/>
          <w:tab w:val="left" w:pos="709"/>
        </w:tabs>
        <w:spacing w:after="60"/>
        <w:rPr>
          <w:sz w:val="16"/>
          <w:szCs w:val="16"/>
          <w:lang w:val="es-CR"/>
        </w:rPr>
      </w:pPr>
      <w:r w:rsidRPr="009C15B0">
        <w:rPr>
          <w:rStyle w:val="FootnoteReference"/>
          <w:sz w:val="16"/>
          <w:szCs w:val="16"/>
          <w:lang w:val="es-CR"/>
        </w:rPr>
        <w:footnoteRef/>
      </w:r>
      <w:r w:rsidRPr="009C15B0">
        <w:rPr>
          <w:sz w:val="16"/>
          <w:szCs w:val="16"/>
          <w:lang w:val="es-CR"/>
        </w:rPr>
        <w:t xml:space="preserve"> </w:t>
      </w:r>
      <w:r w:rsidRPr="009C15B0">
        <w:rPr>
          <w:sz w:val="16"/>
          <w:szCs w:val="16"/>
          <w:lang w:val="es-CR"/>
        </w:rPr>
        <w:tab/>
      </w:r>
      <w:r w:rsidRPr="009C15B0">
        <w:rPr>
          <w:rFonts w:eastAsiaTheme="minorHAnsi" w:cstheme="minorBidi"/>
          <w:i/>
          <w:sz w:val="16"/>
          <w:szCs w:val="16"/>
          <w:lang w:val="es-CR" w:eastAsia="en-US"/>
        </w:rPr>
        <w:t xml:space="preserve">Cfr. Caso Comunidad Campesina de Santa Bárbara Vs. Perú. Excepciones Preliminares, fondo, Reparaciones y Costas. </w:t>
      </w:r>
      <w:r w:rsidRPr="009C15B0">
        <w:rPr>
          <w:rFonts w:eastAsiaTheme="minorHAnsi" w:cstheme="minorBidi"/>
          <w:sz w:val="16"/>
          <w:szCs w:val="16"/>
          <w:lang w:val="es-CR" w:eastAsia="en-US"/>
        </w:rPr>
        <w:t>Sentencia de 1 de septiembre de 2015. Serie C No. 299, párr. 355, y</w:t>
      </w:r>
      <w:r w:rsidRPr="009C15B0">
        <w:rPr>
          <w:i/>
          <w:sz w:val="16"/>
          <w:szCs w:val="16"/>
          <w:lang w:val="es-CR"/>
        </w:rPr>
        <w:t xml:space="preserve"> Caso Trabajadores Cesados de Petroperú y otros Vs. Perú, supra</w:t>
      </w:r>
      <w:r w:rsidRPr="009C15B0">
        <w:rPr>
          <w:sz w:val="16"/>
          <w:szCs w:val="16"/>
          <w:lang w:val="es-CR"/>
        </w:rPr>
        <w:t>, párr. 237.</w:t>
      </w:r>
    </w:p>
  </w:footnote>
  <w:footnote w:id="461">
    <w:p w14:paraId="2FAFC8FF" w14:textId="77777777" w:rsidR="007F7D87" w:rsidRPr="009C15B0" w:rsidRDefault="007F7D87" w:rsidP="001E6358">
      <w:pPr>
        <w:pStyle w:val="FootnoteText"/>
        <w:tabs>
          <w:tab w:val="left" w:pos="567"/>
        </w:tabs>
        <w:spacing w:after="60"/>
        <w:rPr>
          <w:sz w:val="16"/>
          <w:szCs w:val="16"/>
          <w:lang w:val="es-CR"/>
        </w:rPr>
      </w:pPr>
      <w:r w:rsidRPr="009C15B0">
        <w:rPr>
          <w:rStyle w:val="FootnoteReference"/>
          <w:rFonts w:cs="Times"/>
          <w:sz w:val="16"/>
          <w:szCs w:val="16"/>
          <w:lang w:val="es-CR"/>
        </w:rPr>
        <w:footnoteRef/>
      </w:r>
      <w:r w:rsidRPr="009C15B0">
        <w:rPr>
          <w:sz w:val="16"/>
          <w:szCs w:val="16"/>
          <w:lang w:val="es-CR"/>
        </w:rPr>
        <w:t xml:space="preserve"> </w:t>
      </w:r>
      <w:r w:rsidRPr="009C15B0">
        <w:rPr>
          <w:sz w:val="16"/>
          <w:szCs w:val="16"/>
          <w:lang w:val="es-CR"/>
        </w:rPr>
        <w:tab/>
        <w:t>Dicha norma prevé que “[e]n casos de presuntas víctimas sin representación legal debidamente acreditada, el Tribunal podrá designar un Defensor Interamericano de oficio que las represente durante la tramitación de[l] caso”.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22305D" w14:textId="1B106C68" w:rsidR="007F7D87" w:rsidRPr="006A7984" w:rsidRDefault="007F7D87" w:rsidP="00DD00E7">
    <w:pPr>
      <w:pStyle w:val="Header"/>
      <w:jc w:val="center"/>
      <w:rPr>
        <w:rFonts w:ascii="Verdana" w:hAnsi="Verdana"/>
        <w:sz w:val="20"/>
        <w:szCs w:val="20"/>
      </w:rPr>
    </w:pPr>
    <w:r>
      <w:fldChar w:fldCharType="begin"/>
    </w:r>
    <w:r>
      <w:instrText xml:space="preserve"> PAGE   \* MERGEFORMAT </w:instrText>
    </w:r>
    <w:r>
      <w:fldChar w:fldCharType="separate"/>
    </w:r>
    <w:r w:rsidR="00EF48C1" w:rsidRPr="00EF48C1">
      <w:rPr>
        <w:rFonts w:ascii="Verdana" w:hAnsi="Verdana"/>
        <w:noProof/>
        <w:sz w:val="20"/>
        <w:szCs w:val="20"/>
      </w:rPr>
      <w:t>2</w:t>
    </w:r>
    <w:r>
      <w:rPr>
        <w:rFonts w:ascii="Verdana" w:hAnsi="Verdana"/>
        <w:noProof/>
        <w:sz w:val="20"/>
        <w:szCs w:val="20"/>
      </w:rPr>
      <w:fldChar w:fldCharType="end"/>
    </w:r>
  </w:p>
  <w:p w14:paraId="5A7E0335" w14:textId="77777777" w:rsidR="007F7D87" w:rsidRPr="00DF3D71" w:rsidRDefault="007F7D87">
    <w:pPr>
      <w:pStyle w:val="Header"/>
      <w:rPr>
        <w:lang w:val="es-C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4CC1BE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A1380F"/>
    <w:multiLevelType w:val="hybridMultilevel"/>
    <w:tmpl w:val="7D22E24E"/>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2">
    <w:nsid w:val="15087C57"/>
    <w:multiLevelType w:val="hybridMultilevel"/>
    <w:tmpl w:val="4F1E90E6"/>
    <w:lvl w:ilvl="0" w:tplc="4510CD36">
      <w:start w:val="1"/>
      <w:numFmt w:val="lowerLetter"/>
      <w:lvlText w:val="%1)"/>
      <w:lvlJc w:val="left"/>
      <w:pPr>
        <w:ind w:left="1854" w:hanging="360"/>
      </w:pPr>
      <w:rPr>
        <w:rFonts w:ascii="Verdana" w:hAnsi="Verdana" w:hint="default"/>
        <w:b w:val="0"/>
        <w:i/>
        <w:color w:val="auto"/>
        <w:sz w:val="20"/>
        <w:szCs w:val="20"/>
      </w:rPr>
    </w:lvl>
    <w:lvl w:ilvl="1" w:tplc="140A0019" w:tentative="1">
      <w:start w:val="1"/>
      <w:numFmt w:val="lowerLetter"/>
      <w:lvlText w:val="%2."/>
      <w:lvlJc w:val="left"/>
      <w:pPr>
        <w:ind w:left="2574" w:hanging="360"/>
      </w:pPr>
    </w:lvl>
    <w:lvl w:ilvl="2" w:tplc="140A001B" w:tentative="1">
      <w:start w:val="1"/>
      <w:numFmt w:val="lowerRoman"/>
      <w:lvlText w:val="%3."/>
      <w:lvlJc w:val="right"/>
      <w:pPr>
        <w:ind w:left="3294" w:hanging="180"/>
      </w:pPr>
    </w:lvl>
    <w:lvl w:ilvl="3" w:tplc="140A000F" w:tentative="1">
      <w:start w:val="1"/>
      <w:numFmt w:val="decimal"/>
      <w:lvlText w:val="%4."/>
      <w:lvlJc w:val="left"/>
      <w:pPr>
        <w:ind w:left="4014" w:hanging="360"/>
      </w:pPr>
    </w:lvl>
    <w:lvl w:ilvl="4" w:tplc="140A0019" w:tentative="1">
      <w:start w:val="1"/>
      <w:numFmt w:val="lowerLetter"/>
      <w:lvlText w:val="%5."/>
      <w:lvlJc w:val="left"/>
      <w:pPr>
        <w:ind w:left="4734" w:hanging="360"/>
      </w:pPr>
    </w:lvl>
    <w:lvl w:ilvl="5" w:tplc="140A001B" w:tentative="1">
      <w:start w:val="1"/>
      <w:numFmt w:val="lowerRoman"/>
      <w:lvlText w:val="%6."/>
      <w:lvlJc w:val="right"/>
      <w:pPr>
        <w:ind w:left="5454" w:hanging="180"/>
      </w:pPr>
    </w:lvl>
    <w:lvl w:ilvl="6" w:tplc="140A000F" w:tentative="1">
      <w:start w:val="1"/>
      <w:numFmt w:val="decimal"/>
      <w:lvlText w:val="%7."/>
      <w:lvlJc w:val="left"/>
      <w:pPr>
        <w:ind w:left="6174" w:hanging="360"/>
      </w:pPr>
    </w:lvl>
    <w:lvl w:ilvl="7" w:tplc="140A0019" w:tentative="1">
      <w:start w:val="1"/>
      <w:numFmt w:val="lowerLetter"/>
      <w:lvlText w:val="%8."/>
      <w:lvlJc w:val="left"/>
      <w:pPr>
        <w:ind w:left="6894" w:hanging="360"/>
      </w:pPr>
    </w:lvl>
    <w:lvl w:ilvl="8" w:tplc="140A001B" w:tentative="1">
      <w:start w:val="1"/>
      <w:numFmt w:val="lowerRoman"/>
      <w:lvlText w:val="%9."/>
      <w:lvlJc w:val="right"/>
      <w:pPr>
        <w:ind w:left="7614" w:hanging="180"/>
      </w:pPr>
    </w:lvl>
  </w:abstractNum>
  <w:abstractNum w:abstractNumId="3">
    <w:nsid w:val="15330ACC"/>
    <w:multiLevelType w:val="hybridMultilevel"/>
    <w:tmpl w:val="4958346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nsid w:val="194A514D"/>
    <w:multiLevelType w:val="hybridMultilevel"/>
    <w:tmpl w:val="65140670"/>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5">
    <w:nsid w:val="252365FC"/>
    <w:multiLevelType w:val="hybridMultilevel"/>
    <w:tmpl w:val="A3987190"/>
    <w:lvl w:ilvl="0" w:tplc="2B8CEE1A">
      <w:start w:val="1"/>
      <w:numFmt w:val="lowerLetter"/>
      <w:lvlText w:val="%1)"/>
      <w:lvlJc w:val="left"/>
      <w:pPr>
        <w:ind w:left="1068" w:hanging="360"/>
      </w:pPr>
      <w:rPr>
        <w:i/>
        <w:sz w:val="20"/>
        <w:szCs w:val="20"/>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6">
    <w:nsid w:val="257A74DB"/>
    <w:multiLevelType w:val="hybridMultilevel"/>
    <w:tmpl w:val="9F60C734"/>
    <w:lvl w:ilvl="0" w:tplc="140A001B">
      <w:start w:val="1"/>
      <w:numFmt w:val="lowerRoman"/>
      <w:lvlText w:val="%1."/>
      <w:lvlJc w:val="right"/>
      <w:pPr>
        <w:ind w:left="2407" w:hanging="360"/>
      </w:pPr>
    </w:lvl>
    <w:lvl w:ilvl="1" w:tplc="140A0019" w:tentative="1">
      <w:start w:val="1"/>
      <w:numFmt w:val="lowerLetter"/>
      <w:lvlText w:val="%2."/>
      <w:lvlJc w:val="left"/>
      <w:pPr>
        <w:ind w:left="3127" w:hanging="360"/>
      </w:pPr>
    </w:lvl>
    <w:lvl w:ilvl="2" w:tplc="140A001B" w:tentative="1">
      <w:start w:val="1"/>
      <w:numFmt w:val="lowerRoman"/>
      <w:lvlText w:val="%3."/>
      <w:lvlJc w:val="right"/>
      <w:pPr>
        <w:ind w:left="3847" w:hanging="180"/>
      </w:pPr>
    </w:lvl>
    <w:lvl w:ilvl="3" w:tplc="140A000F" w:tentative="1">
      <w:start w:val="1"/>
      <w:numFmt w:val="decimal"/>
      <w:lvlText w:val="%4."/>
      <w:lvlJc w:val="left"/>
      <w:pPr>
        <w:ind w:left="4567" w:hanging="360"/>
      </w:pPr>
    </w:lvl>
    <w:lvl w:ilvl="4" w:tplc="140A0019" w:tentative="1">
      <w:start w:val="1"/>
      <w:numFmt w:val="lowerLetter"/>
      <w:lvlText w:val="%5."/>
      <w:lvlJc w:val="left"/>
      <w:pPr>
        <w:ind w:left="5287" w:hanging="360"/>
      </w:pPr>
    </w:lvl>
    <w:lvl w:ilvl="5" w:tplc="140A001B" w:tentative="1">
      <w:start w:val="1"/>
      <w:numFmt w:val="lowerRoman"/>
      <w:lvlText w:val="%6."/>
      <w:lvlJc w:val="right"/>
      <w:pPr>
        <w:ind w:left="6007" w:hanging="180"/>
      </w:pPr>
    </w:lvl>
    <w:lvl w:ilvl="6" w:tplc="140A000F" w:tentative="1">
      <w:start w:val="1"/>
      <w:numFmt w:val="decimal"/>
      <w:lvlText w:val="%7."/>
      <w:lvlJc w:val="left"/>
      <w:pPr>
        <w:ind w:left="6727" w:hanging="360"/>
      </w:pPr>
    </w:lvl>
    <w:lvl w:ilvl="7" w:tplc="140A0019" w:tentative="1">
      <w:start w:val="1"/>
      <w:numFmt w:val="lowerLetter"/>
      <w:lvlText w:val="%8."/>
      <w:lvlJc w:val="left"/>
      <w:pPr>
        <w:ind w:left="7447" w:hanging="360"/>
      </w:pPr>
    </w:lvl>
    <w:lvl w:ilvl="8" w:tplc="140A001B" w:tentative="1">
      <w:start w:val="1"/>
      <w:numFmt w:val="lowerRoman"/>
      <w:lvlText w:val="%9."/>
      <w:lvlJc w:val="right"/>
      <w:pPr>
        <w:ind w:left="8167" w:hanging="180"/>
      </w:pPr>
    </w:lvl>
  </w:abstractNum>
  <w:abstractNum w:abstractNumId="7">
    <w:nsid w:val="36807B10"/>
    <w:multiLevelType w:val="hybridMultilevel"/>
    <w:tmpl w:val="1A98B54A"/>
    <w:lvl w:ilvl="0" w:tplc="9FA4F6D6">
      <w:start w:val="2"/>
      <w:numFmt w:val="lowerLetter"/>
      <w:lvlText w:val="%1)"/>
      <w:lvlJc w:val="left"/>
      <w:pPr>
        <w:ind w:left="2345" w:hanging="360"/>
      </w:pPr>
      <w:rPr>
        <w:rFonts w:hint="default"/>
      </w:rPr>
    </w:lvl>
    <w:lvl w:ilvl="1" w:tplc="140A0019" w:tentative="1">
      <w:start w:val="1"/>
      <w:numFmt w:val="lowerLetter"/>
      <w:lvlText w:val="%2."/>
      <w:lvlJc w:val="left"/>
      <w:pPr>
        <w:ind w:left="3065" w:hanging="360"/>
      </w:pPr>
    </w:lvl>
    <w:lvl w:ilvl="2" w:tplc="140A001B" w:tentative="1">
      <w:start w:val="1"/>
      <w:numFmt w:val="lowerRoman"/>
      <w:lvlText w:val="%3."/>
      <w:lvlJc w:val="right"/>
      <w:pPr>
        <w:ind w:left="3785" w:hanging="180"/>
      </w:pPr>
    </w:lvl>
    <w:lvl w:ilvl="3" w:tplc="140A000F" w:tentative="1">
      <w:start w:val="1"/>
      <w:numFmt w:val="decimal"/>
      <w:lvlText w:val="%4."/>
      <w:lvlJc w:val="left"/>
      <w:pPr>
        <w:ind w:left="4505" w:hanging="360"/>
      </w:pPr>
    </w:lvl>
    <w:lvl w:ilvl="4" w:tplc="140A0019" w:tentative="1">
      <w:start w:val="1"/>
      <w:numFmt w:val="lowerLetter"/>
      <w:lvlText w:val="%5."/>
      <w:lvlJc w:val="left"/>
      <w:pPr>
        <w:ind w:left="5225" w:hanging="360"/>
      </w:pPr>
    </w:lvl>
    <w:lvl w:ilvl="5" w:tplc="140A001B" w:tentative="1">
      <w:start w:val="1"/>
      <w:numFmt w:val="lowerRoman"/>
      <w:lvlText w:val="%6."/>
      <w:lvlJc w:val="right"/>
      <w:pPr>
        <w:ind w:left="5945" w:hanging="180"/>
      </w:pPr>
    </w:lvl>
    <w:lvl w:ilvl="6" w:tplc="140A000F" w:tentative="1">
      <w:start w:val="1"/>
      <w:numFmt w:val="decimal"/>
      <w:lvlText w:val="%7."/>
      <w:lvlJc w:val="left"/>
      <w:pPr>
        <w:ind w:left="6665" w:hanging="360"/>
      </w:pPr>
    </w:lvl>
    <w:lvl w:ilvl="7" w:tplc="140A0019" w:tentative="1">
      <w:start w:val="1"/>
      <w:numFmt w:val="lowerLetter"/>
      <w:lvlText w:val="%8."/>
      <w:lvlJc w:val="left"/>
      <w:pPr>
        <w:ind w:left="7385" w:hanging="360"/>
      </w:pPr>
    </w:lvl>
    <w:lvl w:ilvl="8" w:tplc="140A001B" w:tentative="1">
      <w:start w:val="1"/>
      <w:numFmt w:val="lowerRoman"/>
      <w:lvlText w:val="%9."/>
      <w:lvlJc w:val="right"/>
      <w:pPr>
        <w:ind w:left="8105" w:hanging="180"/>
      </w:pPr>
    </w:lvl>
  </w:abstractNum>
  <w:abstractNum w:abstractNumId="8">
    <w:nsid w:val="3AA17D5B"/>
    <w:multiLevelType w:val="hybridMultilevel"/>
    <w:tmpl w:val="EA58FA22"/>
    <w:lvl w:ilvl="0" w:tplc="7F4CEE40">
      <w:start w:val="1"/>
      <w:numFmt w:val="lowerLetter"/>
      <w:lvlText w:val="%1)"/>
      <w:lvlJc w:val="left"/>
      <w:pPr>
        <w:ind w:left="1776" w:hanging="360"/>
      </w:pPr>
      <w:rPr>
        <w:rFonts w:hint="default"/>
        <w:i/>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9">
    <w:nsid w:val="436C4FDE"/>
    <w:multiLevelType w:val="hybridMultilevel"/>
    <w:tmpl w:val="EA58FA22"/>
    <w:lvl w:ilvl="0" w:tplc="7F4CEE40">
      <w:start w:val="1"/>
      <w:numFmt w:val="lowerLetter"/>
      <w:lvlText w:val="%1)"/>
      <w:lvlJc w:val="left"/>
      <w:pPr>
        <w:ind w:left="1776" w:hanging="360"/>
      </w:pPr>
      <w:rPr>
        <w:rFonts w:hint="default"/>
        <w:i/>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0">
    <w:nsid w:val="4AFB3AB1"/>
    <w:multiLevelType w:val="hybridMultilevel"/>
    <w:tmpl w:val="EA58FA22"/>
    <w:lvl w:ilvl="0" w:tplc="7F4CEE40">
      <w:start w:val="1"/>
      <w:numFmt w:val="lowerLetter"/>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nsid w:val="4C5469CD"/>
    <w:multiLevelType w:val="hybridMultilevel"/>
    <w:tmpl w:val="672EBDF8"/>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63A88060">
      <w:start w:val="1"/>
      <w:numFmt w:val="lowerLetter"/>
      <w:pStyle w:val="Estilo4"/>
      <w:lvlText w:val="%2)"/>
      <w:lvlJc w:val="left"/>
      <w:pPr>
        <w:ind w:left="1440" w:hanging="360"/>
      </w:pPr>
      <w:rPr>
        <w:rFonts w:ascii="Verdana" w:hAnsi="Verdana" w:cs="Times New Roman" w:hint="default"/>
        <w:b/>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D3D671D"/>
    <w:multiLevelType w:val="hybridMultilevel"/>
    <w:tmpl w:val="7D22E24E"/>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13">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4">
    <w:nsid w:val="56164B7C"/>
    <w:multiLevelType w:val="hybridMultilevel"/>
    <w:tmpl w:val="8CC26DFC"/>
    <w:lvl w:ilvl="0" w:tplc="CF9AFCBE">
      <w:start w:val="1"/>
      <w:numFmt w:val="lowerLetter"/>
      <w:lvlText w:val="%1)"/>
      <w:lvlJc w:val="left"/>
      <w:pPr>
        <w:ind w:left="818" w:hanging="360"/>
      </w:pPr>
      <w:rPr>
        <w:color w:val="auto"/>
      </w:rPr>
    </w:lvl>
    <w:lvl w:ilvl="1" w:tplc="140A0019">
      <w:start w:val="1"/>
      <w:numFmt w:val="lowerLetter"/>
      <w:lvlText w:val="%2."/>
      <w:lvlJc w:val="left"/>
      <w:pPr>
        <w:ind w:left="1538" w:hanging="360"/>
      </w:pPr>
    </w:lvl>
    <w:lvl w:ilvl="2" w:tplc="140A001B">
      <w:start w:val="1"/>
      <w:numFmt w:val="lowerRoman"/>
      <w:lvlText w:val="%3."/>
      <w:lvlJc w:val="right"/>
      <w:pPr>
        <w:ind w:left="2258" w:hanging="180"/>
      </w:pPr>
    </w:lvl>
    <w:lvl w:ilvl="3" w:tplc="140A000F">
      <w:start w:val="1"/>
      <w:numFmt w:val="decimal"/>
      <w:lvlText w:val="%4."/>
      <w:lvlJc w:val="left"/>
      <w:pPr>
        <w:ind w:left="2978" w:hanging="360"/>
      </w:pPr>
    </w:lvl>
    <w:lvl w:ilvl="4" w:tplc="140A0019">
      <w:start w:val="1"/>
      <w:numFmt w:val="lowerLetter"/>
      <w:lvlText w:val="%5."/>
      <w:lvlJc w:val="left"/>
      <w:pPr>
        <w:ind w:left="3698" w:hanging="360"/>
      </w:pPr>
    </w:lvl>
    <w:lvl w:ilvl="5" w:tplc="140A001B">
      <w:start w:val="1"/>
      <w:numFmt w:val="lowerRoman"/>
      <w:lvlText w:val="%6."/>
      <w:lvlJc w:val="right"/>
      <w:pPr>
        <w:ind w:left="4418" w:hanging="180"/>
      </w:pPr>
    </w:lvl>
    <w:lvl w:ilvl="6" w:tplc="140A000F">
      <w:start w:val="1"/>
      <w:numFmt w:val="decimal"/>
      <w:lvlText w:val="%7."/>
      <w:lvlJc w:val="left"/>
      <w:pPr>
        <w:ind w:left="5138" w:hanging="360"/>
      </w:pPr>
    </w:lvl>
    <w:lvl w:ilvl="7" w:tplc="140A0019">
      <w:start w:val="1"/>
      <w:numFmt w:val="lowerLetter"/>
      <w:lvlText w:val="%8."/>
      <w:lvlJc w:val="left"/>
      <w:pPr>
        <w:ind w:left="5858" w:hanging="360"/>
      </w:pPr>
    </w:lvl>
    <w:lvl w:ilvl="8" w:tplc="140A001B">
      <w:start w:val="1"/>
      <w:numFmt w:val="lowerRoman"/>
      <w:lvlText w:val="%9."/>
      <w:lvlJc w:val="right"/>
      <w:pPr>
        <w:ind w:left="6578" w:hanging="180"/>
      </w:pPr>
    </w:lvl>
  </w:abstractNum>
  <w:abstractNum w:abstractNumId="15">
    <w:nsid w:val="5C9E584E"/>
    <w:multiLevelType w:val="hybridMultilevel"/>
    <w:tmpl w:val="AD16940A"/>
    <w:lvl w:ilvl="0" w:tplc="140A0015">
      <w:start w:val="1"/>
      <w:numFmt w:val="upperLetter"/>
      <w:lvlText w:val="%1."/>
      <w:lvlJc w:val="left"/>
      <w:pPr>
        <w:ind w:left="1288" w:hanging="360"/>
      </w:pPr>
    </w:lvl>
    <w:lvl w:ilvl="1" w:tplc="140A0019">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16">
    <w:nsid w:val="70401C77"/>
    <w:multiLevelType w:val="hybridMultilevel"/>
    <w:tmpl w:val="855EF884"/>
    <w:lvl w:ilvl="0" w:tplc="140A0019">
      <w:start w:val="1"/>
      <w:numFmt w:val="lowerLetter"/>
      <w:lvlText w:val="%1."/>
      <w:lvlJc w:val="left"/>
      <w:pPr>
        <w:ind w:left="1900" w:hanging="360"/>
      </w:pPr>
    </w:lvl>
    <w:lvl w:ilvl="1" w:tplc="140A0019" w:tentative="1">
      <w:start w:val="1"/>
      <w:numFmt w:val="lowerLetter"/>
      <w:lvlText w:val="%2."/>
      <w:lvlJc w:val="left"/>
      <w:pPr>
        <w:ind w:left="2620" w:hanging="360"/>
      </w:pPr>
    </w:lvl>
    <w:lvl w:ilvl="2" w:tplc="140A001B" w:tentative="1">
      <w:start w:val="1"/>
      <w:numFmt w:val="lowerRoman"/>
      <w:lvlText w:val="%3."/>
      <w:lvlJc w:val="right"/>
      <w:pPr>
        <w:ind w:left="3340" w:hanging="180"/>
      </w:pPr>
    </w:lvl>
    <w:lvl w:ilvl="3" w:tplc="140A000F" w:tentative="1">
      <w:start w:val="1"/>
      <w:numFmt w:val="decimal"/>
      <w:lvlText w:val="%4."/>
      <w:lvlJc w:val="left"/>
      <w:pPr>
        <w:ind w:left="4060" w:hanging="360"/>
      </w:pPr>
    </w:lvl>
    <w:lvl w:ilvl="4" w:tplc="140A0019" w:tentative="1">
      <w:start w:val="1"/>
      <w:numFmt w:val="lowerLetter"/>
      <w:lvlText w:val="%5."/>
      <w:lvlJc w:val="left"/>
      <w:pPr>
        <w:ind w:left="4780" w:hanging="360"/>
      </w:pPr>
    </w:lvl>
    <w:lvl w:ilvl="5" w:tplc="140A001B" w:tentative="1">
      <w:start w:val="1"/>
      <w:numFmt w:val="lowerRoman"/>
      <w:lvlText w:val="%6."/>
      <w:lvlJc w:val="right"/>
      <w:pPr>
        <w:ind w:left="5500" w:hanging="180"/>
      </w:pPr>
    </w:lvl>
    <w:lvl w:ilvl="6" w:tplc="140A000F" w:tentative="1">
      <w:start w:val="1"/>
      <w:numFmt w:val="decimal"/>
      <w:lvlText w:val="%7."/>
      <w:lvlJc w:val="left"/>
      <w:pPr>
        <w:ind w:left="6220" w:hanging="360"/>
      </w:pPr>
    </w:lvl>
    <w:lvl w:ilvl="7" w:tplc="140A0019" w:tentative="1">
      <w:start w:val="1"/>
      <w:numFmt w:val="lowerLetter"/>
      <w:lvlText w:val="%8."/>
      <w:lvlJc w:val="left"/>
      <w:pPr>
        <w:ind w:left="6940" w:hanging="360"/>
      </w:pPr>
    </w:lvl>
    <w:lvl w:ilvl="8" w:tplc="140A001B" w:tentative="1">
      <w:start w:val="1"/>
      <w:numFmt w:val="lowerRoman"/>
      <w:lvlText w:val="%9."/>
      <w:lvlJc w:val="right"/>
      <w:pPr>
        <w:ind w:left="7660" w:hanging="180"/>
      </w:pPr>
    </w:lvl>
  </w:abstractNum>
  <w:abstractNum w:abstractNumId="17">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53E0A1F"/>
    <w:multiLevelType w:val="hybridMultilevel"/>
    <w:tmpl w:val="DED899E2"/>
    <w:lvl w:ilvl="0" w:tplc="222E845A">
      <w:start w:val="1"/>
      <w:numFmt w:val="lowerLetter"/>
      <w:lvlText w:val="%1)"/>
      <w:lvlJc w:val="left"/>
      <w:pPr>
        <w:ind w:left="2345" w:hanging="360"/>
      </w:pPr>
      <w:rPr>
        <w:rFonts w:hint="default"/>
      </w:rPr>
    </w:lvl>
    <w:lvl w:ilvl="1" w:tplc="140A0019" w:tentative="1">
      <w:start w:val="1"/>
      <w:numFmt w:val="lowerLetter"/>
      <w:lvlText w:val="%2."/>
      <w:lvlJc w:val="left"/>
      <w:pPr>
        <w:ind w:left="3065" w:hanging="360"/>
      </w:pPr>
    </w:lvl>
    <w:lvl w:ilvl="2" w:tplc="140A001B" w:tentative="1">
      <w:start w:val="1"/>
      <w:numFmt w:val="lowerRoman"/>
      <w:lvlText w:val="%3."/>
      <w:lvlJc w:val="right"/>
      <w:pPr>
        <w:ind w:left="3785" w:hanging="180"/>
      </w:pPr>
    </w:lvl>
    <w:lvl w:ilvl="3" w:tplc="140A000F" w:tentative="1">
      <w:start w:val="1"/>
      <w:numFmt w:val="decimal"/>
      <w:lvlText w:val="%4."/>
      <w:lvlJc w:val="left"/>
      <w:pPr>
        <w:ind w:left="4505" w:hanging="360"/>
      </w:pPr>
    </w:lvl>
    <w:lvl w:ilvl="4" w:tplc="140A0019" w:tentative="1">
      <w:start w:val="1"/>
      <w:numFmt w:val="lowerLetter"/>
      <w:lvlText w:val="%5."/>
      <w:lvlJc w:val="left"/>
      <w:pPr>
        <w:ind w:left="5225" w:hanging="360"/>
      </w:pPr>
    </w:lvl>
    <w:lvl w:ilvl="5" w:tplc="140A001B" w:tentative="1">
      <w:start w:val="1"/>
      <w:numFmt w:val="lowerRoman"/>
      <w:lvlText w:val="%6."/>
      <w:lvlJc w:val="right"/>
      <w:pPr>
        <w:ind w:left="5945" w:hanging="180"/>
      </w:pPr>
    </w:lvl>
    <w:lvl w:ilvl="6" w:tplc="140A000F" w:tentative="1">
      <w:start w:val="1"/>
      <w:numFmt w:val="decimal"/>
      <w:lvlText w:val="%7."/>
      <w:lvlJc w:val="left"/>
      <w:pPr>
        <w:ind w:left="6665" w:hanging="360"/>
      </w:pPr>
    </w:lvl>
    <w:lvl w:ilvl="7" w:tplc="140A0019" w:tentative="1">
      <w:start w:val="1"/>
      <w:numFmt w:val="lowerLetter"/>
      <w:lvlText w:val="%8."/>
      <w:lvlJc w:val="left"/>
      <w:pPr>
        <w:ind w:left="7385" w:hanging="360"/>
      </w:pPr>
    </w:lvl>
    <w:lvl w:ilvl="8" w:tplc="140A001B" w:tentative="1">
      <w:start w:val="1"/>
      <w:numFmt w:val="lowerRoman"/>
      <w:lvlText w:val="%9."/>
      <w:lvlJc w:val="right"/>
      <w:pPr>
        <w:ind w:left="8105" w:hanging="180"/>
      </w:pPr>
    </w:lvl>
  </w:abstractNum>
  <w:abstractNum w:abstractNumId="19">
    <w:nsid w:val="75940DAC"/>
    <w:multiLevelType w:val="hybridMultilevel"/>
    <w:tmpl w:val="4784E110"/>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nsid w:val="76753A80"/>
    <w:multiLevelType w:val="hybridMultilevel"/>
    <w:tmpl w:val="B9B8489E"/>
    <w:lvl w:ilvl="0" w:tplc="5126705A">
      <w:start w:val="1"/>
      <w:numFmt w:val="decimal"/>
      <w:pStyle w:val="PrrafodeSentencia"/>
      <w:lvlText w:val="%1."/>
      <w:lvlJc w:val="left"/>
      <w:pPr>
        <w:ind w:left="0" w:firstLine="0"/>
      </w:pPr>
      <w:rPr>
        <w:rFonts w:ascii="Verdana" w:hAnsi="Verdana" w:hint="default"/>
        <w:b w:val="0"/>
        <w:i w:val="0"/>
        <w:strike w:val="0"/>
        <w:color w:val="auto"/>
        <w:sz w:val="20"/>
        <w:szCs w:val="20"/>
        <w:lang w:val="es-ES"/>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1">
    <w:nsid w:val="79354707"/>
    <w:multiLevelType w:val="hybridMultilevel"/>
    <w:tmpl w:val="B90EDDB8"/>
    <w:lvl w:ilvl="0" w:tplc="985C757E">
      <w:start w:val="1"/>
      <w:numFmt w:val="decimal"/>
      <w:lvlText w:val="%1."/>
      <w:lvlJc w:val="left"/>
      <w:pPr>
        <w:ind w:left="82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20"/>
  </w:num>
  <w:num w:numId="2">
    <w:abstractNumId w:val="21"/>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6"/>
  </w:num>
  <w:num w:numId="6">
    <w:abstractNumId w:val="10"/>
  </w:num>
  <w:num w:numId="7">
    <w:abstractNumId w:val="11"/>
  </w:num>
  <w:num w:numId="8">
    <w:abstractNumId w:val="9"/>
  </w:num>
  <w:num w:numId="9">
    <w:abstractNumId w:val="8"/>
  </w:num>
  <w:num w:numId="10">
    <w:abstractNumId w:val="17"/>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8"/>
  </w:num>
  <w:num w:numId="14">
    <w:abstractNumId w:val="2"/>
  </w:num>
  <w:num w:numId="15">
    <w:abstractNumId w:val="12"/>
  </w:num>
  <w:num w:numId="16">
    <w:abstractNumId w:val="4"/>
  </w:num>
  <w:num w:numId="17">
    <w:abstractNumId w:val="1"/>
  </w:num>
  <w:num w:numId="18">
    <w:abstractNumId w:val="5"/>
  </w:num>
  <w:num w:numId="19">
    <w:abstractNumId w:val="3"/>
  </w:num>
  <w:num w:numId="20">
    <w:abstractNumId w:val="15"/>
  </w:num>
  <w:num w:numId="21">
    <w:abstractNumId w:val="13"/>
  </w:num>
  <w:num w:numId="22">
    <w:abstractNumId w:val="0"/>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umberto Antonio Sierra Porto">
    <w15:presenceInfo w15:providerId="Windows Live" w15:userId="31274b1d1720f6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dit="readOnly" w:enforcement="0"/>
  <w:defaultTabStop w:val="708"/>
  <w:hyphenationZone w:val="425"/>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BDD"/>
    <w:rsid w:val="00000131"/>
    <w:rsid w:val="00000433"/>
    <w:rsid w:val="0000057A"/>
    <w:rsid w:val="000005DD"/>
    <w:rsid w:val="00000AAF"/>
    <w:rsid w:val="00000AE7"/>
    <w:rsid w:val="00000D08"/>
    <w:rsid w:val="00000D64"/>
    <w:rsid w:val="000013E8"/>
    <w:rsid w:val="000014AF"/>
    <w:rsid w:val="00001866"/>
    <w:rsid w:val="0000214E"/>
    <w:rsid w:val="00004160"/>
    <w:rsid w:val="000041B7"/>
    <w:rsid w:val="0000442C"/>
    <w:rsid w:val="00004B34"/>
    <w:rsid w:val="00004B71"/>
    <w:rsid w:val="00004CCB"/>
    <w:rsid w:val="00005FB3"/>
    <w:rsid w:val="000061EB"/>
    <w:rsid w:val="00006393"/>
    <w:rsid w:val="000063E6"/>
    <w:rsid w:val="000070CB"/>
    <w:rsid w:val="00007977"/>
    <w:rsid w:val="00007D98"/>
    <w:rsid w:val="00010133"/>
    <w:rsid w:val="0001019C"/>
    <w:rsid w:val="00010CFA"/>
    <w:rsid w:val="00010DF7"/>
    <w:rsid w:val="00011543"/>
    <w:rsid w:val="0001173B"/>
    <w:rsid w:val="00011740"/>
    <w:rsid w:val="000122E9"/>
    <w:rsid w:val="000136CC"/>
    <w:rsid w:val="0001384D"/>
    <w:rsid w:val="00013978"/>
    <w:rsid w:val="00013EA6"/>
    <w:rsid w:val="00014157"/>
    <w:rsid w:val="000146B5"/>
    <w:rsid w:val="00015005"/>
    <w:rsid w:val="000155F6"/>
    <w:rsid w:val="0001567D"/>
    <w:rsid w:val="00015E21"/>
    <w:rsid w:val="00016122"/>
    <w:rsid w:val="000166E0"/>
    <w:rsid w:val="000166FA"/>
    <w:rsid w:val="00016802"/>
    <w:rsid w:val="000168F1"/>
    <w:rsid w:val="00016B6D"/>
    <w:rsid w:val="000170FA"/>
    <w:rsid w:val="0001724D"/>
    <w:rsid w:val="00017359"/>
    <w:rsid w:val="00017C10"/>
    <w:rsid w:val="00020289"/>
    <w:rsid w:val="0002059B"/>
    <w:rsid w:val="00020A9A"/>
    <w:rsid w:val="00020D1F"/>
    <w:rsid w:val="000212D3"/>
    <w:rsid w:val="0002158D"/>
    <w:rsid w:val="000219C5"/>
    <w:rsid w:val="00021BE1"/>
    <w:rsid w:val="00022778"/>
    <w:rsid w:val="00022FA6"/>
    <w:rsid w:val="00023643"/>
    <w:rsid w:val="00024BCC"/>
    <w:rsid w:val="00024EFF"/>
    <w:rsid w:val="00025E57"/>
    <w:rsid w:val="000260AB"/>
    <w:rsid w:val="000272DF"/>
    <w:rsid w:val="000275B4"/>
    <w:rsid w:val="000277A2"/>
    <w:rsid w:val="000279A8"/>
    <w:rsid w:val="000304E8"/>
    <w:rsid w:val="00030828"/>
    <w:rsid w:val="0003095B"/>
    <w:rsid w:val="00030D94"/>
    <w:rsid w:val="00030E2E"/>
    <w:rsid w:val="00030FED"/>
    <w:rsid w:val="0003134B"/>
    <w:rsid w:val="00031598"/>
    <w:rsid w:val="000315FE"/>
    <w:rsid w:val="0003189C"/>
    <w:rsid w:val="00031D84"/>
    <w:rsid w:val="0003264F"/>
    <w:rsid w:val="0003268B"/>
    <w:rsid w:val="00032981"/>
    <w:rsid w:val="00032C84"/>
    <w:rsid w:val="00032E2F"/>
    <w:rsid w:val="00032E6D"/>
    <w:rsid w:val="000334E9"/>
    <w:rsid w:val="00033525"/>
    <w:rsid w:val="000339A2"/>
    <w:rsid w:val="00033CEC"/>
    <w:rsid w:val="0003463B"/>
    <w:rsid w:val="00034C26"/>
    <w:rsid w:val="0003552A"/>
    <w:rsid w:val="000360B5"/>
    <w:rsid w:val="000366AC"/>
    <w:rsid w:val="00036D73"/>
    <w:rsid w:val="0003709D"/>
    <w:rsid w:val="00037335"/>
    <w:rsid w:val="00037447"/>
    <w:rsid w:val="00037611"/>
    <w:rsid w:val="000377EA"/>
    <w:rsid w:val="00037A15"/>
    <w:rsid w:val="000406A3"/>
    <w:rsid w:val="00040BA7"/>
    <w:rsid w:val="00040CBD"/>
    <w:rsid w:val="000412C5"/>
    <w:rsid w:val="000415F8"/>
    <w:rsid w:val="00041DDB"/>
    <w:rsid w:val="000423C6"/>
    <w:rsid w:val="00042C39"/>
    <w:rsid w:val="00042D8A"/>
    <w:rsid w:val="000432BF"/>
    <w:rsid w:val="000435D5"/>
    <w:rsid w:val="00043B83"/>
    <w:rsid w:val="00043EAF"/>
    <w:rsid w:val="00044325"/>
    <w:rsid w:val="00044A68"/>
    <w:rsid w:val="00045958"/>
    <w:rsid w:val="00047615"/>
    <w:rsid w:val="0004781C"/>
    <w:rsid w:val="00047A3B"/>
    <w:rsid w:val="00047EC8"/>
    <w:rsid w:val="0005049A"/>
    <w:rsid w:val="00050C17"/>
    <w:rsid w:val="0005131A"/>
    <w:rsid w:val="00051707"/>
    <w:rsid w:val="00051985"/>
    <w:rsid w:val="00051EC4"/>
    <w:rsid w:val="00051F3F"/>
    <w:rsid w:val="00051F40"/>
    <w:rsid w:val="00051F81"/>
    <w:rsid w:val="000525AA"/>
    <w:rsid w:val="00053076"/>
    <w:rsid w:val="00053399"/>
    <w:rsid w:val="00053475"/>
    <w:rsid w:val="00053B96"/>
    <w:rsid w:val="00053DEB"/>
    <w:rsid w:val="000542BC"/>
    <w:rsid w:val="0005490E"/>
    <w:rsid w:val="0005494C"/>
    <w:rsid w:val="00055993"/>
    <w:rsid w:val="0005630B"/>
    <w:rsid w:val="000563B3"/>
    <w:rsid w:val="0005710F"/>
    <w:rsid w:val="00057163"/>
    <w:rsid w:val="000572F7"/>
    <w:rsid w:val="00057D51"/>
    <w:rsid w:val="00057F48"/>
    <w:rsid w:val="0006089B"/>
    <w:rsid w:val="000608E0"/>
    <w:rsid w:val="00060FFF"/>
    <w:rsid w:val="0006181A"/>
    <w:rsid w:val="00061DF9"/>
    <w:rsid w:val="00062285"/>
    <w:rsid w:val="00063C4E"/>
    <w:rsid w:val="0006464E"/>
    <w:rsid w:val="00064713"/>
    <w:rsid w:val="000659BC"/>
    <w:rsid w:val="000669CD"/>
    <w:rsid w:val="00066D4A"/>
    <w:rsid w:val="00066F3A"/>
    <w:rsid w:val="00067E98"/>
    <w:rsid w:val="000704CD"/>
    <w:rsid w:val="00070941"/>
    <w:rsid w:val="0007139B"/>
    <w:rsid w:val="000719E6"/>
    <w:rsid w:val="00072121"/>
    <w:rsid w:val="000723CB"/>
    <w:rsid w:val="0007284F"/>
    <w:rsid w:val="000732AE"/>
    <w:rsid w:val="00073A86"/>
    <w:rsid w:val="00073ECE"/>
    <w:rsid w:val="000744BD"/>
    <w:rsid w:val="00074874"/>
    <w:rsid w:val="00074DBF"/>
    <w:rsid w:val="00074F7C"/>
    <w:rsid w:val="0007552A"/>
    <w:rsid w:val="00075585"/>
    <w:rsid w:val="0007586C"/>
    <w:rsid w:val="00075931"/>
    <w:rsid w:val="00075B12"/>
    <w:rsid w:val="00077564"/>
    <w:rsid w:val="000775B9"/>
    <w:rsid w:val="000779A3"/>
    <w:rsid w:val="00077C7F"/>
    <w:rsid w:val="00080CCE"/>
    <w:rsid w:val="0008155F"/>
    <w:rsid w:val="00081AC2"/>
    <w:rsid w:val="00082225"/>
    <w:rsid w:val="00082283"/>
    <w:rsid w:val="00082A67"/>
    <w:rsid w:val="00082AC3"/>
    <w:rsid w:val="00084D8C"/>
    <w:rsid w:val="000852DF"/>
    <w:rsid w:val="00085704"/>
    <w:rsid w:val="00085AC8"/>
    <w:rsid w:val="00085BDD"/>
    <w:rsid w:val="00085C23"/>
    <w:rsid w:val="00085FE6"/>
    <w:rsid w:val="00086920"/>
    <w:rsid w:val="00086B49"/>
    <w:rsid w:val="00086C46"/>
    <w:rsid w:val="00086DFF"/>
    <w:rsid w:val="00086E9E"/>
    <w:rsid w:val="000875F9"/>
    <w:rsid w:val="00087D96"/>
    <w:rsid w:val="0009078C"/>
    <w:rsid w:val="00090A46"/>
    <w:rsid w:val="00091890"/>
    <w:rsid w:val="000920E9"/>
    <w:rsid w:val="000926F7"/>
    <w:rsid w:val="000932A6"/>
    <w:rsid w:val="000937EB"/>
    <w:rsid w:val="00094584"/>
    <w:rsid w:val="0009464E"/>
    <w:rsid w:val="0009524D"/>
    <w:rsid w:val="00097021"/>
    <w:rsid w:val="000977B9"/>
    <w:rsid w:val="000A0FE8"/>
    <w:rsid w:val="000A0FEB"/>
    <w:rsid w:val="000A1265"/>
    <w:rsid w:val="000A19C2"/>
    <w:rsid w:val="000A1BFB"/>
    <w:rsid w:val="000A1D79"/>
    <w:rsid w:val="000A257A"/>
    <w:rsid w:val="000A29A8"/>
    <w:rsid w:val="000A30A9"/>
    <w:rsid w:val="000A3356"/>
    <w:rsid w:val="000A373E"/>
    <w:rsid w:val="000A3F33"/>
    <w:rsid w:val="000A4675"/>
    <w:rsid w:val="000A4835"/>
    <w:rsid w:val="000A4962"/>
    <w:rsid w:val="000A5483"/>
    <w:rsid w:val="000A5724"/>
    <w:rsid w:val="000A5E7C"/>
    <w:rsid w:val="000A606B"/>
    <w:rsid w:val="000A6094"/>
    <w:rsid w:val="000A6BEC"/>
    <w:rsid w:val="000A6CE7"/>
    <w:rsid w:val="000A6D89"/>
    <w:rsid w:val="000A6F9C"/>
    <w:rsid w:val="000A701A"/>
    <w:rsid w:val="000A72F5"/>
    <w:rsid w:val="000A7866"/>
    <w:rsid w:val="000A7CBB"/>
    <w:rsid w:val="000B0801"/>
    <w:rsid w:val="000B08FF"/>
    <w:rsid w:val="000B12F8"/>
    <w:rsid w:val="000B18D8"/>
    <w:rsid w:val="000B1D4F"/>
    <w:rsid w:val="000B1E30"/>
    <w:rsid w:val="000B252B"/>
    <w:rsid w:val="000B2842"/>
    <w:rsid w:val="000B4230"/>
    <w:rsid w:val="000B44AC"/>
    <w:rsid w:val="000B4F6D"/>
    <w:rsid w:val="000B532D"/>
    <w:rsid w:val="000B5D06"/>
    <w:rsid w:val="000B6A6F"/>
    <w:rsid w:val="000B6B01"/>
    <w:rsid w:val="000B6C42"/>
    <w:rsid w:val="000B6E81"/>
    <w:rsid w:val="000B7358"/>
    <w:rsid w:val="000B7373"/>
    <w:rsid w:val="000B747A"/>
    <w:rsid w:val="000C03C2"/>
    <w:rsid w:val="000C0406"/>
    <w:rsid w:val="000C09FE"/>
    <w:rsid w:val="000C16AF"/>
    <w:rsid w:val="000C175D"/>
    <w:rsid w:val="000C18A8"/>
    <w:rsid w:val="000C1B19"/>
    <w:rsid w:val="000C2265"/>
    <w:rsid w:val="000C2E18"/>
    <w:rsid w:val="000C3041"/>
    <w:rsid w:val="000C3436"/>
    <w:rsid w:val="000C3DF5"/>
    <w:rsid w:val="000C44D9"/>
    <w:rsid w:val="000C47E8"/>
    <w:rsid w:val="000C4892"/>
    <w:rsid w:val="000C49C6"/>
    <w:rsid w:val="000C4D4F"/>
    <w:rsid w:val="000C506F"/>
    <w:rsid w:val="000C54B0"/>
    <w:rsid w:val="000C563D"/>
    <w:rsid w:val="000C5821"/>
    <w:rsid w:val="000C5D8A"/>
    <w:rsid w:val="000C69ED"/>
    <w:rsid w:val="000C7392"/>
    <w:rsid w:val="000C7C05"/>
    <w:rsid w:val="000D0095"/>
    <w:rsid w:val="000D080E"/>
    <w:rsid w:val="000D0AE0"/>
    <w:rsid w:val="000D11D5"/>
    <w:rsid w:val="000D1638"/>
    <w:rsid w:val="000D1BC8"/>
    <w:rsid w:val="000D1FDF"/>
    <w:rsid w:val="000D230F"/>
    <w:rsid w:val="000D25AA"/>
    <w:rsid w:val="000D264C"/>
    <w:rsid w:val="000D2734"/>
    <w:rsid w:val="000D2B4C"/>
    <w:rsid w:val="000D2D98"/>
    <w:rsid w:val="000D309F"/>
    <w:rsid w:val="000D3303"/>
    <w:rsid w:val="000D41E0"/>
    <w:rsid w:val="000D421E"/>
    <w:rsid w:val="000D437F"/>
    <w:rsid w:val="000D4F2A"/>
    <w:rsid w:val="000D4F90"/>
    <w:rsid w:val="000D5CD4"/>
    <w:rsid w:val="000D6123"/>
    <w:rsid w:val="000D65EF"/>
    <w:rsid w:val="000D6B6B"/>
    <w:rsid w:val="000D6F86"/>
    <w:rsid w:val="000D7043"/>
    <w:rsid w:val="000D7768"/>
    <w:rsid w:val="000D7883"/>
    <w:rsid w:val="000E0085"/>
    <w:rsid w:val="000E01D3"/>
    <w:rsid w:val="000E0708"/>
    <w:rsid w:val="000E0902"/>
    <w:rsid w:val="000E0C09"/>
    <w:rsid w:val="000E117B"/>
    <w:rsid w:val="000E1CAA"/>
    <w:rsid w:val="000E2289"/>
    <w:rsid w:val="000E2BEF"/>
    <w:rsid w:val="000E307E"/>
    <w:rsid w:val="000E33C8"/>
    <w:rsid w:val="000E3E31"/>
    <w:rsid w:val="000E434E"/>
    <w:rsid w:val="000E47C8"/>
    <w:rsid w:val="000E4E75"/>
    <w:rsid w:val="000E53C9"/>
    <w:rsid w:val="000E53DE"/>
    <w:rsid w:val="000E56BB"/>
    <w:rsid w:val="000E59A9"/>
    <w:rsid w:val="000E65EE"/>
    <w:rsid w:val="000E6B1F"/>
    <w:rsid w:val="000E6E63"/>
    <w:rsid w:val="000E73D9"/>
    <w:rsid w:val="000E7866"/>
    <w:rsid w:val="000E78C6"/>
    <w:rsid w:val="000E7C80"/>
    <w:rsid w:val="000E7ECB"/>
    <w:rsid w:val="000F072D"/>
    <w:rsid w:val="000F093D"/>
    <w:rsid w:val="000F0D61"/>
    <w:rsid w:val="000F14B8"/>
    <w:rsid w:val="000F1648"/>
    <w:rsid w:val="000F1755"/>
    <w:rsid w:val="000F2206"/>
    <w:rsid w:val="000F2375"/>
    <w:rsid w:val="000F26A4"/>
    <w:rsid w:val="000F278F"/>
    <w:rsid w:val="000F2AAB"/>
    <w:rsid w:val="000F2E4C"/>
    <w:rsid w:val="000F3296"/>
    <w:rsid w:val="000F35F9"/>
    <w:rsid w:val="000F37C9"/>
    <w:rsid w:val="000F44C5"/>
    <w:rsid w:val="000F57E3"/>
    <w:rsid w:val="000F5ADD"/>
    <w:rsid w:val="000F5B29"/>
    <w:rsid w:val="000F6179"/>
    <w:rsid w:val="000F62F7"/>
    <w:rsid w:val="000F697D"/>
    <w:rsid w:val="000F6B73"/>
    <w:rsid w:val="000F6BA6"/>
    <w:rsid w:val="000F7278"/>
    <w:rsid w:val="000F756E"/>
    <w:rsid w:val="000F78D0"/>
    <w:rsid w:val="000F7EA2"/>
    <w:rsid w:val="000F7FC9"/>
    <w:rsid w:val="0010034A"/>
    <w:rsid w:val="001008EF"/>
    <w:rsid w:val="00100ACF"/>
    <w:rsid w:val="00100F58"/>
    <w:rsid w:val="00100FA7"/>
    <w:rsid w:val="0010100E"/>
    <w:rsid w:val="00101076"/>
    <w:rsid w:val="00101574"/>
    <w:rsid w:val="00101AAD"/>
    <w:rsid w:val="00102249"/>
    <w:rsid w:val="00103031"/>
    <w:rsid w:val="001049F8"/>
    <w:rsid w:val="00104B22"/>
    <w:rsid w:val="0010585E"/>
    <w:rsid w:val="001065D4"/>
    <w:rsid w:val="00107455"/>
    <w:rsid w:val="0010746C"/>
    <w:rsid w:val="00107649"/>
    <w:rsid w:val="00107C41"/>
    <w:rsid w:val="00110188"/>
    <w:rsid w:val="00110716"/>
    <w:rsid w:val="00110B3D"/>
    <w:rsid w:val="00110E3E"/>
    <w:rsid w:val="00110FC4"/>
    <w:rsid w:val="0011165C"/>
    <w:rsid w:val="00111B66"/>
    <w:rsid w:val="001123F2"/>
    <w:rsid w:val="00113316"/>
    <w:rsid w:val="0011340A"/>
    <w:rsid w:val="0011342A"/>
    <w:rsid w:val="001135DA"/>
    <w:rsid w:val="0011383A"/>
    <w:rsid w:val="00113FF5"/>
    <w:rsid w:val="00114139"/>
    <w:rsid w:val="00114577"/>
    <w:rsid w:val="0011473D"/>
    <w:rsid w:val="0011543E"/>
    <w:rsid w:val="001155C5"/>
    <w:rsid w:val="0011586B"/>
    <w:rsid w:val="00115986"/>
    <w:rsid w:val="00115B27"/>
    <w:rsid w:val="001160A2"/>
    <w:rsid w:val="0011659B"/>
    <w:rsid w:val="001165F9"/>
    <w:rsid w:val="00116807"/>
    <w:rsid w:val="00116A67"/>
    <w:rsid w:val="00116B64"/>
    <w:rsid w:val="00116D6D"/>
    <w:rsid w:val="00117BEC"/>
    <w:rsid w:val="00117C71"/>
    <w:rsid w:val="0012038C"/>
    <w:rsid w:val="00120392"/>
    <w:rsid w:val="00120592"/>
    <w:rsid w:val="00120E41"/>
    <w:rsid w:val="00120FF3"/>
    <w:rsid w:val="001213BE"/>
    <w:rsid w:val="001216F5"/>
    <w:rsid w:val="00121894"/>
    <w:rsid w:val="00122A38"/>
    <w:rsid w:val="0012335E"/>
    <w:rsid w:val="001242D0"/>
    <w:rsid w:val="00124478"/>
    <w:rsid w:val="00124A33"/>
    <w:rsid w:val="00125A17"/>
    <w:rsid w:val="00125F25"/>
    <w:rsid w:val="0012612E"/>
    <w:rsid w:val="00126A7D"/>
    <w:rsid w:val="00126DBA"/>
    <w:rsid w:val="00126EA4"/>
    <w:rsid w:val="00127556"/>
    <w:rsid w:val="00127805"/>
    <w:rsid w:val="001301C4"/>
    <w:rsid w:val="00130531"/>
    <w:rsid w:val="0013081F"/>
    <w:rsid w:val="00130944"/>
    <w:rsid w:val="00131356"/>
    <w:rsid w:val="001317E8"/>
    <w:rsid w:val="00132097"/>
    <w:rsid w:val="0013235D"/>
    <w:rsid w:val="00132CFF"/>
    <w:rsid w:val="00133521"/>
    <w:rsid w:val="00133941"/>
    <w:rsid w:val="00133B67"/>
    <w:rsid w:val="00134608"/>
    <w:rsid w:val="00134BEC"/>
    <w:rsid w:val="00135580"/>
    <w:rsid w:val="00136108"/>
    <w:rsid w:val="0013612B"/>
    <w:rsid w:val="00136B8A"/>
    <w:rsid w:val="0013799D"/>
    <w:rsid w:val="001379B5"/>
    <w:rsid w:val="0014134B"/>
    <w:rsid w:val="0014155F"/>
    <w:rsid w:val="00141692"/>
    <w:rsid w:val="00141AD2"/>
    <w:rsid w:val="001424A8"/>
    <w:rsid w:val="001424D5"/>
    <w:rsid w:val="00142649"/>
    <w:rsid w:val="00142DD3"/>
    <w:rsid w:val="00143425"/>
    <w:rsid w:val="0014352D"/>
    <w:rsid w:val="00143866"/>
    <w:rsid w:val="00144757"/>
    <w:rsid w:val="00145A34"/>
    <w:rsid w:val="00145EDA"/>
    <w:rsid w:val="001474AF"/>
    <w:rsid w:val="00147721"/>
    <w:rsid w:val="00147909"/>
    <w:rsid w:val="00150189"/>
    <w:rsid w:val="00150638"/>
    <w:rsid w:val="0015069B"/>
    <w:rsid w:val="001508AC"/>
    <w:rsid w:val="00150D4F"/>
    <w:rsid w:val="001512CA"/>
    <w:rsid w:val="001516A1"/>
    <w:rsid w:val="00151E4D"/>
    <w:rsid w:val="00151EBB"/>
    <w:rsid w:val="001521C3"/>
    <w:rsid w:val="00152B77"/>
    <w:rsid w:val="00152FBF"/>
    <w:rsid w:val="001532C0"/>
    <w:rsid w:val="00153315"/>
    <w:rsid w:val="00153436"/>
    <w:rsid w:val="001535F8"/>
    <w:rsid w:val="00153FCE"/>
    <w:rsid w:val="00154484"/>
    <w:rsid w:val="001544FC"/>
    <w:rsid w:val="00154886"/>
    <w:rsid w:val="00155E8E"/>
    <w:rsid w:val="00156A04"/>
    <w:rsid w:val="00156D22"/>
    <w:rsid w:val="001579D1"/>
    <w:rsid w:val="001600D6"/>
    <w:rsid w:val="00160819"/>
    <w:rsid w:val="00160BB6"/>
    <w:rsid w:val="0016140A"/>
    <w:rsid w:val="001617ED"/>
    <w:rsid w:val="0016216D"/>
    <w:rsid w:val="0016280F"/>
    <w:rsid w:val="00162D62"/>
    <w:rsid w:val="00162DF3"/>
    <w:rsid w:val="001633F8"/>
    <w:rsid w:val="0016372E"/>
    <w:rsid w:val="00163FD0"/>
    <w:rsid w:val="00164083"/>
    <w:rsid w:val="0016485A"/>
    <w:rsid w:val="0016488D"/>
    <w:rsid w:val="00164DD1"/>
    <w:rsid w:val="00164F13"/>
    <w:rsid w:val="00164F7B"/>
    <w:rsid w:val="001656F7"/>
    <w:rsid w:val="00165F9C"/>
    <w:rsid w:val="001667A9"/>
    <w:rsid w:val="00166AD4"/>
    <w:rsid w:val="00166F3E"/>
    <w:rsid w:val="001701D3"/>
    <w:rsid w:val="001705C2"/>
    <w:rsid w:val="00170720"/>
    <w:rsid w:val="001713A1"/>
    <w:rsid w:val="00171A5D"/>
    <w:rsid w:val="00171B4B"/>
    <w:rsid w:val="00171F67"/>
    <w:rsid w:val="001721BD"/>
    <w:rsid w:val="001726AA"/>
    <w:rsid w:val="00172747"/>
    <w:rsid w:val="00172FDA"/>
    <w:rsid w:val="00172FE0"/>
    <w:rsid w:val="0017365B"/>
    <w:rsid w:val="0017401E"/>
    <w:rsid w:val="00174377"/>
    <w:rsid w:val="00174739"/>
    <w:rsid w:val="00174D2D"/>
    <w:rsid w:val="0017539B"/>
    <w:rsid w:val="001754D4"/>
    <w:rsid w:val="001754FC"/>
    <w:rsid w:val="00175618"/>
    <w:rsid w:val="00175C16"/>
    <w:rsid w:val="0017602D"/>
    <w:rsid w:val="001760C9"/>
    <w:rsid w:val="001761FC"/>
    <w:rsid w:val="001763B2"/>
    <w:rsid w:val="00176EE5"/>
    <w:rsid w:val="001770EA"/>
    <w:rsid w:val="00177292"/>
    <w:rsid w:val="00177399"/>
    <w:rsid w:val="001773EF"/>
    <w:rsid w:val="00177588"/>
    <w:rsid w:val="00177605"/>
    <w:rsid w:val="00177D3C"/>
    <w:rsid w:val="00180117"/>
    <w:rsid w:val="00180A6E"/>
    <w:rsid w:val="00180AD7"/>
    <w:rsid w:val="00181369"/>
    <w:rsid w:val="001813BF"/>
    <w:rsid w:val="00181C72"/>
    <w:rsid w:val="00182629"/>
    <w:rsid w:val="001826D8"/>
    <w:rsid w:val="00182928"/>
    <w:rsid w:val="00182A7C"/>
    <w:rsid w:val="00182DC6"/>
    <w:rsid w:val="00183265"/>
    <w:rsid w:val="00184103"/>
    <w:rsid w:val="001841C5"/>
    <w:rsid w:val="0018429A"/>
    <w:rsid w:val="001844E5"/>
    <w:rsid w:val="0018538B"/>
    <w:rsid w:val="00185D43"/>
    <w:rsid w:val="00185F9F"/>
    <w:rsid w:val="001860D1"/>
    <w:rsid w:val="00186404"/>
    <w:rsid w:val="00186F72"/>
    <w:rsid w:val="001878A1"/>
    <w:rsid w:val="001908F8"/>
    <w:rsid w:val="00190CCC"/>
    <w:rsid w:val="00190E75"/>
    <w:rsid w:val="0019170F"/>
    <w:rsid w:val="0019187D"/>
    <w:rsid w:val="00191950"/>
    <w:rsid w:val="00191F14"/>
    <w:rsid w:val="0019211A"/>
    <w:rsid w:val="00192CF7"/>
    <w:rsid w:val="00192F16"/>
    <w:rsid w:val="001931D1"/>
    <w:rsid w:val="001932EF"/>
    <w:rsid w:val="00194A45"/>
    <w:rsid w:val="00194FF1"/>
    <w:rsid w:val="00195333"/>
    <w:rsid w:val="0019584C"/>
    <w:rsid w:val="00195867"/>
    <w:rsid w:val="00195F9B"/>
    <w:rsid w:val="00196E41"/>
    <w:rsid w:val="0019703C"/>
    <w:rsid w:val="001975E2"/>
    <w:rsid w:val="00197777"/>
    <w:rsid w:val="001978B2"/>
    <w:rsid w:val="00197D5A"/>
    <w:rsid w:val="001A107F"/>
    <w:rsid w:val="001A113C"/>
    <w:rsid w:val="001A29DE"/>
    <w:rsid w:val="001A2BBA"/>
    <w:rsid w:val="001A2E32"/>
    <w:rsid w:val="001A31E6"/>
    <w:rsid w:val="001A3986"/>
    <w:rsid w:val="001A3EA4"/>
    <w:rsid w:val="001A5B32"/>
    <w:rsid w:val="001A5C40"/>
    <w:rsid w:val="001A6085"/>
    <w:rsid w:val="001A622B"/>
    <w:rsid w:val="001A751D"/>
    <w:rsid w:val="001A7676"/>
    <w:rsid w:val="001A76EC"/>
    <w:rsid w:val="001A7B45"/>
    <w:rsid w:val="001B0177"/>
    <w:rsid w:val="001B02F1"/>
    <w:rsid w:val="001B0324"/>
    <w:rsid w:val="001B1AD5"/>
    <w:rsid w:val="001B2DEA"/>
    <w:rsid w:val="001B334A"/>
    <w:rsid w:val="001B3F7F"/>
    <w:rsid w:val="001B425F"/>
    <w:rsid w:val="001B44E3"/>
    <w:rsid w:val="001B5224"/>
    <w:rsid w:val="001B53DF"/>
    <w:rsid w:val="001B5AD7"/>
    <w:rsid w:val="001B5B01"/>
    <w:rsid w:val="001B5E43"/>
    <w:rsid w:val="001B6569"/>
    <w:rsid w:val="001B6A46"/>
    <w:rsid w:val="001B6F70"/>
    <w:rsid w:val="001B7255"/>
    <w:rsid w:val="001B7433"/>
    <w:rsid w:val="001B7672"/>
    <w:rsid w:val="001B7AE0"/>
    <w:rsid w:val="001B7E69"/>
    <w:rsid w:val="001C013B"/>
    <w:rsid w:val="001C03B7"/>
    <w:rsid w:val="001C07A3"/>
    <w:rsid w:val="001C0876"/>
    <w:rsid w:val="001C09CF"/>
    <w:rsid w:val="001C0BD0"/>
    <w:rsid w:val="001C1AF9"/>
    <w:rsid w:val="001C2530"/>
    <w:rsid w:val="001C43D1"/>
    <w:rsid w:val="001C46AD"/>
    <w:rsid w:val="001C5850"/>
    <w:rsid w:val="001C5F7B"/>
    <w:rsid w:val="001C7108"/>
    <w:rsid w:val="001C7633"/>
    <w:rsid w:val="001C7B60"/>
    <w:rsid w:val="001C7E37"/>
    <w:rsid w:val="001C7F8F"/>
    <w:rsid w:val="001D084C"/>
    <w:rsid w:val="001D0D75"/>
    <w:rsid w:val="001D133A"/>
    <w:rsid w:val="001D1448"/>
    <w:rsid w:val="001D1AE4"/>
    <w:rsid w:val="001D1CDA"/>
    <w:rsid w:val="001D2174"/>
    <w:rsid w:val="001D33AE"/>
    <w:rsid w:val="001D35A0"/>
    <w:rsid w:val="001D3CA2"/>
    <w:rsid w:val="001D3E76"/>
    <w:rsid w:val="001D3F0C"/>
    <w:rsid w:val="001D4863"/>
    <w:rsid w:val="001D523B"/>
    <w:rsid w:val="001D570C"/>
    <w:rsid w:val="001D593F"/>
    <w:rsid w:val="001D5D94"/>
    <w:rsid w:val="001D6700"/>
    <w:rsid w:val="001D67F0"/>
    <w:rsid w:val="001D6B4F"/>
    <w:rsid w:val="001D6D2A"/>
    <w:rsid w:val="001D7E93"/>
    <w:rsid w:val="001E002F"/>
    <w:rsid w:val="001E0790"/>
    <w:rsid w:val="001E1CBD"/>
    <w:rsid w:val="001E1D73"/>
    <w:rsid w:val="001E2126"/>
    <w:rsid w:val="001E21D4"/>
    <w:rsid w:val="001E272C"/>
    <w:rsid w:val="001E2769"/>
    <w:rsid w:val="001E2A72"/>
    <w:rsid w:val="001E3889"/>
    <w:rsid w:val="001E43C6"/>
    <w:rsid w:val="001E47AC"/>
    <w:rsid w:val="001E5369"/>
    <w:rsid w:val="001E536B"/>
    <w:rsid w:val="001E5AFC"/>
    <w:rsid w:val="001E5DF9"/>
    <w:rsid w:val="001E6358"/>
    <w:rsid w:val="001E651F"/>
    <w:rsid w:val="001E6BD9"/>
    <w:rsid w:val="001E7AE3"/>
    <w:rsid w:val="001E7EDD"/>
    <w:rsid w:val="001F033C"/>
    <w:rsid w:val="001F04F6"/>
    <w:rsid w:val="001F0728"/>
    <w:rsid w:val="001F0787"/>
    <w:rsid w:val="001F136E"/>
    <w:rsid w:val="001F24B1"/>
    <w:rsid w:val="001F2FE7"/>
    <w:rsid w:val="001F313A"/>
    <w:rsid w:val="001F35D9"/>
    <w:rsid w:val="001F3796"/>
    <w:rsid w:val="001F3AAD"/>
    <w:rsid w:val="001F3E25"/>
    <w:rsid w:val="001F4518"/>
    <w:rsid w:val="001F570C"/>
    <w:rsid w:val="001F595B"/>
    <w:rsid w:val="001F604C"/>
    <w:rsid w:val="001F67C0"/>
    <w:rsid w:val="001F68A6"/>
    <w:rsid w:val="001F770D"/>
    <w:rsid w:val="001F7B33"/>
    <w:rsid w:val="00200019"/>
    <w:rsid w:val="00200FC3"/>
    <w:rsid w:val="00201BAC"/>
    <w:rsid w:val="002024D5"/>
    <w:rsid w:val="00202AED"/>
    <w:rsid w:val="0020308C"/>
    <w:rsid w:val="002035CD"/>
    <w:rsid w:val="00203A6C"/>
    <w:rsid w:val="00203B8D"/>
    <w:rsid w:val="00204B8D"/>
    <w:rsid w:val="00204D29"/>
    <w:rsid w:val="0020518D"/>
    <w:rsid w:val="002054AB"/>
    <w:rsid w:val="0020768A"/>
    <w:rsid w:val="00210616"/>
    <w:rsid w:val="002108C0"/>
    <w:rsid w:val="00210C5A"/>
    <w:rsid w:val="00210DF6"/>
    <w:rsid w:val="0021162F"/>
    <w:rsid w:val="00211E7C"/>
    <w:rsid w:val="00212711"/>
    <w:rsid w:val="002132DB"/>
    <w:rsid w:val="00213A4C"/>
    <w:rsid w:val="0021400B"/>
    <w:rsid w:val="002143A9"/>
    <w:rsid w:val="002143AA"/>
    <w:rsid w:val="00214499"/>
    <w:rsid w:val="00214C9A"/>
    <w:rsid w:val="00215790"/>
    <w:rsid w:val="00215F77"/>
    <w:rsid w:val="00216D7B"/>
    <w:rsid w:val="00216E17"/>
    <w:rsid w:val="002179B0"/>
    <w:rsid w:val="002179E6"/>
    <w:rsid w:val="00217C59"/>
    <w:rsid w:val="002201C8"/>
    <w:rsid w:val="00220C9A"/>
    <w:rsid w:val="00221042"/>
    <w:rsid w:val="0022111B"/>
    <w:rsid w:val="002217FA"/>
    <w:rsid w:val="00222BE8"/>
    <w:rsid w:val="00222E0D"/>
    <w:rsid w:val="00223B9F"/>
    <w:rsid w:val="00223DC5"/>
    <w:rsid w:val="00224CF6"/>
    <w:rsid w:val="00224DA6"/>
    <w:rsid w:val="002257BA"/>
    <w:rsid w:val="0022594B"/>
    <w:rsid w:val="00225EF6"/>
    <w:rsid w:val="00225F9C"/>
    <w:rsid w:val="0022684F"/>
    <w:rsid w:val="00227ECE"/>
    <w:rsid w:val="00227F83"/>
    <w:rsid w:val="002304F8"/>
    <w:rsid w:val="00230B05"/>
    <w:rsid w:val="00231052"/>
    <w:rsid w:val="00231122"/>
    <w:rsid w:val="002317D6"/>
    <w:rsid w:val="002325E4"/>
    <w:rsid w:val="00232B5E"/>
    <w:rsid w:val="00232BFD"/>
    <w:rsid w:val="00232EE0"/>
    <w:rsid w:val="00233525"/>
    <w:rsid w:val="0023392F"/>
    <w:rsid w:val="002341DD"/>
    <w:rsid w:val="002345C0"/>
    <w:rsid w:val="00234A20"/>
    <w:rsid w:val="0023528D"/>
    <w:rsid w:val="00236127"/>
    <w:rsid w:val="002366DB"/>
    <w:rsid w:val="00236C13"/>
    <w:rsid w:val="00236D1C"/>
    <w:rsid w:val="00236DB3"/>
    <w:rsid w:val="002372BF"/>
    <w:rsid w:val="00237A68"/>
    <w:rsid w:val="00237B54"/>
    <w:rsid w:val="00240256"/>
    <w:rsid w:val="002404D0"/>
    <w:rsid w:val="0024103A"/>
    <w:rsid w:val="002411E4"/>
    <w:rsid w:val="00241E31"/>
    <w:rsid w:val="00241F19"/>
    <w:rsid w:val="0024226B"/>
    <w:rsid w:val="00243446"/>
    <w:rsid w:val="00245D81"/>
    <w:rsid w:val="002460B5"/>
    <w:rsid w:val="0024621C"/>
    <w:rsid w:val="00246255"/>
    <w:rsid w:val="00246782"/>
    <w:rsid w:val="002468DB"/>
    <w:rsid w:val="00246CF6"/>
    <w:rsid w:val="002476ED"/>
    <w:rsid w:val="002504A1"/>
    <w:rsid w:val="00250809"/>
    <w:rsid w:val="00250943"/>
    <w:rsid w:val="00250B81"/>
    <w:rsid w:val="00250C15"/>
    <w:rsid w:val="00250C82"/>
    <w:rsid w:val="00250F3D"/>
    <w:rsid w:val="002517F2"/>
    <w:rsid w:val="00251879"/>
    <w:rsid w:val="00251A24"/>
    <w:rsid w:val="00251DEC"/>
    <w:rsid w:val="002520AF"/>
    <w:rsid w:val="00252231"/>
    <w:rsid w:val="002523BF"/>
    <w:rsid w:val="00252A87"/>
    <w:rsid w:val="00252E26"/>
    <w:rsid w:val="00252E46"/>
    <w:rsid w:val="002533FE"/>
    <w:rsid w:val="00253891"/>
    <w:rsid w:val="002538FE"/>
    <w:rsid w:val="00253F03"/>
    <w:rsid w:val="00254342"/>
    <w:rsid w:val="0025595E"/>
    <w:rsid w:val="00257B0D"/>
    <w:rsid w:val="00257B56"/>
    <w:rsid w:val="00257C75"/>
    <w:rsid w:val="00260095"/>
    <w:rsid w:val="002606EA"/>
    <w:rsid w:val="00260D3B"/>
    <w:rsid w:val="00260F52"/>
    <w:rsid w:val="00261285"/>
    <w:rsid w:val="00261E01"/>
    <w:rsid w:val="00261FCE"/>
    <w:rsid w:val="00262786"/>
    <w:rsid w:val="002628BF"/>
    <w:rsid w:val="00262A33"/>
    <w:rsid w:val="00262AE4"/>
    <w:rsid w:val="00263423"/>
    <w:rsid w:val="002638C9"/>
    <w:rsid w:val="00263BD6"/>
    <w:rsid w:val="00263D58"/>
    <w:rsid w:val="0026404B"/>
    <w:rsid w:val="00264C1D"/>
    <w:rsid w:val="0026509B"/>
    <w:rsid w:val="002655BC"/>
    <w:rsid w:val="00265B04"/>
    <w:rsid w:val="0026608A"/>
    <w:rsid w:val="00266BC6"/>
    <w:rsid w:val="00266CE6"/>
    <w:rsid w:val="00266D66"/>
    <w:rsid w:val="00267054"/>
    <w:rsid w:val="0026739F"/>
    <w:rsid w:val="00267587"/>
    <w:rsid w:val="002675AE"/>
    <w:rsid w:val="00267703"/>
    <w:rsid w:val="00267D80"/>
    <w:rsid w:val="0027043A"/>
    <w:rsid w:val="00270756"/>
    <w:rsid w:val="00270ED1"/>
    <w:rsid w:val="00270FCC"/>
    <w:rsid w:val="0027107F"/>
    <w:rsid w:val="0027127F"/>
    <w:rsid w:val="00271304"/>
    <w:rsid w:val="00271B41"/>
    <w:rsid w:val="002720F4"/>
    <w:rsid w:val="00272833"/>
    <w:rsid w:val="002738BB"/>
    <w:rsid w:val="00273A48"/>
    <w:rsid w:val="00273EE0"/>
    <w:rsid w:val="002740A1"/>
    <w:rsid w:val="00274123"/>
    <w:rsid w:val="00274135"/>
    <w:rsid w:val="0027432F"/>
    <w:rsid w:val="002755C3"/>
    <w:rsid w:val="002756CE"/>
    <w:rsid w:val="002758B6"/>
    <w:rsid w:val="00275B80"/>
    <w:rsid w:val="00275C57"/>
    <w:rsid w:val="00275D74"/>
    <w:rsid w:val="00276267"/>
    <w:rsid w:val="0027661C"/>
    <w:rsid w:val="002768A8"/>
    <w:rsid w:val="00276A87"/>
    <w:rsid w:val="00277001"/>
    <w:rsid w:val="00277031"/>
    <w:rsid w:val="00277354"/>
    <w:rsid w:val="002773E7"/>
    <w:rsid w:val="002774BE"/>
    <w:rsid w:val="00277C1E"/>
    <w:rsid w:val="00277D84"/>
    <w:rsid w:val="00277EBB"/>
    <w:rsid w:val="00280180"/>
    <w:rsid w:val="0028033B"/>
    <w:rsid w:val="0028036A"/>
    <w:rsid w:val="00280724"/>
    <w:rsid w:val="002807C6"/>
    <w:rsid w:val="002810A9"/>
    <w:rsid w:val="00281FD8"/>
    <w:rsid w:val="002826C3"/>
    <w:rsid w:val="00283330"/>
    <w:rsid w:val="002850E6"/>
    <w:rsid w:val="00285DC7"/>
    <w:rsid w:val="00286C05"/>
    <w:rsid w:val="00287191"/>
    <w:rsid w:val="0028733B"/>
    <w:rsid w:val="0028766B"/>
    <w:rsid w:val="002878EC"/>
    <w:rsid w:val="00287A07"/>
    <w:rsid w:val="00287FC4"/>
    <w:rsid w:val="00290039"/>
    <w:rsid w:val="002900D1"/>
    <w:rsid w:val="0029043A"/>
    <w:rsid w:val="00290CED"/>
    <w:rsid w:val="002916E0"/>
    <w:rsid w:val="002925AA"/>
    <w:rsid w:val="002926B6"/>
    <w:rsid w:val="00294899"/>
    <w:rsid w:val="00294951"/>
    <w:rsid w:val="002953DB"/>
    <w:rsid w:val="00295906"/>
    <w:rsid w:val="00295CFC"/>
    <w:rsid w:val="00295D8B"/>
    <w:rsid w:val="00295FF0"/>
    <w:rsid w:val="00296802"/>
    <w:rsid w:val="002977A8"/>
    <w:rsid w:val="002A02FD"/>
    <w:rsid w:val="002A0A51"/>
    <w:rsid w:val="002A13B1"/>
    <w:rsid w:val="002A17D5"/>
    <w:rsid w:val="002A188F"/>
    <w:rsid w:val="002A22B8"/>
    <w:rsid w:val="002A285B"/>
    <w:rsid w:val="002A382C"/>
    <w:rsid w:val="002A41C4"/>
    <w:rsid w:val="002A4265"/>
    <w:rsid w:val="002A4337"/>
    <w:rsid w:val="002A43A0"/>
    <w:rsid w:val="002A4402"/>
    <w:rsid w:val="002A45EC"/>
    <w:rsid w:val="002A463B"/>
    <w:rsid w:val="002A47A3"/>
    <w:rsid w:val="002A488F"/>
    <w:rsid w:val="002A4CAB"/>
    <w:rsid w:val="002A4FDB"/>
    <w:rsid w:val="002A50DB"/>
    <w:rsid w:val="002A5123"/>
    <w:rsid w:val="002A51CA"/>
    <w:rsid w:val="002A54B6"/>
    <w:rsid w:val="002A5D01"/>
    <w:rsid w:val="002A61EB"/>
    <w:rsid w:val="002A63FD"/>
    <w:rsid w:val="002A698E"/>
    <w:rsid w:val="002B0943"/>
    <w:rsid w:val="002B0D2F"/>
    <w:rsid w:val="002B12BC"/>
    <w:rsid w:val="002B12BE"/>
    <w:rsid w:val="002B1C33"/>
    <w:rsid w:val="002B2180"/>
    <w:rsid w:val="002B240B"/>
    <w:rsid w:val="002B2979"/>
    <w:rsid w:val="002B2ED9"/>
    <w:rsid w:val="002B31C9"/>
    <w:rsid w:val="002B360E"/>
    <w:rsid w:val="002B4075"/>
    <w:rsid w:val="002B460F"/>
    <w:rsid w:val="002B490F"/>
    <w:rsid w:val="002B49DF"/>
    <w:rsid w:val="002B5243"/>
    <w:rsid w:val="002B5619"/>
    <w:rsid w:val="002B5B79"/>
    <w:rsid w:val="002B648A"/>
    <w:rsid w:val="002B7B25"/>
    <w:rsid w:val="002B7B3B"/>
    <w:rsid w:val="002B7BEC"/>
    <w:rsid w:val="002C0526"/>
    <w:rsid w:val="002C1255"/>
    <w:rsid w:val="002C165C"/>
    <w:rsid w:val="002C199F"/>
    <w:rsid w:val="002C2235"/>
    <w:rsid w:val="002C2258"/>
    <w:rsid w:val="002C2297"/>
    <w:rsid w:val="002C2972"/>
    <w:rsid w:val="002C38D2"/>
    <w:rsid w:val="002C3F2F"/>
    <w:rsid w:val="002C415B"/>
    <w:rsid w:val="002C4AD1"/>
    <w:rsid w:val="002C5137"/>
    <w:rsid w:val="002C5273"/>
    <w:rsid w:val="002C5668"/>
    <w:rsid w:val="002C579C"/>
    <w:rsid w:val="002C5AE0"/>
    <w:rsid w:val="002C646D"/>
    <w:rsid w:val="002C78D7"/>
    <w:rsid w:val="002D0041"/>
    <w:rsid w:val="002D0B3A"/>
    <w:rsid w:val="002D1A5B"/>
    <w:rsid w:val="002D20D9"/>
    <w:rsid w:val="002D2141"/>
    <w:rsid w:val="002D219E"/>
    <w:rsid w:val="002D2D7E"/>
    <w:rsid w:val="002D2EDF"/>
    <w:rsid w:val="002D2FD0"/>
    <w:rsid w:val="002D3524"/>
    <w:rsid w:val="002D3853"/>
    <w:rsid w:val="002D3E5E"/>
    <w:rsid w:val="002D4428"/>
    <w:rsid w:val="002D444C"/>
    <w:rsid w:val="002D466B"/>
    <w:rsid w:val="002D481C"/>
    <w:rsid w:val="002D48AE"/>
    <w:rsid w:val="002D499C"/>
    <w:rsid w:val="002D4E40"/>
    <w:rsid w:val="002D5393"/>
    <w:rsid w:val="002D54E6"/>
    <w:rsid w:val="002D5F9F"/>
    <w:rsid w:val="002D64C1"/>
    <w:rsid w:val="002D699E"/>
    <w:rsid w:val="002D6ECC"/>
    <w:rsid w:val="002D74EC"/>
    <w:rsid w:val="002D755D"/>
    <w:rsid w:val="002D76C1"/>
    <w:rsid w:val="002E0259"/>
    <w:rsid w:val="002E07EE"/>
    <w:rsid w:val="002E0836"/>
    <w:rsid w:val="002E0BF1"/>
    <w:rsid w:val="002E0CEA"/>
    <w:rsid w:val="002E0E96"/>
    <w:rsid w:val="002E1325"/>
    <w:rsid w:val="002E13ED"/>
    <w:rsid w:val="002E1C87"/>
    <w:rsid w:val="002E1EE5"/>
    <w:rsid w:val="002E2199"/>
    <w:rsid w:val="002E2D2E"/>
    <w:rsid w:val="002E342D"/>
    <w:rsid w:val="002E379D"/>
    <w:rsid w:val="002E3DEB"/>
    <w:rsid w:val="002E3E91"/>
    <w:rsid w:val="002E444E"/>
    <w:rsid w:val="002E51A7"/>
    <w:rsid w:val="002E5257"/>
    <w:rsid w:val="002E57DE"/>
    <w:rsid w:val="002E5915"/>
    <w:rsid w:val="002E5AE5"/>
    <w:rsid w:val="002E6061"/>
    <w:rsid w:val="002E635C"/>
    <w:rsid w:val="002E6439"/>
    <w:rsid w:val="002E6448"/>
    <w:rsid w:val="002E6629"/>
    <w:rsid w:val="002E6C12"/>
    <w:rsid w:val="002E6E7D"/>
    <w:rsid w:val="002E73B3"/>
    <w:rsid w:val="002F009E"/>
    <w:rsid w:val="002F0436"/>
    <w:rsid w:val="002F05BB"/>
    <w:rsid w:val="002F0BA5"/>
    <w:rsid w:val="002F0F8D"/>
    <w:rsid w:val="002F13EB"/>
    <w:rsid w:val="002F15E1"/>
    <w:rsid w:val="002F2481"/>
    <w:rsid w:val="002F278F"/>
    <w:rsid w:val="002F2869"/>
    <w:rsid w:val="002F2FB1"/>
    <w:rsid w:val="002F362A"/>
    <w:rsid w:val="002F381E"/>
    <w:rsid w:val="002F42DF"/>
    <w:rsid w:val="002F52EB"/>
    <w:rsid w:val="002F5E37"/>
    <w:rsid w:val="002F5F28"/>
    <w:rsid w:val="002F5FF5"/>
    <w:rsid w:val="002F63BF"/>
    <w:rsid w:val="002F67EC"/>
    <w:rsid w:val="002F731A"/>
    <w:rsid w:val="002F7A4C"/>
    <w:rsid w:val="002F7F92"/>
    <w:rsid w:val="00300233"/>
    <w:rsid w:val="00300318"/>
    <w:rsid w:val="00300424"/>
    <w:rsid w:val="00300432"/>
    <w:rsid w:val="0030053E"/>
    <w:rsid w:val="0030066F"/>
    <w:rsid w:val="00300A42"/>
    <w:rsid w:val="00300C97"/>
    <w:rsid w:val="00300D33"/>
    <w:rsid w:val="0030107B"/>
    <w:rsid w:val="0030109D"/>
    <w:rsid w:val="0030145D"/>
    <w:rsid w:val="003018E5"/>
    <w:rsid w:val="00301C6B"/>
    <w:rsid w:val="00301DCB"/>
    <w:rsid w:val="00302365"/>
    <w:rsid w:val="00302950"/>
    <w:rsid w:val="0030311C"/>
    <w:rsid w:val="0030381D"/>
    <w:rsid w:val="00303C29"/>
    <w:rsid w:val="003040B1"/>
    <w:rsid w:val="003041C3"/>
    <w:rsid w:val="0030498F"/>
    <w:rsid w:val="00304F71"/>
    <w:rsid w:val="00305C47"/>
    <w:rsid w:val="00306A29"/>
    <w:rsid w:val="00306B01"/>
    <w:rsid w:val="00307458"/>
    <w:rsid w:val="00307673"/>
    <w:rsid w:val="00307E6C"/>
    <w:rsid w:val="00307E84"/>
    <w:rsid w:val="00307F5C"/>
    <w:rsid w:val="00310213"/>
    <w:rsid w:val="003108B8"/>
    <w:rsid w:val="0031175A"/>
    <w:rsid w:val="00311A9C"/>
    <w:rsid w:val="00311B5D"/>
    <w:rsid w:val="00312217"/>
    <w:rsid w:val="00312D11"/>
    <w:rsid w:val="0031341D"/>
    <w:rsid w:val="00313812"/>
    <w:rsid w:val="00315090"/>
    <w:rsid w:val="0031520C"/>
    <w:rsid w:val="003155AD"/>
    <w:rsid w:val="00315C5F"/>
    <w:rsid w:val="00315EF1"/>
    <w:rsid w:val="003160E8"/>
    <w:rsid w:val="003163B7"/>
    <w:rsid w:val="003169F0"/>
    <w:rsid w:val="00316AB9"/>
    <w:rsid w:val="00316EA1"/>
    <w:rsid w:val="00316FBC"/>
    <w:rsid w:val="0031710B"/>
    <w:rsid w:val="0031725D"/>
    <w:rsid w:val="003176B8"/>
    <w:rsid w:val="00317BC4"/>
    <w:rsid w:val="00317E68"/>
    <w:rsid w:val="0032081D"/>
    <w:rsid w:val="00320BB4"/>
    <w:rsid w:val="003224B2"/>
    <w:rsid w:val="00322D69"/>
    <w:rsid w:val="00323329"/>
    <w:rsid w:val="0032362E"/>
    <w:rsid w:val="00323B3A"/>
    <w:rsid w:val="003245CC"/>
    <w:rsid w:val="0032498A"/>
    <w:rsid w:val="003254C6"/>
    <w:rsid w:val="003258E8"/>
    <w:rsid w:val="003267DB"/>
    <w:rsid w:val="003270BD"/>
    <w:rsid w:val="00327465"/>
    <w:rsid w:val="003278AA"/>
    <w:rsid w:val="0032791F"/>
    <w:rsid w:val="00327B38"/>
    <w:rsid w:val="00327B8E"/>
    <w:rsid w:val="00327F49"/>
    <w:rsid w:val="00330396"/>
    <w:rsid w:val="003309A0"/>
    <w:rsid w:val="00332017"/>
    <w:rsid w:val="00332034"/>
    <w:rsid w:val="003325D4"/>
    <w:rsid w:val="00332630"/>
    <w:rsid w:val="003326A2"/>
    <w:rsid w:val="0033298B"/>
    <w:rsid w:val="00332E34"/>
    <w:rsid w:val="00332EA1"/>
    <w:rsid w:val="0033396D"/>
    <w:rsid w:val="00333CDE"/>
    <w:rsid w:val="00333E18"/>
    <w:rsid w:val="00334425"/>
    <w:rsid w:val="00334F4D"/>
    <w:rsid w:val="003350E6"/>
    <w:rsid w:val="00335798"/>
    <w:rsid w:val="00335B72"/>
    <w:rsid w:val="00335C32"/>
    <w:rsid w:val="00335E6E"/>
    <w:rsid w:val="0033628C"/>
    <w:rsid w:val="00336B03"/>
    <w:rsid w:val="00337F39"/>
    <w:rsid w:val="00340404"/>
    <w:rsid w:val="00340927"/>
    <w:rsid w:val="00340B97"/>
    <w:rsid w:val="0034144B"/>
    <w:rsid w:val="003414F8"/>
    <w:rsid w:val="00341624"/>
    <w:rsid w:val="0034199C"/>
    <w:rsid w:val="00341BF1"/>
    <w:rsid w:val="00341C5A"/>
    <w:rsid w:val="00341CDC"/>
    <w:rsid w:val="00342199"/>
    <w:rsid w:val="003422CC"/>
    <w:rsid w:val="00342D38"/>
    <w:rsid w:val="00343715"/>
    <w:rsid w:val="00343716"/>
    <w:rsid w:val="0034375B"/>
    <w:rsid w:val="0034439B"/>
    <w:rsid w:val="00345370"/>
    <w:rsid w:val="00346477"/>
    <w:rsid w:val="00346688"/>
    <w:rsid w:val="00346A60"/>
    <w:rsid w:val="00347EDC"/>
    <w:rsid w:val="0035061C"/>
    <w:rsid w:val="0035139B"/>
    <w:rsid w:val="003516DF"/>
    <w:rsid w:val="00351842"/>
    <w:rsid w:val="0035263A"/>
    <w:rsid w:val="00352A6D"/>
    <w:rsid w:val="00352F2A"/>
    <w:rsid w:val="0035348F"/>
    <w:rsid w:val="003539BE"/>
    <w:rsid w:val="00354417"/>
    <w:rsid w:val="00354BD5"/>
    <w:rsid w:val="00354E20"/>
    <w:rsid w:val="003551BA"/>
    <w:rsid w:val="003555F3"/>
    <w:rsid w:val="00355EB2"/>
    <w:rsid w:val="00355ED9"/>
    <w:rsid w:val="00356E2C"/>
    <w:rsid w:val="00356E5D"/>
    <w:rsid w:val="00356FDA"/>
    <w:rsid w:val="00357211"/>
    <w:rsid w:val="003574D4"/>
    <w:rsid w:val="00357DE8"/>
    <w:rsid w:val="00360357"/>
    <w:rsid w:val="0036056E"/>
    <w:rsid w:val="0036062A"/>
    <w:rsid w:val="00360666"/>
    <w:rsid w:val="003607C1"/>
    <w:rsid w:val="003608F6"/>
    <w:rsid w:val="00360D48"/>
    <w:rsid w:val="00360E36"/>
    <w:rsid w:val="00360F95"/>
    <w:rsid w:val="003617A2"/>
    <w:rsid w:val="00361B6A"/>
    <w:rsid w:val="00361EF5"/>
    <w:rsid w:val="0036216B"/>
    <w:rsid w:val="00362983"/>
    <w:rsid w:val="00362A2A"/>
    <w:rsid w:val="00362BB4"/>
    <w:rsid w:val="00362CC1"/>
    <w:rsid w:val="00362DA6"/>
    <w:rsid w:val="00362DB2"/>
    <w:rsid w:val="00363BEE"/>
    <w:rsid w:val="003640A2"/>
    <w:rsid w:val="0036426D"/>
    <w:rsid w:val="00364B77"/>
    <w:rsid w:val="00364DCD"/>
    <w:rsid w:val="0036509B"/>
    <w:rsid w:val="0036542F"/>
    <w:rsid w:val="003654BF"/>
    <w:rsid w:val="0036569C"/>
    <w:rsid w:val="0036570C"/>
    <w:rsid w:val="0036691F"/>
    <w:rsid w:val="00366CB9"/>
    <w:rsid w:val="003670DF"/>
    <w:rsid w:val="0036746D"/>
    <w:rsid w:val="003677C7"/>
    <w:rsid w:val="00370FCA"/>
    <w:rsid w:val="00371F4B"/>
    <w:rsid w:val="00372004"/>
    <w:rsid w:val="003723E3"/>
    <w:rsid w:val="003730AC"/>
    <w:rsid w:val="003737A1"/>
    <w:rsid w:val="003738D9"/>
    <w:rsid w:val="00373CD6"/>
    <w:rsid w:val="00374633"/>
    <w:rsid w:val="00374897"/>
    <w:rsid w:val="00374D79"/>
    <w:rsid w:val="00374DA6"/>
    <w:rsid w:val="00374EE4"/>
    <w:rsid w:val="00374EE5"/>
    <w:rsid w:val="00375B25"/>
    <w:rsid w:val="003765A7"/>
    <w:rsid w:val="0037767A"/>
    <w:rsid w:val="0037783B"/>
    <w:rsid w:val="003801F3"/>
    <w:rsid w:val="003806C5"/>
    <w:rsid w:val="00380837"/>
    <w:rsid w:val="003810C4"/>
    <w:rsid w:val="003813B9"/>
    <w:rsid w:val="00381E1F"/>
    <w:rsid w:val="0038230F"/>
    <w:rsid w:val="003827FB"/>
    <w:rsid w:val="0038290B"/>
    <w:rsid w:val="00383283"/>
    <w:rsid w:val="0038400D"/>
    <w:rsid w:val="00384158"/>
    <w:rsid w:val="00384386"/>
    <w:rsid w:val="00384CD3"/>
    <w:rsid w:val="003852C8"/>
    <w:rsid w:val="00385CC3"/>
    <w:rsid w:val="00385F97"/>
    <w:rsid w:val="00386BA9"/>
    <w:rsid w:val="003874B5"/>
    <w:rsid w:val="003875EC"/>
    <w:rsid w:val="003878F0"/>
    <w:rsid w:val="00390277"/>
    <w:rsid w:val="003908D0"/>
    <w:rsid w:val="00391572"/>
    <w:rsid w:val="0039254B"/>
    <w:rsid w:val="003925D9"/>
    <w:rsid w:val="00392A25"/>
    <w:rsid w:val="003935CB"/>
    <w:rsid w:val="00393690"/>
    <w:rsid w:val="00393931"/>
    <w:rsid w:val="00393D8D"/>
    <w:rsid w:val="003944F9"/>
    <w:rsid w:val="00394745"/>
    <w:rsid w:val="00394B9A"/>
    <w:rsid w:val="0039676A"/>
    <w:rsid w:val="00397EA9"/>
    <w:rsid w:val="00397EF6"/>
    <w:rsid w:val="003A005E"/>
    <w:rsid w:val="003A0838"/>
    <w:rsid w:val="003A14C5"/>
    <w:rsid w:val="003A15F8"/>
    <w:rsid w:val="003A1B18"/>
    <w:rsid w:val="003A1EE9"/>
    <w:rsid w:val="003A2292"/>
    <w:rsid w:val="003A236A"/>
    <w:rsid w:val="003A30FF"/>
    <w:rsid w:val="003A3708"/>
    <w:rsid w:val="003A3D9D"/>
    <w:rsid w:val="003A4333"/>
    <w:rsid w:val="003A4487"/>
    <w:rsid w:val="003A45E0"/>
    <w:rsid w:val="003A46E0"/>
    <w:rsid w:val="003A4D0B"/>
    <w:rsid w:val="003A51CB"/>
    <w:rsid w:val="003A58AF"/>
    <w:rsid w:val="003A6303"/>
    <w:rsid w:val="003A6657"/>
    <w:rsid w:val="003A7633"/>
    <w:rsid w:val="003A7739"/>
    <w:rsid w:val="003A7F24"/>
    <w:rsid w:val="003B0185"/>
    <w:rsid w:val="003B046D"/>
    <w:rsid w:val="003B1340"/>
    <w:rsid w:val="003B1465"/>
    <w:rsid w:val="003B274A"/>
    <w:rsid w:val="003B2AA0"/>
    <w:rsid w:val="003B2FED"/>
    <w:rsid w:val="003B3B17"/>
    <w:rsid w:val="003B4210"/>
    <w:rsid w:val="003B445C"/>
    <w:rsid w:val="003B481B"/>
    <w:rsid w:val="003B4BAE"/>
    <w:rsid w:val="003B5090"/>
    <w:rsid w:val="003B5AE5"/>
    <w:rsid w:val="003B69E6"/>
    <w:rsid w:val="003B6A9D"/>
    <w:rsid w:val="003B6CA7"/>
    <w:rsid w:val="003B6F74"/>
    <w:rsid w:val="003B7E40"/>
    <w:rsid w:val="003C0254"/>
    <w:rsid w:val="003C094D"/>
    <w:rsid w:val="003C0CC7"/>
    <w:rsid w:val="003C122A"/>
    <w:rsid w:val="003C1FDD"/>
    <w:rsid w:val="003C2917"/>
    <w:rsid w:val="003C296B"/>
    <w:rsid w:val="003C2B4C"/>
    <w:rsid w:val="003C305E"/>
    <w:rsid w:val="003C3DDA"/>
    <w:rsid w:val="003C418D"/>
    <w:rsid w:val="003C4534"/>
    <w:rsid w:val="003C5C33"/>
    <w:rsid w:val="003C63B4"/>
    <w:rsid w:val="003C69E7"/>
    <w:rsid w:val="003C76CC"/>
    <w:rsid w:val="003C7B72"/>
    <w:rsid w:val="003C7E7A"/>
    <w:rsid w:val="003D03EA"/>
    <w:rsid w:val="003D0AD7"/>
    <w:rsid w:val="003D0D9C"/>
    <w:rsid w:val="003D1148"/>
    <w:rsid w:val="003D148B"/>
    <w:rsid w:val="003D1BAB"/>
    <w:rsid w:val="003D1DC1"/>
    <w:rsid w:val="003D1DED"/>
    <w:rsid w:val="003D221D"/>
    <w:rsid w:val="003D231B"/>
    <w:rsid w:val="003D24D2"/>
    <w:rsid w:val="003D2912"/>
    <w:rsid w:val="003D34BB"/>
    <w:rsid w:val="003D3507"/>
    <w:rsid w:val="003D36BF"/>
    <w:rsid w:val="003D3A4A"/>
    <w:rsid w:val="003D42E7"/>
    <w:rsid w:val="003D51A7"/>
    <w:rsid w:val="003D51CA"/>
    <w:rsid w:val="003D55AD"/>
    <w:rsid w:val="003D5699"/>
    <w:rsid w:val="003D581C"/>
    <w:rsid w:val="003D592C"/>
    <w:rsid w:val="003D5C15"/>
    <w:rsid w:val="003D5E82"/>
    <w:rsid w:val="003D5EFF"/>
    <w:rsid w:val="003D5FBA"/>
    <w:rsid w:val="003D60C7"/>
    <w:rsid w:val="003D6ACE"/>
    <w:rsid w:val="003D7674"/>
    <w:rsid w:val="003D7DA3"/>
    <w:rsid w:val="003E1017"/>
    <w:rsid w:val="003E1128"/>
    <w:rsid w:val="003E1D3C"/>
    <w:rsid w:val="003E1D49"/>
    <w:rsid w:val="003E1DA7"/>
    <w:rsid w:val="003E1ECD"/>
    <w:rsid w:val="003E2646"/>
    <w:rsid w:val="003E34B2"/>
    <w:rsid w:val="003E36FF"/>
    <w:rsid w:val="003E3AA9"/>
    <w:rsid w:val="003E3C19"/>
    <w:rsid w:val="003E42C5"/>
    <w:rsid w:val="003E4770"/>
    <w:rsid w:val="003E488F"/>
    <w:rsid w:val="003E49CC"/>
    <w:rsid w:val="003E4FAE"/>
    <w:rsid w:val="003E5E9C"/>
    <w:rsid w:val="003E676B"/>
    <w:rsid w:val="003E74F4"/>
    <w:rsid w:val="003E7BB0"/>
    <w:rsid w:val="003E7CFD"/>
    <w:rsid w:val="003F01F0"/>
    <w:rsid w:val="003F0556"/>
    <w:rsid w:val="003F0817"/>
    <w:rsid w:val="003F107B"/>
    <w:rsid w:val="003F167A"/>
    <w:rsid w:val="003F1D7C"/>
    <w:rsid w:val="003F1E3C"/>
    <w:rsid w:val="003F2657"/>
    <w:rsid w:val="003F27B2"/>
    <w:rsid w:val="003F3006"/>
    <w:rsid w:val="003F35D0"/>
    <w:rsid w:val="003F3A48"/>
    <w:rsid w:val="003F3B0A"/>
    <w:rsid w:val="003F3DA9"/>
    <w:rsid w:val="003F4368"/>
    <w:rsid w:val="003F43EC"/>
    <w:rsid w:val="003F4409"/>
    <w:rsid w:val="003F44D6"/>
    <w:rsid w:val="003F482F"/>
    <w:rsid w:val="003F4FC9"/>
    <w:rsid w:val="003F4FDF"/>
    <w:rsid w:val="003F51D3"/>
    <w:rsid w:val="003F5623"/>
    <w:rsid w:val="003F5694"/>
    <w:rsid w:val="003F59FE"/>
    <w:rsid w:val="003F5C05"/>
    <w:rsid w:val="003F653D"/>
    <w:rsid w:val="003F66BF"/>
    <w:rsid w:val="003F706B"/>
    <w:rsid w:val="003F760A"/>
    <w:rsid w:val="003F78F7"/>
    <w:rsid w:val="00400177"/>
    <w:rsid w:val="004001C4"/>
    <w:rsid w:val="004002B2"/>
    <w:rsid w:val="00400469"/>
    <w:rsid w:val="0040047C"/>
    <w:rsid w:val="00401AC4"/>
    <w:rsid w:val="0040215C"/>
    <w:rsid w:val="004021D8"/>
    <w:rsid w:val="00402215"/>
    <w:rsid w:val="004033BB"/>
    <w:rsid w:val="00403CCC"/>
    <w:rsid w:val="0040507C"/>
    <w:rsid w:val="00405DFF"/>
    <w:rsid w:val="004060AF"/>
    <w:rsid w:val="004063C1"/>
    <w:rsid w:val="004068BC"/>
    <w:rsid w:val="00406AF5"/>
    <w:rsid w:val="00407664"/>
    <w:rsid w:val="00407820"/>
    <w:rsid w:val="00407BD8"/>
    <w:rsid w:val="00407E71"/>
    <w:rsid w:val="00410748"/>
    <w:rsid w:val="00410B28"/>
    <w:rsid w:val="00410DB8"/>
    <w:rsid w:val="00410DFA"/>
    <w:rsid w:val="004110D8"/>
    <w:rsid w:val="004111C3"/>
    <w:rsid w:val="0041169A"/>
    <w:rsid w:val="00411937"/>
    <w:rsid w:val="00411D22"/>
    <w:rsid w:val="00411E14"/>
    <w:rsid w:val="00411EF5"/>
    <w:rsid w:val="004135D6"/>
    <w:rsid w:val="0041384C"/>
    <w:rsid w:val="00413F6D"/>
    <w:rsid w:val="00414B68"/>
    <w:rsid w:val="00414B80"/>
    <w:rsid w:val="00414C68"/>
    <w:rsid w:val="00414F4D"/>
    <w:rsid w:val="0041516D"/>
    <w:rsid w:val="0041557F"/>
    <w:rsid w:val="004155AB"/>
    <w:rsid w:val="00415836"/>
    <w:rsid w:val="00415D0D"/>
    <w:rsid w:val="00415D14"/>
    <w:rsid w:val="00415EF8"/>
    <w:rsid w:val="00416AA0"/>
    <w:rsid w:val="00416DFA"/>
    <w:rsid w:val="00416EC0"/>
    <w:rsid w:val="00420246"/>
    <w:rsid w:val="004203FF"/>
    <w:rsid w:val="0042042C"/>
    <w:rsid w:val="00420BB7"/>
    <w:rsid w:val="004214E3"/>
    <w:rsid w:val="0042225E"/>
    <w:rsid w:val="004222DC"/>
    <w:rsid w:val="004229B7"/>
    <w:rsid w:val="00422D55"/>
    <w:rsid w:val="0042308A"/>
    <w:rsid w:val="004236FA"/>
    <w:rsid w:val="004246C9"/>
    <w:rsid w:val="00424B0A"/>
    <w:rsid w:val="00424B63"/>
    <w:rsid w:val="0043048A"/>
    <w:rsid w:val="004307E1"/>
    <w:rsid w:val="00430983"/>
    <w:rsid w:val="0043100B"/>
    <w:rsid w:val="004311FD"/>
    <w:rsid w:val="004312BA"/>
    <w:rsid w:val="00431327"/>
    <w:rsid w:val="00431403"/>
    <w:rsid w:val="004317CE"/>
    <w:rsid w:val="00431F9F"/>
    <w:rsid w:val="0043278C"/>
    <w:rsid w:val="00432C15"/>
    <w:rsid w:val="00432D8A"/>
    <w:rsid w:val="00433E6F"/>
    <w:rsid w:val="004342C8"/>
    <w:rsid w:val="0043433B"/>
    <w:rsid w:val="00434483"/>
    <w:rsid w:val="00434489"/>
    <w:rsid w:val="004345DD"/>
    <w:rsid w:val="00434B81"/>
    <w:rsid w:val="00435259"/>
    <w:rsid w:val="00436740"/>
    <w:rsid w:val="004367F6"/>
    <w:rsid w:val="00436B7E"/>
    <w:rsid w:val="00436D11"/>
    <w:rsid w:val="0043704C"/>
    <w:rsid w:val="00437918"/>
    <w:rsid w:val="00437A56"/>
    <w:rsid w:val="00437B83"/>
    <w:rsid w:val="00437EB8"/>
    <w:rsid w:val="0044053E"/>
    <w:rsid w:val="00441D3D"/>
    <w:rsid w:val="0044295D"/>
    <w:rsid w:val="00442A4D"/>
    <w:rsid w:val="00442BB2"/>
    <w:rsid w:val="00442CC5"/>
    <w:rsid w:val="00442F78"/>
    <w:rsid w:val="00443303"/>
    <w:rsid w:val="004437D1"/>
    <w:rsid w:val="00444091"/>
    <w:rsid w:val="00444319"/>
    <w:rsid w:val="00444526"/>
    <w:rsid w:val="004448A5"/>
    <w:rsid w:val="00444B4C"/>
    <w:rsid w:val="00445160"/>
    <w:rsid w:val="0044516E"/>
    <w:rsid w:val="00445339"/>
    <w:rsid w:val="004456F1"/>
    <w:rsid w:val="00445E28"/>
    <w:rsid w:val="00446D11"/>
    <w:rsid w:val="00446DDA"/>
    <w:rsid w:val="00450585"/>
    <w:rsid w:val="00450D2C"/>
    <w:rsid w:val="00450D62"/>
    <w:rsid w:val="00451534"/>
    <w:rsid w:val="00451625"/>
    <w:rsid w:val="00451739"/>
    <w:rsid w:val="00451E86"/>
    <w:rsid w:val="004521E1"/>
    <w:rsid w:val="004523E0"/>
    <w:rsid w:val="0045242E"/>
    <w:rsid w:val="00452EE0"/>
    <w:rsid w:val="00453242"/>
    <w:rsid w:val="0045413E"/>
    <w:rsid w:val="00454141"/>
    <w:rsid w:val="0045455C"/>
    <w:rsid w:val="004546DF"/>
    <w:rsid w:val="004549A9"/>
    <w:rsid w:val="00454D8E"/>
    <w:rsid w:val="00454EEA"/>
    <w:rsid w:val="00454FEF"/>
    <w:rsid w:val="004555C4"/>
    <w:rsid w:val="00455FBF"/>
    <w:rsid w:val="00456746"/>
    <w:rsid w:val="004568E1"/>
    <w:rsid w:val="00456A9D"/>
    <w:rsid w:val="00456B78"/>
    <w:rsid w:val="00456F5F"/>
    <w:rsid w:val="004575DE"/>
    <w:rsid w:val="00457742"/>
    <w:rsid w:val="00457766"/>
    <w:rsid w:val="00460078"/>
    <w:rsid w:val="00460411"/>
    <w:rsid w:val="00460450"/>
    <w:rsid w:val="004605F3"/>
    <w:rsid w:val="004610BE"/>
    <w:rsid w:val="004610D5"/>
    <w:rsid w:val="004611F0"/>
    <w:rsid w:val="004616A4"/>
    <w:rsid w:val="0046240C"/>
    <w:rsid w:val="0046269E"/>
    <w:rsid w:val="00462AA4"/>
    <w:rsid w:val="00463B80"/>
    <w:rsid w:val="00464297"/>
    <w:rsid w:val="0046460D"/>
    <w:rsid w:val="00464B78"/>
    <w:rsid w:val="00465B28"/>
    <w:rsid w:val="00465B7D"/>
    <w:rsid w:val="00465B8C"/>
    <w:rsid w:val="00465DA8"/>
    <w:rsid w:val="00465FCF"/>
    <w:rsid w:val="00466488"/>
    <w:rsid w:val="0046731A"/>
    <w:rsid w:val="004707E3"/>
    <w:rsid w:val="00470F52"/>
    <w:rsid w:val="00470F9C"/>
    <w:rsid w:val="0047130D"/>
    <w:rsid w:val="00471A10"/>
    <w:rsid w:val="00471B72"/>
    <w:rsid w:val="004723FC"/>
    <w:rsid w:val="004727F1"/>
    <w:rsid w:val="00472FC5"/>
    <w:rsid w:val="00473343"/>
    <w:rsid w:val="00473CF8"/>
    <w:rsid w:val="00473D19"/>
    <w:rsid w:val="00474932"/>
    <w:rsid w:val="00474ADD"/>
    <w:rsid w:val="00474E45"/>
    <w:rsid w:val="00474EE6"/>
    <w:rsid w:val="0047501D"/>
    <w:rsid w:val="00475387"/>
    <w:rsid w:val="004755A8"/>
    <w:rsid w:val="004755AD"/>
    <w:rsid w:val="00476690"/>
    <w:rsid w:val="004766A7"/>
    <w:rsid w:val="00476DA8"/>
    <w:rsid w:val="00476F87"/>
    <w:rsid w:val="004773AB"/>
    <w:rsid w:val="0047788C"/>
    <w:rsid w:val="00477BFF"/>
    <w:rsid w:val="0048005A"/>
    <w:rsid w:val="00480196"/>
    <w:rsid w:val="00480319"/>
    <w:rsid w:val="00480EC1"/>
    <w:rsid w:val="00481778"/>
    <w:rsid w:val="004817B0"/>
    <w:rsid w:val="00481C3B"/>
    <w:rsid w:val="00482091"/>
    <w:rsid w:val="004822DA"/>
    <w:rsid w:val="00482D8B"/>
    <w:rsid w:val="00482E11"/>
    <w:rsid w:val="00483013"/>
    <w:rsid w:val="00483820"/>
    <w:rsid w:val="00483CE1"/>
    <w:rsid w:val="00483E0B"/>
    <w:rsid w:val="0048423A"/>
    <w:rsid w:val="0048481B"/>
    <w:rsid w:val="00484C68"/>
    <w:rsid w:val="00484CCF"/>
    <w:rsid w:val="0048513E"/>
    <w:rsid w:val="004854EF"/>
    <w:rsid w:val="004863BE"/>
    <w:rsid w:val="00486513"/>
    <w:rsid w:val="00486A0D"/>
    <w:rsid w:val="00486A69"/>
    <w:rsid w:val="00486AF7"/>
    <w:rsid w:val="004870F8"/>
    <w:rsid w:val="0048718C"/>
    <w:rsid w:val="00490BF0"/>
    <w:rsid w:val="00490C6F"/>
    <w:rsid w:val="0049199F"/>
    <w:rsid w:val="00491B37"/>
    <w:rsid w:val="004920F4"/>
    <w:rsid w:val="0049258D"/>
    <w:rsid w:val="0049291B"/>
    <w:rsid w:val="004932BF"/>
    <w:rsid w:val="0049359E"/>
    <w:rsid w:val="00493B4F"/>
    <w:rsid w:val="00494E8E"/>
    <w:rsid w:val="004959F0"/>
    <w:rsid w:val="00495E03"/>
    <w:rsid w:val="00496EE1"/>
    <w:rsid w:val="00497035"/>
    <w:rsid w:val="00497BF5"/>
    <w:rsid w:val="004A0B57"/>
    <w:rsid w:val="004A116E"/>
    <w:rsid w:val="004A1210"/>
    <w:rsid w:val="004A12EC"/>
    <w:rsid w:val="004A1608"/>
    <w:rsid w:val="004A17F1"/>
    <w:rsid w:val="004A18D1"/>
    <w:rsid w:val="004A1B11"/>
    <w:rsid w:val="004A2558"/>
    <w:rsid w:val="004A27D9"/>
    <w:rsid w:val="004A2CE4"/>
    <w:rsid w:val="004A2DC5"/>
    <w:rsid w:val="004A3ED9"/>
    <w:rsid w:val="004A4192"/>
    <w:rsid w:val="004A424B"/>
    <w:rsid w:val="004A4B3D"/>
    <w:rsid w:val="004A4FA6"/>
    <w:rsid w:val="004A51E5"/>
    <w:rsid w:val="004A5218"/>
    <w:rsid w:val="004A5797"/>
    <w:rsid w:val="004A5897"/>
    <w:rsid w:val="004A5A15"/>
    <w:rsid w:val="004A5A98"/>
    <w:rsid w:val="004A6440"/>
    <w:rsid w:val="004A647D"/>
    <w:rsid w:val="004A6E03"/>
    <w:rsid w:val="004A71AF"/>
    <w:rsid w:val="004A781B"/>
    <w:rsid w:val="004B1140"/>
    <w:rsid w:val="004B2395"/>
    <w:rsid w:val="004B2A92"/>
    <w:rsid w:val="004B32A6"/>
    <w:rsid w:val="004B3A0D"/>
    <w:rsid w:val="004B47EE"/>
    <w:rsid w:val="004B485B"/>
    <w:rsid w:val="004B50F2"/>
    <w:rsid w:val="004B58EC"/>
    <w:rsid w:val="004B6135"/>
    <w:rsid w:val="004B69B5"/>
    <w:rsid w:val="004B6D26"/>
    <w:rsid w:val="004B70E8"/>
    <w:rsid w:val="004B76BB"/>
    <w:rsid w:val="004B7B1D"/>
    <w:rsid w:val="004C02A8"/>
    <w:rsid w:val="004C115D"/>
    <w:rsid w:val="004C15EA"/>
    <w:rsid w:val="004C1BBB"/>
    <w:rsid w:val="004C24DE"/>
    <w:rsid w:val="004C2A62"/>
    <w:rsid w:val="004C2F3B"/>
    <w:rsid w:val="004C341F"/>
    <w:rsid w:val="004C3A8C"/>
    <w:rsid w:val="004C3D74"/>
    <w:rsid w:val="004C45AC"/>
    <w:rsid w:val="004C4759"/>
    <w:rsid w:val="004C477D"/>
    <w:rsid w:val="004C5B8B"/>
    <w:rsid w:val="004C5E16"/>
    <w:rsid w:val="004C5F4D"/>
    <w:rsid w:val="004C621E"/>
    <w:rsid w:val="004C7691"/>
    <w:rsid w:val="004C7FA5"/>
    <w:rsid w:val="004D073D"/>
    <w:rsid w:val="004D0B4A"/>
    <w:rsid w:val="004D0BDF"/>
    <w:rsid w:val="004D0D5D"/>
    <w:rsid w:val="004D0F5F"/>
    <w:rsid w:val="004D1430"/>
    <w:rsid w:val="004D1873"/>
    <w:rsid w:val="004D1969"/>
    <w:rsid w:val="004D1EA5"/>
    <w:rsid w:val="004D1EF8"/>
    <w:rsid w:val="004D23A2"/>
    <w:rsid w:val="004D2954"/>
    <w:rsid w:val="004D2B42"/>
    <w:rsid w:val="004D3078"/>
    <w:rsid w:val="004D338A"/>
    <w:rsid w:val="004D3F3C"/>
    <w:rsid w:val="004D41D9"/>
    <w:rsid w:val="004D4585"/>
    <w:rsid w:val="004D4C98"/>
    <w:rsid w:val="004D4E43"/>
    <w:rsid w:val="004D4F16"/>
    <w:rsid w:val="004D5010"/>
    <w:rsid w:val="004D51F7"/>
    <w:rsid w:val="004D6372"/>
    <w:rsid w:val="004D659E"/>
    <w:rsid w:val="004E0261"/>
    <w:rsid w:val="004E03EF"/>
    <w:rsid w:val="004E03F6"/>
    <w:rsid w:val="004E0CA0"/>
    <w:rsid w:val="004E179E"/>
    <w:rsid w:val="004E2184"/>
    <w:rsid w:val="004E26DC"/>
    <w:rsid w:val="004E2789"/>
    <w:rsid w:val="004E28D5"/>
    <w:rsid w:val="004E2D71"/>
    <w:rsid w:val="004E38EA"/>
    <w:rsid w:val="004E3DCA"/>
    <w:rsid w:val="004E3FE8"/>
    <w:rsid w:val="004E43C0"/>
    <w:rsid w:val="004E4EB7"/>
    <w:rsid w:val="004E5057"/>
    <w:rsid w:val="004E5082"/>
    <w:rsid w:val="004E51EA"/>
    <w:rsid w:val="004E5810"/>
    <w:rsid w:val="004E5D37"/>
    <w:rsid w:val="004E6503"/>
    <w:rsid w:val="004E6620"/>
    <w:rsid w:val="004E6A8F"/>
    <w:rsid w:val="004E6A9B"/>
    <w:rsid w:val="004E6B37"/>
    <w:rsid w:val="004F0A13"/>
    <w:rsid w:val="004F1424"/>
    <w:rsid w:val="004F1888"/>
    <w:rsid w:val="004F23E7"/>
    <w:rsid w:val="004F32C5"/>
    <w:rsid w:val="004F459F"/>
    <w:rsid w:val="004F460C"/>
    <w:rsid w:val="004F4CFC"/>
    <w:rsid w:val="004F5167"/>
    <w:rsid w:val="004F51C3"/>
    <w:rsid w:val="004F5657"/>
    <w:rsid w:val="004F5829"/>
    <w:rsid w:val="004F5B3D"/>
    <w:rsid w:val="004F5B40"/>
    <w:rsid w:val="004F5ECE"/>
    <w:rsid w:val="004F65D3"/>
    <w:rsid w:val="004F6AD0"/>
    <w:rsid w:val="004F7AF2"/>
    <w:rsid w:val="004F7B38"/>
    <w:rsid w:val="005000F0"/>
    <w:rsid w:val="0050012E"/>
    <w:rsid w:val="005001E3"/>
    <w:rsid w:val="005006C3"/>
    <w:rsid w:val="00500D8E"/>
    <w:rsid w:val="0050125C"/>
    <w:rsid w:val="00501362"/>
    <w:rsid w:val="00501708"/>
    <w:rsid w:val="00501999"/>
    <w:rsid w:val="00501B73"/>
    <w:rsid w:val="005028E3"/>
    <w:rsid w:val="00502A3A"/>
    <w:rsid w:val="00502B43"/>
    <w:rsid w:val="00502C5F"/>
    <w:rsid w:val="0050312F"/>
    <w:rsid w:val="00503639"/>
    <w:rsid w:val="00505711"/>
    <w:rsid w:val="00505D00"/>
    <w:rsid w:val="005069D8"/>
    <w:rsid w:val="005073A4"/>
    <w:rsid w:val="005074F7"/>
    <w:rsid w:val="00507A36"/>
    <w:rsid w:val="005108A8"/>
    <w:rsid w:val="00510A23"/>
    <w:rsid w:val="00510A90"/>
    <w:rsid w:val="00511A03"/>
    <w:rsid w:val="00511E4A"/>
    <w:rsid w:val="00511E89"/>
    <w:rsid w:val="00512BEA"/>
    <w:rsid w:val="00512C11"/>
    <w:rsid w:val="0051305E"/>
    <w:rsid w:val="005133A3"/>
    <w:rsid w:val="0051442A"/>
    <w:rsid w:val="005145E9"/>
    <w:rsid w:val="00514AD5"/>
    <w:rsid w:val="00514B47"/>
    <w:rsid w:val="00515318"/>
    <w:rsid w:val="005155B4"/>
    <w:rsid w:val="005156D2"/>
    <w:rsid w:val="0051570D"/>
    <w:rsid w:val="00515978"/>
    <w:rsid w:val="00515AFA"/>
    <w:rsid w:val="00515FB4"/>
    <w:rsid w:val="00516097"/>
    <w:rsid w:val="00516162"/>
    <w:rsid w:val="00516FA0"/>
    <w:rsid w:val="0051702C"/>
    <w:rsid w:val="00517083"/>
    <w:rsid w:val="00517514"/>
    <w:rsid w:val="00517E1A"/>
    <w:rsid w:val="00520517"/>
    <w:rsid w:val="005206AD"/>
    <w:rsid w:val="00520CCD"/>
    <w:rsid w:val="005213C8"/>
    <w:rsid w:val="0052281A"/>
    <w:rsid w:val="00522B60"/>
    <w:rsid w:val="00522F92"/>
    <w:rsid w:val="00523160"/>
    <w:rsid w:val="00523226"/>
    <w:rsid w:val="0052367E"/>
    <w:rsid w:val="00523FA6"/>
    <w:rsid w:val="00524176"/>
    <w:rsid w:val="0052452C"/>
    <w:rsid w:val="00524DB5"/>
    <w:rsid w:val="00525DF6"/>
    <w:rsid w:val="00525E92"/>
    <w:rsid w:val="00525ED8"/>
    <w:rsid w:val="00525FDC"/>
    <w:rsid w:val="005262C3"/>
    <w:rsid w:val="00526985"/>
    <w:rsid w:val="005277FC"/>
    <w:rsid w:val="00527C83"/>
    <w:rsid w:val="005308C7"/>
    <w:rsid w:val="00530CA7"/>
    <w:rsid w:val="00530E99"/>
    <w:rsid w:val="005315DE"/>
    <w:rsid w:val="005316CB"/>
    <w:rsid w:val="00531741"/>
    <w:rsid w:val="00531D0E"/>
    <w:rsid w:val="00532A07"/>
    <w:rsid w:val="00532DA9"/>
    <w:rsid w:val="00533480"/>
    <w:rsid w:val="00533BCD"/>
    <w:rsid w:val="00534252"/>
    <w:rsid w:val="00534E55"/>
    <w:rsid w:val="00534EB4"/>
    <w:rsid w:val="0053508A"/>
    <w:rsid w:val="0053539A"/>
    <w:rsid w:val="00535BF4"/>
    <w:rsid w:val="0053628F"/>
    <w:rsid w:val="0053642E"/>
    <w:rsid w:val="00536EF6"/>
    <w:rsid w:val="00537451"/>
    <w:rsid w:val="00537C69"/>
    <w:rsid w:val="00537F77"/>
    <w:rsid w:val="00537FF1"/>
    <w:rsid w:val="005403EB"/>
    <w:rsid w:val="00540556"/>
    <w:rsid w:val="0054061E"/>
    <w:rsid w:val="00540684"/>
    <w:rsid w:val="0054087F"/>
    <w:rsid w:val="00540FE9"/>
    <w:rsid w:val="005419F8"/>
    <w:rsid w:val="00542201"/>
    <w:rsid w:val="00542637"/>
    <w:rsid w:val="00542A4A"/>
    <w:rsid w:val="00543841"/>
    <w:rsid w:val="005446D4"/>
    <w:rsid w:val="005449F0"/>
    <w:rsid w:val="005451E9"/>
    <w:rsid w:val="00545693"/>
    <w:rsid w:val="00545820"/>
    <w:rsid w:val="0054596C"/>
    <w:rsid w:val="00545CA0"/>
    <w:rsid w:val="00545E1D"/>
    <w:rsid w:val="00546701"/>
    <w:rsid w:val="0054681A"/>
    <w:rsid w:val="00546F7B"/>
    <w:rsid w:val="005474C2"/>
    <w:rsid w:val="0055045C"/>
    <w:rsid w:val="00550480"/>
    <w:rsid w:val="0055158C"/>
    <w:rsid w:val="00551EEF"/>
    <w:rsid w:val="0055250A"/>
    <w:rsid w:val="005527F9"/>
    <w:rsid w:val="00552DD8"/>
    <w:rsid w:val="005533E9"/>
    <w:rsid w:val="00553514"/>
    <w:rsid w:val="00553D1C"/>
    <w:rsid w:val="00553F0D"/>
    <w:rsid w:val="005540A0"/>
    <w:rsid w:val="00554CCB"/>
    <w:rsid w:val="005555BA"/>
    <w:rsid w:val="00555DF5"/>
    <w:rsid w:val="00556339"/>
    <w:rsid w:val="005568FD"/>
    <w:rsid w:val="0055703C"/>
    <w:rsid w:val="00557176"/>
    <w:rsid w:val="00557632"/>
    <w:rsid w:val="00557F97"/>
    <w:rsid w:val="00560E1D"/>
    <w:rsid w:val="005617C7"/>
    <w:rsid w:val="005623B0"/>
    <w:rsid w:val="005624D3"/>
    <w:rsid w:val="00562CA3"/>
    <w:rsid w:val="00562EF2"/>
    <w:rsid w:val="00562F00"/>
    <w:rsid w:val="0056308D"/>
    <w:rsid w:val="00563E36"/>
    <w:rsid w:val="00564842"/>
    <w:rsid w:val="00564DD9"/>
    <w:rsid w:val="00565413"/>
    <w:rsid w:val="00565870"/>
    <w:rsid w:val="005661A9"/>
    <w:rsid w:val="0056725D"/>
    <w:rsid w:val="005678F1"/>
    <w:rsid w:val="005678F6"/>
    <w:rsid w:val="00567CD2"/>
    <w:rsid w:val="00567CE5"/>
    <w:rsid w:val="00567F0A"/>
    <w:rsid w:val="00570EA8"/>
    <w:rsid w:val="005715BA"/>
    <w:rsid w:val="00572128"/>
    <w:rsid w:val="00572657"/>
    <w:rsid w:val="00572831"/>
    <w:rsid w:val="00572F3A"/>
    <w:rsid w:val="005730BA"/>
    <w:rsid w:val="0057415B"/>
    <w:rsid w:val="0057444B"/>
    <w:rsid w:val="005747CB"/>
    <w:rsid w:val="00574CEA"/>
    <w:rsid w:val="00575BC2"/>
    <w:rsid w:val="005769FE"/>
    <w:rsid w:val="00576E82"/>
    <w:rsid w:val="00577EEF"/>
    <w:rsid w:val="00580B6C"/>
    <w:rsid w:val="0058113B"/>
    <w:rsid w:val="005813EC"/>
    <w:rsid w:val="00581CAD"/>
    <w:rsid w:val="0058236F"/>
    <w:rsid w:val="00582C07"/>
    <w:rsid w:val="00582F88"/>
    <w:rsid w:val="005836B4"/>
    <w:rsid w:val="00583824"/>
    <w:rsid w:val="00583A77"/>
    <w:rsid w:val="00583DD6"/>
    <w:rsid w:val="005847E3"/>
    <w:rsid w:val="005851F6"/>
    <w:rsid w:val="005852AD"/>
    <w:rsid w:val="00585CB9"/>
    <w:rsid w:val="00585E43"/>
    <w:rsid w:val="00586435"/>
    <w:rsid w:val="00586518"/>
    <w:rsid w:val="00586523"/>
    <w:rsid w:val="00586752"/>
    <w:rsid w:val="00586FF1"/>
    <w:rsid w:val="00587BD6"/>
    <w:rsid w:val="0059016D"/>
    <w:rsid w:val="00590559"/>
    <w:rsid w:val="00590618"/>
    <w:rsid w:val="00590D49"/>
    <w:rsid w:val="00591054"/>
    <w:rsid w:val="005918A0"/>
    <w:rsid w:val="00591941"/>
    <w:rsid w:val="00591A35"/>
    <w:rsid w:val="00592420"/>
    <w:rsid w:val="005929E6"/>
    <w:rsid w:val="0059400B"/>
    <w:rsid w:val="00594244"/>
    <w:rsid w:val="005942AC"/>
    <w:rsid w:val="005946A6"/>
    <w:rsid w:val="005946CD"/>
    <w:rsid w:val="0059470B"/>
    <w:rsid w:val="00594B2E"/>
    <w:rsid w:val="00594CE1"/>
    <w:rsid w:val="00595113"/>
    <w:rsid w:val="005955E5"/>
    <w:rsid w:val="0059606E"/>
    <w:rsid w:val="0059686C"/>
    <w:rsid w:val="00596E5A"/>
    <w:rsid w:val="00597361"/>
    <w:rsid w:val="0059795E"/>
    <w:rsid w:val="005A0B77"/>
    <w:rsid w:val="005A16FB"/>
    <w:rsid w:val="005A1724"/>
    <w:rsid w:val="005A2370"/>
    <w:rsid w:val="005A27AA"/>
    <w:rsid w:val="005A2976"/>
    <w:rsid w:val="005A2A26"/>
    <w:rsid w:val="005A3421"/>
    <w:rsid w:val="005A34F9"/>
    <w:rsid w:val="005A3CF5"/>
    <w:rsid w:val="005A3F57"/>
    <w:rsid w:val="005A4608"/>
    <w:rsid w:val="005A48FE"/>
    <w:rsid w:val="005A59C7"/>
    <w:rsid w:val="005A5E7B"/>
    <w:rsid w:val="005A6267"/>
    <w:rsid w:val="005A66B7"/>
    <w:rsid w:val="005A686D"/>
    <w:rsid w:val="005A6D44"/>
    <w:rsid w:val="005A6DCF"/>
    <w:rsid w:val="005A6FC7"/>
    <w:rsid w:val="005A730E"/>
    <w:rsid w:val="005A75E7"/>
    <w:rsid w:val="005A7647"/>
    <w:rsid w:val="005A79EA"/>
    <w:rsid w:val="005A7A51"/>
    <w:rsid w:val="005B0906"/>
    <w:rsid w:val="005B0E5F"/>
    <w:rsid w:val="005B283C"/>
    <w:rsid w:val="005B2D4A"/>
    <w:rsid w:val="005B2D83"/>
    <w:rsid w:val="005B306E"/>
    <w:rsid w:val="005B36BF"/>
    <w:rsid w:val="005B3B3D"/>
    <w:rsid w:val="005B4304"/>
    <w:rsid w:val="005B457C"/>
    <w:rsid w:val="005B4670"/>
    <w:rsid w:val="005B46F8"/>
    <w:rsid w:val="005B4A04"/>
    <w:rsid w:val="005B4C57"/>
    <w:rsid w:val="005B52E1"/>
    <w:rsid w:val="005B592B"/>
    <w:rsid w:val="005B5EE0"/>
    <w:rsid w:val="005B5FE7"/>
    <w:rsid w:val="005B62B6"/>
    <w:rsid w:val="005B63DF"/>
    <w:rsid w:val="005B7216"/>
    <w:rsid w:val="005B7746"/>
    <w:rsid w:val="005B7901"/>
    <w:rsid w:val="005B7EA5"/>
    <w:rsid w:val="005C06ED"/>
    <w:rsid w:val="005C08A3"/>
    <w:rsid w:val="005C0C42"/>
    <w:rsid w:val="005C1C0D"/>
    <w:rsid w:val="005C1D06"/>
    <w:rsid w:val="005C1E45"/>
    <w:rsid w:val="005C259E"/>
    <w:rsid w:val="005C3110"/>
    <w:rsid w:val="005C3198"/>
    <w:rsid w:val="005C5213"/>
    <w:rsid w:val="005C5479"/>
    <w:rsid w:val="005C5516"/>
    <w:rsid w:val="005C564E"/>
    <w:rsid w:val="005C6502"/>
    <w:rsid w:val="005C66A4"/>
    <w:rsid w:val="005C66BC"/>
    <w:rsid w:val="005C729D"/>
    <w:rsid w:val="005C77A8"/>
    <w:rsid w:val="005C7B93"/>
    <w:rsid w:val="005D003D"/>
    <w:rsid w:val="005D04FF"/>
    <w:rsid w:val="005D0AB2"/>
    <w:rsid w:val="005D0C7A"/>
    <w:rsid w:val="005D1263"/>
    <w:rsid w:val="005D202F"/>
    <w:rsid w:val="005D2883"/>
    <w:rsid w:val="005D30A2"/>
    <w:rsid w:val="005D350D"/>
    <w:rsid w:val="005D382F"/>
    <w:rsid w:val="005D44A0"/>
    <w:rsid w:val="005D459B"/>
    <w:rsid w:val="005D4761"/>
    <w:rsid w:val="005D4AAE"/>
    <w:rsid w:val="005D5050"/>
    <w:rsid w:val="005D55C1"/>
    <w:rsid w:val="005D5CFE"/>
    <w:rsid w:val="005D64A7"/>
    <w:rsid w:val="005D657F"/>
    <w:rsid w:val="005D68AD"/>
    <w:rsid w:val="005D7234"/>
    <w:rsid w:val="005D7460"/>
    <w:rsid w:val="005D7628"/>
    <w:rsid w:val="005D772F"/>
    <w:rsid w:val="005E01C8"/>
    <w:rsid w:val="005E0B32"/>
    <w:rsid w:val="005E0BD0"/>
    <w:rsid w:val="005E0CFA"/>
    <w:rsid w:val="005E11F1"/>
    <w:rsid w:val="005E1546"/>
    <w:rsid w:val="005E1605"/>
    <w:rsid w:val="005E174D"/>
    <w:rsid w:val="005E18C3"/>
    <w:rsid w:val="005E18C4"/>
    <w:rsid w:val="005E1A6C"/>
    <w:rsid w:val="005E1C95"/>
    <w:rsid w:val="005E23C4"/>
    <w:rsid w:val="005E3877"/>
    <w:rsid w:val="005E40B6"/>
    <w:rsid w:val="005E4241"/>
    <w:rsid w:val="005E45C2"/>
    <w:rsid w:val="005E4D2D"/>
    <w:rsid w:val="005E505F"/>
    <w:rsid w:val="005E5844"/>
    <w:rsid w:val="005E5B71"/>
    <w:rsid w:val="005E6643"/>
    <w:rsid w:val="005E6785"/>
    <w:rsid w:val="005E7304"/>
    <w:rsid w:val="005E7829"/>
    <w:rsid w:val="005E7B72"/>
    <w:rsid w:val="005F0632"/>
    <w:rsid w:val="005F0942"/>
    <w:rsid w:val="005F0978"/>
    <w:rsid w:val="005F0AE5"/>
    <w:rsid w:val="005F1290"/>
    <w:rsid w:val="005F18CB"/>
    <w:rsid w:val="005F1B7E"/>
    <w:rsid w:val="005F1C88"/>
    <w:rsid w:val="005F34DA"/>
    <w:rsid w:val="005F3956"/>
    <w:rsid w:val="005F3969"/>
    <w:rsid w:val="005F3F45"/>
    <w:rsid w:val="005F4359"/>
    <w:rsid w:val="005F4DF7"/>
    <w:rsid w:val="005F5171"/>
    <w:rsid w:val="005F5242"/>
    <w:rsid w:val="005F5AFD"/>
    <w:rsid w:val="005F5D90"/>
    <w:rsid w:val="005F687F"/>
    <w:rsid w:val="005F7362"/>
    <w:rsid w:val="005F73CB"/>
    <w:rsid w:val="005F73D7"/>
    <w:rsid w:val="005F76BB"/>
    <w:rsid w:val="005F7B3D"/>
    <w:rsid w:val="005F7E29"/>
    <w:rsid w:val="00600DD9"/>
    <w:rsid w:val="0060141D"/>
    <w:rsid w:val="006015B2"/>
    <w:rsid w:val="00601B45"/>
    <w:rsid w:val="00601D72"/>
    <w:rsid w:val="00601D88"/>
    <w:rsid w:val="0060210B"/>
    <w:rsid w:val="00602517"/>
    <w:rsid w:val="00602A58"/>
    <w:rsid w:val="006036FE"/>
    <w:rsid w:val="00604E4C"/>
    <w:rsid w:val="00604FED"/>
    <w:rsid w:val="0060530D"/>
    <w:rsid w:val="0060562F"/>
    <w:rsid w:val="006060D6"/>
    <w:rsid w:val="00606CAB"/>
    <w:rsid w:val="00606F0D"/>
    <w:rsid w:val="006078AE"/>
    <w:rsid w:val="006078F8"/>
    <w:rsid w:val="00607A41"/>
    <w:rsid w:val="00607FEE"/>
    <w:rsid w:val="006118FE"/>
    <w:rsid w:val="00611ED2"/>
    <w:rsid w:val="00612410"/>
    <w:rsid w:val="00612A63"/>
    <w:rsid w:val="00612B35"/>
    <w:rsid w:val="00612C39"/>
    <w:rsid w:val="00612DC3"/>
    <w:rsid w:val="00612ECC"/>
    <w:rsid w:val="006137ED"/>
    <w:rsid w:val="00613C00"/>
    <w:rsid w:val="006145CE"/>
    <w:rsid w:val="006158E5"/>
    <w:rsid w:val="00615A5D"/>
    <w:rsid w:val="006160FD"/>
    <w:rsid w:val="0061671A"/>
    <w:rsid w:val="006168D5"/>
    <w:rsid w:val="00616DDA"/>
    <w:rsid w:val="00617031"/>
    <w:rsid w:val="00617423"/>
    <w:rsid w:val="0061771F"/>
    <w:rsid w:val="00617CE8"/>
    <w:rsid w:val="006206B7"/>
    <w:rsid w:val="00621658"/>
    <w:rsid w:val="006219A3"/>
    <w:rsid w:val="00622073"/>
    <w:rsid w:val="006233E7"/>
    <w:rsid w:val="006234FE"/>
    <w:rsid w:val="00623673"/>
    <w:rsid w:val="00623889"/>
    <w:rsid w:val="00623C22"/>
    <w:rsid w:val="00624389"/>
    <w:rsid w:val="006247BB"/>
    <w:rsid w:val="00625594"/>
    <w:rsid w:val="006256C3"/>
    <w:rsid w:val="0062647A"/>
    <w:rsid w:val="0062664E"/>
    <w:rsid w:val="00626BE4"/>
    <w:rsid w:val="00627007"/>
    <w:rsid w:val="00627657"/>
    <w:rsid w:val="00627D65"/>
    <w:rsid w:val="0063023F"/>
    <w:rsid w:val="006309C6"/>
    <w:rsid w:val="00631785"/>
    <w:rsid w:val="00631DD6"/>
    <w:rsid w:val="00631F29"/>
    <w:rsid w:val="00631F52"/>
    <w:rsid w:val="006320D8"/>
    <w:rsid w:val="006323AD"/>
    <w:rsid w:val="006324DE"/>
    <w:rsid w:val="00632DC0"/>
    <w:rsid w:val="00632FC4"/>
    <w:rsid w:val="0063322E"/>
    <w:rsid w:val="006347FA"/>
    <w:rsid w:val="00635183"/>
    <w:rsid w:val="00635A3B"/>
    <w:rsid w:val="00635B7F"/>
    <w:rsid w:val="00635E15"/>
    <w:rsid w:val="0063655F"/>
    <w:rsid w:val="00636E55"/>
    <w:rsid w:val="0063788A"/>
    <w:rsid w:val="0063790F"/>
    <w:rsid w:val="00637BC7"/>
    <w:rsid w:val="006405A3"/>
    <w:rsid w:val="006406C9"/>
    <w:rsid w:val="00640E30"/>
    <w:rsid w:val="00640E7D"/>
    <w:rsid w:val="00641088"/>
    <w:rsid w:val="00641350"/>
    <w:rsid w:val="00642B69"/>
    <w:rsid w:val="0064345D"/>
    <w:rsid w:val="00643664"/>
    <w:rsid w:val="0064376A"/>
    <w:rsid w:val="00643CDD"/>
    <w:rsid w:val="0064446E"/>
    <w:rsid w:val="00644CC3"/>
    <w:rsid w:val="0064505C"/>
    <w:rsid w:val="006457BC"/>
    <w:rsid w:val="00646A09"/>
    <w:rsid w:val="00646A54"/>
    <w:rsid w:val="00646CC5"/>
    <w:rsid w:val="00646DAF"/>
    <w:rsid w:val="00646DFC"/>
    <w:rsid w:val="0064709C"/>
    <w:rsid w:val="0064737B"/>
    <w:rsid w:val="00647808"/>
    <w:rsid w:val="00647C76"/>
    <w:rsid w:val="0065128E"/>
    <w:rsid w:val="00651445"/>
    <w:rsid w:val="00652C4B"/>
    <w:rsid w:val="00653A3E"/>
    <w:rsid w:val="00653D93"/>
    <w:rsid w:val="00654175"/>
    <w:rsid w:val="006543DF"/>
    <w:rsid w:val="006546A6"/>
    <w:rsid w:val="00654917"/>
    <w:rsid w:val="00654AAF"/>
    <w:rsid w:val="00654AB8"/>
    <w:rsid w:val="00654B1D"/>
    <w:rsid w:val="00654B3D"/>
    <w:rsid w:val="00655FF8"/>
    <w:rsid w:val="0065621C"/>
    <w:rsid w:val="00656CE7"/>
    <w:rsid w:val="0065705B"/>
    <w:rsid w:val="006601BF"/>
    <w:rsid w:val="006602F6"/>
    <w:rsid w:val="0066069D"/>
    <w:rsid w:val="00660708"/>
    <w:rsid w:val="00661E6A"/>
    <w:rsid w:val="006625BF"/>
    <w:rsid w:val="00662CFA"/>
    <w:rsid w:val="00664050"/>
    <w:rsid w:val="006655E4"/>
    <w:rsid w:val="006664B2"/>
    <w:rsid w:val="00666EB0"/>
    <w:rsid w:val="006671D9"/>
    <w:rsid w:val="006673EC"/>
    <w:rsid w:val="00670225"/>
    <w:rsid w:val="00670348"/>
    <w:rsid w:val="00671138"/>
    <w:rsid w:val="0067116F"/>
    <w:rsid w:val="006723FB"/>
    <w:rsid w:val="006725E2"/>
    <w:rsid w:val="00672A28"/>
    <w:rsid w:val="00673408"/>
    <w:rsid w:val="00674531"/>
    <w:rsid w:val="0067469B"/>
    <w:rsid w:val="00674F6E"/>
    <w:rsid w:val="00675313"/>
    <w:rsid w:val="0067571B"/>
    <w:rsid w:val="006758BF"/>
    <w:rsid w:val="006778E7"/>
    <w:rsid w:val="00677C4E"/>
    <w:rsid w:val="006801CD"/>
    <w:rsid w:val="00680A27"/>
    <w:rsid w:val="0068183F"/>
    <w:rsid w:val="00681AE9"/>
    <w:rsid w:val="006833AF"/>
    <w:rsid w:val="00683734"/>
    <w:rsid w:val="00683C9F"/>
    <w:rsid w:val="00684042"/>
    <w:rsid w:val="006840FA"/>
    <w:rsid w:val="00684631"/>
    <w:rsid w:val="00684B38"/>
    <w:rsid w:val="00684CE6"/>
    <w:rsid w:val="00684EE0"/>
    <w:rsid w:val="006854BF"/>
    <w:rsid w:val="00685AA1"/>
    <w:rsid w:val="00685C4F"/>
    <w:rsid w:val="00685EA2"/>
    <w:rsid w:val="00685F27"/>
    <w:rsid w:val="006864C0"/>
    <w:rsid w:val="006864F5"/>
    <w:rsid w:val="00686A8C"/>
    <w:rsid w:val="00686D6A"/>
    <w:rsid w:val="00687A07"/>
    <w:rsid w:val="00687A15"/>
    <w:rsid w:val="006905D0"/>
    <w:rsid w:val="00691662"/>
    <w:rsid w:val="0069199E"/>
    <w:rsid w:val="00692A3A"/>
    <w:rsid w:val="00692B75"/>
    <w:rsid w:val="00692FAE"/>
    <w:rsid w:val="00693023"/>
    <w:rsid w:val="00693029"/>
    <w:rsid w:val="00693379"/>
    <w:rsid w:val="0069381B"/>
    <w:rsid w:val="00693F02"/>
    <w:rsid w:val="00694053"/>
    <w:rsid w:val="006944A2"/>
    <w:rsid w:val="006944C6"/>
    <w:rsid w:val="0069453F"/>
    <w:rsid w:val="0069454E"/>
    <w:rsid w:val="00694610"/>
    <w:rsid w:val="00695168"/>
    <w:rsid w:val="006954EE"/>
    <w:rsid w:val="00695768"/>
    <w:rsid w:val="00695A9E"/>
    <w:rsid w:val="006962BC"/>
    <w:rsid w:val="006964E6"/>
    <w:rsid w:val="00696506"/>
    <w:rsid w:val="00696906"/>
    <w:rsid w:val="00696E4E"/>
    <w:rsid w:val="00696FB2"/>
    <w:rsid w:val="006974AD"/>
    <w:rsid w:val="0069764D"/>
    <w:rsid w:val="00697FBD"/>
    <w:rsid w:val="006A0692"/>
    <w:rsid w:val="006A0957"/>
    <w:rsid w:val="006A0B0C"/>
    <w:rsid w:val="006A0FF4"/>
    <w:rsid w:val="006A1285"/>
    <w:rsid w:val="006A16C8"/>
    <w:rsid w:val="006A1747"/>
    <w:rsid w:val="006A271A"/>
    <w:rsid w:val="006A2F96"/>
    <w:rsid w:val="006A302D"/>
    <w:rsid w:val="006A3D6C"/>
    <w:rsid w:val="006A46F9"/>
    <w:rsid w:val="006A4EAB"/>
    <w:rsid w:val="006A4F6B"/>
    <w:rsid w:val="006A552C"/>
    <w:rsid w:val="006A5849"/>
    <w:rsid w:val="006A600B"/>
    <w:rsid w:val="006A671B"/>
    <w:rsid w:val="006A6D9B"/>
    <w:rsid w:val="006A6F80"/>
    <w:rsid w:val="006A725F"/>
    <w:rsid w:val="006A770C"/>
    <w:rsid w:val="006A7984"/>
    <w:rsid w:val="006B02E9"/>
    <w:rsid w:val="006B05F7"/>
    <w:rsid w:val="006B0A71"/>
    <w:rsid w:val="006B17E0"/>
    <w:rsid w:val="006B1865"/>
    <w:rsid w:val="006B18E9"/>
    <w:rsid w:val="006B1BC8"/>
    <w:rsid w:val="006B2049"/>
    <w:rsid w:val="006B2309"/>
    <w:rsid w:val="006B25F3"/>
    <w:rsid w:val="006B28C3"/>
    <w:rsid w:val="006B305A"/>
    <w:rsid w:val="006B3141"/>
    <w:rsid w:val="006B31A2"/>
    <w:rsid w:val="006B4385"/>
    <w:rsid w:val="006B542F"/>
    <w:rsid w:val="006B54EE"/>
    <w:rsid w:val="006B6580"/>
    <w:rsid w:val="006B6A49"/>
    <w:rsid w:val="006B7316"/>
    <w:rsid w:val="006B7531"/>
    <w:rsid w:val="006B77A4"/>
    <w:rsid w:val="006B7989"/>
    <w:rsid w:val="006C0820"/>
    <w:rsid w:val="006C0E46"/>
    <w:rsid w:val="006C1013"/>
    <w:rsid w:val="006C128C"/>
    <w:rsid w:val="006C1836"/>
    <w:rsid w:val="006C2C6C"/>
    <w:rsid w:val="006C32D0"/>
    <w:rsid w:val="006C37C9"/>
    <w:rsid w:val="006C398C"/>
    <w:rsid w:val="006C3E33"/>
    <w:rsid w:val="006C3FC8"/>
    <w:rsid w:val="006C4F66"/>
    <w:rsid w:val="006C564D"/>
    <w:rsid w:val="006C5AD8"/>
    <w:rsid w:val="006C5CE7"/>
    <w:rsid w:val="006C6911"/>
    <w:rsid w:val="006C6A15"/>
    <w:rsid w:val="006C6F9D"/>
    <w:rsid w:val="006C6FE3"/>
    <w:rsid w:val="006C7606"/>
    <w:rsid w:val="006D0111"/>
    <w:rsid w:val="006D0E88"/>
    <w:rsid w:val="006D1D96"/>
    <w:rsid w:val="006D3097"/>
    <w:rsid w:val="006D30C3"/>
    <w:rsid w:val="006D37D3"/>
    <w:rsid w:val="006D3C42"/>
    <w:rsid w:val="006D3F9E"/>
    <w:rsid w:val="006D484D"/>
    <w:rsid w:val="006D4BD8"/>
    <w:rsid w:val="006D4C33"/>
    <w:rsid w:val="006D53BB"/>
    <w:rsid w:val="006D5C94"/>
    <w:rsid w:val="006D69CD"/>
    <w:rsid w:val="006D6A5A"/>
    <w:rsid w:val="006D6F25"/>
    <w:rsid w:val="006D73D0"/>
    <w:rsid w:val="006D754E"/>
    <w:rsid w:val="006D75F7"/>
    <w:rsid w:val="006D7709"/>
    <w:rsid w:val="006D787F"/>
    <w:rsid w:val="006D7AC0"/>
    <w:rsid w:val="006D7ECE"/>
    <w:rsid w:val="006E0342"/>
    <w:rsid w:val="006E04F8"/>
    <w:rsid w:val="006E0894"/>
    <w:rsid w:val="006E0CC2"/>
    <w:rsid w:val="006E0D35"/>
    <w:rsid w:val="006E114C"/>
    <w:rsid w:val="006E2468"/>
    <w:rsid w:val="006E34A3"/>
    <w:rsid w:val="006E44F6"/>
    <w:rsid w:val="006E452C"/>
    <w:rsid w:val="006E472A"/>
    <w:rsid w:val="006E5661"/>
    <w:rsid w:val="006E579E"/>
    <w:rsid w:val="006E5BF7"/>
    <w:rsid w:val="006E5F5E"/>
    <w:rsid w:val="006E71D6"/>
    <w:rsid w:val="006E754A"/>
    <w:rsid w:val="006E78BE"/>
    <w:rsid w:val="006F10C3"/>
    <w:rsid w:val="006F1855"/>
    <w:rsid w:val="006F1D06"/>
    <w:rsid w:val="006F1EDE"/>
    <w:rsid w:val="006F2074"/>
    <w:rsid w:val="006F233B"/>
    <w:rsid w:val="006F277B"/>
    <w:rsid w:val="006F2CD7"/>
    <w:rsid w:val="006F339E"/>
    <w:rsid w:val="006F3F08"/>
    <w:rsid w:val="006F43CE"/>
    <w:rsid w:val="006F47A2"/>
    <w:rsid w:val="006F4DEC"/>
    <w:rsid w:val="006F5048"/>
    <w:rsid w:val="006F54B8"/>
    <w:rsid w:val="006F5B8D"/>
    <w:rsid w:val="006F5D1D"/>
    <w:rsid w:val="006F6796"/>
    <w:rsid w:val="006F6C66"/>
    <w:rsid w:val="006F71B8"/>
    <w:rsid w:val="006F7307"/>
    <w:rsid w:val="006F77C0"/>
    <w:rsid w:val="00700075"/>
    <w:rsid w:val="007000AC"/>
    <w:rsid w:val="00700536"/>
    <w:rsid w:val="007006C0"/>
    <w:rsid w:val="00700CB0"/>
    <w:rsid w:val="0070121D"/>
    <w:rsid w:val="00701BA0"/>
    <w:rsid w:val="00702648"/>
    <w:rsid w:val="00702889"/>
    <w:rsid w:val="00702B1D"/>
    <w:rsid w:val="0070330E"/>
    <w:rsid w:val="00703FA8"/>
    <w:rsid w:val="00704856"/>
    <w:rsid w:val="00704ADB"/>
    <w:rsid w:val="007057F7"/>
    <w:rsid w:val="00705FEE"/>
    <w:rsid w:val="007065C5"/>
    <w:rsid w:val="00706B9F"/>
    <w:rsid w:val="00706BB3"/>
    <w:rsid w:val="00706C42"/>
    <w:rsid w:val="00706CE6"/>
    <w:rsid w:val="0070729A"/>
    <w:rsid w:val="0070743B"/>
    <w:rsid w:val="00707C6F"/>
    <w:rsid w:val="00710780"/>
    <w:rsid w:val="0071118D"/>
    <w:rsid w:val="007113F5"/>
    <w:rsid w:val="00711488"/>
    <w:rsid w:val="00711774"/>
    <w:rsid w:val="00711811"/>
    <w:rsid w:val="00711ED9"/>
    <w:rsid w:val="0071233F"/>
    <w:rsid w:val="0071238B"/>
    <w:rsid w:val="007123E3"/>
    <w:rsid w:val="00713261"/>
    <w:rsid w:val="007136AF"/>
    <w:rsid w:val="007141D9"/>
    <w:rsid w:val="007143D4"/>
    <w:rsid w:val="007145A9"/>
    <w:rsid w:val="00714914"/>
    <w:rsid w:val="0071582F"/>
    <w:rsid w:val="00715CEA"/>
    <w:rsid w:val="007162F0"/>
    <w:rsid w:val="00716C30"/>
    <w:rsid w:val="00716FDA"/>
    <w:rsid w:val="007171C1"/>
    <w:rsid w:val="007173C5"/>
    <w:rsid w:val="007174BF"/>
    <w:rsid w:val="00717F4B"/>
    <w:rsid w:val="00720096"/>
    <w:rsid w:val="00720C15"/>
    <w:rsid w:val="00721176"/>
    <w:rsid w:val="007218BF"/>
    <w:rsid w:val="00721D19"/>
    <w:rsid w:val="0072265A"/>
    <w:rsid w:val="00722FC1"/>
    <w:rsid w:val="0072329F"/>
    <w:rsid w:val="0072493B"/>
    <w:rsid w:val="00724B11"/>
    <w:rsid w:val="00724CF8"/>
    <w:rsid w:val="00725AE8"/>
    <w:rsid w:val="00725CB0"/>
    <w:rsid w:val="0072645B"/>
    <w:rsid w:val="00726590"/>
    <w:rsid w:val="007267BA"/>
    <w:rsid w:val="00727570"/>
    <w:rsid w:val="007276BD"/>
    <w:rsid w:val="00727809"/>
    <w:rsid w:val="00727880"/>
    <w:rsid w:val="00727911"/>
    <w:rsid w:val="00727DF7"/>
    <w:rsid w:val="0073006E"/>
    <w:rsid w:val="007305A3"/>
    <w:rsid w:val="0073067B"/>
    <w:rsid w:val="00730731"/>
    <w:rsid w:val="00730A09"/>
    <w:rsid w:val="00730B0A"/>
    <w:rsid w:val="00730CA7"/>
    <w:rsid w:val="00732BEC"/>
    <w:rsid w:val="007331BA"/>
    <w:rsid w:val="007331CA"/>
    <w:rsid w:val="007332D9"/>
    <w:rsid w:val="007334E5"/>
    <w:rsid w:val="00733CE2"/>
    <w:rsid w:val="007347FD"/>
    <w:rsid w:val="00734BD3"/>
    <w:rsid w:val="00734E5A"/>
    <w:rsid w:val="00735197"/>
    <w:rsid w:val="00736402"/>
    <w:rsid w:val="00736AA2"/>
    <w:rsid w:val="0073762E"/>
    <w:rsid w:val="007379EB"/>
    <w:rsid w:val="00740376"/>
    <w:rsid w:val="007416CA"/>
    <w:rsid w:val="00741AFD"/>
    <w:rsid w:val="00742337"/>
    <w:rsid w:val="00742CEC"/>
    <w:rsid w:val="00743301"/>
    <w:rsid w:val="007435D7"/>
    <w:rsid w:val="00743666"/>
    <w:rsid w:val="00743B06"/>
    <w:rsid w:val="00744CDD"/>
    <w:rsid w:val="00744F46"/>
    <w:rsid w:val="00744FDE"/>
    <w:rsid w:val="00745492"/>
    <w:rsid w:val="0074553C"/>
    <w:rsid w:val="0074598D"/>
    <w:rsid w:val="00745C3F"/>
    <w:rsid w:val="00745F4F"/>
    <w:rsid w:val="0074653A"/>
    <w:rsid w:val="00746E20"/>
    <w:rsid w:val="007470FF"/>
    <w:rsid w:val="00747194"/>
    <w:rsid w:val="0074764E"/>
    <w:rsid w:val="00747B71"/>
    <w:rsid w:val="007501BB"/>
    <w:rsid w:val="00750D6F"/>
    <w:rsid w:val="00750EE4"/>
    <w:rsid w:val="00751137"/>
    <w:rsid w:val="00751BB7"/>
    <w:rsid w:val="007526A9"/>
    <w:rsid w:val="007526D4"/>
    <w:rsid w:val="00752D85"/>
    <w:rsid w:val="00753479"/>
    <w:rsid w:val="00753606"/>
    <w:rsid w:val="00753849"/>
    <w:rsid w:val="00754D63"/>
    <w:rsid w:val="00754D7B"/>
    <w:rsid w:val="00755164"/>
    <w:rsid w:val="00755620"/>
    <w:rsid w:val="00755BA7"/>
    <w:rsid w:val="00755D99"/>
    <w:rsid w:val="00756794"/>
    <w:rsid w:val="00756801"/>
    <w:rsid w:val="0075685F"/>
    <w:rsid w:val="007571E8"/>
    <w:rsid w:val="00757929"/>
    <w:rsid w:val="00757AA1"/>
    <w:rsid w:val="00757B12"/>
    <w:rsid w:val="00757D93"/>
    <w:rsid w:val="007603A1"/>
    <w:rsid w:val="00760507"/>
    <w:rsid w:val="007607A6"/>
    <w:rsid w:val="00760A5E"/>
    <w:rsid w:val="00760B51"/>
    <w:rsid w:val="00761234"/>
    <w:rsid w:val="00761F3B"/>
    <w:rsid w:val="00761FF9"/>
    <w:rsid w:val="00762232"/>
    <w:rsid w:val="00763EAC"/>
    <w:rsid w:val="0076442B"/>
    <w:rsid w:val="0076525E"/>
    <w:rsid w:val="00765481"/>
    <w:rsid w:val="00765681"/>
    <w:rsid w:val="00765D13"/>
    <w:rsid w:val="0076634F"/>
    <w:rsid w:val="0076681C"/>
    <w:rsid w:val="00766D9C"/>
    <w:rsid w:val="00766F43"/>
    <w:rsid w:val="0076714D"/>
    <w:rsid w:val="00767D07"/>
    <w:rsid w:val="00767D21"/>
    <w:rsid w:val="00771E3B"/>
    <w:rsid w:val="007728EF"/>
    <w:rsid w:val="00772D57"/>
    <w:rsid w:val="007733FC"/>
    <w:rsid w:val="00774CD3"/>
    <w:rsid w:val="0077554A"/>
    <w:rsid w:val="007758E6"/>
    <w:rsid w:val="007763C9"/>
    <w:rsid w:val="00777CBF"/>
    <w:rsid w:val="00777F26"/>
    <w:rsid w:val="00777F80"/>
    <w:rsid w:val="0078041F"/>
    <w:rsid w:val="007804FE"/>
    <w:rsid w:val="00780C9B"/>
    <w:rsid w:val="007814C0"/>
    <w:rsid w:val="00781759"/>
    <w:rsid w:val="00781D9B"/>
    <w:rsid w:val="00782FF7"/>
    <w:rsid w:val="00783185"/>
    <w:rsid w:val="007831D4"/>
    <w:rsid w:val="00783E31"/>
    <w:rsid w:val="00784296"/>
    <w:rsid w:val="00785188"/>
    <w:rsid w:val="007851C5"/>
    <w:rsid w:val="0078579C"/>
    <w:rsid w:val="007859E5"/>
    <w:rsid w:val="00785BBD"/>
    <w:rsid w:val="00785D5B"/>
    <w:rsid w:val="0078709C"/>
    <w:rsid w:val="00787D9C"/>
    <w:rsid w:val="00790B5F"/>
    <w:rsid w:val="00791071"/>
    <w:rsid w:val="00791118"/>
    <w:rsid w:val="00791285"/>
    <w:rsid w:val="0079154A"/>
    <w:rsid w:val="00791DD6"/>
    <w:rsid w:val="00792CC4"/>
    <w:rsid w:val="00792EAE"/>
    <w:rsid w:val="0079350C"/>
    <w:rsid w:val="00793804"/>
    <w:rsid w:val="00793A87"/>
    <w:rsid w:val="00794C24"/>
    <w:rsid w:val="00794CC2"/>
    <w:rsid w:val="007958BC"/>
    <w:rsid w:val="00795A5E"/>
    <w:rsid w:val="00795DA6"/>
    <w:rsid w:val="00797662"/>
    <w:rsid w:val="0079780B"/>
    <w:rsid w:val="00797E9E"/>
    <w:rsid w:val="007A0374"/>
    <w:rsid w:val="007A0443"/>
    <w:rsid w:val="007A074C"/>
    <w:rsid w:val="007A0F0B"/>
    <w:rsid w:val="007A10F3"/>
    <w:rsid w:val="007A111F"/>
    <w:rsid w:val="007A17A3"/>
    <w:rsid w:val="007A17DE"/>
    <w:rsid w:val="007A1A14"/>
    <w:rsid w:val="007A1D73"/>
    <w:rsid w:val="007A2416"/>
    <w:rsid w:val="007A2A90"/>
    <w:rsid w:val="007A2E06"/>
    <w:rsid w:val="007A37EF"/>
    <w:rsid w:val="007A3D65"/>
    <w:rsid w:val="007A42E1"/>
    <w:rsid w:val="007A48A3"/>
    <w:rsid w:val="007A4BD8"/>
    <w:rsid w:val="007A52C2"/>
    <w:rsid w:val="007A632E"/>
    <w:rsid w:val="007A6789"/>
    <w:rsid w:val="007A6902"/>
    <w:rsid w:val="007A6CEA"/>
    <w:rsid w:val="007A6F15"/>
    <w:rsid w:val="007A7252"/>
    <w:rsid w:val="007A7855"/>
    <w:rsid w:val="007A7B2C"/>
    <w:rsid w:val="007B01C1"/>
    <w:rsid w:val="007B1148"/>
    <w:rsid w:val="007B22C9"/>
    <w:rsid w:val="007B230B"/>
    <w:rsid w:val="007B23E9"/>
    <w:rsid w:val="007B2C96"/>
    <w:rsid w:val="007B389A"/>
    <w:rsid w:val="007B3EED"/>
    <w:rsid w:val="007B4BC4"/>
    <w:rsid w:val="007B4CF3"/>
    <w:rsid w:val="007B4E6C"/>
    <w:rsid w:val="007B60BD"/>
    <w:rsid w:val="007B6184"/>
    <w:rsid w:val="007B6452"/>
    <w:rsid w:val="007B6AF3"/>
    <w:rsid w:val="007B6CCF"/>
    <w:rsid w:val="007B6D6F"/>
    <w:rsid w:val="007B75F1"/>
    <w:rsid w:val="007B788A"/>
    <w:rsid w:val="007B7A6A"/>
    <w:rsid w:val="007B7F69"/>
    <w:rsid w:val="007C07CE"/>
    <w:rsid w:val="007C0DC4"/>
    <w:rsid w:val="007C2296"/>
    <w:rsid w:val="007C28D2"/>
    <w:rsid w:val="007C2917"/>
    <w:rsid w:val="007C2E84"/>
    <w:rsid w:val="007C30DE"/>
    <w:rsid w:val="007C37B3"/>
    <w:rsid w:val="007C395D"/>
    <w:rsid w:val="007C43EF"/>
    <w:rsid w:val="007C5A47"/>
    <w:rsid w:val="007C5E70"/>
    <w:rsid w:val="007C631C"/>
    <w:rsid w:val="007C71EB"/>
    <w:rsid w:val="007C7B49"/>
    <w:rsid w:val="007D00D9"/>
    <w:rsid w:val="007D01B7"/>
    <w:rsid w:val="007D08D3"/>
    <w:rsid w:val="007D093D"/>
    <w:rsid w:val="007D09EC"/>
    <w:rsid w:val="007D09F2"/>
    <w:rsid w:val="007D1BE9"/>
    <w:rsid w:val="007D1FED"/>
    <w:rsid w:val="007D23E2"/>
    <w:rsid w:val="007D2815"/>
    <w:rsid w:val="007D28BC"/>
    <w:rsid w:val="007D2A94"/>
    <w:rsid w:val="007D2FED"/>
    <w:rsid w:val="007D37D5"/>
    <w:rsid w:val="007D4840"/>
    <w:rsid w:val="007D496D"/>
    <w:rsid w:val="007D61D6"/>
    <w:rsid w:val="007D69CB"/>
    <w:rsid w:val="007D6AD8"/>
    <w:rsid w:val="007D7081"/>
    <w:rsid w:val="007D73B1"/>
    <w:rsid w:val="007D7D81"/>
    <w:rsid w:val="007E026A"/>
    <w:rsid w:val="007E08D6"/>
    <w:rsid w:val="007E0EC1"/>
    <w:rsid w:val="007E0F4E"/>
    <w:rsid w:val="007E1082"/>
    <w:rsid w:val="007E10B9"/>
    <w:rsid w:val="007E171B"/>
    <w:rsid w:val="007E1729"/>
    <w:rsid w:val="007E2412"/>
    <w:rsid w:val="007E2554"/>
    <w:rsid w:val="007E2A77"/>
    <w:rsid w:val="007E2E6F"/>
    <w:rsid w:val="007E2F30"/>
    <w:rsid w:val="007E2FB5"/>
    <w:rsid w:val="007E3026"/>
    <w:rsid w:val="007E36B7"/>
    <w:rsid w:val="007E37DD"/>
    <w:rsid w:val="007E3FBB"/>
    <w:rsid w:val="007E472C"/>
    <w:rsid w:val="007E52FE"/>
    <w:rsid w:val="007E5683"/>
    <w:rsid w:val="007E56CF"/>
    <w:rsid w:val="007E57A3"/>
    <w:rsid w:val="007E62F5"/>
    <w:rsid w:val="007E669E"/>
    <w:rsid w:val="007E67EE"/>
    <w:rsid w:val="007E7BCF"/>
    <w:rsid w:val="007F093F"/>
    <w:rsid w:val="007F115C"/>
    <w:rsid w:val="007F1D5B"/>
    <w:rsid w:val="007F1FA6"/>
    <w:rsid w:val="007F26E4"/>
    <w:rsid w:val="007F2C0D"/>
    <w:rsid w:val="007F2D69"/>
    <w:rsid w:val="007F313F"/>
    <w:rsid w:val="007F348D"/>
    <w:rsid w:val="007F35DB"/>
    <w:rsid w:val="007F3A86"/>
    <w:rsid w:val="007F3F8A"/>
    <w:rsid w:val="007F4A16"/>
    <w:rsid w:val="007F4DDA"/>
    <w:rsid w:val="007F4DF2"/>
    <w:rsid w:val="007F5673"/>
    <w:rsid w:val="007F5783"/>
    <w:rsid w:val="007F57F9"/>
    <w:rsid w:val="007F5991"/>
    <w:rsid w:val="007F5CAA"/>
    <w:rsid w:val="007F63EB"/>
    <w:rsid w:val="007F667E"/>
    <w:rsid w:val="007F6915"/>
    <w:rsid w:val="007F6D85"/>
    <w:rsid w:val="007F718A"/>
    <w:rsid w:val="007F7AA0"/>
    <w:rsid w:val="007F7D30"/>
    <w:rsid w:val="007F7D87"/>
    <w:rsid w:val="00800077"/>
    <w:rsid w:val="00800834"/>
    <w:rsid w:val="008008A5"/>
    <w:rsid w:val="00802B70"/>
    <w:rsid w:val="0080326A"/>
    <w:rsid w:val="00803C26"/>
    <w:rsid w:val="00804036"/>
    <w:rsid w:val="00804282"/>
    <w:rsid w:val="00804459"/>
    <w:rsid w:val="008057AA"/>
    <w:rsid w:val="0080616B"/>
    <w:rsid w:val="008063D2"/>
    <w:rsid w:val="00806688"/>
    <w:rsid w:val="00807D42"/>
    <w:rsid w:val="00810637"/>
    <w:rsid w:val="008108C4"/>
    <w:rsid w:val="00810C63"/>
    <w:rsid w:val="008111F3"/>
    <w:rsid w:val="00811862"/>
    <w:rsid w:val="00812345"/>
    <w:rsid w:val="008124D4"/>
    <w:rsid w:val="008126CE"/>
    <w:rsid w:val="00812EC2"/>
    <w:rsid w:val="00813820"/>
    <w:rsid w:val="0081403F"/>
    <w:rsid w:val="00814600"/>
    <w:rsid w:val="0081511A"/>
    <w:rsid w:val="00815AFF"/>
    <w:rsid w:val="00816383"/>
    <w:rsid w:val="00817F8F"/>
    <w:rsid w:val="00820552"/>
    <w:rsid w:val="00820CEC"/>
    <w:rsid w:val="00821074"/>
    <w:rsid w:val="00821DFA"/>
    <w:rsid w:val="0082289B"/>
    <w:rsid w:val="008236DF"/>
    <w:rsid w:val="008236E5"/>
    <w:rsid w:val="00823735"/>
    <w:rsid w:val="00823AB0"/>
    <w:rsid w:val="00823CEB"/>
    <w:rsid w:val="00824008"/>
    <w:rsid w:val="008240FF"/>
    <w:rsid w:val="0082425E"/>
    <w:rsid w:val="008247AD"/>
    <w:rsid w:val="0082496B"/>
    <w:rsid w:val="008264B6"/>
    <w:rsid w:val="008273E3"/>
    <w:rsid w:val="00827BF9"/>
    <w:rsid w:val="00827DEC"/>
    <w:rsid w:val="00830298"/>
    <w:rsid w:val="008304EF"/>
    <w:rsid w:val="00830A32"/>
    <w:rsid w:val="008311E2"/>
    <w:rsid w:val="00831337"/>
    <w:rsid w:val="00832AF9"/>
    <w:rsid w:val="00832D31"/>
    <w:rsid w:val="00832F9D"/>
    <w:rsid w:val="00832FF9"/>
    <w:rsid w:val="00833963"/>
    <w:rsid w:val="008339DC"/>
    <w:rsid w:val="00833B66"/>
    <w:rsid w:val="00833D15"/>
    <w:rsid w:val="00834A2E"/>
    <w:rsid w:val="00834C0D"/>
    <w:rsid w:val="00834D18"/>
    <w:rsid w:val="0083511E"/>
    <w:rsid w:val="008353ED"/>
    <w:rsid w:val="00835710"/>
    <w:rsid w:val="00835904"/>
    <w:rsid w:val="00836B35"/>
    <w:rsid w:val="00836D38"/>
    <w:rsid w:val="00837266"/>
    <w:rsid w:val="008374C7"/>
    <w:rsid w:val="00837713"/>
    <w:rsid w:val="00837C14"/>
    <w:rsid w:val="00840233"/>
    <w:rsid w:val="008403C4"/>
    <w:rsid w:val="008405AE"/>
    <w:rsid w:val="0084080E"/>
    <w:rsid w:val="00840E72"/>
    <w:rsid w:val="00841EAC"/>
    <w:rsid w:val="00841FF6"/>
    <w:rsid w:val="008420DB"/>
    <w:rsid w:val="00842188"/>
    <w:rsid w:val="00842932"/>
    <w:rsid w:val="008429FE"/>
    <w:rsid w:val="00842A2B"/>
    <w:rsid w:val="00842B31"/>
    <w:rsid w:val="00842B58"/>
    <w:rsid w:val="00843450"/>
    <w:rsid w:val="0084352D"/>
    <w:rsid w:val="0084359F"/>
    <w:rsid w:val="00843F40"/>
    <w:rsid w:val="0084418C"/>
    <w:rsid w:val="008446C9"/>
    <w:rsid w:val="00845187"/>
    <w:rsid w:val="00845737"/>
    <w:rsid w:val="00845D26"/>
    <w:rsid w:val="008464C1"/>
    <w:rsid w:val="008466E0"/>
    <w:rsid w:val="00846785"/>
    <w:rsid w:val="0084691F"/>
    <w:rsid w:val="00847606"/>
    <w:rsid w:val="00847CD1"/>
    <w:rsid w:val="008505B8"/>
    <w:rsid w:val="00850630"/>
    <w:rsid w:val="00850A1B"/>
    <w:rsid w:val="00850E99"/>
    <w:rsid w:val="00850EF9"/>
    <w:rsid w:val="008513A5"/>
    <w:rsid w:val="00851A12"/>
    <w:rsid w:val="0085242C"/>
    <w:rsid w:val="008529B4"/>
    <w:rsid w:val="00852A1B"/>
    <w:rsid w:val="00852B4B"/>
    <w:rsid w:val="00852DD6"/>
    <w:rsid w:val="008532D9"/>
    <w:rsid w:val="008539EE"/>
    <w:rsid w:val="00853A92"/>
    <w:rsid w:val="008542D1"/>
    <w:rsid w:val="0085451F"/>
    <w:rsid w:val="00855665"/>
    <w:rsid w:val="008557E8"/>
    <w:rsid w:val="00855904"/>
    <w:rsid w:val="008562EA"/>
    <w:rsid w:val="00856442"/>
    <w:rsid w:val="00856608"/>
    <w:rsid w:val="008567B4"/>
    <w:rsid w:val="0085772C"/>
    <w:rsid w:val="008603D1"/>
    <w:rsid w:val="0086090E"/>
    <w:rsid w:val="00860B19"/>
    <w:rsid w:val="008610E9"/>
    <w:rsid w:val="00861A68"/>
    <w:rsid w:val="00861B53"/>
    <w:rsid w:val="0086210B"/>
    <w:rsid w:val="00862941"/>
    <w:rsid w:val="00862C0A"/>
    <w:rsid w:val="00863318"/>
    <w:rsid w:val="00863676"/>
    <w:rsid w:val="00863FE4"/>
    <w:rsid w:val="0086493F"/>
    <w:rsid w:val="008651FD"/>
    <w:rsid w:val="0086531F"/>
    <w:rsid w:val="00865B4E"/>
    <w:rsid w:val="008660E9"/>
    <w:rsid w:val="008669F1"/>
    <w:rsid w:val="00867066"/>
    <w:rsid w:val="00867E7F"/>
    <w:rsid w:val="00867F2F"/>
    <w:rsid w:val="00870022"/>
    <w:rsid w:val="008701B5"/>
    <w:rsid w:val="00871008"/>
    <w:rsid w:val="00871217"/>
    <w:rsid w:val="00871870"/>
    <w:rsid w:val="00871AE2"/>
    <w:rsid w:val="00871DD7"/>
    <w:rsid w:val="00871EF3"/>
    <w:rsid w:val="00873335"/>
    <w:rsid w:val="00873C8C"/>
    <w:rsid w:val="0087452B"/>
    <w:rsid w:val="0087468D"/>
    <w:rsid w:val="00874839"/>
    <w:rsid w:val="00874DF5"/>
    <w:rsid w:val="00875827"/>
    <w:rsid w:val="00875C8A"/>
    <w:rsid w:val="00875D6F"/>
    <w:rsid w:val="0087641E"/>
    <w:rsid w:val="0087771A"/>
    <w:rsid w:val="00877916"/>
    <w:rsid w:val="0088079E"/>
    <w:rsid w:val="00880D4E"/>
    <w:rsid w:val="0088117D"/>
    <w:rsid w:val="008815C2"/>
    <w:rsid w:val="0088180E"/>
    <w:rsid w:val="008824B7"/>
    <w:rsid w:val="00882938"/>
    <w:rsid w:val="00882ED4"/>
    <w:rsid w:val="00883360"/>
    <w:rsid w:val="008834E4"/>
    <w:rsid w:val="008840C9"/>
    <w:rsid w:val="00884552"/>
    <w:rsid w:val="008849DA"/>
    <w:rsid w:val="00884C7A"/>
    <w:rsid w:val="0088537F"/>
    <w:rsid w:val="00885D58"/>
    <w:rsid w:val="00885EE8"/>
    <w:rsid w:val="00885FD2"/>
    <w:rsid w:val="00886047"/>
    <w:rsid w:val="008873C4"/>
    <w:rsid w:val="0088767D"/>
    <w:rsid w:val="00887701"/>
    <w:rsid w:val="00887822"/>
    <w:rsid w:val="00890389"/>
    <w:rsid w:val="00890857"/>
    <w:rsid w:val="00890EB6"/>
    <w:rsid w:val="00891108"/>
    <w:rsid w:val="0089129D"/>
    <w:rsid w:val="008917CC"/>
    <w:rsid w:val="008920BF"/>
    <w:rsid w:val="00892379"/>
    <w:rsid w:val="0089259F"/>
    <w:rsid w:val="00893A25"/>
    <w:rsid w:val="00894628"/>
    <w:rsid w:val="00894B93"/>
    <w:rsid w:val="0089570C"/>
    <w:rsid w:val="0089592D"/>
    <w:rsid w:val="00895A39"/>
    <w:rsid w:val="00895C4D"/>
    <w:rsid w:val="00896D85"/>
    <w:rsid w:val="00897146"/>
    <w:rsid w:val="00897895"/>
    <w:rsid w:val="00897ABB"/>
    <w:rsid w:val="008A0C5E"/>
    <w:rsid w:val="008A1115"/>
    <w:rsid w:val="008A1467"/>
    <w:rsid w:val="008A1B7C"/>
    <w:rsid w:val="008A2F7E"/>
    <w:rsid w:val="008A332B"/>
    <w:rsid w:val="008A36C6"/>
    <w:rsid w:val="008A43A5"/>
    <w:rsid w:val="008A49C4"/>
    <w:rsid w:val="008A4CF8"/>
    <w:rsid w:val="008A5119"/>
    <w:rsid w:val="008A610E"/>
    <w:rsid w:val="008A61D0"/>
    <w:rsid w:val="008A6487"/>
    <w:rsid w:val="008A6937"/>
    <w:rsid w:val="008A7BAE"/>
    <w:rsid w:val="008A7C1A"/>
    <w:rsid w:val="008B0200"/>
    <w:rsid w:val="008B0209"/>
    <w:rsid w:val="008B06CE"/>
    <w:rsid w:val="008B11A2"/>
    <w:rsid w:val="008B17C7"/>
    <w:rsid w:val="008B1A12"/>
    <w:rsid w:val="008B1E81"/>
    <w:rsid w:val="008B26F3"/>
    <w:rsid w:val="008B35F7"/>
    <w:rsid w:val="008B385E"/>
    <w:rsid w:val="008B3984"/>
    <w:rsid w:val="008B425D"/>
    <w:rsid w:val="008B4302"/>
    <w:rsid w:val="008B46FE"/>
    <w:rsid w:val="008B4865"/>
    <w:rsid w:val="008B4875"/>
    <w:rsid w:val="008B5225"/>
    <w:rsid w:val="008B585A"/>
    <w:rsid w:val="008B5F35"/>
    <w:rsid w:val="008B60C4"/>
    <w:rsid w:val="008B617C"/>
    <w:rsid w:val="008B6294"/>
    <w:rsid w:val="008B6766"/>
    <w:rsid w:val="008B6C50"/>
    <w:rsid w:val="008B6E5F"/>
    <w:rsid w:val="008B72D4"/>
    <w:rsid w:val="008B7F49"/>
    <w:rsid w:val="008C033C"/>
    <w:rsid w:val="008C0723"/>
    <w:rsid w:val="008C0EE9"/>
    <w:rsid w:val="008C1059"/>
    <w:rsid w:val="008C1277"/>
    <w:rsid w:val="008C14F4"/>
    <w:rsid w:val="008C1AEC"/>
    <w:rsid w:val="008C29B5"/>
    <w:rsid w:val="008C2A28"/>
    <w:rsid w:val="008C3321"/>
    <w:rsid w:val="008C38A5"/>
    <w:rsid w:val="008C3BD1"/>
    <w:rsid w:val="008C3DBC"/>
    <w:rsid w:val="008C42B1"/>
    <w:rsid w:val="008C453D"/>
    <w:rsid w:val="008C4F59"/>
    <w:rsid w:val="008C4FFE"/>
    <w:rsid w:val="008C5677"/>
    <w:rsid w:val="008C576D"/>
    <w:rsid w:val="008C5DA0"/>
    <w:rsid w:val="008C5F52"/>
    <w:rsid w:val="008C6226"/>
    <w:rsid w:val="008C750D"/>
    <w:rsid w:val="008C7E07"/>
    <w:rsid w:val="008C7FE4"/>
    <w:rsid w:val="008D0202"/>
    <w:rsid w:val="008D0463"/>
    <w:rsid w:val="008D0691"/>
    <w:rsid w:val="008D0B77"/>
    <w:rsid w:val="008D0DAC"/>
    <w:rsid w:val="008D14D4"/>
    <w:rsid w:val="008D1887"/>
    <w:rsid w:val="008D1A20"/>
    <w:rsid w:val="008D1A32"/>
    <w:rsid w:val="008D21C1"/>
    <w:rsid w:val="008D2B82"/>
    <w:rsid w:val="008D2C24"/>
    <w:rsid w:val="008D3BF2"/>
    <w:rsid w:val="008D46D7"/>
    <w:rsid w:val="008D4EB8"/>
    <w:rsid w:val="008D5BE4"/>
    <w:rsid w:val="008D5BE8"/>
    <w:rsid w:val="008D609E"/>
    <w:rsid w:val="008D63D9"/>
    <w:rsid w:val="008D6791"/>
    <w:rsid w:val="008D6A91"/>
    <w:rsid w:val="008D6DBF"/>
    <w:rsid w:val="008D6F8B"/>
    <w:rsid w:val="008D74EE"/>
    <w:rsid w:val="008E020D"/>
    <w:rsid w:val="008E0352"/>
    <w:rsid w:val="008E0570"/>
    <w:rsid w:val="008E169A"/>
    <w:rsid w:val="008E189B"/>
    <w:rsid w:val="008E1F78"/>
    <w:rsid w:val="008E2178"/>
    <w:rsid w:val="008E21A4"/>
    <w:rsid w:val="008E2676"/>
    <w:rsid w:val="008E2973"/>
    <w:rsid w:val="008E2E79"/>
    <w:rsid w:val="008E2FAF"/>
    <w:rsid w:val="008E33B8"/>
    <w:rsid w:val="008E3C9D"/>
    <w:rsid w:val="008E4584"/>
    <w:rsid w:val="008E467A"/>
    <w:rsid w:val="008E5458"/>
    <w:rsid w:val="008E65A4"/>
    <w:rsid w:val="008E6A18"/>
    <w:rsid w:val="008E6CC5"/>
    <w:rsid w:val="008E6DBE"/>
    <w:rsid w:val="008E7378"/>
    <w:rsid w:val="008E756E"/>
    <w:rsid w:val="008E769B"/>
    <w:rsid w:val="008E78EB"/>
    <w:rsid w:val="008F0341"/>
    <w:rsid w:val="008F05F3"/>
    <w:rsid w:val="008F10E7"/>
    <w:rsid w:val="008F1161"/>
    <w:rsid w:val="008F14D7"/>
    <w:rsid w:val="008F1A1F"/>
    <w:rsid w:val="008F1F44"/>
    <w:rsid w:val="008F2376"/>
    <w:rsid w:val="008F281D"/>
    <w:rsid w:val="008F3821"/>
    <w:rsid w:val="008F3B13"/>
    <w:rsid w:val="008F3D97"/>
    <w:rsid w:val="008F578B"/>
    <w:rsid w:val="008F60B6"/>
    <w:rsid w:val="008F6162"/>
    <w:rsid w:val="008F6839"/>
    <w:rsid w:val="008F6E3F"/>
    <w:rsid w:val="008F6F5D"/>
    <w:rsid w:val="008F7074"/>
    <w:rsid w:val="008F7087"/>
    <w:rsid w:val="008F7091"/>
    <w:rsid w:val="008F7852"/>
    <w:rsid w:val="008F7B38"/>
    <w:rsid w:val="008F7DD9"/>
    <w:rsid w:val="00900EBA"/>
    <w:rsid w:val="009014AF"/>
    <w:rsid w:val="009017A9"/>
    <w:rsid w:val="0090190B"/>
    <w:rsid w:val="009020F5"/>
    <w:rsid w:val="009027CE"/>
    <w:rsid w:val="00902B4C"/>
    <w:rsid w:val="00902D92"/>
    <w:rsid w:val="00902FF3"/>
    <w:rsid w:val="0090438F"/>
    <w:rsid w:val="00904555"/>
    <w:rsid w:val="00905131"/>
    <w:rsid w:val="0090540F"/>
    <w:rsid w:val="00905E09"/>
    <w:rsid w:val="009066F0"/>
    <w:rsid w:val="00906B4E"/>
    <w:rsid w:val="00906ED3"/>
    <w:rsid w:val="00906F7C"/>
    <w:rsid w:val="0090722C"/>
    <w:rsid w:val="00907338"/>
    <w:rsid w:val="00907F82"/>
    <w:rsid w:val="00910C78"/>
    <w:rsid w:val="00910EA7"/>
    <w:rsid w:val="00910F6C"/>
    <w:rsid w:val="00911143"/>
    <w:rsid w:val="00911489"/>
    <w:rsid w:val="009117BE"/>
    <w:rsid w:val="009120B4"/>
    <w:rsid w:val="009124DA"/>
    <w:rsid w:val="00913694"/>
    <w:rsid w:val="009137CF"/>
    <w:rsid w:val="0091481D"/>
    <w:rsid w:val="009157A2"/>
    <w:rsid w:val="00915BBA"/>
    <w:rsid w:val="00915C50"/>
    <w:rsid w:val="00915FF6"/>
    <w:rsid w:val="0091627D"/>
    <w:rsid w:val="009167FE"/>
    <w:rsid w:val="009169F4"/>
    <w:rsid w:val="00916B75"/>
    <w:rsid w:val="00916C0C"/>
    <w:rsid w:val="00916FDC"/>
    <w:rsid w:val="0091702E"/>
    <w:rsid w:val="00917B15"/>
    <w:rsid w:val="009201F5"/>
    <w:rsid w:val="00920439"/>
    <w:rsid w:val="009209EC"/>
    <w:rsid w:val="00920B09"/>
    <w:rsid w:val="00921115"/>
    <w:rsid w:val="009213AE"/>
    <w:rsid w:val="00921596"/>
    <w:rsid w:val="009243C1"/>
    <w:rsid w:val="009258CB"/>
    <w:rsid w:val="00925FAA"/>
    <w:rsid w:val="00926B9B"/>
    <w:rsid w:val="00926D1B"/>
    <w:rsid w:val="00926D33"/>
    <w:rsid w:val="009278B1"/>
    <w:rsid w:val="00927C7A"/>
    <w:rsid w:val="00927E30"/>
    <w:rsid w:val="00927FDF"/>
    <w:rsid w:val="00930D2E"/>
    <w:rsid w:val="00930F65"/>
    <w:rsid w:val="0093185C"/>
    <w:rsid w:val="00931C0D"/>
    <w:rsid w:val="0093288E"/>
    <w:rsid w:val="00932F9E"/>
    <w:rsid w:val="0093300A"/>
    <w:rsid w:val="00933375"/>
    <w:rsid w:val="009334DB"/>
    <w:rsid w:val="00933E5E"/>
    <w:rsid w:val="00933FD4"/>
    <w:rsid w:val="00934195"/>
    <w:rsid w:val="0093445D"/>
    <w:rsid w:val="009351CD"/>
    <w:rsid w:val="009358A0"/>
    <w:rsid w:val="00935B36"/>
    <w:rsid w:val="00935C51"/>
    <w:rsid w:val="00935CD3"/>
    <w:rsid w:val="00935EC2"/>
    <w:rsid w:val="0093627A"/>
    <w:rsid w:val="00940E4E"/>
    <w:rsid w:val="00941023"/>
    <w:rsid w:val="009417B7"/>
    <w:rsid w:val="00941984"/>
    <w:rsid w:val="009421B3"/>
    <w:rsid w:val="00942DFB"/>
    <w:rsid w:val="00942FD4"/>
    <w:rsid w:val="00943600"/>
    <w:rsid w:val="009436CF"/>
    <w:rsid w:val="009437CE"/>
    <w:rsid w:val="00943EDA"/>
    <w:rsid w:val="009445BC"/>
    <w:rsid w:val="009446BC"/>
    <w:rsid w:val="0094554D"/>
    <w:rsid w:val="00945A37"/>
    <w:rsid w:val="00945A6E"/>
    <w:rsid w:val="00945A71"/>
    <w:rsid w:val="00945D0C"/>
    <w:rsid w:val="00945FBA"/>
    <w:rsid w:val="00946094"/>
    <w:rsid w:val="009460A4"/>
    <w:rsid w:val="009466B8"/>
    <w:rsid w:val="009468B2"/>
    <w:rsid w:val="00946CBF"/>
    <w:rsid w:val="00947985"/>
    <w:rsid w:val="009479CA"/>
    <w:rsid w:val="00950DFA"/>
    <w:rsid w:val="009511ED"/>
    <w:rsid w:val="009517A9"/>
    <w:rsid w:val="009517C1"/>
    <w:rsid w:val="00951EDD"/>
    <w:rsid w:val="00953023"/>
    <w:rsid w:val="00953836"/>
    <w:rsid w:val="009543BE"/>
    <w:rsid w:val="00954685"/>
    <w:rsid w:val="00954835"/>
    <w:rsid w:val="0095485C"/>
    <w:rsid w:val="009558C5"/>
    <w:rsid w:val="00955C70"/>
    <w:rsid w:val="00955D19"/>
    <w:rsid w:val="00955F4A"/>
    <w:rsid w:val="0095623E"/>
    <w:rsid w:val="00956BC3"/>
    <w:rsid w:val="0095744C"/>
    <w:rsid w:val="00957A51"/>
    <w:rsid w:val="00957D78"/>
    <w:rsid w:val="00957E38"/>
    <w:rsid w:val="00957F30"/>
    <w:rsid w:val="0096054C"/>
    <w:rsid w:val="00960E8C"/>
    <w:rsid w:val="00961DED"/>
    <w:rsid w:val="00961E6A"/>
    <w:rsid w:val="0096280D"/>
    <w:rsid w:val="009630DA"/>
    <w:rsid w:val="00963AF3"/>
    <w:rsid w:val="00963F2B"/>
    <w:rsid w:val="009647EB"/>
    <w:rsid w:val="009651A9"/>
    <w:rsid w:val="00965668"/>
    <w:rsid w:val="00965E4A"/>
    <w:rsid w:val="0096646C"/>
    <w:rsid w:val="00966BDF"/>
    <w:rsid w:val="00966FE1"/>
    <w:rsid w:val="00967A2C"/>
    <w:rsid w:val="00967B67"/>
    <w:rsid w:val="00967FCB"/>
    <w:rsid w:val="00972E6B"/>
    <w:rsid w:val="00973D32"/>
    <w:rsid w:val="00973F03"/>
    <w:rsid w:val="00973FE6"/>
    <w:rsid w:val="00974664"/>
    <w:rsid w:val="0097487C"/>
    <w:rsid w:val="00974B49"/>
    <w:rsid w:val="00974E1B"/>
    <w:rsid w:val="009754C6"/>
    <w:rsid w:val="00975C02"/>
    <w:rsid w:val="00975E30"/>
    <w:rsid w:val="009764EF"/>
    <w:rsid w:val="00976759"/>
    <w:rsid w:val="00977A63"/>
    <w:rsid w:val="009805AB"/>
    <w:rsid w:val="00980760"/>
    <w:rsid w:val="00980B14"/>
    <w:rsid w:val="009810B5"/>
    <w:rsid w:val="009814F8"/>
    <w:rsid w:val="0098165A"/>
    <w:rsid w:val="009816FB"/>
    <w:rsid w:val="00981872"/>
    <w:rsid w:val="0098291D"/>
    <w:rsid w:val="00982A11"/>
    <w:rsid w:val="00983B8A"/>
    <w:rsid w:val="00984AA0"/>
    <w:rsid w:val="0098569D"/>
    <w:rsid w:val="00985A98"/>
    <w:rsid w:val="00985C83"/>
    <w:rsid w:val="00985E20"/>
    <w:rsid w:val="0098635C"/>
    <w:rsid w:val="009867D6"/>
    <w:rsid w:val="0098709C"/>
    <w:rsid w:val="00987714"/>
    <w:rsid w:val="00987A0D"/>
    <w:rsid w:val="00987DA7"/>
    <w:rsid w:val="00987F91"/>
    <w:rsid w:val="009900CF"/>
    <w:rsid w:val="00990886"/>
    <w:rsid w:val="009908FD"/>
    <w:rsid w:val="009910C4"/>
    <w:rsid w:val="00991597"/>
    <w:rsid w:val="0099287A"/>
    <w:rsid w:val="00992B00"/>
    <w:rsid w:val="0099348C"/>
    <w:rsid w:val="00993C6D"/>
    <w:rsid w:val="00994180"/>
    <w:rsid w:val="009943EE"/>
    <w:rsid w:val="009944A6"/>
    <w:rsid w:val="009945AE"/>
    <w:rsid w:val="00994613"/>
    <w:rsid w:val="0099485F"/>
    <w:rsid w:val="00994879"/>
    <w:rsid w:val="00994B32"/>
    <w:rsid w:val="00994C8A"/>
    <w:rsid w:val="0099548A"/>
    <w:rsid w:val="0099590D"/>
    <w:rsid w:val="00995AD4"/>
    <w:rsid w:val="00995B02"/>
    <w:rsid w:val="00995B44"/>
    <w:rsid w:val="00995F87"/>
    <w:rsid w:val="00996363"/>
    <w:rsid w:val="009963BB"/>
    <w:rsid w:val="009964AC"/>
    <w:rsid w:val="00996BF1"/>
    <w:rsid w:val="00997CF0"/>
    <w:rsid w:val="009A0060"/>
    <w:rsid w:val="009A04A2"/>
    <w:rsid w:val="009A0520"/>
    <w:rsid w:val="009A0C93"/>
    <w:rsid w:val="009A0EF3"/>
    <w:rsid w:val="009A0F59"/>
    <w:rsid w:val="009A1370"/>
    <w:rsid w:val="009A2250"/>
    <w:rsid w:val="009A38EB"/>
    <w:rsid w:val="009A3CB2"/>
    <w:rsid w:val="009A3E37"/>
    <w:rsid w:val="009A4445"/>
    <w:rsid w:val="009A51A6"/>
    <w:rsid w:val="009A547E"/>
    <w:rsid w:val="009A5889"/>
    <w:rsid w:val="009A5B92"/>
    <w:rsid w:val="009A6AA7"/>
    <w:rsid w:val="009A6D39"/>
    <w:rsid w:val="009A7037"/>
    <w:rsid w:val="009B04EC"/>
    <w:rsid w:val="009B0534"/>
    <w:rsid w:val="009B0755"/>
    <w:rsid w:val="009B0EAA"/>
    <w:rsid w:val="009B0EC4"/>
    <w:rsid w:val="009B1767"/>
    <w:rsid w:val="009B198A"/>
    <w:rsid w:val="009B1FE4"/>
    <w:rsid w:val="009B220F"/>
    <w:rsid w:val="009B2777"/>
    <w:rsid w:val="009B27E0"/>
    <w:rsid w:val="009B28C6"/>
    <w:rsid w:val="009B2C99"/>
    <w:rsid w:val="009B2DB7"/>
    <w:rsid w:val="009B2FB2"/>
    <w:rsid w:val="009B320D"/>
    <w:rsid w:val="009B3EBD"/>
    <w:rsid w:val="009B408E"/>
    <w:rsid w:val="009B5105"/>
    <w:rsid w:val="009B607B"/>
    <w:rsid w:val="009B6633"/>
    <w:rsid w:val="009B67CE"/>
    <w:rsid w:val="009B6C09"/>
    <w:rsid w:val="009B6CB9"/>
    <w:rsid w:val="009B7559"/>
    <w:rsid w:val="009B7960"/>
    <w:rsid w:val="009C054F"/>
    <w:rsid w:val="009C1118"/>
    <w:rsid w:val="009C137E"/>
    <w:rsid w:val="009C15B0"/>
    <w:rsid w:val="009C1C2E"/>
    <w:rsid w:val="009C1FCF"/>
    <w:rsid w:val="009C221F"/>
    <w:rsid w:val="009C22FA"/>
    <w:rsid w:val="009C231C"/>
    <w:rsid w:val="009C2966"/>
    <w:rsid w:val="009C2AF2"/>
    <w:rsid w:val="009C3BDE"/>
    <w:rsid w:val="009C3DF0"/>
    <w:rsid w:val="009C4178"/>
    <w:rsid w:val="009C473D"/>
    <w:rsid w:val="009C5FE9"/>
    <w:rsid w:val="009C62D0"/>
    <w:rsid w:val="009C75A6"/>
    <w:rsid w:val="009C76BC"/>
    <w:rsid w:val="009C7793"/>
    <w:rsid w:val="009C7A84"/>
    <w:rsid w:val="009D01BA"/>
    <w:rsid w:val="009D0B2B"/>
    <w:rsid w:val="009D11EF"/>
    <w:rsid w:val="009D12A7"/>
    <w:rsid w:val="009D1EBC"/>
    <w:rsid w:val="009D2AAA"/>
    <w:rsid w:val="009D3678"/>
    <w:rsid w:val="009D420B"/>
    <w:rsid w:val="009D4913"/>
    <w:rsid w:val="009D500F"/>
    <w:rsid w:val="009D546A"/>
    <w:rsid w:val="009D5E29"/>
    <w:rsid w:val="009D6205"/>
    <w:rsid w:val="009D646B"/>
    <w:rsid w:val="009D661E"/>
    <w:rsid w:val="009D69C1"/>
    <w:rsid w:val="009D6B92"/>
    <w:rsid w:val="009D771C"/>
    <w:rsid w:val="009E055A"/>
    <w:rsid w:val="009E077B"/>
    <w:rsid w:val="009E07E7"/>
    <w:rsid w:val="009E0A16"/>
    <w:rsid w:val="009E12B4"/>
    <w:rsid w:val="009E2029"/>
    <w:rsid w:val="009E259D"/>
    <w:rsid w:val="009E2A5B"/>
    <w:rsid w:val="009E2B27"/>
    <w:rsid w:val="009E2D35"/>
    <w:rsid w:val="009E3966"/>
    <w:rsid w:val="009E49EB"/>
    <w:rsid w:val="009E507A"/>
    <w:rsid w:val="009E5385"/>
    <w:rsid w:val="009E5AD1"/>
    <w:rsid w:val="009E5D7F"/>
    <w:rsid w:val="009E6277"/>
    <w:rsid w:val="009E649E"/>
    <w:rsid w:val="009E6D8D"/>
    <w:rsid w:val="009E6E53"/>
    <w:rsid w:val="009E758A"/>
    <w:rsid w:val="009E7B5D"/>
    <w:rsid w:val="009F015A"/>
    <w:rsid w:val="009F0767"/>
    <w:rsid w:val="009F0D62"/>
    <w:rsid w:val="009F0E23"/>
    <w:rsid w:val="009F0F61"/>
    <w:rsid w:val="009F0F98"/>
    <w:rsid w:val="009F0FC8"/>
    <w:rsid w:val="009F112A"/>
    <w:rsid w:val="009F1757"/>
    <w:rsid w:val="009F1A09"/>
    <w:rsid w:val="009F1F26"/>
    <w:rsid w:val="009F26BE"/>
    <w:rsid w:val="009F30EC"/>
    <w:rsid w:val="009F3187"/>
    <w:rsid w:val="009F39CB"/>
    <w:rsid w:val="009F412E"/>
    <w:rsid w:val="009F475F"/>
    <w:rsid w:val="009F4886"/>
    <w:rsid w:val="009F48CA"/>
    <w:rsid w:val="009F509D"/>
    <w:rsid w:val="009F6426"/>
    <w:rsid w:val="009F687B"/>
    <w:rsid w:val="009F6A90"/>
    <w:rsid w:val="009F6E7D"/>
    <w:rsid w:val="009F74CE"/>
    <w:rsid w:val="009F7C9B"/>
    <w:rsid w:val="009F7D42"/>
    <w:rsid w:val="00A01862"/>
    <w:rsid w:val="00A01AA9"/>
    <w:rsid w:val="00A01C02"/>
    <w:rsid w:val="00A02FB7"/>
    <w:rsid w:val="00A03804"/>
    <w:rsid w:val="00A03C5B"/>
    <w:rsid w:val="00A03CDB"/>
    <w:rsid w:val="00A053F1"/>
    <w:rsid w:val="00A055CB"/>
    <w:rsid w:val="00A05871"/>
    <w:rsid w:val="00A05AA3"/>
    <w:rsid w:val="00A063FD"/>
    <w:rsid w:val="00A06C89"/>
    <w:rsid w:val="00A074F3"/>
    <w:rsid w:val="00A07760"/>
    <w:rsid w:val="00A10BF9"/>
    <w:rsid w:val="00A10FFE"/>
    <w:rsid w:val="00A11333"/>
    <w:rsid w:val="00A113EB"/>
    <w:rsid w:val="00A11CC7"/>
    <w:rsid w:val="00A12BA9"/>
    <w:rsid w:val="00A132A2"/>
    <w:rsid w:val="00A1332B"/>
    <w:rsid w:val="00A13E2D"/>
    <w:rsid w:val="00A1408D"/>
    <w:rsid w:val="00A148DD"/>
    <w:rsid w:val="00A14B91"/>
    <w:rsid w:val="00A1553B"/>
    <w:rsid w:val="00A1616F"/>
    <w:rsid w:val="00A1637E"/>
    <w:rsid w:val="00A166A7"/>
    <w:rsid w:val="00A169C0"/>
    <w:rsid w:val="00A173EC"/>
    <w:rsid w:val="00A17650"/>
    <w:rsid w:val="00A176E2"/>
    <w:rsid w:val="00A177BC"/>
    <w:rsid w:val="00A17B77"/>
    <w:rsid w:val="00A20472"/>
    <w:rsid w:val="00A2086D"/>
    <w:rsid w:val="00A21278"/>
    <w:rsid w:val="00A224C6"/>
    <w:rsid w:val="00A22A01"/>
    <w:rsid w:val="00A22E8D"/>
    <w:rsid w:val="00A23E29"/>
    <w:rsid w:val="00A24269"/>
    <w:rsid w:val="00A24670"/>
    <w:rsid w:val="00A246A1"/>
    <w:rsid w:val="00A24964"/>
    <w:rsid w:val="00A24B7F"/>
    <w:rsid w:val="00A2523A"/>
    <w:rsid w:val="00A256D4"/>
    <w:rsid w:val="00A2587C"/>
    <w:rsid w:val="00A25E39"/>
    <w:rsid w:val="00A263E6"/>
    <w:rsid w:val="00A26522"/>
    <w:rsid w:val="00A268CA"/>
    <w:rsid w:val="00A26F4E"/>
    <w:rsid w:val="00A26FA9"/>
    <w:rsid w:val="00A26FFD"/>
    <w:rsid w:val="00A2783A"/>
    <w:rsid w:val="00A279EB"/>
    <w:rsid w:val="00A27BE6"/>
    <w:rsid w:val="00A30577"/>
    <w:rsid w:val="00A307E5"/>
    <w:rsid w:val="00A309F3"/>
    <w:rsid w:val="00A30A9E"/>
    <w:rsid w:val="00A30E34"/>
    <w:rsid w:val="00A32354"/>
    <w:rsid w:val="00A32830"/>
    <w:rsid w:val="00A328F6"/>
    <w:rsid w:val="00A32A17"/>
    <w:rsid w:val="00A32A5E"/>
    <w:rsid w:val="00A32E83"/>
    <w:rsid w:val="00A32F1C"/>
    <w:rsid w:val="00A32FB4"/>
    <w:rsid w:val="00A340D0"/>
    <w:rsid w:val="00A34109"/>
    <w:rsid w:val="00A34D22"/>
    <w:rsid w:val="00A34F70"/>
    <w:rsid w:val="00A35056"/>
    <w:rsid w:val="00A3578B"/>
    <w:rsid w:val="00A3617C"/>
    <w:rsid w:val="00A36D68"/>
    <w:rsid w:val="00A371D3"/>
    <w:rsid w:val="00A37590"/>
    <w:rsid w:val="00A37648"/>
    <w:rsid w:val="00A37A04"/>
    <w:rsid w:val="00A37C03"/>
    <w:rsid w:val="00A37E3B"/>
    <w:rsid w:val="00A37EC3"/>
    <w:rsid w:val="00A40487"/>
    <w:rsid w:val="00A40F4A"/>
    <w:rsid w:val="00A4114A"/>
    <w:rsid w:val="00A4184D"/>
    <w:rsid w:val="00A41DAC"/>
    <w:rsid w:val="00A42106"/>
    <w:rsid w:val="00A422F9"/>
    <w:rsid w:val="00A42E5B"/>
    <w:rsid w:val="00A4321F"/>
    <w:rsid w:val="00A43C46"/>
    <w:rsid w:val="00A43FE8"/>
    <w:rsid w:val="00A44FD8"/>
    <w:rsid w:val="00A45478"/>
    <w:rsid w:val="00A4555D"/>
    <w:rsid w:val="00A4581D"/>
    <w:rsid w:val="00A45DF0"/>
    <w:rsid w:val="00A464D8"/>
    <w:rsid w:val="00A46AD1"/>
    <w:rsid w:val="00A46B71"/>
    <w:rsid w:val="00A46CA4"/>
    <w:rsid w:val="00A46EFD"/>
    <w:rsid w:val="00A470D3"/>
    <w:rsid w:val="00A471BD"/>
    <w:rsid w:val="00A473DF"/>
    <w:rsid w:val="00A50544"/>
    <w:rsid w:val="00A507E2"/>
    <w:rsid w:val="00A513AB"/>
    <w:rsid w:val="00A51640"/>
    <w:rsid w:val="00A524E0"/>
    <w:rsid w:val="00A52E82"/>
    <w:rsid w:val="00A53474"/>
    <w:rsid w:val="00A5356B"/>
    <w:rsid w:val="00A536F2"/>
    <w:rsid w:val="00A538B5"/>
    <w:rsid w:val="00A53FD8"/>
    <w:rsid w:val="00A54114"/>
    <w:rsid w:val="00A54761"/>
    <w:rsid w:val="00A54BE5"/>
    <w:rsid w:val="00A558B0"/>
    <w:rsid w:val="00A559AF"/>
    <w:rsid w:val="00A55B91"/>
    <w:rsid w:val="00A55D8D"/>
    <w:rsid w:val="00A60103"/>
    <w:rsid w:val="00A60538"/>
    <w:rsid w:val="00A60D4A"/>
    <w:rsid w:val="00A61050"/>
    <w:rsid w:val="00A61888"/>
    <w:rsid w:val="00A62420"/>
    <w:rsid w:val="00A62F04"/>
    <w:rsid w:val="00A637AA"/>
    <w:rsid w:val="00A63BDD"/>
    <w:rsid w:val="00A6468A"/>
    <w:rsid w:val="00A64877"/>
    <w:rsid w:val="00A650C8"/>
    <w:rsid w:val="00A6603E"/>
    <w:rsid w:val="00A6681F"/>
    <w:rsid w:val="00A66DBB"/>
    <w:rsid w:val="00A67061"/>
    <w:rsid w:val="00A67230"/>
    <w:rsid w:val="00A6746A"/>
    <w:rsid w:val="00A675BC"/>
    <w:rsid w:val="00A676C0"/>
    <w:rsid w:val="00A67989"/>
    <w:rsid w:val="00A67C2B"/>
    <w:rsid w:val="00A67D93"/>
    <w:rsid w:val="00A67DF8"/>
    <w:rsid w:val="00A70289"/>
    <w:rsid w:val="00A70429"/>
    <w:rsid w:val="00A7133E"/>
    <w:rsid w:val="00A71482"/>
    <w:rsid w:val="00A71D2A"/>
    <w:rsid w:val="00A72628"/>
    <w:rsid w:val="00A72BD7"/>
    <w:rsid w:val="00A72FDE"/>
    <w:rsid w:val="00A7309A"/>
    <w:rsid w:val="00A73EE4"/>
    <w:rsid w:val="00A740DF"/>
    <w:rsid w:val="00A74954"/>
    <w:rsid w:val="00A74F5A"/>
    <w:rsid w:val="00A75652"/>
    <w:rsid w:val="00A7669A"/>
    <w:rsid w:val="00A767BC"/>
    <w:rsid w:val="00A76F9F"/>
    <w:rsid w:val="00A77311"/>
    <w:rsid w:val="00A777D4"/>
    <w:rsid w:val="00A77892"/>
    <w:rsid w:val="00A77C0B"/>
    <w:rsid w:val="00A809A6"/>
    <w:rsid w:val="00A80C5D"/>
    <w:rsid w:val="00A814D1"/>
    <w:rsid w:val="00A81BD0"/>
    <w:rsid w:val="00A824D2"/>
    <w:rsid w:val="00A8292F"/>
    <w:rsid w:val="00A82E37"/>
    <w:rsid w:val="00A83436"/>
    <w:rsid w:val="00A842BE"/>
    <w:rsid w:val="00A84E71"/>
    <w:rsid w:val="00A84F03"/>
    <w:rsid w:val="00A85017"/>
    <w:rsid w:val="00A8579B"/>
    <w:rsid w:val="00A85909"/>
    <w:rsid w:val="00A85E34"/>
    <w:rsid w:val="00A87654"/>
    <w:rsid w:val="00A878DB"/>
    <w:rsid w:val="00A87980"/>
    <w:rsid w:val="00A90211"/>
    <w:rsid w:val="00A90265"/>
    <w:rsid w:val="00A903C7"/>
    <w:rsid w:val="00A90433"/>
    <w:rsid w:val="00A91B59"/>
    <w:rsid w:val="00A924BF"/>
    <w:rsid w:val="00A92CC2"/>
    <w:rsid w:val="00A92E9E"/>
    <w:rsid w:val="00A92F2B"/>
    <w:rsid w:val="00A92F94"/>
    <w:rsid w:val="00A93182"/>
    <w:rsid w:val="00A93967"/>
    <w:rsid w:val="00A93E8D"/>
    <w:rsid w:val="00A9438C"/>
    <w:rsid w:val="00A9444B"/>
    <w:rsid w:val="00A94AA9"/>
    <w:rsid w:val="00A94CA2"/>
    <w:rsid w:val="00A94D8D"/>
    <w:rsid w:val="00A94E12"/>
    <w:rsid w:val="00A954C6"/>
    <w:rsid w:val="00A95AEB"/>
    <w:rsid w:val="00A95E0D"/>
    <w:rsid w:val="00A96991"/>
    <w:rsid w:val="00A96ED4"/>
    <w:rsid w:val="00A9708C"/>
    <w:rsid w:val="00A9765D"/>
    <w:rsid w:val="00A97EE0"/>
    <w:rsid w:val="00AA0065"/>
    <w:rsid w:val="00AA0159"/>
    <w:rsid w:val="00AA0541"/>
    <w:rsid w:val="00AA0646"/>
    <w:rsid w:val="00AA0BD6"/>
    <w:rsid w:val="00AA0CDA"/>
    <w:rsid w:val="00AA0FA9"/>
    <w:rsid w:val="00AA1A44"/>
    <w:rsid w:val="00AA21E1"/>
    <w:rsid w:val="00AA2BAE"/>
    <w:rsid w:val="00AA2DA5"/>
    <w:rsid w:val="00AA34D5"/>
    <w:rsid w:val="00AA360D"/>
    <w:rsid w:val="00AA380D"/>
    <w:rsid w:val="00AA3A97"/>
    <w:rsid w:val="00AA3F07"/>
    <w:rsid w:val="00AA413F"/>
    <w:rsid w:val="00AA4CD3"/>
    <w:rsid w:val="00AA539D"/>
    <w:rsid w:val="00AA548E"/>
    <w:rsid w:val="00AA56B4"/>
    <w:rsid w:val="00AA59EB"/>
    <w:rsid w:val="00AA5AA4"/>
    <w:rsid w:val="00AA62BF"/>
    <w:rsid w:val="00AA62CC"/>
    <w:rsid w:val="00AA6342"/>
    <w:rsid w:val="00AA69E8"/>
    <w:rsid w:val="00AA6BDB"/>
    <w:rsid w:val="00AA6CD7"/>
    <w:rsid w:val="00AA74BD"/>
    <w:rsid w:val="00AA7EA3"/>
    <w:rsid w:val="00AB042D"/>
    <w:rsid w:val="00AB0621"/>
    <w:rsid w:val="00AB084F"/>
    <w:rsid w:val="00AB0ECA"/>
    <w:rsid w:val="00AB18BF"/>
    <w:rsid w:val="00AB19C1"/>
    <w:rsid w:val="00AB1E05"/>
    <w:rsid w:val="00AB262F"/>
    <w:rsid w:val="00AB2703"/>
    <w:rsid w:val="00AB2D60"/>
    <w:rsid w:val="00AB3639"/>
    <w:rsid w:val="00AB3988"/>
    <w:rsid w:val="00AB4843"/>
    <w:rsid w:val="00AB4872"/>
    <w:rsid w:val="00AB49CB"/>
    <w:rsid w:val="00AB5703"/>
    <w:rsid w:val="00AB5813"/>
    <w:rsid w:val="00AB59D1"/>
    <w:rsid w:val="00AB5AB5"/>
    <w:rsid w:val="00AB5E1D"/>
    <w:rsid w:val="00AB6E08"/>
    <w:rsid w:val="00AB792F"/>
    <w:rsid w:val="00AC054E"/>
    <w:rsid w:val="00AC0823"/>
    <w:rsid w:val="00AC0AA2"/>
    <w:rsid w:val="00AC10DE"/>
    <w:rsid w:val="00AC11E1"/>
    <w:rsid w:val="00AC1B2A"/>
    <w:rsid w:val="00AC1CA9"/>
    <w:rsid w:val="00AC20A5"/>
    <w:rsid w:val="00AC2794"/>
    <w:rsid w:val="00AC2D0D"/>
    <w:rsid w:val="00AC2E62"/>
    <w:rsid w:val="00AC3521"/>
    <w:rsid w:val="00AC3FA7"/>
    <w:rsid w:val="00AC42B8"/>
    <w:rsid w:val="00AC6062"/>
    <w:rsid w:val="00AC63AE"/>
    <w:rsid w:val="00AC693E"/>
    <w:rsid w:val="00AC6BF4"/>
    <w:rsid w:val="00AC6D4E"/>
    <w:rsid w:val="00AC78B6"/>
    <w:rsid w:val="00AC7939"/>
    <w:rsid w:val="00AC7E36"/>
    <w:rsid w:val="00AD0116"/>
    <w:rsid w:val="00AD07BD"/>
    <w:rsid w:val="00AD0A94"/>
    <w:rsid w:val="00AD0DB3"/>
    <w:rsid w:val="00AD1189"/>
    <w:rsid w:val="00AD18F3"/>
    <w:rsid w:val="00AD1B18"/>
    <w:rsid w:val="00AD1D5F"/>
    <w:rsid w:val="00AD1E2B"/>
    <w:rsid w:val="00AD1FAB"/>
    <w:rsid w:val="00AD24A5"/>
    <w:rsid w:val="00AD27F6"/>
    <w:rsid w:val="00AD29A3"/>
    <w:rsid w:val="00AD2AD3"/>
    <w:rsid w:val="00AD3B94"/>
    <w:rsid w:val="00AD41C1"/>
    <w:rsid w:val="00AD49AB"/>
    <w:rsid w:val="00AD51B9"/>
    <w:rsid w:val="00AD523C"/>
    <w:rsid w:val="00AD5A1D"/>
    <w:rsid w:val="00AD5F30"/>
    <w:rsid w:val="00AD61CE"/>
    <w:rsid w:val="00AD627C"/>
    <w:rsid w:val="00AD6B91"/>
    <w:rsid w:val="00AD750C"/>
    <w:rsid w:val="00AD7576"/>
    <w:rsid w:val="00AD76A2"/>
    <w:rsid w:val="00AD7EBA"/>
    <w:rsid w:val="00AE04A9"/>
    <w:rsid w:val="00AE0661"/>
    <w:rsid w:val="00AE0729"/>
    <w:rsid w:val="00AE1392"/>
    <w:rsid w:val="00AE192D"/>
    <w:rsid w:val="00AE1EEC"/>
    <w:rsid w:val="00AE270B"/>
    <w:rsid w:val="00AE33E5"/>
    <w:rsid w:val="00AE389B"/>
    <w:rsid w:val="00AE3ACB"/>
    <w:rsid w:val="00AE3D63"/>
    <w:rsid w:val="00AE3F0D"/>
    <w:rsid w:val="00AE47C6"/>
    <w:rsid w:val="00AE5370"/>
    <w:rsid w:val="00AE5423"/>
    <w:rsid w:val="00AE585E"/>
    <w:rsid w:val="00AE58F8"/>
    <w:rsid w:val="00AE5AE1"/>
    <w:rsid w:val="00AE6175"/>
    <w:rsid w:val="00AE6FAB"/>
    <w:rsid w:val="00AE7554"/>
    <w:rsid w:val="00AE76AC"/>
    <w:rsid w:val="00AF015C"/>
    <w:rsid w:val="00AF0800"/>
    <w:rsid w:val="00AF089D"/>
    <w:rsid w:val="00AF0C20"/>
    <w:rsid w:val="00AF1623"/>
    <w:rsid w:val="00AF1E94"/>
    <w:rsid w:val="00AF24CB"/>
    <w:rsid w:val="00AF2FF9"/>
    <w:rsid w:val="00AF3761"/>
    <w:rsid w:val="00AF3CE7"/>
    <w:rsid w:val="00AF41D0"/>
    <w:rsid w:val="00AF471C"/>
    <w:rsid w:val="00AF57A7"/>
    <w:rsid w:val="00AF6019"/>
    <w:rsid w:val="00AF6616"/>
    <w:rsid w:val="00AF6914"/>
    <w:rsid w:val="00AF6BF4"/>
    <w:rsid w:val="00AF7166"/>
    <w:rsid w:val="00AF7858"/>
    <w:rsid w:val="00AF7A40"/>
    <w:rsid w:val="00AF7A50"/>
    <w:rsid w:val="00AF7CB6"/>
    <w:rsid w:val="00B000F3"/>
    <w:rsid w:val="00B00201"/>
    <w:rsid w:val="00B00242"/>
    <w:rsid w:val="00B00256"/>
    <w:rsid w:val="00B00294"/>
    <w:rsid w:val="00B00C4C"/>
    <w:rsid w:val="00B01378"/>
    <w:rsid w:val="00B01429"/>
    <w:rsid w:val="00B02163"/>
    <w:rsid w:val="00B0256C"/>
    <w:rsid w:val="00B025CA"/>
    <w:rsid w:val="00B04DD4"/>
    <w:rsid w:val="00B04DF3"/>
    <w:rsid w:val="00B0601C"/>
    <w:rsid w:val="00B06971"/>
    <w:rsid w:val="00B076A4"/>
    <w:rsid w:val="00B077C1"/>
    <w:rsid w:val="00B07860"/>
    <w:rsid w:val="00B0792E"/>
    <w:rsid w:val="00B07C9D"/>
    <w:rsid w:val="00B108A4"/>
    <w:rsid w:val="00B10FFA"/>
    <w:rsid w:val="00B111CD"/>
    <w:rsid w:val="00B1154F"/>
    <w:rsid w:val="00B11851"/>
    <w:rsid w:val="00B11BA4"/>
    <w:rsid w:val="00B12F32"/>
    <w:rsid w:val="00B13403"/>
    <w:rsid w:val="00B13C64"/>
    <w:rsid w:val="00B13F8F"/>
    <w:rsid w:val="00B145FE"/>
    <w:rsid w:val="00B1487D"/>
    <w:rsid w:val="00B14AA8"/>
    <w:rsid w:val="00B14DC5"/>
    <w:rsid w:val="00B158A8"/>
    <w:rsid w:val="00B15F5A"/>
    <w:rsid w:val="00B164A2"/>
    <w:rsid w:val="00B202C3"/>
    <w:rsid w:val="00B207A2"/>
    <w:rsid w:val="00B20BFA"/>
    <w:rsid w:val="00B211B4"/>
    <w:rsid w:val="00B22112"/>
    <w:rsid w:val="00B221DA"/>
    <w:rsid w:val="00B22FA0"/>
    <w:rsid w:val="00B23010"/>
    <w:rsid w:val="00B230DF"/>
    <w:rsid w:val="00B231B0"/>
    <w:rsid w:val="00B23718"/>
    <w:rsid w:val="00B2417E"/>
    <w:rsid w:val="00B24384"/>
    <w:rsid w:val="00B246EF"/>
    <w:rsid w:val="00B24FAD"/>
    <w:rsid w:val="00B2546F"/>
    <w:rsid w:val="00B25807"/>
    <w:rsid w:val="00B2588E"/>
    <w:rsid w:val="00B25D97"/>
    <w:rsid w:val="00B26051"/>
    <w:rsid w:val="00B26781"/>
    <w:rsid w:val="00B3091C"/>
    <w:rsid w:val="00B30A4C"/>
    <w:rsid w:val="00B30B89"/>
    <w:rsid w:val="00B3107A"/>
    <w:rsid w:val="00B31B77"/>
    <w:rsid w:val="00B32E26"/>
    <w:rsid w:val="00B332C0"/>
    <w:rsid w:val="00B33907"/>
    <w:rsid w:val="00B33B83"/>
    <w:rsid w:val="00B33D5C"/>
    <w:rsid w:val="00B34199"/>
    <w:rsid w:val="00B343B3"/>
    <w:rsid w:val="00B355CC"/>
    <w:rsid w:val="00B35A2A"/>
    <w:rsid w:val="00B35BD4"/>
    <w:rsid w:val="00B36506"/>
    <w:rsid w:val="00B365AA"/>
    <w:rsid w:val="00B37096"/>
    <w:rsid w:val="00B37553"/>
    <w:rsid w:val="00B376A4"/>
    <w:rsid w:val="00B415F3"/>
    <w:rsid w:val="00B41F76"/>
    <w:rsid w:val="00B421B7"/>
    <w:rsid w:val="00B437B2"/>
    <w:rsid w:val="00B43E7D"/>
    <w:rsid w:val="00B44634"/>
    <w:rsid w:val="00B4498E"/>
    <w:rsid w:val="00B44C45"/>
    <w:rsid w:val="00B44EE9"/>
    <w:rsid w:val="00B451A5"/>
    <w:rsid w:val="00B4532E"/>
    <w:rsid w:val="00B45619"/>
    <w:rsid w:val="00B45977"/>
    <w:rsid w:val="00B45E0B"/>
    <w:rsid w:val="00B46168"/>
    <w:rsid w:val="00B46338"/>
    <w:rsid w:val="00B466AF"/>
    <w:rsid w:val="00B469FE"/>
    <w:rsid w:val="00B47822"/>
    <w:rsid w:val="00B47BE3"/>
    <w:rsid w:val="00B47F2F"/>
    <w:rsid w:val="00B47FEB"/>
    <w:rsid w:val="00B5001E"/>
    <w:rsid w:val="00B500E0"/>
    <w:rsid w:val="00B50F1E"/>
    <w:rsid w:val="00B51167"/>
    <w:rsid w:val="00B5125C"/>
    <w:rsid w:val="00B5139E"/>
    <w:rsid w:val="00B51700"/>
    <w:rsid w:val="00B51763"/>
    <w:rsid w:val="00B51B55"/>
    <w:rsid w:val="00B51C39"/>
    <w:rsid w:val="00B51D0B"/>
    <w:rsid w:val="00B51D8E"/>
    <w:rsid w:val="00B51E3C"/>
    <w:rsid w:val="00B5213F"/>
    <w:rsid w:val="00B522B9"/>
    <w:rsid w:val="00B523E3"/>
    <w:rsid w:val="00B524B7"/>
    <w:rsid w:val="00B528F7"/>
    <w:rsid w:val="00B5312C"/>
    <w:rsid w:val="00B531FC"/>
    <w:rsid w:val="00B53418"/>
    <w:rsid w:val="00B5341A"/>
    <w:rsid w:val="00B536DB"/>
    <w:rsid w:val="00B537B8"/>
    <w:rsid w:val="00B5399E"/>
    <w:rsid w:val="00B539DA"/>
    <w:rsid w:val="00B546D8"/>
    <w:rsid w:val="00B54948"/>
    <w:rsid w:val="00B54E5D"/>
    <w:rsid w:val="00B555F1"/>
    <w:rsid w:val="00B55DA8"/>
    <w:rsid w:val="00B55DCC"/>
    <w:rsid w:val="00B55FE3"/>
    <w:rsid w:val="00B5618C"/>
    <w:rsid w:val="00B561AB"/>
    <w:rsid w:val="00B5625C"/>
    <w:rsid w:val="00B564C6"/>
    <w:rsid w:val="00B56AF1"/>
    <w:rsid w:val="00B5705B"/>
    <w:rsid w:val="00B57B64"/>
    <w:rsid w:val="00B57CDC"/>
    <w:rsid w:val="00B57D59"/>
    <w:rsid w:val="00B57ED5"/>
    <w:rsid w:val="00B6074F"/>
    <w:rsid w:val="00B60E2D"/>
    <w:rsid w:val="00B61209"/>
    <w:rsid w:val="00B612CF"/>
    <w:rsid w:val="00B62957"/>
    <w:rsid w:val="00B62AE3"/>
    <w:rsid w:val="00B631DD"/>
    <w:rsid w:val="00B635D2"/>
    <w:rsid w:val="00B646E3"/>
    <w:rsid w:val="00B64A40"/>
    <w:rsid w:val="00B64EFC"/>
    <w:rsid w:val="00B655DD"/>
    <w:rsid w:val="00B65DC0"/>
    <w:rsid w:val="00B66C88"/>
    <w:rsid w:val="00B67758"/>
    <w:rsid w:val="00B67BFE"/>
    <w:rsid w:val="00B67ED3"/>
    <w:rsid w:val="00B70148"/>
    <w:rsid w:val="00B701EA"/>
    <w:rsid w:val="00B70973"/>
    <w:rsid w:val="00B70CEC"/>
    <w:rsid w:val="00B7100D"/>
    <w:rsid w:val="00B71BC9"/>
    <w:rsid w:val="00B72C0C"/>
    <w:rsid w:val="00B73244"/>
    <w:rsid w:val="00B732EB"/>
    <w:rsid w:val="00B7376E"/>
    <w:rsid w:val="00B73C14"/>
    <w:rsid w:val="00B73D96"/>
    <w:rsid w:val="00B74197"/>
    <w:rsid w:val="00B74230"/>
    <w:rsid w:val="00B7476C"/>
    <w:rsid w:val="00B74E43"/>
    <w:rsid w:val="00B7508C"/>
    <w:rsid w:val="00B75431"/>
    <w:rsid w:val="00B75585"/>
    <w:rsid w:val="00B75B6D"/>
    <w:rsid w:val="00B75D00"/>
    <w:rsid w:val="00B774A1"/>
    <w:rsid w:val="00B7767F"/>
    <w:rsid w:val="00B77F2D"/>
    <w:rsid w:val="00B800C4"/>
    <w:rsid w:val="00B801A3"/>
    <w:rsid w:val="00B8023F"/>
    <w:rsid w:val="00B80E69"/>
    <w:rsid w:val="00B80ECA"/>
    <w:rsid w:val="00B8140A"/>
    <w:rsid w:val="00B81479"/>
    <w:rsid w:val="00B822B3"/>
    <w:rsid w:val="00B824B2"/>
    <w:rsid w:val="00B825BC"/>
    <w:rsid w:val="00B82B39"/>
    <w:rsid w:val="00B82C2E"/>
    <w:rsid w:val="00B836E9"/>
    <w:rsid w:val="00B837A4"/>
    <w:rsid w:val="00B84E7B"/>
    <w:rsid w:val="00B85083"/>
    <w:rsid w:val="00B8529E"/>
    <w:rsid w:val="00B859B8"/>
    <w:rsid w:val="00B863E2"/>
    <w:rsid w:val="00B86E15"/>
    <w:rsid w:val="00B86FF9"/>
    <w:rsid w:val="00B870E9"/>
    <w:rsid w:val="00B913BA"/>
    <w:rsid w:val="00B91FA4"/>
    <w:rsid w:val="00B9231E"/>
    <w:rsid w:val="00B92597"/>
    <w:rsid w:val="00B9271C"/>
    <w:rsid w:val="00B929D2"/>
    <w:rsid w:val="00B92A72"/>
    <w:rsid w:val="00B93041"/>
    <w:rsid w:val="00B93409"/>
    <w:rsid w:val="00B9405B"/>
    <w:rsid w:val="00B942EC"/>
    <w:rsid w:val="00B94478"/>
    <w:rsid w:val="00B94C6B"/>
    <w:rsid w:val="00B95978"/>
    <w:rsid w:val="00B960C1"/>
    <w:rsid w:val="00B96624"/>
    <w:rsid w:val="00B97499"/>
    <w:rsid w:val="00B97516"/>
    <w:rsid w:val="00B97993"/>
    <w:rsid w:val="00B97EA2"/>
    <w:rsid w:val="00BA0616"/>
    <w:rsid w:val="00BA0FC3"/>
    <w:rsid w:val="00BA1DFE"/>
    <w:rsid w:val="00BA2DC8"/>
    <w:rsid w:val="00BA2E4B"/>
    <w:rsid w:val="00BA3245"/>
    <w:rsid w:val="00BA32C7"/>
    <w:rsid w:val="00BA457D"/>
    <w:rsid w:val="00BA47CA"/>
    <w:rsid w:val="00BA499D"/>
    <w:rsid w:val="00BA4E1E"/>
    <w:rsid w:val="00BA5087"/>
    <w:rsid w:val="00BA5356"/>
    <w:rsid w:val="00BA5BD2"/>
    <w:rsid w:val="00BA60B1"/>
    <w:rsid w:val="00BA71D7"/>
    <w:rsid w:val="00BA7301"/>
    <w:rsid w:val="00BA74D6"/>
    <w:rsid w:val="00BA7D11"/>
    <w:rsid w:val="00BB0086"/>
    <w:rsid w:val="00BB0C1D"/>
    <w:rsid w:val="00BB0DBE"/>
    <w:rsid w:val="00BB0E16"/>
    <w:rsid w:val="00BB15B5"/>
    <w:rsid w:val="00BB25CB"/>
    <w:rsid w:val="00BB27BE"/>
    <w:rsid w:val="00BB29CB"/>
    <w:rsid w:val="00BB2EF1"/>
    <w:rsid w:val="00BB3092"/>
    <w:rsid w:val="00BB3304"/>
    <w:rsid w:val="00BB369A"/>
    <w:rsid w:val="00BB3AF0"/>
    <w:rsid w:val="00BB410E"/>
    <w:rsid w:val="00BB428E"/>
    <w:rsid w:val="00BB4593"/>
    <w:rsid w:val="00BB480A"/>
    <w:rsid w:val="00BB4D06"/>
    <w:rsid w:val="00BB6A71"/>
    <w:rsid w:val="00BB74B0"/>
    <w:rsid w:val="00BB7562"/>
    <w:rsid w:val="00BB7957"/>
    <w:rsid w:val="00BB7AE2"/>
    <w:rsid w:val="00BB7E7B"/>
    <w:rsid w:val="00BC0288"/>
    <w:rsid w:val="00BC054D"/>
    <w:rsid w:val="00BC0687"/>
    <w:rsid w:val="00BC100B"/>
    <w:rsid w:val="00BC1629"/>
    <w:rsid w:val="00BC1D77"/>
    <w:rsid w:val="00BC22DD"/>
    <w:rsid w:val="00BC2312"/>
    <w:rsid w:val="00BC2DF3"/>
    <w:rsid w:val="00BC32E7"/>
    <w:rsid w:val="00BC3DB4"/>
    <w:rsid w:val="00BC3E69"/>
    <w:rsid w:val="00BC4020"/>
    <w:rsid w:val="00BC46DB"/>
    <w:rsid w:val="00BC5592"/>
    <w:rsid w:val="00BC55F6"/>
    <w:rsid w:val="00BC5600"/>
    <w:rsid w:val="00BC64B4"/>
    <w:rsid w:val="00BC65F7"/>
    <w:rsid w:val="00BC72F7"/>
    <w:rsid w:val="00BC7398"/>
    <w:rsid w:val="00BC74DD"/>
    <w:rsid w:val="00BC7574"/>
    <w:rsid w:val="00BC7CDF"/>
    <w:rsid w:val="00BD0129"/>
    <w:rsid w:val="00BD0179"/>
    <w:rsid w:val="00BD0832"/>
    <w:rsid w:val="00BD0E41"/>
    <w:rsid w:val="00BD0E79"/>
    <w:rsid w:val="00BD142E"/>
    <w:rsid w:val="00BD1F51"/>
    <w:rsid w:val="00BD269F"/>
    <w:rsid w:val="00BD26CD"/>
    <w:rsid w:val="00BD2878"/>
    <w:rsid w:val="00BD2E77"/>
    <w:rsid w:val="00BD2FA8"/>
    <w:rsid w:val="00BD39A8"/>
    <w:rsid w:val="00BD3E85"/>
    <w:rsid w:val="00BD4405"/>
    <w:rsid w:val="00BD4AF8"/>
    <w:rsid w:val="00BD5858"/>
    <w:rsid w:val="00BD595A"/>
    <w:rsid w:val="00BD5F93"/>
    <w:rsid w:val="00BD6078"/>
    <w:rsid w:val="00BD7A99"/>
    <w:rsid w:val="00BD7FA2"/>
    <w:rsid w:val="00BE0170"/>
    <w:rsid w:val="00BE0D72"/>
    <w:rsid w:val="00BE1197"/>
    <w:rsid w:val="00BE17ED"/>
    <w:rsid w:val="00BE20C1"/>
    <w:rsid w:val="00BE2490"/>
    <w:rsid w:val="00BE3D42"/>
    <w:rsid w:val="00BE3FB3"/>
    <w:rsid w:val="00BE45B8"/>
    <w:rsid w:val="00BE4A81"/>
    <w:rsid w:val="00BE4EA2"/>
    <w:rsid w:val="00BE5576"/>
    <w:rsid w:val="00BE5699"/>
    <w:rsid w:val="00BE5A0C"/>
    <w:rsid w:val="00BE6128"/>
    <w:rsid w:val="00BE67B2"/>
    <w:rsid w:val="00BE7893"/>
    <w:rsid w:val="00BF024D"/>
    <w:rsid w:val="00BF02DA"/>
    <w:rsid w:val="00BF09E6"/>
    <w:rsid w:val="00BF0F73"/>
    <w:rsid w:val="00BF180E"/>
    <w:rsid w:val="00BF1D46"/>
    <w:rsid w:val="00BF1DA4"/>
    <w:rsid w:val="00BF248D"/>
    <w:rsid w:val="00BF2658"/>
    <w:rsid w:val="00BF2785"/>
    <w:rsid w:val="00BF298A"/>
    <w:rsid w:val="00BF2AE0"/>
    <w:rsid w:val="00BF32D6"/>
    <w:rsid w:val="00BF3AD1"/>
    <w:rsid w:val="00BF3F1D"/>
    <w:rsid w:val="00BF4A8B"/>
    <w:rsid w:val="00BF5271"/>
    <w:rsid w:val="00BF6A57"/>
    <w:rsid w:val="00BF798C"/>
    <w:rsid w:val="00C003A2"/>
    <w:rsid w:val="00C0084C"/>
    <w:rsid w:val="00C00A35"/>
    <w:rsid w:val="00C01B0E"/>
    <w:rsid w:val="00C01C52"/>
    <w:rsid w:val="00C02390"/>
    <w:rsid w:val="00C0261D"/>
    <w:rsid w:val="00C0273E"/>
    <w:rsid w:val="00C02811"/>
    <w:rsid w:val="00C03417"/>
    <w:rsid w:val="00C0349E"/>
    <w:rsid w:val="00C041B6"/>
    <w:rsid w:val="00C04CA6"/>
    <w:rsid w:val="00C04DE1"/>
    <w:rsid w:val="00C05384"/>
    <w:rsid w:val="00C05D37"/>
    <w:rsid w:val="00C06077"/>
    <w:rsid w:val="00C0638C"/>
    <w:rsid w:val="00C063ED"/>
    <w:rsid w:val="00C075B4"/>
    <w:rsid w:val="00C07F65"/>
    <w:rsid w:val="00C105C6"/>
    <w:rsid w:val="00C10979"/>
    <w:rsid w:val="00C10E32"/>
    <w:rsid w:val="00C114B8"/>
    <w:rsid w:val="00C11747"/>
    <w:rsid w:val="00C11E77"/>
    <w:rsid w:val="00C121FD"/>
    <w:rsid w:val="00C12E91"/>
    <w:rsid w:val="00C12FEB"/>
    <w:rsid w:val="00C13AFF"/>
    <w:rsid w:val="00C13CC1"/>
    <w:rsid w:val="00C14325"/>
    <w:rsid w:val="00C14C29"/>
    <w:rsid w:val="00C14EA6"/>
    <w:rsid w:val="00C151E3"/>
    <w:rsid w:val="00C1522B"/>
    <w:rsid w:val="00C1565B"/>
    <w:rsid w:val="00C156F6"/>
    <w:rsid w:val="00C15A2E"/>
    <w:rsid w:val="00C17C4D"/>
    <w:rsid w:val="00C2038D"/>
    <w:rsid w:val="00C20629"/>
    <w:rsid w:val="00C2091B"/>
    <w:rsid w:val="00C21068"/>
    <w:rsid w:val="00C22431"/>
    <w:rsid w:val="00C22600"/>
    <w:rsid w:val="00C22646"/>
    <w:rsid w:val="00C22D74"/>
    <w:rsid w:val="00C22ECC"/>
    <w:rsid w:val="00C2343F"/>
    <w:rsid w:val="00C235EA"/>
    <w:rsid w:val="00C23D09"/>
    <w:rsid w:val="00C23D9C"/>
    <w:rsid w:val="00C2427A"/>
    <w:rsid w:val="00C24A33"/>
    <w:rsid w:val="00C25E27"/>
    <w:rsid w:val="00C25E48"/>
    <w:rsid w:val="00C264FC"/>
    <w:rsid w:val="00C26AC2"/>
    <w:rsid w:val="00C26B30"/>
    <w:rsid w:val="00C26F98"/>
    <w:rsid w:val="00C2705B"/>
    <w:rsid w:val="00C27685"/>
    <w:rsid w:val="00C302EE"/>
    <w:rsid w:val="00C303D1"/>
    <w:rsid w:val="00C3050C"/>
    <w:rsid w:val="00C3365E"/>
    <w:rsid w:val="00C33D5B"/>
    <w:rsid w:val="00C340FB"/>
    <w:rsid w:val="00C3414B"/>
    <w:rsid w:val="00C3479F"/>
    <w:rsid w:val="00C347D2"/>
    <w:rsid w:val="00C348D2"/>
    <w:rsid w:val="00C35068"/>
    <w:rsid w:val="00C355B7"/>
    <w:rsid w:val="00C35CE3"/>
    <w:rsid w:val="00C361F3"/>
    <w:rsid w:val="00C362F2"/>
    <w:rsid w:val="00C37341"/>
    <w:rsid w:val="00C37B3C"/>
    <w:rsid w:val="00C37B59"/>
    <w:rsid w:val="00C37DAE"/>
    <w:rsid w:val="00C4050E"/>
    <w:rsid w:val="00C40724"/>
    <w:rsid w:val="00C409CE"/>
    <w:rsid w:val="00C409F9"/>
    <w:rsid w:val="00C4122C"/>
    <w:rsid w:val="00C4126C"/>
    <w:rsid w:val="00C41375"/>
    <w:rsid w:val="00C4151B"/>
    <w:rsid w:val="00C42202"/>
    <w:rsid w:val="00C427E1"/>
    <w:rsid w:val="00C42967"/>
    <w:rsid w:val="00C42996"/>
    <w:rsid w:val="00C429EB"/>
    <w:rsid w:val="00C434C9"/>
    <w:rsid w:val="00C4488A"/>
    <w:rsid w:val="00C464BF"/>
    <w:rsid w:val="00C46524"/>
    <w:rsid w:val="00C46E0A"/>
    <w:rsid w:val="00C470A3"/>
    <w:rsid w:val="00C47906"/>
    <w:rsid w:val="00C50746"/>
    <w:rsid w:val="00C50795"/>
    <w:rsid w:val="00C5084D"/>
    <w:rsid w:val="00C50A0B"/>
    <w:rsid w:val="00C50FCB"/>
    <w:rsid w:val="00C5112D"/>
    <w:rsid w:val="00C51805"/>
    <w:rsid w:val="00C51B54"/>
    <w:rsid w:val="00C52428"/>
    <w:rsid w:val="00C527BA"/>
    <w:rsid w:val="00C52F5E"/>
    <w:rsid w:val="00C540DB"/>
    <w:rsid w:val="00C542C9"/>
    <w:rsid w:val="00C54434"/>
    <w:rsid w:val="00C5553A"/>
    <w:rsid w:val="00C55653"/>
    <w:rsid w:val="00C563F1"/>
    <w:rsid w:val="00C564CF"/>
    <w:rsid w:val="00C56643"/>
    <w:rsid w:val="00C569AC"/>
    <w:rsid w:val="00C56A67"/>
    <w:rsid w:val="00C57E28"/>
    <w:rsid w:val="00C602E9"/>
    <w:rsid w:val="00C6051F"/>
    <w:rsid w:val="00C607DD"/>
    <w:rsid w:val="00C60C6C"/>
    <w:rsid w:val="00C61410"/>
    <w:rsid w:val="00C61523"/>
    <w:rsid w:val="00C62707"/>
    <w:rsid w:val="00C633AD"/>
    <w:rsid w:val="00C641E9"/>
    <w:rsid w:val="00C64B34"/>
    <w:rsid w:val="00C663AB"/>
    <w:rsid w:val="00C663C3"/>
    <w:rsid w:val="00C667C8"/>
    <w:rsid w:val="00C67008"/>
    <w:rsid w:val="00C6782D"/>
    <w:rsid w:val="00C67B5D"/>
    <w:rsid w:val="00C67F3A"/>
    <w:rsid w:val="00C70798"/>
    <w:rsid w:val="00C71C72"/>
    <w:rsid w:val="00C72646"/>
    <w:rsid w:val="00C7277C"/>
    <w:rsid w:val="00C72DE4"/>
    <w:rsid w:val="00C72F93"/>
    <w:rsid w:val="00C732FE"/>
    <w:rsid w:val="00C73387"/>
    <w:rsid w:val="00C734EA"/>
    <w:rsid w:val="00C73741"/>
    <w:rsid w:val="00C73AD8"/>
    <w:rsid w:val="00C73C3E"/>
    <w:rsid w:val="00C742FD"/>
    <w:rsid w:val="00C743BA"/>
    <w:rsid w:val="00C74A03"/>
    <w:rsid w:val="00C75417"/>
    <w:rsid w:val="00C75DF0"/>
    <w:rsid w:val="00C7601A"/>
    <w:rsid w:val="00C766DD"/>
    <w:rsid w:val="00C768EB"/>
    <w:rsid w:val="00C76EF4"/>
    <w:rsid w:val="00C8070B"/>
    <w:rsid w:val="00C8094A"/>
    <w:rsid w:val="00C821A3"/>
    <w:rsid w:val="00C8288B"/>
    <w:rsid w:val="00C82E2C"/>
    <w:rsid w:val="00C831E9"/>
    <w:rsid w:val="00C83B56"/>
    <w:rsid w:val="00C83C5F"/>
    <w:rsid w:val="00C84565"/>
    <w:rsid w:val="00C84707"/>
    <w:rsid w:val="00C848D0"/>
    <w:rsid w:val="00C84E97"/>
    <w:rsid w:val="00C85E4C"/>
    <w:rsid w:val="00C86320"/>
    <w:rsid w:val="00C870C0"/>
    <w:rsid w:val="00C8740F"/>
    <w:rsid w:val="00C876A2"/>
    <w:rsid w:val="00C900A2"/>
    <w:rsid w:val="00C91358"/>
    <w:rsid w:val="00C9138B"/>
    <w:rsid w:val="00C91DFD"/>
    <w:rsid w:val="00C9237C"/>
    <w:rsid w:val="00C92904"/>
    <w:rsid w:val="00C929CA"/>
    <w:rsid w:val="00C929DE"/>
    <w:rsid w:val="00C92A43"/>
    <w:rsid w:val="00C9313A"/>
    <w:rsid w:val="00C93381"/>
    <w:rsid w:val="00C93405"/>
    <w:rsid w:val="00C936AE"/>
    <w:rsid w:val="00C93FB2"/>
    <w:rsid w:val="00C946D6"/>
    <w:rsid w:val="00C9501F"/>
    <w:rsid w:val="00C951D1"/>
    <w:rsid w:val="00C95AD2"/>
    <w:rsid w:val="00C9641E"/>
    <w:rsid w:val="00C9647A"/>
    <w:rsid w:val="00C96FD1"/>
    <w:rsid w:val="00C97048"/>
    <w:rsid w:val="00C97666"/>
    <w:rsid w:val="00C9777B"/>
    <w:rsid w:val="00C9789B"/>
    <w:rsid w:val="00CA0A75"/>
    <w:rsid w:val="00CA0D9D"/>
    <w:rsid w:val="00CA0DA6"/>
    <w:rsid w:val="00CA136A"/>
    <w:rsid w:val="00CA13A9"/>
    <w:rsid w:val="00CA13C9"/>
    <w:rsid w:val="00CA1448"/>
    <w:rsid w:val="00CA147E"/>
    <w:rsid w:val="00CA16B2"/>
    <w:rsid w:val="00CA175F"/>
    <w:rsid w:val="00CA2395"/>
    <w:rsid w:val="00CA292B"/>
    <w:rsid w:val="00CA2E2D"/>
    <w:rsid w:val="00CA401A"/>
    <w:rsid w:val="00CA4774"/>
    <w:rsid w:val="00CA4D91"/>
    <w:rsid w:val="00CA4F20"/>
    <w:rsid w:val="00CA5D2C"/>
    <w:rsid w:val="00CA6420"/>
    <w:rsid w:val="00CA6540"/>
    <w:rsid w:val="00CA6659"/>
    <w:rsid w:val="00CA6E47"/>
    <w:rsid w:val="00CA7754"/>
    <w:rsid w:val="00CA78D6"/>
    <w:rsid w:val="00CA7981"/>
    <w:rsid w:val="00CB0E00"/>
    <w:rsid w:val="00CB1096"/>
    <w:rsid w:val="00CB178D"/>
    <w:rsid w:val="00CB2028"/>
    <w:rsid w:val="00CB3296"/>
    <w:rsid w:val="00CB3491"/>
    <w:rsid w:val="00CB4AF7"/>
    <w:rsid w:val="00CB4D44"/>
    <w:rsid w:val="00CB4DCB"/>
    <w:rsid w:val="00CB5329"/>
    <w:rsid w:val="00CB5403"/>
    <w:rsid w:val="00CB635A"/>
    <w:rsid w:val="00CB6E8D"/>
    <w:rsid w:val="00CB7970"/>
    <w:rsid w:val="00CB79E4"/>
    <w:rsid w:val="00CC0252"/>
    <w:rsid w:val="00CC0EFF"/>
    <w:rsid w:val="00CC17C6"/>
    <w:rsid w:val="00CC2238"/>
    <w:rsid w:val="00CC261A"/>
    <w:rsid w:val="00CC28FC"/>
    <w:rsid w:val="00CC3098"/>
    <w:rsid w:val="00CC3523"/>
    <w:rsid w:val="00CC363B"/>
    <w:rsid w:val="00CC3CAA"/>
    <w:rsid w:val="00CC49E2"/>
    <w:rsid w:val="00CC4A5D"/>
    <w:rsid w:val="00CC6103"/>
    <w:rsid w:val="00CC63B1"/>
    <w:rsid w:val="00CC67AB"/>
    <w:rsid w:val="00CC6BE8"/>
    <w:rsid w:val="00CC7568"/>
    <w:rsid w:val="00CD012D"/>
    <w:rsid w:val="00CD0EB9"/>
    <w:rsid w:val="00CD12BD"/>
    <w:rsid w:val="00CD15E7"/>
    <w:rsid w:val="00CD1C1C"/>
    <w:rsid w:val="00CD1C6F"/>
    <w:rsid w:val="00CD1C8D"/>
    <w:rsid w:val="00CD2035"/>
    <w:rsid w:val="00CD2303"/>
    <w:rsid w:val="00CD287C"/>
    <w:rsid w:val="00CD3A46"/>
    <w:rsid w:val="00CD3B6C"/>
    <w:rsid w:val="00CD3FD7"/>
    <w:rsid w:val="00CD50CF"/>
    <w:rsid w:val="00CD54D2"/>
    <w:rsid w:val="00CD565D"/>
    <w:rsid w:val="00CD579C"/>
    <w:rsid w:val="00CD5C6F"/>
    <w:rsid w:val="00CD5E53"/>
    <w:rsid w:val="00CE03DC"/>
    <w:rsid w:val="00CE08AD"/>
    <w:rsid w:val="00CE0E84"/>
    <w:rsid w:val="00CE17F9"/>
    <w:rsid w:val="00CE1C96"/>
    <w:rsid w:val="00CE1FF1"/>
    <w:rsid w:val="00CE217E"/>
    <w:rsid w:val="00CE225A"/>
    <w:rsid w:val="00CE274E"/>
    <w:rsid w:val="00CE2959"/>
    <w:rsid w:val="00CE2E4B"/>
    <w:rsid w:val="00CE3358"/>
    <w:rsid w:val="00CE3D6A"/>
    <w:rsid w:val="00CE4313"/>
    <w:rsid w:val="00CE447E"/>
    <w:rsid w:val="00CE44B6"/>
    <w:rsid w:val="00CE543E"/>
    <w:rsid w:val="00CE5758"/>
    <w:rsid w:val="00CE5858"/>
    <w:rsid w:val="00CE599D"/>
    <w:rsid w:val="00CE64F8"/>
    <w:rsid w:val="00CE6832"/>
    <w:rsid w:val="00CE77BD"/>
    <w:rsid w:val="00CE7F66"/>
    <w:rsid w:val="00CF0022"/>
    <w:rsid w:val="00CF068B"/>
    <w:rsid w:val="00CF0719"/>
    <w:rsid w:val="00CF0B81"/>
    <w:rsid w:val="00CF0E47"/>
    <w:rsid w:val="00CF17F1"/>
    <w:rsid w:val="00CF1A5D"/>
    <w:rsid w:val="00CF1CA2"/>
    <w:rsid w:val="00CF1DD9"/>
    <w:rsid w:val="00CF201E"/>
    <w:rsid w:val="00CF3842"/>
    <w:rsid w:val="00CF3F2F"/>
    <w:rsid w:val="00CF417F"/>
    <w:rsid w:val="00CF45A7"/>
    <w:rsid w:val="00CF4D1B"/>
    <w:rsid w:val="00CF5248"/>
    <w:rsid w:val="00CF5623"/>
    <w:rsid w:val="00CF585F"/>
    <w:rsid w:val="00CF63E8"/>
    <w:rsid w:val="00CF67E1"/>
    <w:rsid w:val="00CF68FA"/>
    <w:rsid w:val="00CF71D7"/>
    <w:rsid w:val="00CF770D"/>
    <w:rsid w:val="00CF7D0F"/>
    <w:rsid w:val="00D002C8"/>
    <w:rsid w:val="00D00965"/>
    <w:rsid w:val="00D0178F"/>
    <w:rsid w:val="00D017AF"/>
    <w:rsid w:val="00D0228E"/>
    <w:rsid w:val="00D022A9"/>
    <w:rsid w:val="00D02439"/>
    <w:rsid w:val="00D024A0"/>
    <w:rsid w:val="00D0265F"/>
    <w:rsid w:val="00D027C5"/>
    <w:rsid w:val="00D02881"/>
    <w:rsid w:val="00D032B2"/>
    <w:rsid w:val="00D039BD"/>
    <w:rsid w:val="00D03A38"/>
    <w:rsid w:val="00D03AE9"/>
    <w:rsid w:val="00D03CD4"/>
    <w:rsid w:val="00D04CCC"/>
    <w:rsid w:val="00D050F0"/>
    <w:rsid w:val="00D05E7B"/>
    <w:rsid w:val="00D05EE6"/>
    <w:rsid w:val="00D0617F"/>
    <w:rsid w:val="00D06231"/>
    <w:rsid w:val="00D06861"/>
    <w:rsid w:val="00D06B55"/>
    <w:rsid w:val="00D071F6"/>
    <w:rsid w:val="00D074A1"/>
    <w:rsid w:val="00D07B06"/>
    <w:rsid w:val="00D10EE8"/>
    <w:rsid w:val="00D116A8"/>
    <w:rsid w:val="00D11C66"/>
    <w:rsid w:val="00D12002"/>
    <w:rsid w:val="00D12629"/>
    <w:rsid w:val="00D126F8"/>
    <w:rsid w:val="00D12BF7"/>
    <w:rsid w:val="00D12C87"/>
    <w:rsid w:val="00D13227"/>
    <w:rsid w:val="00D13792"/>
    <w:rsid w:val="00D13FB1"/>
    <w:rsid w:val="00D15268"/>
    <w:rsid w:val="00D15315"/>
    <w:rsid w:val="00D159BA"/>
    <w:rsid w:val="00D167CF"/>
    <w:rsid w:val="00D16B6C"/>
    <w:rsid w:val="00D17358"/>
    <w:rsid w:val="00D173BB"/>
    <w:rsid w:val="00D20333"/>
    <w:rsid w:val="00D205DE"/>
    <w:rsid w:val="00D20AA9"/>
    <w:rsid w:val="00D210EE"/>
    <w:rsid w:val="00D2129E"/>
    <w:rsid w:val="00D217C7"/>
    <w:rsid w:val="00D21815"/>
    <w:rsid w:val="00D21AD9"/>
    <w:rsid w:val="00D21D21"/>
    <w:rsid w:val="00D21DE5"/>
    <w:rsid w:val="00D22445"/>
    <w:rsid w:val="00D229FA"/>
    <w:rsid w:val="00D22E25"/>
    <w:rsid w:val="00D230E4"/>
    <w:rsid w:val="00D241B8"/>
    <w:rsid w:val="00D24303"/>
    <w:rsid w:val="00D249A9"/>
    <w:rsid w:val="00D24E24"/>
    <w:rsid w:val="00D24E5A"/>
    <w:rsid w:val="00D2540E"/>
    <w:rsid w:val="00D2586E"/>
    <w:rsid w:val="00D25A47"/>
    <w:rsid w:val="00D25B22"/>
    <w:rsid w:val="00D25E3F"/>
    <w:rsid w:val="00D25F41"/>
    <w:rsid w:val="00D25F59"/>
    <w:rsid w:val="00D25FD2"/>
    <w:rsid w:val="00D26077"/>
    <w:rsid w:val="00D26619"/>
    <w:rsid w:val="00D2737A"/>
    <w:rsid w:val="00D2788D"/>
    <w:rsid w:val="00D27A9B"/>
    <w:rsid w:val="00D319E1"/>
    <w:rsid w:val="00D31A7D"/>
    <w:rsid w:val="00D31E95"/>
    <w:rsid w:val="00D32083"/>
    <w:rsid w:val="00D32B67"/>
    <w:rsid w:val="00D32FC9"/>
    <w:rsid w:val="00D331CB"/>
    <w:rsid w:val="00D33504"/>
    <w:rsid w:val="00D33554"/>
    <w:rsid w:val="00D33DA4"/>
    <w:rsid w:val="00D345DA"/>
    <w:rsid w:val="00D36A93"/>
    <w:rsid w:val="00D36FC2"/>
    <w:rsid w:val="00D37922"/>
    <w:rsid w:val="00D37F43"/>
    <w:rsid w:val="00D37FFE"/>
    <w:rsid w:val="00D40284"/>
    <w:rsid w:val="00D405C1"/>
    <w:rsid w:val="00D407D4"/>
    <w:rsid w:val="00D408FE"/>
    <w:rsid w:val="00D40FC5"/>
    <w:rsid w:val="00D411B7"/>
    <w:rsid w:val="00D417DB"/>
    <w:rsid w:val="00D41A56"/>
    <w:rsid w:val="00D4215C"/>
    <w:rsid w:val="00D42199"/>
    <w:rsid w:val="00D4268B"/>
    <w:rsid w:val="00D42D55"/>
    <w:rsid w:val="00D43115"/>
    <w:rsid w:val="00D43723"/>
    <w:rsid w:val="00D43941"/>
    <w:rsid w:val="00D447CF"/>
    <w:rsid w:val="00D44F80"/>
    <w:rsid w:val="00D44FA1"/>
    <w:rsid w:val="00D451FE"/>
    <w:rsid w:val="00D4593C"/>
    <w:rsid w:val="00D459E1"/>
    <w:rsid w:val="00D46AC3"/>
    <w:rsid w:val="00D4724E"/>
    <w:rsid w:val="00D47A75"/>
    <w:rsid w:val="00D50058"/>
    <w:rsid w:val="00D5014A"/>
    <w:rsid w:val="00D506C0"/>
    <w:rsid w:val="00D506FE"/>
    <w:rsid w:val="00D50E9A"/>
    <w:rsid w:val="00D5116E"/>
    <w:rsid w:val="00D513F8"/>
    <w:rsid w:val="00D51423"/>
    <w:rsid w:val="00D51C27"/>
    <w:rsid w:val="00D52374"/>
    <w:rsid w:val="00D526EE"/>
    <w:rsid w:val="00D52C89"/>
    <w:rsid w:val="00D52EE9"/>
    <w:rsid w:val="00D52EFD"/>
    <w:rsid w:val="00D52FE3"/>
    <w:rsid w:val="00D530D3"/>
    <w:rsid w:val="00D53260"/>
    <w:rsid w:val="00D532F2"/>
    <w:rsid w:val="00D534AF"/>
    <w:rsid w:val="00D539BA"/>
    <w:rsid w:val="00D541A2"/>
    <w:rsid w:val="00D552B9"/>
    <w:rsid w:val="00D553A8"/>
    <w:rsid w:val="00D55F24"/>
    <w:rsid w:val="00D5637E"/>
    <w:rsid w:val="00D566C9"/>
    <w:rsid w:val="00D56902"/>
    <w:rsid w:val="00D56A5F"/>
    <w:rsid w:val="00D57004"/>
    <w:rsid w:val="00D57336"/>
    <w:rsid w:val="00D57585"/>
    <w:rsid w:val="00D57AFA"/>
    <w:rsid w:val="00D57BA4"/>
    <w:rsid w:val="00D60549"/>
    <w:rsid w:val="00D607DD"/>
    <w:rsid w:val="00D610B8"/>
    <w:rsid w:val="00D61200"/>
    <w:rsid w:val="00D61933"/>
    <w:rsid w:val="00D61CF0"/>
    <w:rsid w:val="00D61D4C"/>
    <w:rsid w:val="00D62756"/>
    <w:rsid w:val="00D630CE"/>
    <w:rsid w:val="00D638CA"/>
    <w:rsid w:val="00D64073"/>
    <w:rsid w:val="00D643D2"/>
    <w:rsid w:val="00D644BC"/>
    <w:rsid w:val="00D64822"/>
    <w:rsid w:val="00D64C81"/>
    <w:rsid w:val="00D64FDD"/>
    <w:rsid w:val="00D66264"/>
    <w:rsid w:val="00D66702"/>
    <w:rsid w:val="00D6695E"/>
    <w:rsid w:val="00D66AEE"/>
    <w:rsid w:val="00D66C80"/>
    <w:rsid w:val="00D674A1"/>
    <w:rsid w:val="00D67B15"/>
    <w:rsid w:val="00D67F52"/>
    <w:rsid w:val="00D67F92"/>
    <w:rsid w:val="00D70BA6"/>
    <w:rsid w:val="00D713CB"/>
    <w:rsid w:val="00D715C8"/>
    <w:rsid w:val="00D715D6"/>
    <w:rsid w:val="00D71968"/>
    <w:rsid w:val="00D7241F"/>
    <w:rsid w:val="00D725C9"/>
    <w:rsid w:val="00D7299F"/>
    <w:rsid w:val="00D72D96"/>
    <w:rsid w:val="00D72F7F"/>
    <w:rsid w:val="00D7367A"/>
    <w:rsid w:val="00D7413D"/>
    <w:rsid w:val="00D7436F"/>
    <w:rsid w:val="00D74921"/>
    <w:rsid w:val="00D7533F"/>
    <w:rsid w:val="00D75403"/>
    <w:rsid w:val="00D75459"/>
    <w:rsid w:val="00D7634E"/>
    <w:rsid w:val="00D76542"/>
    <w:rsid w:val="00D76766"/>
    <w:rsid w:val="00D76C64"/>
    <w:rsid w:val="00D76EBE"/>
    <w:rsid w:val="00D77066"/>
    <w:rsid w:val="00D771B7"/>
    <w:rsid w:val="00D77368"/>
    <w:rsid w:val="00D800FD"/>
    <w:rsid w:val="00D8020C"/>
    <w:rsid w:val="00D803D4"/>
    <w:rsid w:val="00D8179B"/>
    <w:rsid w:val="00D81A86"/>
    <w:rsid w:val="00D81B6D"/>
    <w:rsid w:val="00D827DA"/>
    <w:rsid w:val="00D82FCB"/>
    <w:rsid w:val="00D83467"/>
    <w:rsid w:val="00D849EA"/>
    <w:rsid w:val="00D85261"/>
    <w:rsid w:val="00D85EA7"/>
    <w:rsid w:val="00D8602B"/>
    <w:rsid w:val="00D863D9"/>
    <w:rsid w:val="00D86A9A"/>
    <w:rsid w:val="00D871D2"/>
    <w:rsid w:val="00D87AE4"/>
    <w:rsid w:val="00D87E4C"/>
    <w:rsid w:val="00D9021C"/>
    <w:rsid w:val="00D90499"/>
    <w:rsid w:val="00D9072D"/>
    <w:rsid w:val="00D90ADF"/>
    <w:rsid w:val="00D90AFD"/>
    <w:rsid w:val="00D90BC1"/>
    <w:rsid w:val="00D91088"/>
    <w:rsid w:val="00D913A8"/>
    <w:rsid w:val="00D916D5"/>
    <w:rsid w:val="00D9177E"/>
    <w:rsid w:val="00D91C02"/>
    <w:rsid w:val="00D91E58"/>
    <w:rsid w:val="00D921A7"/>
    <w:rsid w:val="00D925AB"/>
    <w:rsid w:val="00D931D9"/>
    <w:rsid w:val="00D9340B"/>
    <w:rsid w:val="00D9393D"/>
    <w:rsid w:val="00D93FA4"/>
    <w:rsid w:val="00D94E84"/>
    <w:rsid w:val="00D95BFD"/>
    <w:rsid w:val="00D95C28"/>
    <w:rsid w:val="00D95C67"/>
    <w:rsid w:val="00D960A1"/>
    <w:rsid w:val="00D968D8"/>
    <w:rsid w:val="00D97344"/>
    <w:rsid w:val="00D97A51"/>
    <w:rsid w:val="00D97BC2"/>
    <w:rsid w:val="00D97C20"/>
    <w:rsid w:val="00D97C6A"/>
    <w:rsid w:val="00DA01A2"/>
    <w:rsid w:val="00DA05D5"/>
    <w:rsid w:val="00DA0E76"/>
    <w:rsid w:val="00DA2085"/>
    <w:rsid w:val="00DA2738"/>
    <w:rsid w:val="00DA29DD"/>
    <w:rsid w:val="00DA2B84"/>
    <w:rsid w:val="00DA305A"/>
    <w:rsid w:val="00DA3A82"/>
    <w:rsid w:val="00DA3AC4"/>
    <w:rsid w:val="00DA4B2F"/>
    <w:rsid w:val="00DA5641"/>
    <w:rsid w:val="00DA56AC"/>
    <w:rsid w:val="00DA5A79"/>
    <w:rsid w:val="00DA5ACC"/>
    <w:rsid w:val="00DA5AE7"/>
    <w:rsid w:val="00DA5CF5"/>
    <w:rsid w:val="00DA6676"/>
    <w:rsid w:val="00DA6886"/>
    <w:rsid w:val="00DA6A54"/>
    <w:rsid w:val="00DA704D"/>
    <w:rsid w:val="00DA70CC"/>
    <w:rsid w:val="00DA72C1"/>
    <w:rsid w:val="00DB07A7"/>
    <w:rsid w:val="00DB0BF0"/>
    <w:rsid w:val="00DB14D0"/>
    <w:rsid w:val="00DB28C0"/>
    <w:rsid w:val="00DB2DCF"/>
    <w:rsid w:val="00DB3049"/>
    <w:rsid w:val="00DB3AAC"/>
    <w:rsid w:val="00DB3B5C"/>
    <w:rsid w:val="00DB4615"/>
    <w:rsid w:val="00DB4CD3"/>
    <w:rsid w:val="00DB5B6B"/>
    <w:rsid w:val="00DB5B9E"/>
    <w:rsid w:val="00DB5E05"/>
    <w:rsid w:val="00DB5EC3"/>
    <w:rsid w:val="00DB607D"/>
    <w:rsid w:val="00DB6542"/>
    <w:rsid w:val="00DB6679"/>
    <w:rsid w:val="00DB6B4D"/>
    <w:rsid w:val="00DB6F2C"/>
    <w:rsid w:val="00DB6FC5"/>
    <w:rsid w:val="00DB7022"/>
    <w:rsid w:val="00DB72D6"/>
    <w:rsid w:val="00DB7711"/>
    <w:rsid w:val="00DC01BC"/>
    <w:rsid w:val="00DC043B"/>
    <w:rsid w:val="00DC0857"/>
    <w:rsid w:val="00DC0E63"/>
    <w:rsid w:val="00DC111A"/>
    <w:rsid w:val="00DC1C97"/>
    <w:rsid w:val="00DC1CE5"/>
    <w:rsid w:val="00DC1DD6"/>
    <w:rsid w:val="00DC2094"/>
    <w:rsid w:val="00DC2820"/>
    <w:rsid w:val="00DC2B5B"/>
    <w:rsid w:val="00DC2BED"/>
    <w:rsid w:val="00DC33DB"/>
    <w:rsid w:val="00DC3802"/>
    <w:rsid w:val="00DC3943"/>
    <w:rsid w:val="00DC3CEA"/>
    <w:rsid w:val="00DC4C1F"/>
    <w:rsid w:val="00DC4DC6"/>
    <w:rsid w:val="00DC637D"/>
    <w:rsid w:val="00DC7069"/>
    <w:rsid w:val="00DC7912"/>
    <w:rsid w:val="00DC7A53"/>
    <w:rsid w:val="00DC7B28"/>
    <w:rsid w:val="00DC7D35"/>
    <w:rsid w:val="00DD008E"/>
    <w:rsid w:val="00DD00E7"/>
    <w:rsid w:val="00DD06F8"/>
    <w:rsid w:val="00DD0F9E"/>
    <w:rsid w:val="00DD1DDB"/>
    <w:rsid w:val="00DD2367"/>
    <w:rsid w:val="00DD2713"/>
    <w:rsid w:val="00DD2A3F"/>
    <w:rsid w:val="00DD2D75"/>
    <w:rsid w:val="00DD31EF"/>
    <w:rsid w:val="00DD3C94"/>
    <w:rsid w:val="00DD47CA"/>
    <w:rsid w:val="00DD49DF"/>
    <w:rsid w:val="00DD4D74"/>
    <w:rsid w:val="00DD5247"/>
    <w:rsid w:val="00DD558D"/>
    <w:rsid w:val="00DD577D"/>
    <w:rsid w:val="00DD5A9A"/>
    <w:rsid w:val="00DD6D0E"/>
    <w:rsid w:val="00DD6E95"/>
    <w:rsid w:val="00DD768D"/>
    <w:rsid w:val="00DE0697"/>
    <w:rsid w:val="00DE0AE2"/>
    <w:rsid w:val="00DE16C3"/>
    <w:rsid w:val="00DE1DE3"/>
    <w:rsid w:val="00DE2465"/>
    <w:rsid w:val="00DE2A08"/>
    <w:rsid w:val="00DE3428"/>
    <w:rsid w:val="00DE38DD"/>
    <w:rsid w:val="00DE419B"/>
    <w:rsid w:val="00DE4941"/>
    <w:rsid w:val="00DE4E2F"/>
    <w:rsid w:val="00DE5B12"/>
    <w:rsid w:val="00DE5E83"/>
    <w:rsid w:val="00DE6240"/>
    <w:rsid w:val="00DE6893"/>
    <w:rsid w:val="00DE6ECA"/>
    <w:rsid w:val="00DE728A"/>
    <w:rsid w:val="00DE7305"/>
    <w:rsid w:val="00DE77C1"/>
    <w:rsid w:val="00DE7EDB"/>
    <w:rsid w:val="00DF0C3D"/>
    <w:rsid w:val="00DF141F"/>
    <w:rsid w:val="00DF1FBB"/>
    <w:rsid w:val="00DF289C"/>
    <w:rsid w:val="00DF395C"/>
    <w:rsid w:val="00DF39DA"/>
    <w:rsid w:val="00DF3D71"/>
    <w:rsid w:val="00DF4998"/>
    <w:rsid w:val="00DF4CDE"/>
    <w:rsid w:val="00DF51E0"/>
    <w:rsid w:val="00DF5313"/>
    <w:rsid w:val="00DF5943"/>
    <w:rsid w:val="00DF5DAC"/>
    <w:rsid w:val="00DF65CF"/>
    <w:rsid w:val="00DF65EA"/>
    <w:rsid w:val="00DF695C"/>
    <w:rsid w:val="00DF6A06"/>
    <w:rsid w:val="00DF7411"/>
    <w:rsid w:val="00DF7C24"/>
    <w:rsid w:val="00E0027A"/>
    <w:rsid w:val="00E004AB"/>
    <w:rsid w:val="00E00B9B"/>
    <w:rsid w:val="00E00BA5"/>
    <w:rsid w:val="00E01D91"/>
    <w:rsid w:val="00E01F12"/>
    <w:rsid w:val="00E020C8"/>
    <w:rsid w:val="00E03098"/>
    <w:rsid w:val="00E0544E"/>
    <w:rsid w:val="00E05AF0"/>
    <w:rsid w:val="00E06043"/>
    <w:rsid w:val="00E06A16"/>
    <w:rsid w:val="00E06B26"/>
    <w:rsid w:val="00E077B6"/>
    <w:rsid w:val="00E07D1F"/>
    <w:rsid w:val="00E101E2"/>
    <w:rsid w:val="00E10854"/>
    <w:rsid w:val="00E10AF3"/>
    <w:rsid w:val="00E10E63"/>
    <w:rsid w:val="00E1123D"/>
    <w:rsid w:val="00E112EF"/>
    <w:rsid w:val="00E11CD9"/>
    <w:rsid w:val="00E122AF"/>
    <w:rsid w:val="00E126B7"/>
    <w:rsid w:val="00E12888"/>
    <w:rsid w:val="00E1299C"/>
    <w:rsid w:val="00E12B07"/>
    <w:rsid w:val="00E12BB2"/>
    <w:rsid w:val="00E12E88"/>
    <w:rsid w:val="00E12FC5"/>
    <w:rsid w:val="00E12FCE"/>
    <w:rsid w:val="00E13CC6"/>
    <w:rsid w:val="00E13E33"/>
    <w:rsid w:val="00E143D3"/>
    <w:rsid w:val="00E14A9E"/>
    <w:rsid w:val="00E14FA3"/>
    <w:rsid w:val="00E15A19"/>
    <w:rsid w:val="00E16176"/>
    <w:rsid w:val="00E169C9"/>
    <w:rsid w:val="00E16F0C"/>
    <w:rsid w:val="00E17499"/>
    <w:rsid w:val="00E1773F"/>
    <w:rsid w:val="00E1789D"/>
    <w:rsid w:val="00E17AF2"/>
    <w:rsid w:val="00E20B3F"/>
    <w:rsid w:val="00E21A75"/>
    <w:rsid w:val="00E220E0"/>
    <w:rsid w:val="00E22400"/>
    <w:rsid w:val="00E2242C"/>
    <w:rsid w:val="00E22A7F"/>
    <w:rsid w:val="00E22E00"/>
    <w:rsid w:val="00E2329B"/>
    <w:rsid w:val="00E235D4"/>
    <w:rsid w:val="00E23D00"/>
    <w:rsid w:val="00E24907"/>
    <w:rsid w:val="00E25004"/>
    <w:rsid w:val="00E25113"/>
    <w:rsid w:val="00E254E8"/>
    <w:rsid w:val="00E2580B"/>
    <w:rsid w:val="00E25B13"/>
    <w:rsid w:val="00E262A1"/>
    <w:rsid w:val="00E26AE1"/>
    <w:rsid w:val="00E2793B"/>
    <w:rsid w:val="00E27C29"/>
    <w:rsid w:val="00E30579"/>
    <w:rsid w:val="00E3057D"/>
    <w:rsid w:val="00E30A08"/>
    <w:rsid w:val="00E30A74"/>
    <w:rsid w:val="00E31BCA"/>
    <w:rsid w:val="00E31DDC"/>
    <w:rsid w:val="00E32190"/>
    <w:rsid w:val="00E32A7F"/>
    <w:rsid w:val="00E33046"/>
    <w:rsid w:val="00E33221"/>
    <w:rsid w:val="00E3402B"/>
    <w:rsid w:val="00E3445D"/>
    <w:rsid w:val="00E3447E"/>
    <w:rsid w:val="00E34C1A"/>
    <w:rsid w:val="00E35E14"/>
    <w:rsid w:val="00E363D6"/>
    <w:rsid w:val="00E36E0B"/>
    <w:rsid w:val="00E37695"/>
    <w:rsid w:val="00E37ADF"/>
    <w:rsid w:val="00E37F0D"/>
    <w:rsid w:val="00E40761"/>
    <w:rsid w:val="00E407B9"/>
    <w:rsid w:val="00E40CD7"/>
    <w:rsid w:val="00E41098"/>
    <w:rsid w:val="00E41204"/>
    <w:rsid w:val="00E41546"/>
    <w:rsid w:val="00E4195E"/>
    <w:rsid w:val="00E41A00"/>
    <w:rsid w:val="00E41BF1"/>
    <w:rsid w:val="00E42EC4"/>
    <w:rsid w:val="00E430CE"/>
    <w:rsid w:val="00E4459F"/>
    <w:rsid w:val="00E44B9B"/>
    <w:rsid w:val="00E4575B"/>
    <w:rsid w:val="00E459D5"/>
    <w:rsid w:val="00E45B82"/>
    <w:rsid w:val="00E475A6"/>
    <w:rsid w:val="00E4760B"/>
    <w:rsid w:val="00E50443"/>
    <w:rsid w:val="00E50575"/>
    <w:rsid w:val="00E51B99"/>
    <w:rsid w:val="00E51FFF"/>
    <w:rsid w:val="00E5264E"/>
    <w:rsid w:val="00E53006"/>
    <w:rsid w:val="00E53117"/>
    <w:rsid w:val="00E53F07"/>
    <w:rsid w:val="00E54588"/>
    <w:rsid w:val="00E5496E"/>
    <w:rsid w:val="00E54EE1"/>
    <w:rsid w:val="00E55228"/>
    <w:rsid w:val="00E55458"/>
    <w:rsid w:val="00E55BFB"/>
    <w:rsid w:val="00E56062"/>
    <w:rsid w:val="00E56A72"/>
    <w:rsid w:val="00E57DF5"/>
    <w:rsid w:val="00E601A3"/>
    <w:rsid w:val="00E60972"/>
    <w:rsid w:val="00E60C44"/>
    <w:rsid w:val="00E61ABE"/>
    <w:rsid w:val="00E61ED7"/>
    <w:rsid w:val="00E621FE"/>
    <w:rsid w:val="00E6268D"/>
    <w:rsid w:val="00E6292A"/>
    <w:rsid w:val="00E6297A"/>
    <w:rsid w:val="00E6298B"/>
    <w:rsid w:val="00E62A87"/>
    <w:rsid w:val="00E630D7"/>
    <w:rsid w:val="00E631AA"/>
    <w:rsid w:val="00E648A2"/>
    <w:rsid w:val="00E659A5"/>
    <w:rsid w:val="00E65D23"/>
    <w:rsid w:val="00E663C7"/>
    <w:rsid w:val="00E66786"/>
    <w:rsid w:val="00E67FC0"/>
    <w:rsid w:val="00E7003E"/>
    <w:rsid w:val="00E70501"/>
    <w:rsid w:val="00E7053C"/>
    <w:rsid w:val="00E70C54"/>
    <w:rsid w:val="00E714E5"/>
    <w:rsid w:val="00E71553"/>
    <w:rsid w:val="00E71889"/>
    <w:rsid w:val="00E71A37"/>
    <w:rsid w:val="00E71B21"/>
    <w:rsid w:val="00E720DF"/>
    <w:rsid w:val="00E723B8"/>
    <w:rsid w:val="00E72F0A"/>
    <w:rsid w:val="00E730BD"/>
    <w:rsid w:val="00E731EC"/>
    <w:rsid w:val="00E73C20"/>
    <w:rsid w:val="00E7432A"/>
    <w:rsid w:val="00E7432D"/>
    <w:rsid w:val="00E747B5"/>
    <w:rsid w:val="00E7485E"/>
    <w:rsid w:val="00E75B79"/>
    <w:rsid w:val="00E75F4D"/>
    <w:rsid w:val="00E762AE"/>
    <w:rsid w:val="00E76E1E"/>
    <w:rsid w:val="00E76F78"/>
    <w:rsid w:val="00E778F3"/>
    <w:rsid w:val="00E77CA5"/>
    <w:rsid w:val="00E80343"/>
    <w:rsid w:val="00E804B0"/>
    <w:rsid w:val="00E804DE"/>
    <w:rsid w:val="00E80585"/>
    <w:rsid w:val="00E80778"/>
    <w:rsid w:val="00E809CA"/>
    <w:rsid w:val="00E81743"/>
    <w:rsid w:val="00E819C1"/>
    <w:rsid w:val="00E81E82"/>
    <w:rsid w:val="00E82269"/>
    <w:rsid w:val="00E826CE"/>
    <w:rsid w:val="00E829C2"/>
    <w:rsid w:val="00E8345B"/>
    <w:rsid w:val="00E83E4F"/>
    <w:rsid w:val="00E84A77"/>
    <w:rsid w:val="00E85F36"/>
    <w:rsid w:val="00E8608E"/>
    <w:rsid w:val="00E8786A"/>
    <w:rsid w:val="00E87923"/>
    <w:rsid w:val="00E87DE3"/>
    <w:rsid w:val="00E90088"/>
    <w:rsid w:val="00E90C39"/>
    <w:rsid w:val="00E90EA4"/>
    <w:rsid w:val="00E912DB"/>
    <w:rsid w:val="00E91694"/>
    <w:rsid w:val="00E91C75"/>
    <w:rsid w:val="00E92164"/>
    <w:rsid w:val="00E92BBD"/>
    <w:rsid w:val="00E931DA"/>
    <w:rsid w:val="00E9340D"/>
    <w:rsid w:val="00E936EE"/>
    <w:rsid w:val="00E93930"/>
    <w:rsid w:val="00E93F30"/>
    <w:rsid w:val="00E9455A"/>
    <w:rsid w:val="00E9481C"/>
    <w:rsid w:val="00E94E06"/>
    <w:rsid w:val="00E952B8"/>
    <w:rsid w:val="00E95A72"/>
    <w:rsid w:val="00E95B9F"/>
    <w:rsid w:val="00E964D0"/>
    <w:rsid w:val="00E96629"/>
    <w:rsid w:val="00E966BA"/>
    <w:rsid w:val="00E96A8C"/>
    <w:rsid w:val="00E96D8C"/>
    <w:rsid w:val="00E97052"/>
    <w:rsid w:val="00E972F2"/>
    <w:rsid w:val="00E97713"/>
    <w:rsid w:val="00E97B58"/>
    <w:rsid w:val="00EA0BA8"/>
    <w:rsid w:val="00EA114D"/>
    <w:rsid w:val="00EA1BC2"/>
    <w:rsid w:val="00EA20AB"/>
    <w:rsid w:val="00EA20D0"/>
    <w:rsid w:val="00EA25B1"/>
    <w:rsid w:val="00EA2746"/>
    <w:rsid w:val="00EA2CA7"/>
    <w:rsid w:val="00EA3818"/>
    <w:rsid w:val="00EA458A"/>
    <w:rsid w:val="00EA51B7"/>
    <w:rsid w:val="00EA5343"/>
    <w:rsid w:val="00EA5B52"/>
    <w:rsid w:val="00EA5BC3"/>
    <w:rsid w:val="00EA7091"/>
    <w:rsid w:val="00EA74FE"/>
    <w:rsid w:val="00EB0077"/>
    <w:rsid w:val="00EB007F"/>
    <w:rsid w:val="00EB184D"/>
    <w:rsid w:val="00EB1D96"/>
    <w:rsid w:val="00EB1E64"/>
    <w:rsid w:val="00EB2046"/>
    <w:rsid w:val="00EB34D2"/>
    <w:rsid w:val="00EB3E59"/>
    <w:rsid w:val="00EB3F3D"/>
    <w:rsid w:val="00EB4290"/>
    <w:rsid w:val="00EB440E"/>
    <w:rsid w:val="00EB48A7"/>
    <w:rsid w:val="00EB49EB"/>
    <w:rsid w:val="00EB57B3"/>
    <w:rsid w:val="00EB5B7C"/>
    <w:rsid w:val="00EB5C06"/>
    <w:rsid w:val="00EB5FDD"/>
    <w:rsid w:val="00EB676C"/>
    <w:rsid w:val="00EB6B5D"/>
    <w:rsid w:val="00EB6EA2"/>
    <w:rsid w:val="00EB6F8E"/>
    <w:rsid w:val="00EB7709"/>
    <w:rsid w:val="00EC070E"/>
    <w:rsid w:val="00EC10CC"/>
    <w:rsid w:val="00EC14FD"/>
    <w:rsid w:val="00EC1907"/>
    <w:rsid w:val="00EC236B"/>
    <w:rsid w:val="00EC2A79"/>
    <w:rsid w:val="00EC2E97"/>
    <w:rsid w:val="00EC35D8"/>
    <w:rsid w:val="00EC3B84"/>
    <w:rsid w:val="00EC44F9"/>
    <w:rsid w:val="00EC48AA"/>
    <w:rsid w:val="00EC4ED5"/>
    <w:rsid w:val="00EC5842"/>
    <w:rsid w:val="00EC5962"/>
    <w:rsid w:val="00EC6D6C"/>
    <w:rsid w:val="00EC6FD6"/>
    <w:rsid w:val="00EC71CA"/>
    <w:rsid w:val="00EC7384"/>
    <w:rsid w:val="00EC7AED"/>
    <w:rsid w:val="00EC7F72"/>
    <w:rsid w:val="00EC7F78"/>
    <w:rsid w:val="00ED07B2"/>
    <w:rsid w:val="00ED0A59"/>
    <w:rsid w:val="00ED0A84"/>
    <w:rsid w:val="00ED0C38"/>
    <w:rsid w:val="00ED105D"/>
    <w:rsid w:val="00ED1C54"/>
    <w:rsid w:val="00ED1DBA"/>
    <w:rsid w:val="00ED2088"/>
    <w:rsid w:val="00ED2388"/>
    <w:rsid w:val="00ED25C7"/>
    <w:rsid w:val="00ED2ADE"/>
    <w:rsid w:val="00ED2FF2"/>
    <w:rsid w:val="00ED3C55"/>
    <w:rsid w:val="00ED4147"/>
    <w:rsid w:val="00ED41F7"/>
    <w:rsid w:val="00ED45C6"/>
    <w:rsid w:val="00ED4D2A"/>
    <w:rsid w:val="00ED5B92"/>
    <w:rsid w:val="00ED5EA0"/>
    <w:rsid w:val="00ED61E1"/>
    <w:rsid w:val="00ED61EE"/>
    <w:rsid w:val="00ED68FB"/>
    <w:rsid w:val="00ED6B5D"/>
    <w:rsid w:val="00ED6DBC"/>
    <w:rsid w:val="00ED7723"/>
    <w:rsid w:val="00ED78D3"/>
    <w:rsid w:val="00ED7C0B"/>
    <w:rsid w:val="00EE05DC"/>
    <w:rsid w:val="00EE0911"/>
    <w:rsid w:val="00EE0AF2"/>
    <w:rsid w:val="00EE10B8"/>
    <w:rsid w:val="00EE16E2"/>
    <w:rsid w:val="00EE275E"/>
    <w:rsid w:val="00EE33AC"/>
    <w:rsid w:val="00EE3E7F"/>
    <w:rsid w:val="00EE3F08"/>
    <w:rsid w:val="00EE49B7"/>
    <w:rsid w:val="00EE51BD"/>
    <w:rsid w:val="00EE5350"/>
    <w:rsid w:val="00EE62F5"/>
    <w:rsid w:val="00EE672A"/>
    <w:rsid w:val="00EE6764"/>
    <w:rsid w:val="00EE6992"/>
    <w:rsid w:val="00EE6DED"/>
    <w:rsid w:val="00EE75B9"/>
    <w:rsid w:val="00EE7950"/>
    <w:rsid w:val="00EE7AF5"/>
    <w:rsid w:val="00EE7DAA"/>
    <w:rsid w:val="00EF07B8"/>
    <w:rsid w:val="00EF157B"/>
    <w:rsid w:val="00EF2336"/>
    <w:rsid w:val="00EF2384"/>
    <w:rsid w:val="00EF264F"/>
    <w:rsid w:val="00EF2AFC"/>
    <w:rsid w:val="00EF3C45"/>
    <w:rsid w:val="00EF3D6A"/>
    <w:rsid w:val="00EF451C"/>
    <w:rsid w:val="00EF48C1"/>
    <w:rsid w:val="00EF4C88"/>
    <w:rsid w:val="00EF5452"/>
    <w:rsid w:val="00EF5462"/>
    <w:rsid w:val="00EF57B6"/>
    <w:rsid w:val="00EF5879"/>
    <w:rsid w:val="00EF5C5A"/>
    <w:rsid w:val="00EF602C"/>
    <w:rsid w:val="00EF6F7C"/>
    <w:rsid w:val="00EF722C"/>
    <w:rsid w:val="00EF7A01"/>
    <w:rsid w:val="00F00011"/>
    <w:rsid w:val="00F00053"/>
    <w:rsid w:val="00F005DA"/>
    <w:rsid w:val="00F00AA0"/>
    <w:rsid w:val="00F01334"/>
    <w:rsid w:val="00F01840"/>
    <w:rsid w:val="00F02390"/>
    <w:rsid w:val="00F02478"/>
    <w:rsid w:val="00F0282F"/>
    <w:rsid w:val="00F02843"/>
    <w:rsid w:val="00F035DC"/>
    <w:rsid w:val="00F03A93"/>
    <w:rsid w:val="00F04400"/>
    <w:rsid w:val="00F0448F"/>
    <w:rsid w:val="00F06151"/>
    <w:rsid w:val="00F06247"/>
    <w:rsid w:val="00F0635A"/>
    <w:rsid w:val="00F06BCE"/>
    <w:rsid w:val="00F07DED"/>
    <w:rsid w:val="00F10587"/>
    <w:rsid w:val="00F10695"/>
    <w:rsid w:val="00F10CDE"/>
    <w:rsid w:val="00F11668"/>
    <w:rsid w:val="00F117EC"/>
    <w:rsid w:val="00F1260F"/>
    <w:rsid w:val="00F1293D"/>
    <w:rsid w:val="00F13F3B"/>
    <w:rsid w:val="00F14674"/>
    <w:rsid w:val="00F15AA2"/>
    <w:rsid w:val="00F15C52"/>
    <w:rsid w:val="00F15CDC"/>
    <w:rsid w:val="00F15D7B"/>
    <w:rsid w:val="00F16499"/>
    <w:rsid w:val="00F168A5"/>
    <w:rsid w:val="00F169AE"/>
    <w:rsid w:val="00F16F27"/>
    <w:rsid w:val="00F17255"/>
    <w:rsid w:val="00F17651"/>
    <w:rsid w:val="00F179D6"/>
    <w:rsid w:val="00F20A5E"/>
    <w:rsid w:val="00F20B01"/>
    <w:rsid w:val="00F213EC"/>
    <w:rsid w:val="00F21627"/>
    <w:rsid w:val="00F21A4F"/>
    <w:rsid w:val="00F21C5F"/>
    <w:rsid w:val="00F22958"/>
    <w:rsid w:val="00F22D7C"/>
    <w:rsid w:val="00F2372D"/>
    <w:rsid w:val="00F2382F"/>
    <w:rsid w:val="00F23D3A"/>
    <w:rsid w:val="00F23EC8"/>
    <w:rsid w:val="00F254A5"/>
    <w:rsid w:val="00F255A3"/>
    <w:rsid w:val="00F259E7"/>
    <w:rsid w:val="00F25F01"/>
    <w:rsid w:val="00F26107"/>
    <w:rsid w:val="00F26784"/>
    <w:rsid w:val="00F26F4F"/>
    <w:rsid w:val="00F302F3"/>
    <w:rsid w:val="00F30FC5"/>
    <w:rsid w:val="00F3172C"/>
    <w:rsid w:val="00F319F9"/>
    <w:rsid w:val="00F31A2D"/>
    <w:rsid w:val="00F31CE7"/>
    <w:rsid w:val="00F31F89"/>
    <w:rsid w:val="00F32062"/>
    <w:rsid w:val="00F32976"/>
    <w:rsid w:val="00F32EFF"/>
    <w:rsid w:val="00F343DF"/>
    <w:rsid w:val="00F34415"/>
    <w:rsid w:val="00F34763"/>
    <w:rsid w:val="00F348B2"/>
    <w:rsid w:val="00F34901"/>
    <w:rsid w:val="00F34965"/>
    <w:rsid w:val="00F3547D"/>
    <w:rsid w:val="00F357FF"/>
    <w:rsid w:val="00F35C1B"/>
    <w:rsid w:val="00F3605A"/>
    <w:rsid w:val="00F36723"/>
    <w:rsid w:val="00F36CFC"/>
    <w:rsid w:val="00F37001"/>
    <w:rsid w:val="00F3738A"/>
    <w:rsid w:val="00F3759A"/>
    <w:rsid w:val="00F37C51"/>
    <w:rsid w:val="00F37FD7"/>
    <w:rsid w:val="00F40321"/>
    <w:rsid w:val="00F40601"/>
    <w:rsid w:val="00F4144A"/>
    <w:rsid w:val="00F414CE"/>
    <w:rsid w:val="00F41DB9"/>
    <w:rsid w:val="00F42857"/>
    <w:rsid w:val="00F42900"/>
    <w:rsid w:val="00F431D8"/>
    <w:rsid w:val="00F4337D"/>
    <w:rsid w:val="00F43566"/>
    <w:rsid w:val="00F438C5"/>
    <w:rsid w:val="00F44837"/>
    <w:rsid w:val="00F4487F"/>
    <w:rsid w:val="00F45F1A"/>
    <w:rsid w:val="00F46094"/>
    <w:rsid w:val="00F460E8"/>
    <w:rsid w:val="00F462EF"/>
    <w:rsid w:val="00F4640C"/>
    <w:rsid w:val="00F46834"/>
    <w:rsid w:val="00F46A40"/>
    <w:rsid w:val="00F478D4"/>
    <w:rsid w:val="00F47B73"/>
    <w:rsid w:val="00F47C7A"/>
    <w:rsid w:val="00F47CE8"/>
    <w:rsid w:val="00F50258"/>
    <w:rsid w:val="00F5095C"/>
    <w:rsid w:val="00F50AAC"/>
    <w:rsid w:val="00F51022"/>
    <w:rsid w:val="00F51883"/>
    <w:rsid w:val="00F51A4B"/>
    <w:rsid w:val="00F52123"/>
    <w:rsid w:val="00F5287E"/>
    <w:rsid w:val="00F52C04"/>
    <w:rsid w:val="00F52C6A"/>
    <w:rsid w:val="00F534A9"/>
    <w:rsid w:val="00F5371A"/>
    <w:rsid w:val="00F5383B"/>
    <w:rsid w:val="00F53A08"/>
    <w:rsid w:val="00F53A20"/>
    <w:rsid w:val="00F53A54"/>
    <w:rsid w:val="00F5409C"/>
    <w:rsid w:val="00F54D8B"/>
    <w:rsid w:val="00F55296"/>
    <w:rsid w:val="00F55E07"/>
    <w:rsid w:val="00F562CD"/>
    <w:rsid w:val="00F56AA8"/>
    <w:rsid w:val="00F56EBF"/>
    <w:rsid w:val="00F57C5C"/>
    <w:rsid w:val="00F57EE3"/>
    <w:rsid w:val="00F603DF"/>
    <w:rsid w:val="00F60572"/>
    <w:rsid w:val="00F607F4"/>
    <w:rsid w:val="00F608D1"/>
    <w:rsid w:val="00F60DDA"/>
    <w:rsid w:val="00F612DA"/>
    <w:rsid w:val="00F619B6"/>
    <w:rsid w:val="00F61C4D"/>
    <w:rsid w:val="00F626D6"/>
    <w:rsid w:val="00F6290A"/>
    <w:rsid w:val="00F62A21"/>
    <w:rsid w:val="00F62D71"/>
    <w:rsid w:val="00F634C9"/>
    <w:rsid w:val="00F63B16"/>
    <w:rsid w:val="00F63EBB"/>
    <w:rsid w:val="00F63F35"/>
    <w:rsid w:val="00F641AD"/>
    <w:rsid w:val="00F64690"/>
    <w:rsid w:val="00F6481E"/>
    <w:rsid w:val="00F64AEA"/>
    <w:rsid w:val="00F64EC1"/>
    <w:rsid w:val="00F6671B"/>
    <w:rsid w:val="00F670FD"/>
    <w:rsid w:val="00F67453"/>
    <w:rsid w:val="00F70008"/>
    <w:rsid w:val="00F70FC2"/>
    <w:rsid w:val="00F718DB"/>
    <w:rsid w:val="00F72A3A"/>
    <w:rsid w:val="00F72B23"/>
    <w:rsid w:val="00F72CCE"/>
    <w:rsid w:val="00F73118"/>
    <w:rsid w:val="00F733B6"/>
    <w:rsid w:val="00F735CE"/>
    <w:rsid w:val="00F73FB6"/>
    <w:rsid w:val="00F7482C"/>
    <w:rsid w:val="00F74CCE"/>
    <w:rsid w:val="00F74EE0"/>
    <w:rsid w:val="00F752A6"/>
    <w:rsid w:val="00F7533B"/>
    <w:rsid w:val="00F75425"/>
    <w:rsid w:val="00F75770"/>
    <w:rsid w:val="00F757E2"/>
    <w:rsid w:val="00F75804"/>
    <w:rsid w:val="00F75CA4"/>
    <w:rsid w:val="00F7616B"/>
    <w:rsid w:val="00F766C6"/>
    <w:rsid w:val="00F767B2"/>
    <w:rsid w:val="00F76AB1"/>
    <w:rsid w:val="00F76CCA"/>
    <w:rsid w:val="00F77702"/>
    <w:rsid w:val="00F779E5"/>
    <w:rsid w:val="00F80076"/>
    <w:rsid w:val="00F8105A"/>
    <w:rsid w:val="00F815DB"/>
    <w:rsid w:val="00F82021"/>
    <w:rsid w:val="00F84166"/>
    <w:rsid w:val="00F847E0"/>
    <w:rsid w:val="00F854BD"/>
    <w:rsid w:val="00F855EC"/>
    <w:rsid w:val="00F85ACA"/>
    <w:rsid w:val="00F86030"/>
    <w:rsid w:val="00F860EC"/>
    <w:rsid w:val="00F86E10"/>
    <w:rsid w:val="00F86F17"/>
    <w:rsid w:val="00F8723F"/>
    <w:rsid w:val="00F8766A"/>
    <w:rsid w:val="00F878B6"/>
    <w:rsid w:val="00F87CC7"/>
    <w:rsid w:val="00F87D22"/>
    <w:rsid w:val="00F9005B"/>
    <w:rsid w:val="00F90264"/>
    <w:rsid w:val="00F903D6"/>
    <w:rsid w:val="00F906F8"/>
    <w:rsid w:val="00F90CA4"/>
    <w:rsid w:val="00F919FF"/>
    <w:rsid w:val="00F91E64"/>
    <w:rsid w:val="00F91EBE"/>
    <w:rsid w:val="00F92515"/>
    <w:rsid w:val="00F93279"/>
    <w:rsid w:val="00F9328C"/>
    <w:rsid w:val="00F950BC"/>
    <w:rsid w:val="00F95960"/>
    <w:rsid w:val="00F96291"/>
    <w:rsid w:val="00F9655F"/>
    <w:rsid w:val="00F972C7"/>
    <w:rsid w:val="00F97467"/>
    <w:rsid w:val="00F977EC"/>
    <w:rsid w:val="00F97CA8"/>
    <w:rsid w:val="00F97EA9"/>
    <w:rsid w:val="00FA044E"/>
    <w:rsid w:val="00FA0912"/>
    <w:rsid w:val="00FA0DC0"/>
    <w:rsid w:val="00FA146D"/>
    <w:rsid w:val="00FA1699"/>
    <w:rsid w:val="00FA1E3B"/>
    <w:rsid w:val="00FA24CE"/>
    <w:rsid w:val="00FA28BC"/>
    <w:rsid w:val="00FA2A14"/>
    <w:rsid w:val="00FA36E8"/>
    <w:rsid w:val="00FA42D2"/>
    <w:rsid w:val="00FA522A"/>
    <w:rsid w:val="00FA5549"/>
    <w:rsid w:val="00FA5ECA"/>
    <w:rsid w:val="00FA603A"/>
    <w:rsid w:val="00FA67E8"/>
    <w:rsid w:val="00FA687A"/>
    <w:rsid w:val="00FA6913"/>
    <w:rsid w:val="00FA6CA2"/>
    <w:rsid w:val="00FA70B8"/>
    <w:rsid w:val="00FB0046"/>
    <w:rsid w:val="00FB01D0"/>
    <w:rsid w:val="00FB01D2"/>
    <w:rsid w:val="00FB0A69"/>
    <w:rsid w:val="00FB0B3D"/>
    <w:rsid w:val="00FB0C2A"/>
    <w:rsid w:val="00FB0C73"/>
    <w:rsid w:val="00FB0CFD"/>
    <w:rsid w:val="00FB1497"/>
    <w:rsid w:val="00FB185E"/>
    <w:rsid w:val="00FB1B5A"/>
    <w:rsid w:val="00FB1DF8"/>
    <w:rsid w:val="00FB1E4E"/>
    <w:rsid w:val="00FB251F"/>
    <w:rsid w:val="00FB2832"/>
    <w:rsid w:val="00FB359E"/>
    <w:rsid w:val="00FB3DB2"/>
    <w:rsid w:val="00FB3DD4"/>
    <w:rsid w:val="00FB3DFF"/>
    <w:rsid w:val="00FB431E"/>
    <w:rsid w:val="00FB4741"/>
    <w:rsid w:val="00FB4836"/>
    <w:rsid w:val="00FB4B09"/>
    <w:rsid w:val="00FB5361"/>
    <w:rsid w:val="00FB5A18"/>
    <w:rsid w:val="00FB680E"/>
    <w:rsid w:val="00FB6B39"/>
    <w:rsid w:val="00FB6E90"/>
    <w:rsid w:val="00FB7337"/>
    <w:rsid w:val="00FB78AA"/>
    <w:rsid w:val="00FB7C42"/>
    <w:rsid w:val="00FC06C2"/>
    <w:rsid w:val="00FC0D25"/>
    <w:rsid w:val="00FC1528"/>
    <w:rsid w:val="00FC1949"/>
    <w:rsid w:val="00FC1CF1"/>
    <w:rsid w:val="00FC2074"/>
    <w:rsid w:val="00FC210C"/>
    <w:rsid w:val="00FC226E"/>
    <w:rsid w:val="00FC2379"/>
    <w:rsid w:val="00FC28B0"/>
    <w:rsid w:val="00FC32B1"/>
    <w:rsid w:val="00FC358A"/>
    <w:rsid w:val="00FC3967"/>
    <w:rsid w:val="00FC39C1"/>
    <w:rsid w:val="00FC3BB0"/>
    <w:rsid w:val="00FC3BF6"/>
    <w:rsid w:val="00FC473A"/>
    <w:rsid w:val="00FC4854"/>
    <w:rsid w:val="00FC573B"/>
    <w:rsid w:val="00FC5879"/>
    <w:rsid w:val="00FC5B00"/>
    <w:rsid w:val="00FC609F"/>
    <w:rsid w:val="00FC6D6B"/>
    <w:rsid w:val="00FC7151"/>
    <w:rsid w:val="00FC7260"/>
    <w:rsid w:val="00FC7382"/>
    <w:rsid w:val="00FC770E"/>
    <w:rsid w:val="00FD0F7C"/>
    <w:rsid w:val="00FD1913"/>
    <w:rsid w:val="00FD1A32"/>
    <w:rsid w:val="00FD2267"/>
    <w:rsid w:val="00FD2B2D"/>
    <w:rsid w:val="00FD36FF"/>
    <w:rsid w:val="00FD388E"/>
    <w:rsid w:val="00FD399E"/>
    <w:rsid w:val="00FD41A9"/>
    <w:rsid w:val="00FD432B"/>
    <w:rsid w:val="00FD4557"/>
    <w:rsid w:val="00FD4682"/>
    <w:rsid w:val="00FD4CA6"/>
    <w:rsid w:val="00FD4F89"/>
    <w:rsid w:val="00FD5032"/>
    <w:rsid w:val="00FD5E2A"/>
    <w:rsid w:val="00FD6F21"/>
    <w:rsid w:val="00FD768B"/>
    <w:rsid w:val="00FD78FB"/>
    <w:rsid w:val="00FD7A2F"/>
    <w:rsid w:val="00FE0291"/>
    <w:rsid w:val="00FE0541"/>
    <w:rsid w:val="00FE07E9"/>
    <w:rsid w:val="00FE183B"/>
    <w:rsid w:val="00FE1EE1"/>
    <w:rsid w:val="00FE24B1"/>
    <w:rsid w:val="00FE27BF"/>
    <w:rsid w:val="00FE2952"/>
    <w:rsid w:val="00FE29FE"/>
    <w:rsid w:val="00FE3826"/>
    <w:rsid w:val="00FE39FB"/>
    <w:rsid w:val="00FE3E45"/>
    <w:rsid w:val="00FE45D6"/>
    <w:rsid w:val="00FE4B48"/>
    <w:rsid w:val="00FE54E4"/>
    <w:rsid w:val="00FE56DA"/>
    <w:rsid w:val="00FE741B"/>
    <w:rsid w:val="00FE766F"/>
    <w:rsid w:val="00FE78E0"/>
    <w:rsid w:val="00FE7D0C"/>
    <w:rsid w:val="00FE7FDB"/>
    <w:rsid w:val="00FF05D4"/>
    <w:rsid w:val="00FF0691"/>
    <w:rsid w:val="00FF0F2E"/>
    <w:rsid w:val="00FF12DA"/>
    <w:rsid w:val="00FF1703"/>
    <w:rsid w:val="00FF20F4"/>
    <w:rsid w:val="00FF23D8"/>
    <w:rsid w:val="00FF39CA"/>
    <w:rsid w:val="00FF3A65"/>
    <w:rsid w:val="00FF3EC1"/>
    <w:rsid w:val="00FF404C"/>
    <w:rsid w:val="00FF466C"/>
    <w:rsid w:val="00FF504A"/>
    <w:rsid w:val="00FF5512"/>
    <w:rsid w:val="00FF5843"/>
    <w:rsid w:val="00FF5943"/>
    <w:rsid w:val="00FF7A0E"/>
  </w:rsids>
  <m:mathPr>
    <m:mathFont m:val="Cambria Math"/>
    <m:brkBin m:val="before"/>
    <m:brkBinSub m:val="--"/>
    <m:smallFrac/>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F9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BDD"/>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Heading1">
    <w:name w:val="heading 1"/>
    <w:aliases w:val="Título Verdana"/>
    <w:basedOn w:val="Normal"/>
    <w:next w:val="Normal"/>
    <w:link w:val="Heading1Char"/>
    <w:uiPriority w:val="9"/>
    <w:qFormat/>
    <w:rsid w:val="00085BDD"/>
    <w:pPr>
      <w:keepNext/>
      <w:keepLines/>
      <w:tabs>
        <w:tab w:val="left" w:pos="720"/>
      </w:tabs>
      <w:spacing w:line="240" w:lineRule="auto"/>
      <w:jc w:val="center"/>
      <w:outlineLvl w:val="0"/>
    </w:pPr>
    <w:rPr>
      <w:rFonts w:eastAsia="MS ????"/>
      <w:b/>
      <w:bCs/>
      <w:caps/>
      <w:snapToGrid w:val="0"/>
      <w:spacing w:val="-2"/>
      <w:sz w:val="20"/>
      <w:szCs w:val="20"/>
      <w:lang w:val="x-none" w:eastAsia="es-ES"/>
    </w:rPr>
  </w:style>
  <w:style w:type="paragraph" w:styleId="Heading2">
    <w:name w:val="heading 2"/>
    <w:basedOn w:val="Normal"/>
    <w:next w:val="Normal"/>
    <w:link w:val="Heading2Char"/>
    <w:uiPriority w:val="9"/>
    <w:unhideWhenUsed/>
    <w:qFormat/>
    <w:rsid w:val="008920BF"/>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085BDD"/>
    <w:pPr>
      <w:widowControl/>
      <w:tabs>
        <w:tab w:val="left" w:pos="567"/>
      </w:tabs>
      <w:autoSpaceDE w:val="0"/>
      <w:autoSpaceDN w:val="0"/>
      <w:adjustRightInd/>
      <w:spacing w:line="240" w:lineRule="auto"/>
      <w:ind w:left="1416"/>
      <w:contextualSpacing/>
      <w:textAlignment w:val="auto"/>
      <w:outlineLvl w:val="2"/>
    </w:pPr>
    <w:rPr>
      <w:rFonts w:eastAsia="Calibri"/>
      <w:b/>
      <w:spacing w:val="-2"/>
      <w:sz w:val="20"/>
      <w:szCs w:val="20"/>
      <w:lang w:val="es-ES" w:eastAsia="x-none"/>
    </w:rPr>
  </w:style>
  <w:style w:type="paragraph" w:styleId="Heading4">
    <w:name w:val="heading 4"/>
    <w:basedOn w:val="Normal"/>
    <w:next w:val="Normal"/>
    <w:link w:val="Heading4Char"/>
    <w:uiPriority w:val="9"/>
    <w:semiHidden/>
    <w:unhideWhenUsed/>
    <w:qFormat/>
    <w:rsid w:val="008920BF"/>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E344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E3447E"/>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sz w:val="20"/>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085BDD"/>
    <w:rPr>
      <w:rFonts w:ascii="Verdana" w:eastAsia="MS ????" w:hAnsi="Verdana" w:cs="Times New Roman"/>
      <w:b/>
      <w:bCs/>
      <w:caps/>
      <w:snapToGrid w:val="0"/>
      <w:spacing w:val="-2"/>
      <w:sz w:val="20"/>
      <w:szCs w:val="20"/>
      <w:lang w:val="x-none" w:eastAsia="es-ES"/>
    </w:rPr>
  </w:style>
  <w:style w:type="character" w:customStyle="1" w:styleId="Heading3Char">
    <w:name w:val="Heading 3 Char"/>
    <w:basedOn w:val="DefaultParagraphFont"/>
    <w:link w:val="Heading3"/>
    <w:uiPriority w:val="9"/>
    <w:rsid w:val="00085BDD"/>
    <w:rPr>
      <w:rFonts w:ascii="Verdana" w:eastAsia="Calibri" w:hAnsi="Verdana" w:cs="Times New Roman"/>
      <w:b/>
      <w:spacing w:val="-2"/>
      <w:sz w:val="20"/>
      <w:szCs w:val="20"/>
      <w:lang w:val="es-ES" w:eastAsia="x-none"/>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085BDD"/>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085BDD"/>
    <w:pPr>
      <w:spacing w:line="240" w:lineRule="auto"/>
    </w:pPr>
    <w:rPr>
      <w:sz w:val="20"/>
      <w:szCs w:val="20"/>
      <w:lang w:val="es-ES_tradnl"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085BDD"/>
    <w:rPr>
      <w:rFonts w:ascii="Verdana" w:eastAsia="Times New Roman" w:hAnsi="Verdana" w:cs="Times New Roman"/>
      <w:sz w:val="20"/>
      <w:szCs w:val="20"/>
      <w:lang w:val="es-ES_tradnl" w:eastAsia="x-none"/>
    </w:rPr>
  </w:style>
  <w:style w:type="character" w:styleId="Strong">
    <w:name w:val="Strong"/>
    <w:uiPriority w:val="22"/>
    <w:qFormat/>
    <w:rsid w:val="00085BDD"/>
    <w:rPr>
      <w:b/>
      <w:bCs/>
    </w:rPr>
  </w:style>
  <w:style w:type="paragraph" w:styleId="ListParagraph">
    <w:name w:val="List Paragraph"/>
    <w:aliases w:val="List Paragraph2,Lista vistosa - Énfasis 11,Párrafo de lista1,Footnote,List Paragraph1"/>
    <w:basedOn w:val="Normal"/>
    <w:link w:val="ListParagraphChar1"/>
    <w:uiPriority w:val="34"/>
    <w:qFormat/>
    <w:rsid w:val="00085BDD"/>
    <w:pPr>
      <w:ind w:left="708"/>
    </w:pPr>
  </w:style>
  <w:style w:type="character" w:customStyle="1" w:styleId="MediumGrid1-Accent2Char">
    <w:name w:val="Medium Grid 1 - Accent 2 Char"/>
    <w:aliases w:val="Footnote Char,List Paragraph1 Char,Colorful List - Accent 11 Char,Párrafo de lista1 Char,List Paragraph Char,List Paragraph2 Char,Lista vistosa - Énfasis 11 Char,Colorful List - Accent 1 Char"/>
    <w:link w:val="MediumGrid1-Accent2"/>
    <w:uiPriority w:val="34"/>
    <w:locked/>
    <w:rsid w:val="00475387"/>
    <w:rPr>
      <w:rFonts w:ascii="Verdana" w:eastAsia="Batang" w:hAnsi="Verdana" w:cs="Times"/>
      <w:noProof/>
      <w:sz w:val="20"/>
      <w:szCs w:val="24"/>
      <w:lang w:val="es-ES_tradnl"/>
    </w:rPr>
  </w:style>
  <w:style w:type="paragraph" w:customStyle="1" w:styleId="PrrafodeSentencia">
    <w:name w:val="*. Párrafo de Sentencia"/>
    <w:basedOn w:val="FootnoteText"/>
    <w:link w:val="PrrafodeSentenciaChar"/>
    <w:autoRedefine/>
    <w:qFormat/>
    <w:rsid w:val="00475387"/>
    <w:pPr>
      <w:widowControl/>
      <w:numPr>
        <w:numId w:val="1"/>
      </w:numPr>
      <w:tabs>
        <w:tab w:val="left" w:pos="720"/>
      </w:tabs>
      <w:adjustRightInd/>
      <w:spacing w:before="120" w:after="120"/>
      <w:textAlignment w:val="auto"/>
    </w:pPr>
    <w:rPr>
      <w:bCs/>
      <w:noProof/>
      <w:lang w:eastAsia="es-ES"/>
    </w:rPr>
  </w:style>
  <w:style w:type="table" w:styleId="MediumGrid1-Accent2">
    <w:name w:val="Medium Grid 1 Accent 2"/>
    <w:basedOn w:val="TableNormal"/>
    <w:link w:val="MediumGrid1-Accent2Char"/>
    <w:rsid w:val="00475387"/>
    <w:pPr>
      <w:spacing w:after="0" w:line="240" w:lineRule="auto"/>
    </w:pPr>
    <w:rPr>
      <w:rFonts w:ascii="Verdana" w:eastAsia="Batang" w:hAnsi="Verdana" w:cs="Times"/>
      <w:noProof/>
      <w:sz w:val="20"/>
      <w:szCs w:val="24"/>
      <w:lang w:val="es-ES_tradn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NormalWeb">
    <w:name w:val="Normal (Web)"/>
    <w:basedOn w:val="Normal"/>
    <w:uiPriority w:val="99"/>
    <w:unhideWhenUsed/>
    <w:rsid w:val="006C37C9"/>
    <w:pPr>
      <w:adjustRightInd/>
      <w:spacing w:after="200" w:line="276" w:lineRule="auto"/>
      <w:jc w:val="left"/>
      <w:textAlignment w:val="auto"/>
    </w:pPr>
    <w:rPr>
      <w:rFonts w:ascii="Times New Roman" w:eastAsiaTheme="minorHAnsi" w:hAnsi="Times New Roman"/>
      <w:lang w:val="en-US" w:eastAsia="en-US"/>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basedOn w:val="DefaultParagraphFont"/>
    <w:uiPriority w:val="99"/>
    <w:rsid w:val="006C37C9"/>
    <w:rPr>
      <w:sz w:val="20"/>
      <w:szCs w:val="20"/>
      <w:lang w:val="en-US"/>
    </w:rPr>
  </w:style>
  <w:style w:type="paragraph" w:styleId="Header">
    <w:name w:val="header"/>
    <w:basedOn w:val="Normal"/>
    <w:link w:val="HeaderChar"/>
    <w:uiPriority w:val="99"/>
    <w:unhideWhenUsed/>
    <w:rsid w:val="006C37C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C37C9"/>
    <w:rPr>
      <w:lang w:val="en-US"/>
    </w:rPr>
  </w:style>
  <w:style w:type="paragraph" w:styleId="Footer">
    <w:name w:val="footer"/>
    <w:basedOn w:val="Normal"/>
    <w:link w:val="FooterChar"/>
    <w:uiPriority w:val="99"/>
    <w:unhideWhenUsed/>
    <w:rsid w:val="006C37C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C37C9"/>
    <w:rPr>
      <w:lang w:val="en-US"/>
    </w:rPr>
  </w:style>
  <w:style w:type="paragraph" w:styleId="EndnoteText">
    <w:name w:val="endnote text"/>
    <w:basedOn w:val="Normal"/>
    <w:link w:val="EndnoteTextChar"/>
    <w:uiPriority w:val="99"/>
    <w:semiHidden/>
    <w:unhideWhenUsed/>
    <w:rsid w:val="006C37C9"/>
    <w:pPr>
      <w:adjustRightInd/>
      <w:spacing w:line="240" w:lineRule="auto"/>
      <w:jc w:val="left"/>
      <w:textAlignment w:val="auto"/>
    </w:pPr>
    <w:rPr>
      <w:rFonts w:asciiTheme="minorHAnsi" w:eastAsiaTheme="minorHAnsi" w:hAnsiTheme="minorHAnsi" w:cstheme="minorBidi"/>
      <w:sz w:val="20"/>
      <w:szCs w:val="20"/>
      <w:lang w:val="en-US" w:eastAsia="en-US"/>
    </w:rPr>
  </w:style>
  <w:style w:type="character" w:customStyle="1" w:styleId="EndnoteTextChar">
    <w:name w:val="Endnote Text Char"/>
    <w:basedOn w:val="DefaultParagraphFont"/>
    <w:link w:val="EndnoteText"/>
    <w:uiPriority w:val="99"/>
    <w:semiHidden/>
    <w:rsid w:val="006C37C9"/>
    <w:rPr>
      <w:sz w:val="20"/>
      <w:szCs w:val="20"/>
      <w:lang w:val="en-US"/>
    </w:rPr>
  </w:style>
  <w:style w:type="character" w:styleId="Hyperlink">
    <w:name w:val="Hyperlink"/>
    <w:basedOn w:val="DefaultParagraphFont"/>
    <w:uiPriority w:val="99"/>
    <w:unhideWhenUsed/>
    <w:rsid w:val="006C37C9"/>
    <w:rPr>
      <w:color w:val="0000FF" w:themeColor="hyperlink"/>
      <w:u w:val="single"/>
    </w:rPr>
  </w:style>
  <w:style w:type="character" w:styleId="FollowedHyperlink">
    <w:name w:val="FollowedHyperlink"/>
    <w:basedOn w:val="DefaultParagraphFont"/>
    <w:uiPriority w:val="99"/>
    <w:semiHidden/>
    <w:unhideWhenUsed/>
    <w:rsid w:val="006C37C9"/>
    <w:rPr>
      <w:color w:val="800080" w:themeColor="followedHyperlink"/>
      <w:u w:val="single"/>
    </w:rPr>
  </w:style>
  <w:style w:type="paragraph" w:styleId="BalloonText">
    <w:name w:val="Balloon Text"/>
    <w:basedOn w:val="Normal"/>
    <w:link w:val="BalloonTextChar"/>
    <w:uiPriority w:val="99"/>
    <w:semiHidden/>
    <w:unhideWhenUsed/>
    <w:rsid w:val="006C37C9"/>
    <w:pPr>
      <w:widowControl/>
      <w:adjustRightInd/>
      <w:spacing w:line="240" w:lineRule="auto"/>
      <w:jc w:val="left"/>
      <w:textAlignment w:val="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6C37C9"/>
    <w:rPr>
      <w:rFonts w:ascii="Tahoma" w:hAnsi="Tahoma" w:cs="Tahoma"/>
      <w:sz w:val="16"/>
      <w:szCs w:val="16"/>
    </w:rPr>
  </w:style>
  <w:style w:type="paragraph" w:styleId="TOCHeading">
    <w:name w:val="TOC Heading"/>
    <w:basedOn w:val="Heading1"/>
    <w:next w:val="Normal"/>
    <w:uiPriority w:val="39"/>
    <w:unhideWhenUsed/>
    <w:qFormat/>
    <w:rsid w:val="00E16176"/>
    <w:pPr>
      <w:widowControl/>
      <w:tabs>
        <w:tab w:val="clear" w:pos="720"/>
      </w:tabs>
      <w:adjustRightInd/>
      <w:spacing w:before="480" w:line="276" w:lineRule="auto"/>
      <w:jc w:val="left"/>
      <w:textAlignment w:val="auto"/>
      <w:outlineLvl w:val="9"/>
    </w:pPr>
    <w:rPr>
      <w:rFonts w:asciiTheme="majorHAnsi" w:eastAsiaTheme="majorEastAsia" w:hAnsiTheme="majorHAnsi" w:cstheme="majorBidi"/>
      <w:caps w:val="0"/>
      <w:snapToGrid/>
      <w:color w:val="365F91" w:themeColor="accent1" w:themeShade="BF"/>
      <w:spacing w:val="0"/>
      <w:sz w:val="28"/>
      <w:szCs w:val="28"/>
      <w:lang w:val="en-US" w:eastAsia="ja-JP"/>
    </w:rPr>
  </w:style>
  <w:style w:type="paragraph" w:styleId="TOC1">
    <w:name w:val="toc 1"/>
    <w:basedOn w:val="Normal"/>
    <w:next w:val="Normal"/>
    <w:autoRedefine/>
    <w:uiPriority w:val="39"/>
    <w:unhideWhenUsed/>
    <w:rsid w:val="00E16176"/>
    <w:pPr>
      <w:spacing w:after="100"/>
    </w:pPr>
  </w:style>
  <w:style w:type="paragraph" w:styleId="TOC2">
    <w:name w:val="toc 2"/>
    <w:basedOn w:val="Normal"/>
    <w:next w:val="Normal"/>
    <w:autoRedefine/>
    <w:uiPriority w:val="39"/>
    <w:unhideWhenUsed/>
    <w:rsid w:val="008A6487"/>
    <w:pPr>
      <w:tabs>
        <w:tab w:val="left" w:pos="851"/>
        <w:tab w:val="right" w:leader="dot" w:pos="10076"/>
      </w:tabs>
      <w:spacing w:line="240" w:lineRule="auto"/>
      <w:ind w:left="240"/>
      <w:jc w:val="left"/>
    </w:pPr>
  </w:style>
  <w:style w:type="paragraph" w:styleId="TOC3">
    <w:name w:val="toc 3"/>
    <w:basedOn w:val="Normal"/>
    <w:next w:val="Normal"/>
    <w:autoRedefine/>
    <w:uiPriority w:val="39"/>
    <w:unhideWhenUsed/>
    <w:rsid w:val="0014134B"/>
    <w:pPr>
      <w:tabs>
        <w:tab w:val="left" w:pos="1560"/>
        <w:tab w:val="right" w:leader="dot" w:pos="10076"/>
      </w:tabs>
      <w:spacing w:line="240" w:lineRule="auto"/>
      <w:ind w:left="480"/>
    </w:pPr>
  </w:style>
  <w:style w:type="character" w:styleId="LineNumber">
    <w:name w:val="line number"/>
    <w:basedOn w:val="DefaultParagraphFont"/>
    <w:uiPriority w:val="99"/>
    <w:semiHidden/>
    <w:unhideWhenUsed/>
    <w:rsid w:val="00D407D4"/>
  </w:style>
  <w:style w:type="character" w:styleId="CommentReference">
    <w:name w:val="annotation reference"/>
    <w:basedOn w:val="DefaultParagraphFont"/>
    <w:uiPriority w:val="99"/>
    <w:semiHidden/>
    <w:unhideWhenUsed/>
    <w:rsid w:val="007A1A14"/>
    <w:rPr>
      <w:sz w:val="16"/>
      <w:szCs w:val="16"/>
    </w:rPr>
  </w:style>
  <w:style w:type="paragraph" w:styleId="CommentText">
    <w:name w:val="annotation text"/>
    <w:basedOn w:val="Normal"/>
    <w:link w:val="CommentTextChar"/>
    <w:uiPriority w:val="99"/>
    <w:unhideWhenUsed/>
    <w:rsid w:val="007A1A14"/>
    <w:pPr>
      <w:widowControl/>
      <w:adjustRightInd/>
      <w:spacing w:after="200" w:line="240" w:lineRule="auto"/>
      <w:jc w:val="left"/>
      <w:textAlignment w:val="auto"/>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rsid w:val="007A1A14"/>
    <w:rPr>
      <w:sz w:val="20"/>
      <w:szCs w:val="20"/>
      <w:lang w:val="en-US"/>
    </w:rPr>
  </w:style>
  <w:style w:type="paragraph" w:styleId="CommentSubject">
    <w:name w:val="annotation subject"/>
    <w:basedOn w:val="CommentText"/>
    <w:next w:val="CommentText"/>
    <w:link w:val="CommentSubjectChar"/>
    <w:uiPriority w:val="99"/>
    <w:semiHidden/>
    <w:unhideWhenUsed/>
    <w:rsid w:val="007A1A14"/>
    <w:rPr>
      <w:b/>
      <w:bCs/>
    </w:rPr>
  </w:style>
  <w:style w:type="character" w:customStyle="1" w:styleId="CommentSubjectChar">
    <w:name w:val="Comment Subject Char"/>
    <w:basedOn w:val="CommentTextChar"/>
    <w:link w:val="CommentSubject"/>
    <w:uiPriority w:val="99"/>
    <w:semiHidden/>
    <w:rsid w:val="007A1A14"/>
    <w:rPr>
      <w:b/>
      <w:bCs/>
      <w:sz w:val="20"/>
      <w:szCs w:val="20"/>
      <w:lang w:val="en-US"/>
    </w:rPr>
  </w:style>
  <w:style w:type="paragraph" w:customStyle="1" w:styleId="Heading21">
    <w:name w:val="Heading 21"/>
    <w:basedOn w:val="Normal"/>
    <w:next w:val="Normal"/>
    <w:uiPriority w:val="9"/>
    <w:semiHidden/>
    <w:unhideWhenUsed/>
    <w:qFormat/>
    <w:rsid w:val="008920BF"/>
    <w:pPr>
      <w:keepNext/>
      <w:keepLines/>
      <w:spacing w:before="200"/>
      <w:outlineLvl w:val="1"/>
    </w:pPr>
    <w:rPr>
      <w:rFonts w:ascii="Cambria" w:hAnsi="Cambria"/>
      <w:b/>
      <w:bCs/>
      <w:color w:val="4F81BD"/>
      <w:sz w:val="26"/>
      <w:szCs w:val="26"/>
    </w:rPr>
  </w:style>
  <w:style w:type="paragraph" w:customStyle="1" w:styleId="Heading41">
    <w:name w:val="Heading 41"/>
    <w:basedOn w:val="Normal"/>
    <w:next w:val="Normal"/>
    <w:uiPriority w:val="9"/>
    <w:semiHidden/>
    <w:unhideWhenUsed/>
    <w:qFormat/>
    <w:rsid w:val="008920BF"/>
    <w:pPr>
      <w:keepNext/>
      <w:keepLines/>
      <w:spacing w:before="200"/>
      <w:outlineLvl w:val="3"/>
    </w:pPr>
    <w:rPr>
      <w:rFonts w:ascii="Cambria" w:hAnsi="Cambria"/>
      <w:b/>
      <w:bCs/>
      <w:i/>
      <w:iCs/>
      <w:color w:val="4F81BD"/>
    </w:rPr>
  </w:style>
  <w:style w:type="numbering" w:customStyle="1" w:styleId="NoList1">
    <w:name w:val="No List1"/>
    <w:next w:val="NoList"/>
    <w:uiPriority w:val="99"/>
    <w:semiHidden/>
    <w:unhideWhenUsed/>
    <w:rsid w:val="008920BF"/>
  </w:style>
  <w:style w:type="character" w:customStyle="1" w:styleId="Heading2Char">
    <w:name w:val="Heading 2 Char"/>
    <w:basedOn w:val="DefaultParagraphFont"/>
    <w:link w:val="Heading2"/>
    <w:uiPriority w:val="9"/>
    <w:rsid w:val="008920BF"/>
    <w:rPr>
      <w:rFonts w:ascii="Cambria" w:eastAsia="Times New Roman" w:hAnsi="Cambria" w:cs="Times New Roman"/>
      <w:b/>
      <w:bCs/>
      <w:color w:val="4F81BD"/>
      <w:sz w:val="26"/>
      <w:szCs w:val="26"/>
      <w:lang w:eastAsia="es-CR"/>
    </w:rPr>
  </w:style>
  <w:style w:type="character" w:customStyle="1" w:styleId="Heading4Char">
    <w:name w:val="Heading 4 Char"/>
    <w:basedOn w:val="DefaultParagraphFont"/>
    <w:link w:val="Heading4"/>
    <w:uiPriority w:val="9"/>
    <w:semiHidden/>
    <w:rsid w:val="008920BF"/>
    <w:rPr>
      <w:rFonts w:ascii="Cambria" w:eastAsia="Times New Roman" w:hAnsi="Cambria" w:cs="Times New Roman"/>
      <w:b/>
      <w:bCs/>
      <w:i/>
      <w:iCs/>
      <w:color w:val="4F81BD"/>
      <w:sz w:val="24"/>
      <w:szCs w:val="24"/>
      <w:lang w:eastAsia="es-CR"/>
    </w:rPr>
  </w:style>
  <w:style w:type="paragraph" w:customStyle="1" w:styleId="Prrafodelista2">
    <w:name w:val="Párrafo de lista2"/>
    <w:basedOn w:val="Normal"/>
    <w:uiPriority w:val="99"/>
    <w:rsid w:val="008920BF"/>
    <w:pPr>
      <w:widowControl/>
      <w:adjustRightInd/>
      <w:spacing w:line="240" w:lineRule="auto"/>
      <w:ind w:left="720"/>
      <w:jc w:val="left"/>
      <w:textAlignment w:val="auto"/>
    </w:pPr>
    <w:rPr>
      <w:rFonts w:eastAsia="MS Mincho"/>
      <w:sz w:val="20"/>
      <w:szCs w:val="20"/>
      <w:lang w:val="es-ES_tradnl" w:eastAsia="en-US" w:bidi="en-US"/>
    </w:rPr>
  </w:style>
  <w:style w:type="character" w:customStyle="1" w:styleId="apple-style-span">
    <w:name w:val="apple-style-span"/>
    <w:rsid w:val="008920BF"/>
    <w:rPr>
      <w:rFonts w:cs="Times New Roman"/>
    </w:rPr>
  </w:style>
  <w:style w:type="character" w:customStyle="1" w:styleId="Listavistosa-nfasis1Car1">
    <w:name w:val="Lista vistosa - Énfasis 1 Car1"/>
    <w:link w:val="ColorfulList-Accent1"/>
    <w:uiPriority w:val="99"/>
    <w:locked/>
    <w:rsid w:val="008920BF"/>
    <w:rPr>
      <w:rFonts w:ascii="Verdana" w:eastAsia="Times New Roman" w:hAnsi="Verdana"/>
      <w:lang w:val="es-ES_tradnl" w:eastAsia="en-US"/>
    </w:rPr>
  </w:style>
  <w:style w:type="character" w:customStyle="1" w:styleId="column01">
    <w:name w:val="column01"/>
    <w:basedOn w:val="DefaultParagraphFont"/>
    <w:rsid w:val="008920BF"/>
  </w:style>
  <w:style w:type="table" w:customStyle="1" w:styleId="ColorfulList-Accent11">
    <w:name w:val="Colorful List - Accent 11"/>
    <w:basedOn w:val="TableNormal"/>
    <w:next w:val="ColorfulList-Accent1"/>
    <w:uiPriority w:val="99"/>
    <w:rsid w:val="008920BF"/>
    <w:pPr>
      <w:spacing w:after="0" w:line="240" w:lineRule="auto"/>
    </w:pPr>
    <w:rPr>
      <w:rFonts w:ascii="Verdana" w:eastAsia="Times New Roman" w:hAnsi="Verdana"/>
      <w:lang w:val="es-ES_tradnl"/>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BodyTextIndent">
    <w:name w:val="Body Text Indent"/>
    <w:basedOn w:val="Normal"/>
    <w:link w:val="BodyTextIndentChar"/>
    <w:uiPriority w:val="99"/>
    <w:rsid w:val="008920BF"/>
    <w:pPr>
      <w:widowControl/>
      <w:adjustRightInd/>
      <w:spacing w:after="120" w:line="240" w:lineRule="auto"/>
      <w:ind w:left="360"/>
      <w:jc w:val="left"/>
      <w:textAlignment w:val="auto"/>
    </w:pPr>
    <w:rPr>
      <w:rFonts w:ascii="Times New Roman" w:eastAsia="MS Mincho" w:hAnsi="Times New Roman"/>
      <w:lang w:val="es-AR" w:eastAsia="en-US"/>
    </w:rPr>
  </w:style>
  <w:style w:type="character" w:customStyle="1" w:styleId="BodyTextIndentChar">
    <w:name w:val="Body Text Indent Char"/>
    <w:basedOn w:val="DefaultParagraphFont"/>
    <w:link w:val="BodyTextIndent"/>
    <w:uiPriority w:val="99"/>
    <w:rsid w:val="008920BF"/>
    <w:rPr>
      <w:rFonts w:ascii="Times New Roman" w:eastAsia="MS Mincho" w:hAnsi="Times New Roman" w:cs="Times New Roman"/>
      <w:sz w:val="24"/>
      <w:szCs w:val="24"/>
      <w:lang w:val="es-AR"/>
    </w:rPr>
  </w:style>
  <w:style w:type="character" w:customStyle="1" w:styleId="apple-converted-space">
    <w:name w:val="apple-converted-space"/>
    <w:basedOn w:val="DefaultParagraphFont"/>
    <w:rsid w:val="008920BF"/>
  </w:style>
  <w:style w:type="paragraph" w:customStyle="1" w:styleId="CM4">
    <w:name w:val="CM4"/>
    <w:basedOn w:val="Normal"/>
    <w:next w:val="Normal"/>
    <w:uiPriority w:val="99"/>
    <w:rsid w:val="008920BF"/>
    <w:pPr>
      <w:widowControl/>
      <w:autoSpaceDE w:val="0"/>
      <w:autoSpaceDN w:val="0"/>
      <w:spacing w:line="240" w:lineRule="auto"/>
      <w:jc w:val="left"/>
      <w:textAlignment w:val="auto"/>
    </w:pPr>
    <w:rPr>
      <w:rFonts w:ascii="EUAlbertina" w:eastAsia="Calibri" w:hAnsi="EUAlbertina"/>
      <w:lang w:eastAsia="en-US"/>
    </w:rPr>
  </w:style>
  <w:style w:type="paragraph" w:customStyle="1" w:styleId="Default">
    <w:name w:val="Default"/>
    <w:rsid w:val="008920BF"/>
    <w:pPr>
      <w:autoSpaceDE w:val="0"/>
      <w:autoSpaceDN w:val="0"/>
      <w:adjustRightInd w:val="0"/>
      <w:spacing w:after="0" w:line="240" w:lineRule="auto"/>
    </w:pPr>
    <w:rPr>
      <w:rFonts w:ascii="Times New Roman" w:eastAsia="Times New Roman" w:hAnsi="Times New Roman" w:cs="Times New Roman"/>
      <w:color w:val="000000"/>
      <w:sz w:val="24"/>
      <w:szCs w:val="24"/>
      <w:lang w:eastAsia="es-CR"/>
    </w:rPr>
  </w:style>
  <w:style w:type="paragraph" w:styleId="HTMLPreformatted">
    <w:name w:val="HTML Preformatted"/>
    <w:basedOn w:val="Normal"/>
    <w:link w:val="HTMLPreformattedChar"/>
    <w:uiPriority w:val="99"/>
    <w:unhideWhenUsed/>
    <w:rsid w:val="00892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920BF"/>
    <w:rPr>
      <w:rFonts w:ascii="Courier New" w:eastAsia="Times New Roman" w:hAnsi="Courier New" w:cs="Courier New"/>
      <w:sz w:val="20"/>
      <w:szCs w:val="20"/>
      <w:lang w:val="en-US"/>
    </w:rPr>
  </w:style>
  <w:style w:type="character" w:customStyle="1" w:styleId="Heading2Char1">
    <w:name w:val="Heading 2 Char1"/>
    <w:basedOn w:val="DefaultParagraphFont"/>
    <w:uiPriority w:val="9"/>
    <w:semiHidden/>
    <w:rsid w:val="008920BF"/>
    <w:rPr>
      <w:rFonts w:asciiTheme="majorHAnsi" w:eastAsiaTheme="majorEastAsia" w:hAnsiTheme="majorHAnsi" w:cstheme="majorBidi"/>
      <w:b/>
      <w:bCs/>
      <w:color w:val="4F81BD" w:themeColor="accent1"/>
      <w:sz w:val="26"/>
      <w:szCs w:val="26"/>
      <w:lang w:eastAsia="es-CR"/>
    </w:rPr>
  </w:style>
  <w:style w:type="character" w:customStyle="1" w:styleId="Heading4Char1">
    <w:name w:val="Heading 4 Char1"/>
    <w:basedOn w:val="DefaultParagraphFont"/>
    <w:uiPriority w:val="9"/>
    <w:semiHidden/>
    <w:rsid w:val="008920BF"/>
    <w:rPr>
      <w:rFonts w:asciiTheme="majorHAnsi" w:eastAsiaTheme="majorEastAsia" w:hAnsiTheme="majorHAnsi" w:cstheme="majorBidi"/>
      <w:b/>
      <w:bCs/>
      <w:i/>
      <w:iCs/>
      <w:color w:val="4F81BD" w:themeColor="accent1"/>
      <w:sz w:val="24"/>
      <w:szCs w:val="24"/>
      <w:lang w:eastAsia="es-CR"/>
    </w:rPr>
  </w:style>
  <w:style w:type="table" w:styleId="ColorfulList-Accent1">
    <w:name w:val="Colorful List Accent 1"/>
    <w:basedOn w:val="TableNormal"/>
    <w:link w:val="Listavistosa-nfasis1Car1"/>
    <w:uiPriority w:val="99"/>
    <w:rsid w:val="008920BF"/>
    <w:pPr>
      <w:spacing w:after="0" w:line="240" w:lineRule="auto"/>
    </w:pPr>
    <w:rPr>
      <w:rFonts w:ascii="Verdana" w:eastAsia="Times New Roman" w:hAnsi="Verdana"/>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sb8d990e2">
    <w:name w:val="sb8d990e2"/>
    <w:basedOn w:val="DefaultParagraphFont"/>
    <w:uiPriority w:val="99"/>
    <w:rsid w:val="00502B43"/>
  </w:style>
  <w:style w:type="character" w:customStyle="1" w:styleId="s6b621b36">
    <w:name w:val="s6b621b36"/>
    <w:basedOn w:val="DefaultParagraphFont"/>
    <w:rsid w:val="00502B43"/>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502B43"/>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customStyle="1" w:styleId="s5891fd46">
    <w:name w:val="s5891fd46"/>
    <w:basedOn w:val="Normal"/>
    <w:rsid w:val="00502B43"/>
    <w:pPr>
      <w:widowControl/>
      <w:adjustRightInd/>
      <w:spacing w:before="100" w:beforeAutospacing="1" w:after="100" w:afterAutospacing="1" w:line="240" w:lineRule="auto"/>
      <w:jc w:val="left"/>
      <w:textAlignment w:val="auto"/>
    </w:pPr>
    <w:rPr>
      <w:rFonts w:ascii="Times New Roman" w:hAnsi="Times New Roman"/>
    </w:rPr>
  </w:style>
  <w:style w:type="character" w:styleId="Emphasis">
    <w:name w:val="Emphasis"/>
    <w:uiPriority w:val="20"/>
    <w:qFormat/>
    <w:rsid w:val="00502B43"/>
    <w:rPr>
      <w:b/>
      <w:bCs/>
      <w:i/>
      <w:iCs/>
      <w:spacing w:val="10"/>
      <w:bdr w:val="none" w:sz="0" w:space="0" w:color="auto"/>
      <w:shd w:val="clear" w:color="auto" w:fill="auto"/>
    </w:rPr>
  </w:style>
  <w:style w:type="paragraph" w:styleId="TOC4">
    <w:name w:val="toc 4"/>
    <w:basedOn w:val="Normal"/>
    <w:next w:val="Normal"/>
    <w:autoRedefine/>
    <w:uiPriority w:val="39"/>
    <w:unhideWhenUsed/>
    <w:rsid w:val="00E35E14"/>
    <w:pPr>
      <w:widowControl/>
      <w:adjustRightInd/>
      <w:spacing w:after="100" w:line="276" w:lineRule="auto"/>
      <w:ind w:left="660"/>
      <w:jc w:val="left"/>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E35E14"/>
    <w:pPr>
      <w:widowControl/>
      <w:adjustRightInd/>
      <w:spacing w:after="100" w:line="276" w:lineRule="auto"/>
      <w:ind w:left="880"/>
      <w:jc w:val="left"/>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E35E14"/>
    <w:pPr>
      <w:widowControl/>
      <w:adjustRightInd/>
      <w:spacing w:after="100" w:line="276" w:lineRule="auto"/>
      <w:ind w:left="1100"/>
      <w:jc w:val="left"/>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E35E14"/>
    <w:pPr>
      <w:widowControl/>
      <w:adjustRightInd/>
      <w:spacing w:after="100" w:line="276" w:lineRule="auto"/>
      <w:ind w:left="1320"/>
      <w:jc w:val="left"/>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E35E14"/>
    <w:pPr>
      <w:widowControl/>
      <w:adjustRightInd/>
      <w:spacing w:after="100" w:line="276" w:lineRule="auto"/>
      <w:ind w:left="1540"/>
      <w:jc w:val="left"/>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E35E14"/>
    <w:pPr>
      <w:widowControl/>
      <w:adjustRightInd/>
      <w:spacing w:after="100" w:line="276" w:lineRule="auto"/>
      <w:ind w:left="1760"/>
      <w:jc w:val="left"/>
      <w:textAlignment w:val="auto"/>
    </w:pPr>
    <w:rPr>
      <w:rFonts w:asciiTheme="minorHAnsi" w:eastAsiaTheme="minorEastAsia" w:hAnsiTheme="minorHAnsi" w:cstheme="minorBidi"/>
      <w:sz w:val="22"/>
      <w:szCs w:val="22"/>
    </w:rPr>
  </w:style>
  <w:style w:type="paragraph" w:customStyle="1" w:styleId="styletitle2">
    <w:name w:val="styletitle2"/>
    <w:basedOn w:val="Normal"/>
    <w:rsid w:val="00000131"/>
    <w:pPr>
      <w:widowControl/>
      <w:adjustRightInd/>
      <w:spacing w:before="100" w:beforeAutospacing="1" w:after="100" w:afterAutospacing="1" w:line="240" w:lineRule="auto"/>
      <w:jc w:val="left"/>
      <w:textAlignment w:val="auto"/>
    </w:pPr>
    <w:rPr>
      <w:rFonts w:ascii="Times New Roman" w:hAnsi="Times New Roman"/>
    </w:rPr>
  </w:style>
  <w:style w:type="character" w:customStyle="1" w:styleId="ListParagraphChar1">
    <w:name w:val="List Paragraph Char1"/>
    <w:aliases w:val="List Paragraph2 Char1,Lista vistosa - Énfasis 11 Char1,Párrafo de lista1 Char1,Footnote Char1,List Paragraph1 Char1"/>
    <w:basedOn w:val="DefaultParagraphFont"/>
    <w:link w:val="ListParagraph"/>
    <w:uiPriority w:val="34"/>
    <w:rsid w:val="005624D3"/>
    <w:rPr>
      <w:rFonts w:ascii="Verdana" w:eastAsia="Times New Roman" w:hAnsi="Verdana" w:cs="Times New Roman"/>
      <w:sz w:val="24"/>
      <w:szCs w:val="24"/>
      <w:lang w:eastAsia="es-CR"/>
    </w:rPr>
  </w:style>
  <w:style w:type="character" w:customStyle="1" w:styleId="Hipervnculo1">
    <w:name w:val="Hipervínculo1"/>
    <w:basedOn w:val="DefaultParagraphFont"/>
    <w:uiPriority w:val="99"/>
    <w:unhideWhenUsed/>
    <w:rsid w:val="00D534AF"/>
    <w:rPr>
      <w:color w:val="0000FF"/>
      <w:u w:val="single"/>
    </w:rPr>
  </w:style>
  <w:style w:type="character" w:customStyle="1" w:styleId="Heading6Char">
    <w:name w:val="Heading 6 Char"/>
    <w:basedOn w:val="DefaultParagraphFont"/>
    <w:link w:val="Heading6"/>
    <w:uiPriority w:val="9"/>
    <w:rsid w:val="00E3447E"/>
    <w:rPr>
      <w:rFonts w:ascii="Verdana" w:eastAsia="Times New Roman" w:hAnsi="Verdana" w:cs="Times New Roman"/>
      <w:spacing w:val="-2"/>
      <w:sz w:val="20"/>
      <w:szCs w:val="20"/>
      <w:lang w:val="es-ES_tradnl" w:eastAsia="es-CR"/>
    </w:rPr>
  </w:style>
  <w:style w:type="character" w:customStyle="1" w:styleId="Caracteresdenotafinal">
    <w:name w:val="Caracteres de nota final"/>
    <w:rsid w:val="00E3447E"/>
    <w:rPr>
      <w:vertAlign w:val="superscript"/>
    </w:rPr>
  </w:style>
  <w:style w:type="character" w:customStyle="1" w:styleId="Heading5Char">
    <w:name w:val="Heading 5 Char"/>
    <w:basedOn w:val="DefaultParagraphFont"/>
    <w:link w:val="Heading5"/>
    <w:uiPriority w:val="9"/>
    <w:semiHidden/>
    <w:rsid w:val="00E3447E"/>
    <w:rPr>
      <w:rFonts w:asciiTheme="majorHAnsi" w:eastAsiaTheme="majorEastAsia" w:hAnsiTheme="majorHAnsi" w:cstheme="majorBidi"/>
      <w:color w:val="243F60" w:themeColor="accent1" w:themeShade="7F"/>
      <w:sz w:val="24"/>
      <w:szCs w:val="24"/>
      <w:lang w:eastAsia="es-CR"/>
    </w:rPr>
  </w:style>
  <w:style w:type="character" w:styleId="PageNumber">
    <w:name w:val="page number"/>
    <w:basedOn w:val="DefaultParagraphFont"/>
    <w:uiPriority w:val="99"/>
    <w:semiHidden/>
    <w:unhideWhenUsed/>
    <w:rsid w:val="00011543"/>
  </w:style>
  <w:style w:type="table" w:styleId="TableGrid">
    <w:name w:val="Table Grid"/>
    <w:basedOn w:val="TableNormal"/>
    <w:uiPriority w:val="59"/>
    <w:rsid w:val="00C80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5625C"/>
  </w:style>
  <w:style w:type="table" w:customStyle="1" w:styleId="TableGrid1">
    <w:name w:val="Table Grid1"/>
    <w:basedOn w:val="TableNormal"/>
    <w:next w:val="TableGrid"/>
    <w:uiPriority w:val="59"/>
    <w:rsid w:val="00B56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5625C"/>
    <w:rPr>
      <w:i/>
      <w:iCs/>
      <w:color w:val="808080" w:themeColor="text1" w:themeTint="7F"/>
    </w:rPr>
  </w:style>
  <w:style w:type="character" w:customStyle="1" w:styleId="shorttext">
    <w:name w:val="shorttext"/>
    <w:basedOn w:val="DefaultParagraphFont"/>
    <w:rsid w:val="00B5625C"/>
  </w:style>
  <w:style w:type="paragraph" w:customStyle="1" w:styleId="Estilo4">
    <w:name w:val="Estilo4"/>
    <w:basedOn w:val="ListParagraph"/>
    <w:qFormat/>
    <w:rsid w:val="00B5625C"/>
    <w:pPr>
      <w:widowControl/>
      <w:numPr>
        <w:ilvl w:val="1"/>
        <w:numId w:val="7"/>
      </w:numPr>
      <w:adjustRightInd/>
      <w:spacing w:after="120" w:line="240" w:lineRule="auto"/>
      <w:ind w:left="0" w:firstLine="357"/>
      <w:textAlignment w:val="auto"/>
    </w:pPr>
    <w:rPr>
      <w:spacing w:val="-2"/>
      <w:sz w:val="20"/>
      <w:szCs w:val="20"/>
      <w:lang w:eastAsia="en-US"/>
    </w:rPr>
  </w:style>
  <w:style w:type="character" w:styleId="HTMLTypewriter">
    <w:name w:val="HTML Typewriter"/>
    <w:basedOn w:val="DefaultParagraphFont"/>
    <w:semiHidden/>
    <w:unhideWhenUsed/>
    <w:rsid w:val="00B5625C"/>
    <w:rPr>
      <w:rFonts w:ascii="Courier New" w:eastAsia="Times New Roman" w:hAnsi="Courier New" w:cs="Courier New"/>
      <w:sz w:val="20"/>
      <w:szCs w:val="20"/>
    </w:rPr>
  </w:style>
  <w:style w:type="paragraph" w:customStyle="1" w:styleId="SingleTxtG">
    <w:name w:val="_ Single Txt_G"/>
    <w:basedOn w:val="Normal"/>
    <w:rsid w:val="00B5625C"/>
    <w:pPr>
      <w:widowControl/>
      <w:adjustRightInd/>
      <w:spacing w:after="120" w:line="240" w:lineRule="atLeast"/>
      <w:ind w:left="1134" w:right="1134"/>
      <w:textAlignment w:val="auto"/>
    </w:pPr>
    <w:rPr>
      <w:rFonts w:ascii="Times New Roman" w:hAnsi="Times New Roman"/>
      <w:sz w:val="20"/>
      <w:szCs w:val="20"/>
      <w:lang w:val="es-ES" w:eastAsia="es-ES"/>
    </w:rPr>
  </w:style>
  <w:style w:type="paragraph" w:customStyle="1" w:styleId="Numberedparagraphs">
    <w:name w:val="Numbered paragraphs"/>
    <w:basedOn w:val="Normal"/>
    <w:qFormat/>
    <w:rsid w:val="00E24907"/>
    <w:pPr>
      <w:widowControl/>
      <w:numPr>
        <w:numId w:val="10"/>
      </w:numPr>
      <w:adjustRightInd/>
      <w:spacing w:after="200" w:line="240" w:lineRule="auto"/>
      <w:textAlignment w:val="auto"/>
    </w:pPr>
    <w:rPr>
      <w:rFonts w:eastAsia="MS Mincho"/>
      <w:color w:val="000000"/>
      <w:sz w:val="20"/>
      <w:szCs w:val="20"/>
      <w:lang w:val="es-ES_tradnl" w:eastAsia="en-US"/>
    </w:rPr>
  </w:style>
  <w:style w:type="character" w:customStyle="1" w:styleId="PrrafodeSentenciaChar">
    <w:name w:val="*. Párrafo de Sentencia Char"/>
    <w:link w:val="PrrafodeSentencia"/>
    <w:rsid w:val="008D63D9"/>
    <w:rPr>
      <w:rFonts w:ascii="Verdana" w:eastAsia="Times New Roman" w:hAnsi="Verdana" w:cs="Times New Roman"/>
      <w:bCs/>
      <w:noProof/>
      <w:sz w:val="20"/>
      <w:szCs w:val="20"/>
      <w:lang w:val="es-ES_tradnl" w:eastAsia="es-ES"/>
    </w:rPr>
  </w:style>
  <w:style w:type="paragraph" w:styleId="Revision">
    <w:name w:val="Revision"/>
    <w:hidden/>
    <w:uiPriority w:val="99"/>
    <w:semiHidden/>
    <w:rsid w:val="009D661E"/>
    <w:pPr>
      <w:spacing w:after="0" w:line="240" w:lineRule="auto"/>
    </w:pPr>
    <w:rPr>
      <w:rFonts w:ascii="Verdana" w:eastAsia="Times New Roman" w:hAnsi="Verdana" w:cs="Times New Roman"/>
      <w:sz w:val="24"/>
      <w:szCs w:val="24"/>
      <w:lang w:eastAsia="es-CR"/>
    </w:rPr>
  </w:style>
  <w:style w:type="paragraph" w:styleId="NoSpacing">
    <w:name w:val="No Spacing"/>
    <w:uiPriority w:val="1"/>
    <w:qFormat/>
    <w:rsid w:val="009D661E"/>
    <w:pPr>
      <w:spacing w:after="0" w:line="240" w:lineRule="auto"/>
      <w:jc w:val="both"/>
    </w:pPr>
    <w:rPr>
      <w:rFonts w:ascii="Verdana" w:eastAsia="Calibri" w:hAnsi="Verdana" w:cs="Calibri"/>
      <w:sz w:val="20"/>
      <w:lang w:val="es-MX"/>
    </w:rPr>
  </w:style>
  <w:style w:type="paragraph" w:customStyle="1" w:styleId="Textonotapie1">
    <w:name w:val="Texto nota pie1"/>
    <w:basedOn w:val="Normal"/>
    <w:uiPriority w:val="99"/>
    <w:qFormat/>
    <w:rsid w:val="009D661E"/>
    <w:pPr>
      <w:widowControl/>
      <w:adjustRightInd/>
      <w:spacing w:line="240" w:lineRule="auto"/>
      <w:jc w:val="left"/>
      <w:textAlignment w:val="auto"/>
    </w:pPr>
    <w:rPr>
      <w:rFonts w:ascii="Times New Roman" w:hAnsi="Times New Roman"/>
      <w:sz w:val="20"/>
      <w:szCs w:val="20"/>
      <w:lang w:val="en-US" w:eastAsia="es-ES"/>
    </w:rPr>
  </w:style>
  <w:style w:type="character" w:customStyle="1" w:styleId="Funotenzeichen">
    <w:name w:val="Fußnotenzeichen"/>
    <w:rsid w:val="009D661E"/>
  </w:style>
  <w:style w:type="character" w:customStyle="1" w:styleId="Smbolodenotaalpie">
    <w:name w:val="Símbolo de nota al pie"/>
    <w:rsid w:val="009D661E"/>
    <w:rPr>
      <w:rFonts w:ascii="Times New Roman" w:hAnsi="Times New Roman" w:cs="Times New Roman" w:hint="default"/>
      <w:szCs w:val="20"/>
      <w:vertAlign w:val="superscript"/>
    </w:rPr>
  </w:style>
  <w:style w:type="character" w:customStyle="1" w:styleId="TextonotapieCar2">
    <w:name w:val="Texto nota pie Car2"/>
    <w:aliases w:val="Footnote Text Char Char Char Char Char Car2,Footnote Text Char Char Char Char Car2,Footnote reference Car2,FA Fu Car2,Footnote Text Char Char Char Car2,Footnote Text Cha Car2,FA Fußnotentext Car2,FA Fu?notentext Car2,Ca Car1,C Car2"/>
    <w:locked/>
    <w:rsid w:val="009D661E"/>
  </w:style>
  <w:style w:type="paragraph" w:styleId="ListBullet">
    <w:name w:val="List Bullet"/>
    <w:basedOn w:val="Normal"/>
    <w:uiPriority w:val="99"/>
    <w:unhideWhenUsed/>
    <w:rsid w:val="00673408"/>
    <w:pPr>
      <w:widowControl/>
      <w:numPr>
        <w:numId w:val="22"/>
      </w:numPr>
      <w:adjustRightInd/>
      <w:spacing w:after="200" w:line="276" w:lineRule="auto"/>
      <w:contextualSpacing/>
      <w:jc w:val="left"/>
      <w:textAlignment w:val="auto"/>
    </w:pPr>
    <w:rPr>
      <w:rFonts w:ascii="Calibri" w:hAnsi="Calibr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BDD"/>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Heading1">
    <w:name w:val="heading 1"/>
    <w:aliases w:val="Título Verdana"/>
    <w:basedOn w:val="Normal"/>
    <w:next w:val="Normal"/>
    <w:link w:val="Heading1Char"/>
    <w:uiPriority w:val="9"/>
    <w:qFormat/>
    <w:rsid w:val="00085BDD"/>
    <w:pPr>
      <w:keepNext/>
      <w:keepLines/>
      <w:tabs>
        <w:tab w:val="left" w:pos="720"/>
      </w:tabs>
      <w:spacing w:line="240" w:lineRule="auto"/>
      <w:jc w:val="center"/>
      <w:outlineLvl w:val="0"/>
    </w:pPr>
    <w:rPr>
      <w:rFonts w:eastAsia="MS ????"/>
      <w:b/>
      <w:bCs/>
      <w:caps/>
      <w:snapToGrid w:val="0"/>
      <w:spacing w:val="-2"/>
      <w:sz w:val="20"/>
      <w:szCs w:val="20"/>
      <w:lang w:val="x-none" w:eastAsia="es-ES"/>
    </w:rPr>
  </w:style>
  <w:style w:type="paragraph" w:styleId="Heading2">
    <w:name w:val="heading 2"/>
    <w:basedOn w:val="Normal"/>
    <w:next w:val="Normal"/>
    <w:link w:val="Heading2Char"/>
    <w:uiPriority w:val="9"/>
    <w:unhideWhenUsed/>
    <w:qFormat/>
    <w:rsid w:val="008920BF"/>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085BDD"/>
    <w:pPr>
      <w:widowControl/>
      <w:tabs>
        <w:tab w:val="left" w:pos="567"/>
      </w:tabs>
      <w:autoSpaceDE w:val="0"/>
      <w:autoSpaceDN w:val="0"/>
      <w:adjustRightInd/>
      <w:spacing w:line="240" w:lineRule="auto"/>
      <w:ind w:left="1416"/>
      <w:contextualSpacing/>
      <w:textAlignment w:val="auto"/>
      <w:outlineLvl w:val="2"/>
    </w:pPr>
    <w:rPr>
      <w:rFonts w:eastAsia="Calibri"/>
      <w:b/>
      <w:spacing w:val="-2"/>
      <w:sz w:val="20"/>
      <w:szCs w:val="20"/>
      <w:lang w:val="es-ES" w:eastAsia="x-none"/>
    </w:rPr>
  </w:style>
  <w:style w:type="paragraph" w:styleId="Heading4">
    <w:name w:val="heading 4"/>
    <w:basedOn w:val="Normal"/>
    <w:next w:val="Normal"/>
    <w:link w:val="Heading4Char"/>
    <w:uiPriority w:val="9"/>
    <w:semiHidden/>
    <w:unhideWhenUsed/>
    <w:qFormat/>
    <w:rsid w:val="008920BF"/>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E344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E3447E"/>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sz w:val="20"/>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085BDD"/>
    <w:rPr>
      <w:rFonts w:ascii="Verdana" w:eastAsia="MS ????" w:hAnsi="Verdana" w:cs="Times New Roman"/>
      <w:b/>
      <w:bCs/>
      <w:caps/>
      <w:snapToGrid w:val="0"/>
      <w:spacing w:val="-2"/>
      <w:sz w:val="20"/>
      <w:szCs w:val="20"/>
      <w:lang w:val="x-none" w:eastAsia="es-ES"/>
    </w:rPr>
  </w:style>
  <w:style w:type="character" w:customStyle="1" w:styleId="Heading3Char">
    <w:name w:val="Heading 3 Char"/>
    <w:basedOn w:val="DefaultParagraphFont"/>
    <w:link w:val="Heading3"/>
    <w:uiPriority w:val="9"/>
    <w:rsid w:val="00085BDD"/>
    <w:rPr>
      <w:rFonts w:ascii="Verdana" w:eastAsia="Calibri" w:hAnsi="Verdana" w:cs="Times New Roman"/>
      <w:b/>
      <w:spacing w:val="-2"/>
      <w:sz w:val="20"/>
      <w:szCs w:val="20"/>
      <w:lang w:val="es-ES" w:eastAsia="x-none"/>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085BDD"/>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qFormat/>
    <w:rsid w:val="00085BDD"/>
    <w:pPr>
      <w:spacing w:line="240" w:lineRule="auto"/>
    </w:pPr>
    <w:rPr>
      <w:sz w:val="20"/>
      <w:szCs w:val="20"/>
      <w:lang w:val="es-ES_tradnl"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085BDD"/>
    <w:rPr>
      <w:rFonts w:ascii="Verdana" w:eastAsia="Times New Roman" w:hAnsi="Verdana" w:cs="Times New Roman"/>
      <w:sz w:val="20"/>
      <w:szCs w:val="20"/>
      <w:lang w:val="es-ES_tradnl" w:eastAsia="x-none"/>
    </w:rPr>
  </w:style>
  <w:style w:type="character" w:styleId="Strong">
    <w:name w:val="Strong"/>
    <w:uiPriority w:val="22"/>
    <w:qFormat/>
    <w:rsid w:val="00085BDD"/>
    <w:rPr>
      <w:b/>
      <w:bCs/>
    </w:rPr>
  </w:style>
  <w:style w:type="paragraph" w:styleId="ListParagraph">
    <w:name w:val="List Paragraph"/>
    <w:aliases w:val="List Paragraph2,Lista vistosa - Énfasis 11,Párrafo de lista1,Footnote,List Paragraph1"/>
    <w:basedOn w:val="Normal"/>
    <w:link w:val="ListParagraphChar1"/>
    <w:uiPriority w:val="34"/>
    <w:qFormat/>
    <w:rsid w:val="00085BDD"/>
    <w:pPr>
      <w:ind w:left="708"/>
    </w:pPr>
  </w:style>
  <w:style w:type="character" w:customStyle="1" w:styleId="MediumGrid1-Accent2Char">
    <w:name w:val="Medium Grid 1 - Accent 2 Char"/>
    <w:aliases w:val="Footnote Char,List Paragraph1 Char,Colorful List - Accent 11 Char,Párrafo de lista1 Char,List Paragraph Char,List Paragraph2 Char,Lista vistosa - Énfasis 11 Char,Colorful List - Accent 1 Char"/>
    <w:link w:val="MediumGrid1-Accent2"/>
    <w:uiPriority w:val="34"/>
    <w:locked/>
    <w:rsid w:val="00475387"/>
    <w:rPr>
      <w:rFonts w:ascii="Verdana" w:eastAsia="Batang" w:hAnsi="Verdana" w:cs="Times"/>
      <w:noProof/>
      <w:sz w:val="20"/>
      <w:szCs w:val="24"/>
      <w:lang w:val="es-ES_tradnl"/>
    </w:rPr>
  </w:style>
  <w:style w:type="paragraph" w:customStyle="1" w:styleId="PrrafodeSentencia">
    <w:name w:val="*. Párrafo de Sentencia"/>
    <w:basedOn w:val="FootnoteText"/>
    <w:link w:val="PrrafodeSentenciaChar"/>
    <w:autoRedefine/>
    <w:qFormat/>
    <w:rsid w:val="00475387"/>
    <w:pPr>
      <w:widowControl/>
      <w:numPr>
        <w:numId w:val="1"/>
      </w:numPr>
      <w:tabs>
        <w:tab w:val="left" w:pos="720"/>
      </w:tabs>
      <w:adjustRightInd/>
      <w:spacing w:before="120" w:after="120"/>
      <w:textAlignment w:val="auto"/>
    </w:pPr>
    <w:rPr>
      <w:bCs/>
      <w:noProof/>
      <w:lang w:eastAsia="es-ES"/>
    </w:rPr>
  </w:style>
  <w:style w:type="table" w:styleId="MediumGrid1-Accent2">
    <w:name w:val="Medium Grid 1 Accent 2"/>
    <w:basedOn w:val="TableNormal"/>
    <w:link w:val="MediumGrid1-Accent2Char"/>
    <w:rsid w:val="00475387"/>
    <w:pPr>
      <w:spacing w:after="0" w:line="240" w:lineRule="auto"/>
    </w:pPr>
    <w:rPr>
      <w:rFonts w:ascii="Verdana" w:eastAsia="Batang" w:hAnsi="Verdana" w:cs="Times"/>
      <w:noProof/>
      <w:sz w:val="20"/>
      <w:szCs w:val="24"/>
      <w:lang w:val="es-ES_tradn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NormalWeb">
    <w:name w:val="Normal (Web)"/>
    <w:basedOn w:val="Normal"/>
    <w:uiPriority w:val="99"/>
    <w:unhideWhenUsed/>
    <w:rsid w:val="006C37C9"/>
    <w:pPr>
      <w:adjustRightInd/>
      <w:spacing w:after="200" w:line="276" w:lineRule="auto"/>
      <w:jc w:val="left"/>
      <w:textAlignment w:val="auto"/>
    </w:pPr>
    <w:rPr>
      <w:rFonts w:ascii="Times New Roman" w:eastAsiaTheme="minorHAnsi" w:hAnsi="Times New Roman"/>
      <w:lang w:val="en-US" w:eastAsia="en-US"/>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basedOn w:val="DefaultParagraphFont"/>
    <w:uiPriority w:val="99"/>
    <w:rsid w:val="006C37C9"/>
    <w:rPr>
      <w:sz w:val="20"/>
      <w:szCs w:val="20"/>
      <w:lang w:val="en-US"/>
    </w:rPr>
  </w:style>
  <w:style w:type="paragraph" w:styleId="Header">
    <w:name w:val="header"/>
    <w:basedOn w:val="Normal"/>
    <w:link w:val="HeaderChar"/>
    <w:uiPriority w:val="99"/>
    <w:unhideWhenUsed/>
    <w:rsid w:val="006C37C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C37C9"/>
    <w:rPr>
      <w:lang w:val="en-US"/>
    </w:rPr>
  </w:style>
  <w:style w:type="paragraph" w:styleId="Footer">
    <w:name w:val="footer"/>
    <w:basedOn w:val="Normal"/>
    <w:link w:val="FooterChar"/>
    <w:uiPriority w:val="99"/>
    <w:unhideWhenUsed/>
    <w:rsid w:val="006C37C9"/>
    <w:pPr>
      <w:tabs>
        <w:tab w:val="center" w:pos="4252"/>
        <w:tab w:val="right" w:pos="8504"/>
      </w:tabs>
      <w:adjustRightInd/>
      <w:spacing w:line="240" w:lineRule="auto"/>
      <w:jc w:val="left"/>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6C37C9"/>
    <w:rPr>
      <w:lang w:val="en-US"/>
    </w:rPr>
  </w:style>
  <w:style w:type="paragraph" w:styleId="EndnoteText">
    <w:name w:val="endnote text"/>
    <w:basedOn w:val="Normal"/>
    <w:link w:val="EndnoteTextChar"/>
    <w:uiPriority w:val="99"/>
    <w:semiHidden/>
    <w:unhideWhenUsed/>
    <w:rsid w:val="006C37C9"/>
    <w:pPr>
      <w:adjustRightInd/>
      <w:spacing w:line="240" w:lineRule="auto"/>
      <w:jc w:val="left"/>
      <w:textAlignment w:val="auto"/>
    </w:pPr>
    <w:rPr>
      <w:rFonts w:asciiTheme="minorHAnsi" w:eastAsiaTheme="minorHAnsi" w:hAnsiTheme="minorHAnsi" w:cstheme="minorBidi"/>
      <w:sz w:val="20"/>
      <w:szCs w:val="20"/>
      <w:lang w:val="en-US" w:eastAsia="en-US"/>
    </w:rPr>
  </w:style>
  <w:style w:type="character" w:customStyle="1" w:styleId="EndnoteTextChar">
    <w:name w:val="Endnote Text Char"/>
    <w:basedOn w:val="DefaultParagraphFont"/>
    <w:link w:val="EndnoteText"/>
    <w:uiPriority w:val="99"/>
    <w:semiHidden/>
    <w:rsid w:val="006C37C9"/>
    <w:rPr>
      <w:sz w:val="20"/>
      <w:szCs w:val="20"/>
      <w:lang w:val="en-US"/>
    </w:rPr>
  </w:style>
  <w:style w:type="character" w:styleId="Hyperlink">
    <w:name w:val="Hyperlink"/>
    <w:basedOn w:val="DefaultParagraphFont"/>
    <w:uiPriority w:val="99"/>
    <w:unhideWhenUsed/>
    <w:rsid w:val="006C37C9"/>
    <w:rPr>
      <w:color w:val="0000FF" w:themeColor="hyperlink"/>
      <w:u w:val="single"/>
    </w:rPr>
  </w:style>
  <w:style w:type="character" w:styleId="FollowedHyperlink">
    <w:name w:val="FollowedHyperlink"/>
    <w:basedOn w:val="DefaultParagraphFont"/>
    <w:uiPriority w:val="99"/>
    <w:semiHidden/>
    <w:unhideWhenUsed/>
    <w:rsid w:val="006C37C9"/>
    <w:rPr>
      <w:color w:val="800080" w:themeColor="followedHyperlink"/>
      <w:u w:val="single"/>
    </w:rPr>
  </w:style>
  <w:style w:type="paragraph" w:styleId="BalloonText">
    <w:name w:val="Balloon Text"/>
    <w:basedOn w:val="Normal"/>
    <w:link w:val="BalloonTextChar"/>
    <w:uiPriority w:val="99"/>
    <w:semiHidden/>
    <w:unhideWhenUsed/>
    <w:rsid w:val="006C37C9"/>
    <w:pPr>
      <w:widowControl/>
      <w:adjustRightInd/>
      <w:spacing w:line="240" w:lineRule="auto"/>
      <w:jc w:val="left"/>
      <w:textAlignment w:val="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6C37C9"/>
    <w:rPr>
      <w:rFonts w:ascii="Tahoma" w:hAnsi="Tahoma" w:cs="Tahoma"/>
      <w:sz w:val="16"/>
      <w:szCs w:val="16"/>
    </w:rPr>
  </w:style>
  <w:style w:type="paragraph" w:styleId="TOCHeading">
    <w:name w:val="TOC Heading"/>
    <w:basedOn w:val="Heading1"/>
    <w:next w:val="Normal"/>
    <w:uiPriority w:val="39"/>
    <w:unhideWhenUsed/>
    <w:qFormat/>
    <w:rsid w:val="00E16176"/>
    <w:pPr>
      <w:widowControl/>
      <w:tabs>
        <w:tab w:val="clear" w:pos="720"/>
      </w:tabs>
      <w:adjustRightInd/>
      <w:spacing w:before="480" w:line="276" w:lineRule="auto"/>
      <w:jc w:val="left"/>
      <w:textAlignment w:val="auto"/>
      <w:outlineLvl w:val="9"/>
    </w:pPr>
    <w:rPr>
      <w:rFonts w:asciiTheme="majorHAnsi" w:eastAsiaTheme="majorEastAsia" w:hAnsiTheme="majorHAnsi" w:cstheme="majorBidi"/>
      <w:caps w:val="0"/>
      <w:snapToGrid/>
      <w:color w:val="365F91" w:themeColor="accent1" w:themeShade="BF"/>
      <w:spacing w:val="0"/>
      <w:sz w:val="28"/>
      <w:szCs w:val="28"/>
      <w:lang w:val="en-US" w:eastAsia="ja-JP"/>
    </w:rPr>
  </w:style>
  <w:style w:type="paragraph" w:styleId="TOC1">
    <w:name w:val="toc 1"/>
    <w:basedOn w:val="Normal"/>
    <w:next w:val="Normal"/>
    <w:autoRedefine/>
    <w:uiPriority w:val="39"/>
    <w:unhideWhenUsed/>
    <w:rsid w:val="00E16176"/>
    <w:pPr>
      <w:spacing w:after="100"/>
    </w:pPr>
  </w:style>
  <w:style w:type="paragraph" w:styleId="TOC2">
    <w:name w:val="toc 2"/>
    <w:basedOn w:val="Normal"/>
    <w:next w:val="Normal"/>
    <w:autoRedefine/>
    <w:uiPriority w:val="39"/>
    <w:unhideWhenUsed/>
    <w:rsid w:val="008A6487"/>
    <w:pPr>
      <w:tabs>
        <w:tab w:val="left" w:pos="851"/>
        <w:tab w:val="right" w:leader="dot" w:pos="10076"/>
      </w:tabs>
      <w:spacing w:line="240" w:lineRule="auto"/>
      <w:ind w:left="240"/>
      <w:jc w:val="left"/>
    </w:pPr>
  </w:style>
  <w:style w:type="paragraph" w:styleId="TOC3">
    <w:name w:val="toc 3"/>
    <w:basedOn w:val="Normal"/>
    <w:next w:val="Normal"/>
    <w:autoRedefine/>
    <w:uiPriority w:val="39"/>
    <w:unhideWhenUsed/>
    <w:rsid w:val="0014134B"/>
    <w:pPr>
      <w:tabs>
        <w:tab w:val="left" w:pos="1560"/>
        <w:tab w:val="right" w:leader="dot" w:pos="10076"/>
      </w:tabs>
      <w:spacing w:line="240" w:lineRule="auto"/>
      <w:ind w:left="480"/>
    </w:pPr>
  </w:style>
  <w:style w:type="character" w:styleId="LineNumber">
    <w:name w:val="line number"/>
    <w:basedOn w:val="DefaultParagraphFont"/>
    <w:uiPriority w:val="99"/>
    <w:semiHidden/>
    <w:unhideWhenUsed/>
    <w:rsid w:val="00D407D4"/>
  </w:style>
  <w:style w:type="character" w:styleId="CommentReference">
    <w:name w:val="annotation reference"/>
    <w:basedOn w:val="DefaultParagraphFont"/>
    <w:uiPriority w:val="99"/>
    <w:semiHidden/>
    <w:unhideWhenUsed/>
    <w:rsid w:val="007A1A14"/>
    <w:rPr>
      <w:sz w:val="16"/>
      <w:szCs w:val="16"/>
    </w:rPr>
  </w:style>
  <w:style w:type="paragraph" w:styleId="CommentText">
    <w:name w:val="annotation text"/>
    <w:basedOn w:val="Normal"/>
    <w:link w:val="CommentTextChar"/>
    <w:uiPriority w:val="99"/>
    <w:unhideWhenUsed/>
    <w:rsid w:val="007A1A14"/>
    <w:pPr>
      <w:widowControl/>
      <w:adjustRightInd/>
      <w:spacing w:after="200" w:line="240" w:lineRule="auto"/>
      <w:jc w:val="left"/>
      <w:textAlignment w:val="auto"/>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rsid w:val="007A1A14"/>
    <w:rPr>
      <w:sz w:val="20"/>
      <w:szCs w:val="20"/>
      <w:lang w:val="en-US"/>
    </w:rPr>
  </w:style>
  <w:style w:type="paragraph" w:styleId="CommentSubject">
    <w:name w:val="annotation subject"/>
    <w:basedOn w:val="CommentText"/>
    <w:next w:val="CommentText"/>
    <w:link w:val="CommentSubjectChar"/>
    <w:uiPriority w:val="99"/>
    <w:semiHidden/>
    <w:unhideWhenUsed/>
    <w:rsid w:val="007A1A14"/>
    <w:rPr>
      <w:b/>
      <w:bCs/>
    </w:rPr>
  </w:style>
  <w:style w:type="character" w:customStyle="1" w:styleId="CommentSubjectChar">
    <w:name w:val="Comment Subject Char"/>
    <w:basedOn w:val="CommentTextChar"/>
    <w:link w:val="CommentSubject"/>
    <w:uiPriority w:val="99"/>
    <w:semiHidden/>
    <w:rsid w:val="007A1A14"/>
    <w:rPr>
      <w:b/>
      <w:bCs/>
      <w:sz w:val="20"/>
      <w:szCs w:val="20"/>
      <w:lang w:val="en-US"/>
    </w:rPr>
  </w:style>
  <w:style w:type="paragraph" w:customStyle="1" w:styleId="Heading21">
    <w:name w:val="Heading 21"/>
    <w:basedOn w:val="Normal"/>
    <w:next w:val="Normal"/>
    <w:uiPriority w:val="9"/>
    <w:semiHidden/>
    <w:unhideWhenUsed/>
    <w:qFormat/>
    <w:rsid w:val="008920BF"/>
    <w:pPr>
      <w:keepNext/>
      <w:keepLines/>
      <w:spacing w:before="200"/>
      <w:outlineLvl w:val="1"/>
    </w:pPr>
    <w:rPr>
      <w:rFonts w:ascii="Cambria" w:hAnsi="Cambria"/>
      <w:b/>
      <w:bCs/>
      <w:color w:val="4F81BD"/>
      <w:sz w:val="26"/>
      <w:szCs w:val="26"/>
    </w:rPr>
  </w:style>
  <w:style w:type="paragraph" w:customStyle="1" w:styleId="Heading41">
    <w:name w:val="Heading 41"/>
    <w:basedOn w:val="Normal"/>
    <w:next w:val="Normal"/>
    <w:uiPriority w:val="9"/>
    <w:semiHidden/>
    <w:unhideWhenUsed/>
    <w:qFormat/>
    <w:rsid w:val="008920BF"/>
    <w:pPr>
      <w:keepNext/>
      <w:keepLines/>
      <w:spacing w:before="200"/>
      <w:outlineLvl w:val="3"/>
    </w:pPr>
    <w:rPr>
      <w:rFonts w:ascii="Cambria" w:hAnsi="Cambria"/>
      <w:b/>
      <w:bCs/>
      <w:i/>
      <w:iCs/>
      <w:color w:val="4F81BD"/>
    </w:rPr>
  </w:style>
  <w:style w:type="numbering" w:customStyle="1" w:styleId="NoList1">
    <w:name w:val="No List1"/>
    <w:next w:val="NoList"/>
    <w:uiPriority w:val="99"/>
    <w:semiHidden/>
    <w:unhideWhenUsed/>
    <w:rsid w:val="008920BF"/>
  </w:style>
  <w:style w:type="character" w:customStyle="1" w:styleId="Heading2Char">
    <w:name w:val="Heading 2 Char"/>
    <w:basedOn w:val="DefaultParagraphFont"/>
    <w:link w:val="Heading2"/>
    <w:uiPriority w:val="9"/>
    <w:rsid w:val="008920BF"/>
    <w:rPr>
      <w:rFonts w:ascii="Cambria" w:eastAsia="Times New Roman" w:hAnsi="Cambria" w:cs="Times New Roman"/>
      <w:b/>
      <w:bCs/>
      <w:color w:val="4F81BD"/>
      <w:sz w:val="26"/>
      <w:szCs w:val="26"/>
      <w:lang w:eastAsia="es-CR"/>
    </w:rPr>
  </w:style>
  <w:style w:type="character" w:customStyle="1" w:styleId="Heading4Char">
    <w:name w:val="Heading 4 Char"/>
    <w:basedOn w:val="DefaultParagraphFont"/>
    <w:link w:val="Heading4"/>
    <w:uiPriority w:val="9"/>
    <w:semiHidden/>
    <w:rsid w:val="008920BF"/>
    <w:rPr>
      <w:rFonts w:ascii="Cambria" w:eastAsia="Times New Roman" w:hAnsi="Cambria" w:cs="Times New Roman"/>
      <w:b/>
      <w:bCs/>
      <w:i/>
      <w:iCs/>
      <w:color w:val="4F81BD"/>
      <w:sz w:val="24"/>
      <w:szCs w:val="24"/>
      <w:lang w:eastAsia="es-CR"/>
    </w:rPr>
  </w:style>
  <w:style w:type="paragraph" w:customStyle="1" w:styleId="Prrafodelista2">
    <w:name w:val="Párrafo de lista2"/>
    <w:basedOn w:val="Normal"/>
    <w:uiPriority w:val="99"/>
    <w:rsid w:val="008920BF"/>
    <w:pPr>
      <w:widowControl/>
      <w:adjustRightInd/>
      <w:spacing w:line="240" w:lineRule="auto"/>
      <w:ind w:left="720"/>
      <w:jc w:val="left"/>
      <w:textAlignment w:val="auto"/>
    </w:pPr>
    <w:rPr>
      <w:rFonts w:eastAsia="MS Mincho"/>
      <w:sz w:val="20"/>
      <w:szCs w:val="20"/>
      <w:lang w:val="es-ES_tradnl" w:eastAsia="en-US" w:bidi="en-US"/>
    </w:rPr>
  </w:style>
  <w:style w:type="character" w:customStyle="1" w:styleId="apple-style-span">
    <w:name w:val="apple-style-span"/>
    <w:rsid w:val="008920BF"/>
    <w:rPr>
      <w:rFonts w:cs="Times New Roman"/>
    </w:rPr>
  </w:style>
  <w:style w:type="character" w:customStyle="1" w:styleId="Listavistosa-nfasis1Car1">
    <w:name w:val="Lista vistosa - Énfasis 1 Car1"/>
    <w:link w:val="ColorfulList-Accent1"/>
    <w:uiPriority w:val="99"/>
    <w:locked/>
    <w:rsid w:val="008920BF"/>
    <w:rPr>
      <w:rFonts w:ascii="Verdana" w:eastAsia="Times New Roman" w:hAnsi="Verdana"/>
      <w:lang w:val="es-ES_tradnl" w:eastAsia="en-US"/>
    </w:rPr>
  </w:style>
  <w:style w:type="character" w:customStyle="1" w:styleId="column01">
    <w:name w:val="column01"/>
    <w:basedOn w:val="DefaultParagraphFont"/>
    <w:rsid w:val="008920BF"/>
  </w:style>
  <w:style w:type="table" w:customStyle="1" w:styleId="ColorfulList-Accent11">
    <w:name w:val="Colorful List - Accent 11"/>
    <w:basedOn w:val="TableNormal"/>
    <w:next w:val="ColorfulList-Accent1"/>
    <w:uiPriority w:val="99"/>
    <w:rsid w:val="008920BF"/>
    <w:pPr>
      <w:spacing w:after="0" w:line="240" w:lineRule="auto"/>
    </w:pPr>
    <w:rPr>
      <w:rFonts w:ascii="Verdana" w:eastAsia="Times New Roman" w:hAnsi="Verdana"/>
      <w:lang w:val="es-ES_tradnl"/>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BodyTextIndent">
    <w:name w:val="Body Text Indent"/>
    <w:basedOn w:val="Normal"/>
    <w:link w:val="BodyTextIndentChar"/>
    <w:uiPriority w:val="99"/>
    <w:rsid w:val="008920BF"/>
    <w:pPr>
      <w:widowControl/>
      <w:adjustRightInd/>
      <w:spacing w:after="120" w:line="240" w:lineRule="auto"/>
      <w:ind w:left="360"/>
      <w:jc w:val="left"/>
      <w:textAlignment w:val="auto"/>
    </w:pPr>
    <w:rPr>
      <w:rFonts w:ascii="Times New Roman" w:eastAsia="MS Mincho" w:hAnsi="Times New Roman"/>
      <w:lang w:val="es-AR" w:eastAsia="en-US"/>
    </w:rPr>
  </w:style>
  <w:style w:type="character" w:customStyle="1" w:styleId="BodyTextIndentChar">
    <w:name w:val="Body Text Indent Char"/>
    <w:basedOn w:val="DefaultParagraphFont"/>
    <w:link w:val="BodyTextIndent"/>
    <w:uiPriority w:val="99"/>
    <w:rsid w:val="008920BF"/>
    <w:rPr>
      <w:rFonts w:ascii="Times New Roman" w:eastAsia="MS Mincho" w:hAnsi="Times New Roman" w:cs="Times New Roman"/>
      <w:sz w:val="24"/>
      <w:szCs w:val="24"/>
      <w:lang w:val="es-AR"/>
    </w:rPr>
  </w:style>
  <w:style w:type="character" w:customStyle="1" w:styleId="apple-converted-space">
    <w:name w:val="apple-converted-space"/>
    <w:basedOn w:val="DefaultParagraphFont"/>
    <w:rsid w:val="008920BF"/>
  </w:style>
  <w:style w:type="paragraph" w:customStyle="1" w:styleId="CM4">
    <w:name w:val="CM4"/>
    <w:basedOn w:val="Normal"/>
    <w:next w:val="Normal"/>
    <w:uiPriority w:val="99"/>
    <w:rsid w:val="008920BF"/>
    <w:pPr>
      <w:widowControl/>
      <w:autoSpaceDE w:val="0"/>
      <w:autoSpaceDN w:val="0"/>
      <w:spacing w:line="240" w:lineRule="auto"/>
      <w:jc w:val="left"/>
      <w:textAlignment w:val="auto"/>
    </w:pPr>
    <w:rPr>
      <w:rFonts w:ascii="EUAlbertina" w:eastAsia="Calibri" w:hAnsi="EUAlbertina"/>
      <w:lang w:eastAsia="en-US"/>
    </w:rPr>
  </w:style>
  <w:style w:type="paragraph" w:customStyle="1" w:styleId="Default">
    <w:name w:val="Default"/>
    <w:rsid w:val="008920BF"/>
    <w:pPr>
      <w:autoSpaceDE w:val="0"/>
      <w:autoSpaceDN w:val="0"/>
      <w:adjustRightInd w:val="0"/>
      <w:spacing w:after="0" w:line="240" w:lineRule="auto"/>
    </w:pPr>
    <w:rPr>
      <w:rFonts w:ascii="Times New Roman" w:eastAsia="Times New Roman" w:hAnsi="Times New Roman" w:cs="Times New Roman"/>
      <w:color w:val="000000"/>
      <w:sz w:val="24"/>
      <w:szCs w:val="24"/>
      <w:lang w:eastAsia="es-CR"/>
    </w:rPr>
  </w:style>
  <w:style w:type="paragraph" w:styleId="HTMLPreformatted">
    <w:name w:val="HTML Preformatted"/>
    <w:basedOn w:val="Normal"/>
    <w:link w:val="HTMLPreformattedChar"/>
    <w:uiPriority w:val="99"/>
    <w:unhideWhenUsed/>
    <w:rsid w:val="00892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920BF"/>
    <w:rPr>
      <w:rFonts w:ascii="Courier New" w:eastAsia="Times New Roman" w:hAnsi="Courier New" w:cs="Courier New"/>
      <w:sz w:val="20"/>
      <w:szCs w:val="20"/>
      <w:lang w:val="en-US"/>
    </w:rPr>
  </w:style>
  <w:style w:type="character" w:customStyle="1" w:styleId="Heading2Char1">
    <w:name w:val="Heading 2 Char1"/>
    <w:basedOn w:val="DefaultParagraphFont"/>
    <w:uiPriority w:val="9"/>
    <w:semiHidden/>
    <w:rsid w:val="008920BF"/>
    <w:rPr>
      <w:rFonts w:asciiTheme="majorHAnsi" w:eastAsiaTheme="majorEastAsia" w:hAnsiTheme="majorHAnsi" w:cstheme="majorBidi"/>
      <w:b/>
      <w:bCs/>
      <w:color w:val="4F81BD" w:themeColor="accent1"/>
      <w:sz w:val="26"/>
      <w:szCs w:val="26"/>
      <w:lang w:eastAsia="es-CR"/>
    </w:rPr>
  </w:style>
  <w:style w:type="character" w:customStyle="1" w:styleId="Heading4Char1">
    <w:name w:val="Heading 4 Char1"/>
    <w:basedOn w:val="DefaultParagraphFont"/>
    <w:uiPriority w:val="9"/>
    <w:semiHidden/>
    <w:rsid w:val="008920BF"/>
    <w:rPr>
      <w:rFonts w:asciiTheme="majorHAnsi" w:eastAsiaTheme="majorEastAsia" w:hAnsiTheme="majorHAnsi" w:cstheme="majorBidi"/>
      <w:b/>
      <w:bCs/>
      <w:i/>
      <w:iCs/>
      <w:color w:val="4F81BD" w:themeColor="accent1"/>
      <w:sz w:val="24"/>
      <w:szCs w:val="24"/>
      <w:lang w:eastAsia="es-CR"/>
    </w:rPr>
  </w:style>
  <w:style w:type="table" w:styleId="ColorfulList-Accent1">
    <w:name w:val="Colorful List Accent 1"/>
    <w:basedOn w:val="TableNormal"/>
    <w:link w:val="Listavistosa-nfasis1Car1"/>
    <w:uiPriority w:val="99"/>
    <w:rsid w:val="008920BF"/>
    <w:pPr>
      <w:spacing w:after="0" w:line="240" w:lineRule="auto"/>
    </w:pPr>
    <w:rPr>
      <w:rFonts w:ascii="Verdana" w:eastAsia="Times New Roman" w:hAnsi="Verdana"/>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sb8d990e2">
    <w:name w:val="sb8d990e2"/>
    <w:basedOn w:val="DefaultParagraphFont"/>
    <w:uiPriority w:val="99"/>
    <w:rsid w:val="00502B43"/>
  </w:style>
  <w:style w:type="character" w:customStyle="1" w:styleId="s6b621b36">
    <w:name w:val="s6b621b36"/>
    <w:basedOn w:val="DefaultParagraphFont"/>
    <w:rsid w:val="00502B43"/>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qFormat/>
    <w:rsid w:val="00502B43"/>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customStyle="1" w:styleId="s5891fd46">
    <w:name w:val="s5891fd46"/>
    <w:basedOn w:val="Normal"/>
    <w:rsid w:val="00502B43"/>
    <w:pPr>
      <w:widowControl/>
      <w:adjustRightInd/>
      <w:spacing w:before="100" w:beforeAutospacing="1" w:after="100" w:afterAutospacing="1" w:line="240" w:lineRule="auto"/>
      <w:jc w:val="left"/>
      <w:textAlignment w:val="auto"/>
    </w:pPr>
    <w:rPr>
      <w:rFonts w:ascii="Times New Roman" w:hAnsi="Times New Roman"/>
    </w:rPr>
  </w:style>
  <w:style w:type="character" w:styleId="Emphasis">
    <w:name w:val="Emphasis"/>
    <w:uiPriority w:val="20"/>
    <w:qFormat/>
    <w:rsid w:val="00502B43"/>
    <w:rPr>
      <w:b/>
      <w:bCs/>
      <w:i/>
      <w:iCs/>
      <w:spacing w:val="10"/>
      <w:bdr w:val="none" w:sz="0" w:space="0" w:color="auto"/>
      <w:shd w:val="clear" w:color="auto" w:fill="auto"/>
    </w:rPr>
  </w:style>
  <w:style w:type="paragraph" w:styleId="TOC4">
    <w:name w:val="toc 4"/>
    <w:basedOn w:val="Normal"/>
    <w:next w:val="Normal"/>
    <w:autoRedefine/>
    <w:uiPriority w:val="39"/>
    <w:unhideWhenUsed/>
    <w:rsid w:val="00E35E14"/>
    <w:pPr>
      <w:widowControl/>
      <w:adjustRightInd/>
      <w:spacing w:after="100" w:line="276" w:lineRule="auto"/>
      <w:ind w:left="660"/>
      <w:jc w:val="left"/>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E35E14"/>
    <w:pPr>
      <w:widowControl/>
      <w:adjustRightInd/>
      <w:spacing w:after="100" w:line="276" w:lineRule="auto"/>
      <w:ind w:left="880"/>
      <w:jc w:val="left"/>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E35E14"/>
    <w:pPr>
      <w:widowControl/>
      <w:adjustRightInd/>
      <w:spacing w:after="100" w:line="276" w:lineRule="auto"/>
      <w:ind w:left="1100"/>
      <w:jc w:val="left"/>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E35E14"/>
    <w:pPr>
      <w:widowControl/>
      <w:adjustRightInd/>
      <w:spacing w:after="100" w:line="276" w:lineRule="auto"/>
      <w:ind w:left="1320"/>
      <w:jc w:val="left"/>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E35E14"/>
    <w:pPr>
      <w:widowControl/>
      <w:adjustRightInd/>
      <w:spacing w:after="100" w:line="276" w:lineRule="auto"/>
      <w:ind w:left="1540"/>
      <w:jc w:val="left"/>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E35E14"/>
    <w:pPr>
      <w:widowControl/>
      <w:adjustRightInd/>
      <w:spacing w:after="100" w:line="276" w:lineRule="auto"/>
      <w:ind w:left="1760"/>
      <w:jc w:val="left"/>
      <w:textAlignment w:val="auto"/>
    </w:pPr>
    <w:rPr>
      <w:rFonts w:asciiTheme="minorHAnsi" w:eastAsiaTheme="minorEastAsia" w:hAnsiTheme="minorHAnsi" w:cstheme="minorBidi"/>
      <w:sz w:val="22"/>
      <w:szCs w:val="22"/>
    </w:rPr>
  </w:style>
  <w:style w:type="paragraph" w:customStyle="1" w:styleId="styletitle2">
    <w:name w:val="styletitle2"/>
    <w:basedOn w:val="Normal"/>
    <w:rsid w:val="00000131"/>
    <w:pPr>
      <w:widowControl/>
      <w:adjustRightInd/>
      <w:spacing w:before="100" w:beforeAutospacing="1" w:after="100" w:afterAutospacing="1" w:line="240" w:lineRule="auto"/>
      <w:jc w:val="left"/>
      <w:textAlignment w:val="auto"/>
    </w:pPr>
    <w:rPr>
      <w:rFonts w:ascii="Times New Roman" w:hAnsi="Times New Roman"/>
    </w:rPr>
  </w:style>
  <w:style w:type="character" w:customStyle="1" w:styleId="ListParagraphChar1">
    <w:name w:val="List Paragraph Char1"/>
    <w:aliases w:val="List Paragraph2 Char1,Lista vistosa - Énfasis 11 Char1,Párrafo de lista1 Char1,Footnote Char1,List Paragraph1 Char1"/>
    <w:basedOn w:val="DefaultParagraphFont"/>
    <w:link w:val="ListParagraph"/>
    <w:uiPriority w:val="34"/>
    <w:rsid w:val="005624D3"/>
    <w:rPr>
      <w:rFonts w:ascii="Verdana" w:eastAsia="Times New Roman" w:hAnsi="Verdana" w:cs="Times New Roman"/>
      <w:sz w:val="24"/>
      <w:szCs w:val="24"/>
      <w:lang w:eastAsia="es-CR"/>
    </w:rPr>
  </w:style>
  <w:style w:type="character" w:customStyle="1" w:styleId="Hipervnculo1">
    <w:name w:val="Hipervínculo1"/>
    <w:basedOn w:val="DefaultParagraphFont"/>
    <w:uiPriority w:val="99"/>
    <w:unhideWhenUsed/>
    <w:rsid w:val="00D534AF"/>
    <w:rPr>
      <w:color w:val="0000FF"/>
      <w:u w:val="single"/>
    </w:rPr>
  </w:style>
  <w:style w:type="character" w:customStyle="1" w:styleId="Heading6Char">
    <w:name w:val="Heading 6 Char"/>
    <w:basedOn w:val="DefaultParagraphFont"/>
    <w:link w:val="Heading6"/>
    <w:uiPriority w:val="9"/>
    <w:rsid w:val="00E3447E"/>
    <w:rPr>
      <w:rFonts w:ascii="Verdana" w:eastAsia="Times New Roman" w:hAnsi="Verdana" w:cs="Times New Roman"/>
      <w:spacing w:val="-2"/>
      <w:sz w:val="20"/>
      <w:szCs w:val="20"/>
      <w:lang w:val="es-ES_tradnl" w:eastAsia="es-CR"/>
    </w:rPr>
  </w:style>
  <w:style w:type="character" w:customStyle="1" w:styleId="Caracteresdenotafinal">
    <w:name w:val="Caracteres de nota final"/>
    <w:rsid w:val="00E3447E"/>
    <w:rPr>
      <w:vertAlign w:val="superscript"/>
    </w:rPr>
  </w:style>
  <w:style w:type="character" w:customStyle="1" w:styleId="Heading5Char">
    <w:name w:val="Heading 5 Char"/>
    <w:basedOn w:val="DefaultParagraphFont"/>
    <w:link w:val="Heading5"/>
    <w:uiPriority w:val="9"/>
    <w:semiHidden/>
    <w:rsid w:val="00E3447E"/>
    <w:rPr>
      <w:rFonts w:asciiTheme="majorHAnsi" w:eastAsiaTheme="majorEastAsia" w:hAnsiTheme="majorHAnsi" w:cstheme="majorBidi"/>
      <w:color w:val="243F60" w:themeColor="accent1" w:themeShade="7F"/>
      <w:sz w:val="24"/>
      <w:szCs w:val="24"/>
      <w:lang w:eastAsia="es-CR"/>
    </w:rPr>
  </w:style>
  <w:style w:type="character" w:styleId="PageNumber">
    <w:name w:val="page number"/>
    <w:basedOn w:val="DefaultParagraphFont"/>
    <w:uiPriority w:val="99"/>
    <w:semiHidden/>
    <w:unhideWhenUsed/>
    <w:rsid w:val="00011543"/>
  </w:style>
  <w:style w:type="table" w:styleId="TableGrid">
    <w:name w:val="Table Grid"/>
    <w:basedOn w:val="TableNormal"/>
    <w:uiPriority w:val="59"/>
    <w:rsid w:val="00C80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5625C"/>
  </w:style>
  <w:style w:type="table" w:customStyle="1" w:styleId="TableGrid1">
    <w:name w:val="Table Grid1"/>
    <w:basedOn w:val="TableNormal"/>
    <w:next w:val="TableGrid"/>
    <w:uiPriority w:val="59"/>
    <w:rsid w:val="00B56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5625C"/>
    <w:rPr>
      <w:i/>
      <w:iCs/>
      <w:color w:val="808080" w:themeColor="text1" w:themeTint="7F"/>
    </w:rPr>
  </w:style>
  <w:style w:type="character" w:customStyle="1" w:styleId="shorttext">
    <w:name w:val="shorttext"/>
    <w:basedOn w:val="DefaultParagraphFont"/>
    <w:rsid w:val="00B5625C"/>
  </w:style>
  <w:style w:type="paragraph" w:customStyle="1" w:styleId="Estilo4">
    <w:name w:val="Estilo4"/>
    <w:basedOn w:val="ListParagraph"/>
    <w:qFormat/>
    <w:rsid w:val="00B5625C"/>
    <w:pPr>
      <w:widowControl/>
      <w:numPr>
        <w:ilvl w:val="1"/>
        <w:numId w:val="7"/>
      </w:numPr>
      <w:adjustRightInd/>
      <w:spacing w:after="120" w:line="240" w:lineRule="auto"/>
      <w:ind w:left="0" w:firstLine="357"/>
      <w:textAlignment w:val="auto"/>
    </w:pPr>
    <w:rPr>
      <w:spacing w:val="-2"/>
      <w:sz w:val="20"/>
      <w:szCs w:val="20"/>
      <w:lang w:eastAsia="en-US"/>
    </w:rPr>
  </w:style>
  <w:style w:type="character" w:styleId="HTMLTypewriter">
    <w:name w:val="HTML Typewriter"/>
    <w:basedOn w:val="DefaultParagraphFont"/>
    <w:semiHidden/>
    <w:unhideWhenUsed/>
    <w:rsid w:val="00B5625C"/>
    <w:rPr>
      <w:rFonts w:ascii="Courier New" w:eastAsia="Times New Roman" w:hAnsi="Courier New" w:cs="Courier New"/>
      <w:sz w:val="20"/>
      <w:szCs w:val="20"/>
    </w:rPr>
  </w:style>
  <w:style w:type="paragraph" w:customStyle="1" w:styleId="SingleTxtG">
    <w:name w:val="_ Single Txt_G"/>
    <w:basedOn w:val="Normal"/>
    <w:rsid w:val="00B5625C"/>
    <w:pPr>
      <w:widowControl/>
      <w:adjustRightInd/>
      <w:spacing w:after="120" w:line="240" w:lineRule="atLeast"/>
      <w:ind w:left="1134" w:right="1134"/>
      <w:textAlignment w:val="auto"/>
    </w:pPr>
    <w:rPr>
      <w:rFonts w:ascii="Times New Roman" w:hAnsi="Times New Roman"/>
      <w:sz w:val="20"/>
      <w:szCs w:val="20"/>
      <w:lang w:val="es-ES" w:eastAsia="es-ES"/>
    </w:rPr>
  </w:style>
  <w:style w:type="paragraph" w:customStyle="1" w:styleId="Numberedparagraphs">
    <w:name w:val="Numbered paragraphs"/>
    <w:basedOn w:val="Normal"/>
    <w:qFormat/>
    <w:rsid w:val="00E24907"/>
    <w:pPr>
      <w:widowControl/>
      <w:numPr>
        <w:numId w:val="10"/>
      </w:numPr>
      <w:adjustRightInd/>
      <w:spacing w:after="200" w:line="240" w:lineRule="auto"/>
      <w:textAlignment w:val="auto"/>
    </w:pPr>
    <w:rPr>
      <w:rFonts w:eastAsia="MS Mincho"/>
      <w:color w:val="000000"/>
      <w:sz w:val="20"/>
      <w:szCs w:val="20"/>
      <w:lang w:val="es-ES_tradnl" w:eastAsia="en-US"/>
    </w:rPr>
  </w:style>
  <w:style w:type="character" w:customStyle="1" w:styleId="PrrafodeSentenciaChar">
    <w:name w:val="*. Párrafo de Sentencia Char"/>
    <w:link w:val="PrrafodeSentencia"/>
    <w:rsid w:val="008D63D9"/>
    <w:rPr>
      <w:rFonts w:ascii="Verdana" w:eastAsia="Times New Roman" w:hAnsi="Verdana" w:cs="Times New Roman"/>
      <w:bCs/>
      <w:noProof/>
      <w:sz w:val="20"/>
      <w:szCs w:val="20"/>
      <w:lang w:val="es-ES_tradnl" w:eastAsia="es-ES"/>
    </w:rPr>
  </w:style>
  <w:style w:type="paragraph" w:styleId="Revision">
    <w:name w:val="Revision"/>
    <w:hidden/>
    <w:uiPriority w:val="99"/>
    <w:semiHidden/>
    <w:rsid w:val="009D661E"/>
    <w:pPr>
      <w:spacing w:after="0" w:line="240" w:lineRule="auto"/>
    </w:pPr>
    <w:rPr>
      <w:rFonts w:ascii="Verdana" w:eastAsia="Times New Roman" w:hAnsi="Verdana" w:cs="Times New Roman"/>
      <w:sz w:val="24"/>
      <w:szCs w:val="24"/>
      <w:lang w:eastAsia="es-CR"/>
    </w:rPr>
  </w:style>
  <w:style w:type="paragraph" w:styleId="NoSpacing">
    <w:name w:val="No Spacing"/>
    <w:uiPriority w:val="1"/>
    <w:qFormat/>
    <w:rsid w:val="009D661E"/>
    <w:pPr>
      <w:spacing w:after="0" w:line="240" w:lineRule="auto"/>
      <w:jc w:val="both"/>
    </w:pPr>
    <w:rPr>
      <w:rFonts w:ascii="Verdana" w:eastAsia="Calibri" w:hAnsi="Verdana" w:cs="Calibri"/>
      <w:sz w:val="20"/>
      <w:lang w:val="es-MX"/>
    </w:rPr>
  </w:style>
  <w:style w:type="paragraph" w:customStyle="1" w:styleId="Textonotapie1">
    <w:name w:val="Texto nota pie1"/>
    <w:basedOn w:val="Normal"/>
    <w:uiPriority w:val="99"/>
    <w:qFormat/>
    <w:rsid w:val="009D661E"/>
    <w:pPr>
      <w:widowControl/>
      <w:adjustRightInd/>
      <w:spacing w:line="240" w:lineRule="auto"/>
      <w:jc w:val="left"/>
      <w:textAlignment w:val="auto"/>
    </w:pPr>
    <w:rPr>
      <w:rFonts w:ascii="Times New Roman" w:hAnsi="Times New Roman"/>
      <w:sz w:val="20"/>
      <w:szCs w:val="20"/>
      <w:lang w:val="en-US" w:eastAsia="es-ES"/>
    </w:rPr>
  </w:style>
  <w:style w:type="character" w:customStyle="1" w:styleId="Funotenzeichen">
    <w:name w:val="Fußnotenzeichen"/>
    <w:rsid w:val="009D661E"/>
  </w:style>
  <w:style w:type="character" w:customStyle="1" w:styleId="Smbolodenotaalpie">
    <w:name w:val="Símbolo de nota al pie"/>
    <w:rsid w:val="009D661E"/>
    <w:rPr>
      <w:rFonts w:ascii="Times New Roman" w:hAnsi="Times New Roman" w:cs="Times New Roman" w:hint="default"/>
      <w:szCs w:val="20"/>
      <w:vertAlign w:val="superscript"/>
    </w:rPr>
  </w:style>
  <w:style w:type="character" w:customStyle="1" w:styleId="TextonotapieCar2">
    <w:name w:val="Texto nota pie Car2"/>
    <w:aliases w:val="Footnote Text Char Char Char Char Char Car2,Footnote Text Char Char Char Char Car2,Footnote reference Car2,FA Fu Car2,Footnote Text Char Char Char Car2,Footnote Text Cha Car2,FA Fußnotentext Car2,FA Fu?notentext Car2,Ca Car1,C Car2"/>
    <w:locked/>
    <w:rsid w:val="009D661E"/>
  </w:style>
  <w:style w:type="paragraph" w:styleId="ListBullet">
    <w:name w:val="List Bullet"/>
    <w:basedOn w:val="Normal"/>
    <w:uiPriority w:val="99"/>
    <w:unhideWhenUsed/>
    <w:rsid w:val="00673408"/>
    <w:pPr>
      <w:widowControl/>
      <w:numPr>
        <w:numId w:val="22"/>
      </w:numPr>
      <w:adjustRightInd/>
      <w:spacing w:after="200" w:line="276" w:lineRule="auto"/>
      <w:contextualSpacing/>
      <w:jc w:val="left"/>
      <w:textAlignment w:val="auto"/>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08026">
      <w:bodyDiv w:val="1"/>
      <w:marLeft w:val="0"/>
      <w:marRight w:val="0"/>
      <w:marTop w:val="0"/>
      <w:marBottom w:val="0"/>
      <w:divBdr>
        <w:top w:val="none" w:sz="0" w:space="0" w:color="auto"/>
        <w:left w:val="none" w:sz="0" w:space="0" w:color="auto"/>
        <w:bottom w:val="none" w:sz="0" w:space="0" w:color="auto"/>
        <w:right w:val="none" w:sz="0" w:space="0" w:color="auto"/>
      </w:divBdr>
      <w:divsChild>
        <w:div w:id="601454574">
          <w:marLeft w:val="432"/>
          <w:marRight w:val="0"/>
          <w:marTop w:val="120"/>
          <w:marBottom w:val="0"/>
          <w:divBdr>
            <w:top w:val="none" w:sz="0" w:space="0" w:color="auto"/>
            <w:left w:val="none" w:sz="0" w:space="0" w:color="auto"/>
            <w:bottom w:val="none" w:sz="0" w:space="0" w:color="auto"/>
            <w:right w:val="none" w:sz="0" w:space="0" w:color="auto"/>
          </w:divBdr>
        </w:div>
      </w:divsChild>
    </w:div>
    <w:div w:id="51543350">
      <w:bodyDiv w:val="1"/>
      <w:marLeft w:val="0"/>
      <w:marRight w:val="0"/>
      <w:marTop w:val="0"/>
      <w:marBottom w:val="0"/>
      <w:divBdr>
        <w:top w:val="none" w:sz="0" w:space="0" w:color="auto"/>
        <w:left w:val="none" w:sz="0" w:space="0" w:color="auto"/>
        <w:bottom w:val="none" w:sz="0" w:space="0" w:color="auto"/>
        <w:right w:val="none" w:sz="0" w:space="0" w:color="auto"/>
      </w:divBdr>
    </w:div>
    <w:div w:id="70860996">
      <w:bodyDiv w:val="1"/>
      <w:marLeft w:val="0"/>
      <w:marRight w:val="0"/>
      <w:marTop w:val="0"/>
      <w:marBottom w:val="0"/>
      <w:divBdr>
        <w:top w:val="none" w:sz="0" w:space="0" w:color="auto"/>
        <w:left w:val="none" w:sz="0" w:space="0" w:color="auto"/>
        <w:bottom w:val="none" w:sz="0" w:space="0" w:color="auto"/>
        <w:right w:val="none" w:sz="0" w:space="0" w:color="auto"/>
      </w:divBdr>
    </w:div>
    <w:div w:id="228080537">
      <w:bodyDiv w:val="1"/>
      <w:marLeft w:val="0"/>
      <w:marRight w:val="0"/>
      <w:marTop w:val="0"/>
      <w:marBottom w:val="0"/>
      <w:divBdr>
        <w:top w:val="none" w:sz="0" w:space="0" w:color="auto"/>
        <w:left w:val="none" w:sz="0" w:space="0" w:color="auto"/>
        <w:bottom w:val="none" w:sz="0" w:space="0" w:color="auto"/>
        <w:right w:val="none" w:sz="0" w:space="0" w:color="auto"/>
      </w:divBdr>
    </w:div>
    <w:div w:id="346055597">
      <w:bodyDiv w:val="1"/>
      <w:marLeft w:val="0"/>
      <w:marRight w:val="0"/>
      <w:marTop w:val="0"/>
      <w:marBottom w:val="0"/>
      <w:divBdr>
        <w:top w:val="none" w:sz="0" w:space="0" w:color="auto"/>
        <w:left w:val="none" w:sz="0" w:space="0" w:color="auto"/>
        <w:bottom w:val="none" w:sz="0" w:space="0" w:color="auto"/>
        <w:right w:val="none" w:sz="0" w:space="0" w:color="auto"/>
      </w:divBdr>
      <w:divsChild>
        <w:div w:id="1780489099">
          <w:marLeft w:val="547"/>
          <w:marRight w:val="0"/>
          <w:marTop w:val="125"/>
          <w:marBottom w:val="0"/>
          <w:divBdr>
            <w:top w:val="none" w:sz="0" w:space="0" w:color="auto"/>
            <w:left w:val="none" w:sz="0" w:space="0" w:color="auto"/>
            <w:bottom w:val="none" w:sz="0" w:space="0" w:color="auto"/>
            <w:right w:val="none" w:sz="0" w:space="0" w:color="auto"/>
          </w:divBdr>
        </w:div>
        <w:div w:id="232393733">
          <w:marLeft w:val="547"/>
          <w:marRight w:val="0"/>
          <w:marTop w:val="125"/>
          <w:marBottom w:val="0"/>
          <w:divBdr>
            <w:top w:val="none" w:sz="0" w:space="0" w:color="auto"/>
            <w:left w:val="none" w:sz="0" w:space="0" w:color="auto"/>
            <w:bottom w:val="none" w:sz="0" w:space="0" w:color="auto"/>
            <w:right w:val="none" w:sz="0" w:space="0" w:color="auto"/>
          </w:divBdr>
        </w:div>
      </w:divsChild>
    </w:div>
    <w:div w:id="349140117">
      <w:bodyDiv w:val="1"/>
      <w:marLeft w:val="0"/>
      <w:marRight w:val="0"/>
      <w:marTop w:val="0"/>
      <w:marBottom w:val="0"/>
      <w:divBdr>
        <w:top w:val="none" w:sz="0" w:space="0" w:color="auto"/>
        <w:left w:val="none" w:sz="0" w:space="0" w:color="auto"/>
        <w:bottom w:val="none" w:sz="0" w:space="0" w:color="auto"/>
        <w:right w:val="none" w:sz="0" w:space="0" w:color="auto"/>
      </w:divBdr>
      <w:divsChild>
        <w:div w:id="1429081194">
          <w:marLeft w:val="0"/>
          <w:marRight w:val="0"/>
          <w:marTop w:val="0"/>
          <w:marBottom w:val="0"/>
          <w:divBdr>
            <w:top w:val="none" w:sz="0" w:space="0" w:color="auto"/>
            <w:left w:val="none" w:sz="0" w:space="0" w:color="auto"/>
            <w:bottom w:val="none" w:sz="0" w:space="0" w:color="auto"/>
            <w:right w:val="none" w:sz="0" w:space="0" w:color="auto"/>
          </w:divBdr>
          <w:divsChild>
            <w:div w:id="2021077975">
              <w:marLeft w:val="0"/>
              <w:marRight w:val="60"/>
              <w:marTop w:val="0"/>
              <w:marBottom w:val="0"/>
              <w:divBdr>
                <w:top w:val="none" w:sz="0" w:space="0" w:color="auto"/>
                <w:left w:val="none" w:sz="0" w:space="0" w:color="auto"/>
                <w:bottom w:val="none" w:sz="0" w:space="0" w:color="auto"/>
                <w:right w:val="none" w:sz="0" w:space="0" w:color="auto"/>
              </w:divBdr>
              <w:divsChild>
                <w:div w:id="1169172349">
                  <w:marLeft w:val="0"/>
                  <w:marRight w:val="0"/>
                  <w:marTop w:val="0"/>
                  <w:marBottom w:val="120"/>
                  <w:divBdr>
                    <w:top w:val="single" w:sz="6" w:space="0" w:color="C0C0C0"/>
                    <w:left w:val="single" w:sz="6" w:space="0" w:color="D9D9D9"/>
                    <w:bottom w:val="single" w:sz="6" w:space="0" w:color="D9D9D9"/>
                    <w:right w:val="single" w:sz="6" w:space="0" w:color="D9D9D9"/>
                  </w:divBdr>
                  <w:divsChild>
                    <w:div w:id="1088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19240">
          <w:marLeft w:val="0"/>
          <w:marRight w:val="0"/>
          <w:marTop w:val="0"/>
          <w:marBottom w:val="0"/>
          <w:divBdr>
            <w:top w:val="none" w:sz="0" w:space="0" w:color="auto"/>
            <w:left w:val="none" w:sz="0" w:space="0" w:color="auto"/>
            <w:bottom w:val="none" w:sz="0" w:space="0" w:color="auto"/>
            <w:right w:val="none" w:sz="0" w:space="0" w:color="auto"/>
          </w:divBdr>
          <w:divsChild>
            <w:div w:id="9337766">
              <w:marLeft w:val="60"/>
              <w:marRight w:val="0"/>
              <w:marTop w:val="0"/>
              <w:marBottom w:val="0"/>
              <w:divBdr>
                <w:top w:val="none" w:sz="0" w:space="0" w:color="auto"/>
                <w:left w:val="none" w:sz="0" w:space="0" w:color="auto"/>
                <w:bottom w:val="none" w:sz="0" w:space="0" w:color="auto"/>
                <w:right w:val="none" w:sz="0" w:space="0" w:color="auto"/>
              </w:divBdr>
              <w:divsChild>
                <w:div w:id="896430872">
                  <w:marLeft w:val="0"/>
                  <w:marRight w:val="0"/>
                  <w:marTop w:val="0"/>
                  <w:marBottom w:val="0"/>
                  <w:divBdr>
                    <w:top w:val="none" w:sz="0" w:space="0" w:color="auto"/>
                    <w:left w:val="none" w:sz="0" w:space="0" w:color="auto"/>
                    <w:bottom w:val="none" w:sz="0" w:space="0" w:color="auto"/>
                    <w:right w:val="none" w:sz="0" w:space="0" w:color="auto"/>
                  </w:divBdr>
                  <w:divsChild>
                    <w:div w:id="1255674402">
                      <w:marLeft w:val="0"/>
                      <w:marRight w:val="0"/>
                      <w:marTop w:val="0"/>
                      <w:marBottom w:val="120"/>
                      <w:divBdr>
                        <w:top w:val="single" w:sz="6" w:space="0" w:color="F5F5F5"/>
                        <w:left w:val="single" w:sz="6" w:space="0" w:color="F5F5F5"/>
                        <w:bottom w:val="single" w:sz="6" w:space="0" w:color="F5F5F5"/>
                        <w:right w:val="single" w:sz="6" w:space="0" w:color="F5F5F5"/>
                      </w:divBdr>
                      <w:divsChild>
                        <w:div w:id="671491477">
                          <w:marLeft w:val="0"/>
                          <w:marRight w:val="0"/>
                          <w:marTop w:val="0"/>
                          <w:marBottom w:val="0"/>
                          <w:divBdr>
                            <w:top w:val="none" w:sz="0" w:space="0" w:color="auto"/>
                            <w:left w:val="none" w:sz="0" w:space="0" w:color="auto"/>
                            <w:bottom w:val="none" w:sz="0" w:space="0" w:color="auto"/>
                            <w:right w:val="none" w:sz="0" w:space="0" w:color="auto"/>
                          </w:divBdr>
                          <w:divsChild>
                            <w:div w:id="12238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913164">
      <w:bodyDiv w:val="1"/>
      <w:marLeft w:val="0"/>
      <w:marRight w:val="0"/>
      <w:marTop w:val="0"/>
      <w:marBottom w:val="0"/>
      <w:divBdr>
        <w:top w:val="none" w:sz="0" w:space="0" w:color="auto"/>
        <w:left w:val="none" w:sz="0" w:space="0" w:color="auto"/>
        <w:bottom w:val="none" w:sz="0" w:space="0" w:color="auto"/>
        <w:right w:val="none" w:sz="0" w:space="0" w:color="auto"/>
      </w:divBdr>
    </w:div>
    <w:div w:id="707994313">
      <w:bodyDiv w:val="1"/>
      <w:marLeft w:val="0"/>
      <w:marRight w:val="0"/>
      <w:marTop w:val="0"/>
      <w:marBottom w:val="0"/>
      <w:divBdr>
        <w:top w:val="none" w:sz="0" w:space="0" w:color="auto"/>
        <w:left w:val="none" w:sz="0" w:space="0" w:color="auto"/>
        <w:bottom w:val="none" w:sz="0" w:space="0" w:color="auto"/>
        <w:right w:val="none" w:sz="0" w:space="0" w:color="auto"/>
      </w:divBdr>
      <w:divsChild>
        <w:div w:id="1097560830">
          <w:marLeft w:val="432"/>
          <w:marRight w:val="0"/>
          <w:marTop w:val="91"/>
          <w:marBottom w:val="0"/>
          <w:divBdr>
            <w:top w:val="none" w:sz="0" w:space="0" w:color="auto"/>
            <w:left w:val="none" w:sz="0" w:space="0" w:color="auto"/>
            <w:bottom w:val="none" w:sz="0" w:space="0" w:color="auto"/>
            <w:right w:val="none" w:sz="0" w:space="0" w:color="auto"/>
          </w:divBdr>
        </w:div>
      </w:divsChild>
    </w:div>
    <w:div w:id="747845350">
      <w:bodyDiv w:val="1"/>
      <w:marLeft w:val="0"/>
      <w:marRight w:val="0"/>
      <w:marTop w:val="0"/>
      <w:marBottom w:val="0"/>
      <w:divBdr>
        <w:top w:val="none" w:sz="0" w:space="0" w:color="auto"/>
        <w:left w:val="none" w:sz="0" w:space="0" w:color="auto"/>
        <w:bottom w:val="none" w:sz="0" w:space="0" w:color="auto"/>
        <w:right w:val="none" w:sz="0" w:space="0" w:color="auto"/>
      </w:divBdr>
    </w:div>
    <w:div w:id="755058272">
      <w:bodyDiv w:val="1"/>
      <w:marLeft w:val="0"/>
      <w:marRight w:val="0"/>
      <w:marTop w:val="0"/>
      <w:marBottom w:val="0"/>
      <w:divBdr>
        <w:top w:val="none" w:sz="0" w:space="0" w:color="auto"/>
        <w:left w:val="none" w:sz="0" w:space="0" w:color="auto"/>
        <w:bottom w:val="none" w:sz="0" w:space="0" w:color="auto"/>
        <w:right w:val="none" w:sz="0" w:space="0" w:color="auto"/>
      </w:divBdr>
    </w:div>
    <w:div w:id="781265155">
      <w:bodyDiv w:val="1"/>
      <w:marLeft w:val="0"/>
      <w:marRight w:val="0"/>
      <w:marTop w:val="0"/>
      <w:marBottom w:val="0"/>
      <w:divBdr>
        <w:top w:val="none" w:sz="0" w:space="0" w:color="auto"/>
        <w:left w:val="none" w:sz="0" w:space="0" w:color="auto"/>
        <w:bottom w:val="none" w:sz="0" w:space="0" w:color="auto"/>
        <w:right w:val="none" w:sz="0" w:space="0" w:color="auto"/>
      </w:divBdr>
    </w:div>
    <w:div w:id="786851822">
      <w:bodyDiv w:val="1"/>
      <w:marLeft w:val="0"/>
      <w:marRight w:val="0"/>
      <w:marTop w:val="0"/>
      <w:marBottom w:val="0"/>
      <w:divBdr>
        <w:top w:val="none" w:sz="0" w:space="0" w:color="auto"/>
        <w:left w:val="none" w:sz="0" w:space="0" w:color="auto"/>
        <w:bottom w:val="none" w:sz="0" w:space="0" w:color="auto"/>
        <w:right w:val="none" w:sz="0" w:space="0" w:color="auto"/>
      </w:divBdr>
    </w:div>
    <w:div w:id="871185451">
      <w:bodyDiv w:val="1"/>
      <w:marLeft w:val="0"/>
      <w:marRight w:val="0"/>
      <w:marTop w:val="0"/>
      <w:marBottom w:val="0"/>
      <w:divBdr>
        <w:top w:val="none" w:sz="0" w:space="0" w:color="auto"/>
        <w:left w:val="none" w:sz="0" w:space="0" w:color="auto"/>
        <w:bottom w:val="none" w:sz="0" w:space="0" w:color="auto"/>
        <w:right w:val="none" w:sz="0" w:space="0" w:color="auto"/>
      </w:divBdr>
    </w:div>
    <w:div w:id="980354312">
      <w:bodyDiv w:val="1"/>
      <w:marLeft w:val="0"/>
      <w:marRight w:val="0"/>
      <w:marTop w:val="0"/>
      <w:marBottom w:val="0"/>
      <w:divBdr>
        <w:top w:val="none" w:sz="0" w:space="0" w:color="auto"/>
        <w:left w:val="none" w:sz="0" w:space="0" w:color="auto"/>
        <w:bottom w:val="none" w:sz="0" w:space="0" w:color="auto"/>
        <w:right w:val="none" w:sz="0" w:space="0" w:color="auto"/>
      </w:divBdr>
    </w:div>
    <w:div w:id="1075664695">
      <w:bodyDiv w:val="1"/>
      <w:marLeft w:val="0"/>
      <w:marRight w:val="0"/>
      <w:marTop w:val="0"/>
      <w:marBottom w:val="0"/>
      <w:divBdr>
        <w:top w:val="none" w:sz="0" w:space="0" w:color="auto"/>
        <w:left w:val="none" w:sz="0" w:space="0" w:color="auto"/>
        <w:bottom w:val="none" w:sz="0" w:space="0" w:color="auto"/>
        <w:right w:val="none" w:sz="0" w:space="0" w:color="auto"/>
      </w:divBdr>
    </w:div>
    <w:div w:id="1170753839">
      <w:bodyDiv w:val="1"/>
      <w:marLeft w:val="0"/>
      <w:marRight w:val="0"/>
      <w:marTop w:val="0"/>
      <w:marBottom w:val="0"/>
      <w:divBdr>
        <w:top w:val="none" w:sz="0" w:space="0" w:color="auto"/>
        <w:left w:val="none" w:sz="0" w:space="0" w:color="auto"/>
        <w:bottom w:val="none" w:sz="0" w:space="0" w:color="auto"/>
        <w:right w:val="none" w:sz="0" w:space="0" w:color="auto"/>
      </w:divBdr>
    </w:div>
    <w:div w:id="1187326676">
      <w:bodyDiv w:val="1"/>
      <w:marLeft w:val="0"/>
      <w:marRight w:val="0"/>
      <w:marTop w:val="0"/>
      <w:marBottom w:val="0"/>
      <w:divBdr>
        <w:top w:val="none" w:sz="0" w:space="0" w:color="auto"/>
        <w:left w:val="none" w:sz="0" w:space="0" w:color="auto"/>
        <w:bottom w:val="none" w:sz="0" w:space="0" w:color="auto"/>
        <w:right w:val="none" w:sz="0" w:space="0" w:color="auto"/>
      </w:divBdr>
    </w:div>
    <w:div w:id="1410224755">
      <w:bodyDiv w:val="1"/>
      <w:marLeft w:val="0"/>
      <w:marRight w:val="0"/>
      <w:marTop w:val="0"/>
      <w:marBottom w:val="0"/>
      <w:divBdr>
        <w:top w:val="none" w:sz="0" w:space="0" w:color="auto"/>
        <w:left w:val="none" w:sz="0" w:space="0" w:color="auto"/>
        <w:bottom w:val="none" w:sz="0" w:space="0" w:color="auto"/>
        <w:right w:val="none" w:sz="0" w:space="0" w:color="auto"/>
      </w:divBdr>
    </w:div>
    <w:div w:id="1835105144">
      <w:bodyDiv w:val="1"/>
      <w:marLeft w:val="0"/>
      <w:marRight w:val="0"/>
      <w:marTop w:val="0"/>
      <w:marBottom w:val="0"/>
      <w:divBdr>
        <w:top w:val="none" w:sz="0" w:space="0" w:color="auto"/>
        <w:left w:val="none" w:sz="0" w:space="0" w:color="auto"/>
        <w:bottom w:val="none" w:sz="0" w:space="0" w:color="auto"/>
        <w:right w:val="none" w:sz="0" w:space="0" w:color="auto"/>
      </w:divBdr>
    </w:div>
    <w:div w:id="212495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orteidh.or.cr/cf/themis/digesto/digesto.cf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6D254B-982F-4F36-944B-E75D851EB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122</Pages>
  <Words>56938</Words>
  <Characters>324549</Characters>
  <Application>Microsoft Office Word</Application>
  <DocSecurity>4</DocSecurity>
  <Lines>2704</Lines>
  <Paragraphs>761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380726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2018-05-23T15:53:00Z</cp:lastPrinted>
  <dcterms:created xsi:type="dcterms:W3CDTF">2018-05-23T16:05:00Z</dcterms:created>
  <dcterms:modified xsi:type="dcterms:W3CDTF">2018-05-23T16:05:00Z</dcterms:modified>
</cp:coreProperties>
</file>